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491B" w14:textId="77777777" w:rsidR="004A301C" w:rsidRPr="004A301C" w:rsidRDefault="004A301C" w:rsidP="00130A96"/>
    <w:p w14:paraId="2CF25658" w14:textId="77777777" w:rsidR="004A301C" w:rsidRPr="004A301C" w:rsidRDefault="004A301C" w:rsidP="00130A96"/>
    <w:p w14:paraId="67E73706" w14:textId="77777777" w:rsidR="004A301C" w:rsidRPr="004A301C" w:rsidRDefault="004A301C" w:rsidP="00130A96"/>
    <w:p w14:paraId="2C36BED7" w14:textId="77777777" w:rsidR="004A301C" w:rsidRPr="004A301C" w:rsidRDefault="004A301C" w:rsidP="00130A96"/>
    <w:p w14:paraId="4B4419E4" w14:textId="77777777" w:rsidR="004A301C" w:rsidRPr="004A301C" w:rsidRDefault="004A301C" w:rsidP="00130A96"/>
    <w:p w14:paraId="0EA22D3A" w14:textId="77777777" w:rsidR="004A301C" w:rsidRPr="004A301C" w:rsidRDefault="004A301C" w:rsidP="00130A96"/>
    <w:p w14:paraId="7EADC509" w14:textId="77777777" w:rsidR="004A301C" w:rsidRPr="004A301C" w:rsidRDefault="004A301C" w:rsidP="00130A96"/>
    <w:p w14:paraId="6B6CE899" w14:textId="77777777" w:rsidR="004A301C" w:rsidRPr="004A301C" w:rsidRDefault="004A301C" w:rsidP="00130A96"/>
    <w:p w14:paraId="4C241903" w14:textId="77777777" w:rsidR="004A301C" w:rsidRPr="004A301C" w:rsidRDefault="004A301C" w:rsidP="00130A96"/>
    <w:p w14:paraId="1FE0636E" w14:textId="77777777" w:rsidR="004A301C" w:rsidRPr="004A301C" w:rsidRDefault="004A301C" w:rsidP="00130A96"/>
    <w:p w14:paraId="7E53368B" w14:textId="77777777" w:rsidR="004A301C" w:rsidRPr="004A301C" w:rsidRDefault="004A301C" w:rsidP="00130A96"/>
    <w:p w14:paraId="59606C8E" w14:textId="77777777" w:rsidR="004A301C" w:rsidRPr="004A301C" w:rsidRDefault="004A301C" w:rsidP="00130A96"/>
    <w:p w14:paraId="63315961" w14:textId="77777777" w:rsidR="004A301C" w:rsidRPr="004A301C" w:rsidRDefault="004A301C" w:rsidP="00130A96"/>
    <w:p w14:paraId="773EB740" w14:textId="77777777" w:rsidR="004A301C" w:rsidRPr="004A301C" w:rsidRDefault="004A301C" w:rsidP="00130A96"/>
    <w:p w14:paraId="3C090A5C" w14:textId="77777777" w:rsidR="004A301C" w:rsidRPr="004A301C" w:rsidRDefault="004A301C" w:rsidP="00130A96"/>
    <w:p w14:paraId="41DF4BDB" w14:textId="77777777" w:rsidR="004A301C" w:rsidRPr="004A301C" w:rsidRDefault="004A301C" w:rsidP="00130A96"/>
    <w:p w14:paraId="2E6DE1A2" w14:textId="77777777" w:rsidR="004A301C" w:rsidRPr="004A301C" w:rsidRDefault="004A301C" w:rsidP="00130A96"/>
    <w:p w14:paraId="4875CBDC" w14:textId="77777777" w:rsidR="004A301C" w:rsidRPr="004A301C" w:rsidRDefault="004A301C" w:rsidP="00130A96"/>
    <w:p w14:paraId="6A1A7FC0" w14:textId="77777777" w:rsidR="004A301C" w:rsidRPr="004A301C" w:rsidRDefault="004A301C" w:rsidP="00130A96"/>
    <w:p w14:paraId="4135CE2E" w14:textId="77777777" w:rsidR="003E6C3C" w:rsidRDefault="003E6C3C" w:rsidP="00130A96">
      <w:pPr>
        <w:jc w:val="center"/>
        <w:rPr>
          <w:b/>
        </w:rPr>
      </w:pPr>
    </w:p>
    <w:p w14:paraId="73837C22" w14:textId="77777777" w:rsidR="003E6C3C" w:rsidRDefault="003E6C3C" w:rsidP="00130A96">
      <w:pPr>
        <w:jc w:val="center"/>
        <w:rPr>
          <w:b/>
        </w:rPr>
      </w:pPr>
    </w:p>
    <w:p w14:paraId="572701E9" w14:textId="77777777" w:rsidR="003E6C3C" w:rsidRDefault="003E6C3C" w:rsidP="00130A96">
      <w:pPr>
        <w:jc w:val="center"/>
        <w:rPr>
          <w:b/>
        </w:rPr>
      </w:pPr>
    </w:p>
    <w:p w14:paraId="706D3F53" w14:textId="77777777" w:rsidR="003E6C3C" w:rsidRDefault="003E6C3C" w:rsidP="00130A96">
      <w:pPr>
        <w:jc w:val="center"/>
        <w:rPr>
          <w:b/>
        </w:rPr>
      </w:pPr>
    </w:p>
    <w:p w14:paraId="15A3D7DF" w14:textId="50C353A8" w:rsidR="004A301C" w:rsidRPr="004A301C" w:rsidRDefault="004A301C" w:rsidP="00130A96">
      <w:pPr>
        <w:jc w:val="center"/>
        <w:rPr>
          <w:b/>
        </w:rPr>
      </w:pPr>
      <w:r w:rsidRPr="004A301C">
        <w:rPr>
          <w:b/>
        </w:rPr>
        <w:t>I PRIEDAS</w:t>
      </w:r>
    </w:p>
    <w:p w14:paraId="499D47CC" w14:textId="77777777" w:rsidR="004A301C" w:rsidRPr="004A301C" w:rsidRDefault="004A301C" w:rsidP="00130A96">
      <w:pPr>
        <w:rPr>
          <w:b/>
        </w:rPr>
      </w:pPr>
    </w:p>
    <w:p w14:paraId="31D84962" w14:textId="77777777" w:rsidR="004A301C" w:rsidRPr="004A301C" w:rsidRDefault="004A301C" w:rsidP="00130A96">
      <w:pPr>
        <w:jc w:val="center"/>
        <w:rPr>
          <w:b/>
        </w:rPr>
      </w:pPr>
      <w:bookmarkStart w:id="0" w:name="PREPARATO_CHARAKTERISTIKŲ_SANTRAUKA"/>
      <w:bookmarkEnd w:id="0"/>
      <w:r w:rsidRPr="004A301C">
        <w:rPr>
          <w:b/>
        </w:rPr>
        <w:t>PREPARATO CHARAKTERISTIKŲ SANTRAUKA</w:t>
      </w:r>
    </w:p>
    <w:p w14:paraId="5183FA22" w14:textId="77777777" w:rsidR="004A301C" w:rsidRPr="004A301C" w:rsidRDefault="004A301C" w:rsidP="00130A96">
      <w:pPr>
        <w:jc w:val="center"/>
        <w:rPr>
          <w:b/>
        </w:rPr>
      </w:pPr>
    </w:p>
    <w:p w14:paraId="4F1FD9C5" w14:textId="77777777" w:rsidR="004A301C" w:rsidRPr="004A301C" w:rsidRDefault="004A301C" w:rsidP="00130A96">
      <w:pPr>
        <w:jc w:val="center"/>
        <w:rPr>
          <w:b/>
        </w:rPr>
      </w:pPr>
    </w:p>
    <w:p w14:paraId="13F2383B" w14:textId="77777777" w:rsidR="004A301C" w:rsidRPr="004A301C" w:rsidRDefault="004A301C" w:rsidP="00130A96">
      <w:pPr>
        <w:rPr>
          <w:b/>
        </w:rPr>
      </w:pPr>
      <w:r w:rsidRPr="004A301C">
        <w:rPr>
          <w:b/>
        </w:rPr>
        <w:br w:type="page"/>
      </w:r>
    </w:p>
    <w:p w14:paraId="6D868FFC" w14:textId="77777777" w:rsidR="00C0147E" w:rsidRPr="00130A96" w:rsidRDefault="001175EF" w:rsidP="00130A96">
      <w:pPr>
        <w:pStyle w:val="Sraopastraipa"/>
        <w:numPr>
          <w:ilvl w:val="0"/>
          <w:numId w:val="16"/>
        </w:numPr>
        <w:tabs>
          <w:tab w:val="left" w:pos="852"/>
        </w:tabs>
        <w:ind w:left="567"/>
        <w:rPr>
          <w:b/>
        </w:rPr>
      </w:pPr>
      <w:r w:rsidRPr="00130A96">
        <w:rPr>
          <w:b/>
        </w:rPr>
        <w:lastRenderedPageBreak/>
        <w:t>VAISTINIO PREPARATO PAVADINIMAS</w:t>
      </w:r>
    </w:p>
    <w:p w14:paraId="6D868FFD" w14:textId="77777777" w:rsidR="00C0147E" w:rsidRPr="00130A96" w:rsidRDefault="00C0147E" w:rsidP="00130A96">
      <w:pPr>
        <w:pStyle w:val="Pagrindinistekstas"/>
        <w:rPr>
          <w:b/>
        </w:rPr>
      </w:pPr>
    </w:p>
    <w:p w14:paraId="1E1A9DFF" w14:textId="3E37A358" w:rsidR="00130A96" w:rsidRDefault="00873FCC" w:rsidP="00130A96">
      <w:pPr>
        <w:pStyle w:val="Pagrindinistekstas"/>
      </w:pPr>
      <w:proofErr w:type="spellStart"/>
      <w:r>
        <w:t>Dapagliflozin</w:t>
      </w:r>
      <w:proofErr w:type="spellEnd"/>
      <w:r>
        <w:t xml:space="preserve"> Olpha</w:t>
      </w:r>
      <w:r w:rsidR="001175EF" w:rsidRPr="00130A96">
        <w:t xml:space="preserve"> 5</w:t>
      </w:r>
      <w:r>
        <w:t> mg</w:t>
      </w:r>
      <w:r w:rsidR="001175EF" w:rsidRPr="00130A96">
        <w:t xml:space="preserve"> plėvele dengtos tabletės</w:t>
      </w:r>
    </w:p>
    <w:p w14:paraId="6D868FFE" w14:textId="6B351DD4" w:rsidR="00C0147E" w:rsidRPr="00130A96" w:rsidRDefault="00873FCC" w:rsidP="00130A96">
      <w:pPr>
        <w:pStyle w:val="Pagrindinistekstas"/>
      </w:pPr>
      <w:proofErr w:type="spellStart"/>
      <w:r>
        <w:t>Dapagliflozin</w:t>
      </w:r>
      <w:proofErr w:type="spellEnd"/>
      <w:r>
        <w:t xml:space="preserve"> Olpha</w:t>
      </w:r>
      <w:r w:rsidR="001175EF" w:rsidRPr="00130A96">
        <w:t xml:space="preserve"> 10</w:t>
      </w:r>
      <w:r>
        <w:t> mg</w:t>
      </w:r>
      <w:r w:rsidR="001175EF" w:rsidRPr="00130A96">
        <w:t xml:space="preserve"> plėvele dengtos tabletės</w:t>
      </w:r>
    </w:p>
    <w:p w14:paraId="6D868FFF" w14:textId="77777777" w:rsidR="00C0147E" w:rsidRPr="00130A96" w:rsidRDefault="00C0147E" w:rsidP="00130A96">
      <w:pPr>
        <w:pStyle w:val="Pagrindinistekstas"/>
      </w:pPr>
    </w:p>
    <w:p w14:paraId="6D869000" w14:textId="77777777" w:rsidR="00C0147E" w:rsidRPr="00130A96" w:rsidRDefault="00C0147E" w:rsidP="00130A96">
      <w:pPr>
        <w:pStyle w:val="Pagrindinistekstas"/>
      </w:pPr>
    </w:p>
    <w:p w14:paraId="6D869001" w14:textId="77777777" w:rsidR="00C0147E" w:rsidRPr="00130A96" w:rsidRDefault="001175EF" w:rsidP="00130A96">
      <w:pPr>
        <w:pStyle w:val="Antrat1"/>
        <w:numPr>
          <w:ilvl w:val="0"/>
          <w:numId w:val="16"/>
        </w:numPr>
        <w:tabs>
          <w:tab w:val="left" w:pos="852"/>
        </w:tabs>
        <w:spacing w:before="0"/>
        <w:ind w:left="567"/>
      </w:pPr>
      <w:r w:rsidRPr="00130A96">
        <w:t>KOKYBINĖ IR KIEKYBINĖ SUDĖTIS</w:t>
      </w:r>
    </w:p>
    <w:p w14:paraId="6D869002" w14:textId="77777777" w:rsidR="00C0147E" w:rsidRPr="00130A96" w:rsidRDefault="00C0147E" w:rsidP="00130A96">
      <w:pPr>
        <w:pStyle w:val="Pagrindinistekstas"/>
        <w:rPr>
          <w:b/>
        </w:rPr>
      </w:pPr>
    </w:p>
    <w:p w14:paraId="6D869003" w14:textId="241E3E67" w:rsidR="00C0147E" w:rsidRPr="00130A96" w:rsidRDefault="00873FCC" w:rsidP="00130A96">
      <w:pPr>
        <w:pStyle w:val="Pagrindinistekstas"/>
      </w:pPr>
      <w:proofErr w:type="spellStart"/>
      <w:r>
        <w:rPr>
          <w:u w:val="single"/>
        </w:rPr>
        <w:t>Dapagliflozin</w:t>
      </w:r>
      <w:proofErr w:type="spellEnd"/>
      <w:r>
        <w:rPr>
          <w:u w:val="single"/>
        </w:rPr>
        <w:t xml:space="preserve"> Olpha</w:t>
      </w:r>
      <w:r w:rsidR="001175EF" w:rsidRPr="00130A96">
        <w:rPr>
          <w:u w:val="single"/>
        </w:rPr>
        <w:t xml:space="preserve"> 5</w:t>
      </w:r>
      <w:r>
        <w:rPr>
          <w:u w:val="single"/>
        </w:rPr>
        <w:t> mg</w:t>
      </w:r>
      <w:r w:rsidR="001175EF" w:rsidRPr="00130A96">
        <w:rPr>
          <w:u w:val="single"/>
        </w:rPr>
        <w:t xml:space="preserve"> plėvele dengtos tabletės</w:t>
      </w:r>
    </w:p>
    <w:p w14:paraId="6D869005" w14:textId="0F5811F3" w:rsidR="00C0147E" w:rsidRDefault="001175EF" w:rsidP="00130A96">
      <w:pPr>
        <w:pStyle w:val="Pagrindinistekstas"/>
      </w:pPr>
      <w:r w:rsidRPr="00130A96">
        <w:t xml:space="preserve">Kiekvienoje tabletėje yra dapagliflozino </w:t>
      </w:r>
      <w:proofErr w:type="spellStart"/>
      <w:r w:rsidRPr="00130A96">
        <w:t>propandiol</w:t>
      </w:r>
      <w:r w:rsidR="007D626C">
        <w:t>i</w:t>
      </w:r>
      <w:r w:rsidRPr="00130A96">
        <w:t>o</w:t>
      </w:r>
      <w:proofErr w:type="spellEnd"/>
      <w:r w:rsidRPr="00130A96">
        <w:t xml:space="preserve"> </w:t>
      </w:r>
      <w:proofErr w:type="spellStart"/>
      <w:r w:rsidRPr="00130A96">
        <w:t>monohidrato</w:t>
      </w:r>
      <w:proofErr w:type="spellEnd"/>
      <w:r w:rsidRPr="00130A96">
        <w:t xml:space="preserve"> kiekis, atitinkantis 5</w:t>
      </w:r>
      <w:r w:rsidR="00873FCC">
        <w:t> mg</w:t>
      </w:r>
      <w:r w:rsidRPr="00130A96">
        <w:t xml:space="preserve"> dapagliflozino (</w:t>
      </w:r>
      <w:proofErr w:type="spellStart"/>
      <w:r w:rsidRPr="00130A96">
        <w:rPr>
          <w:i/>
        </w:rPr>
        <w:t>dapagliflozinum</w:t>
      </w:r>
      <w:proofErr w:type="spellEnd"/>
      <w:r w:rsidRPr="00130A96">
        <w:t>).</w:t>
      </w:r>
    </w:p>
    <w:p w14:paraId="4E2C4192" w14:textId="77777777" w:rsidR="00130A96" w:rsidRPr="00130A96" w:rsidRDefault="00130A96" w:rsidP="00130A96">
      <w:pPr>
        <w:pStyle w:val="Pagrindinistekstas"/>
      </w:pPr>
    </w:p>
    <w:p w14:paraId="6D869006" w14:textId="4B8278F6" w:rsidR="00C0147E" w:rsidRPr="002E5ADC" w:rsidRDefault="001175EF" w:rsidP="00130A96">
      <w:pPr>
        <w:rPr>
          <w:i/>
        </w:rPr>
      </w:pPr>
      <w:r w:rsidRPr="002E5ADC">
        <w:rPr>
          <w:i/>
        </w:rPr>
        <w:t>Pagalbinė medžiaga, kurios poveikis žinomas</w:t>
      </w:r>
    </w:p>
    <w:p w14:paraId="0C56E3B2" w14:textId="0738B2B7" w:rsidR="00130A96" w:rsidRDefault="001175EF" w:rsidP="00130A96">
      <w:pPr>
        <w:pStyle w:val="Pagrindinistekstas"/>
      </w:pPr>
      <w:r w:rsidRPr="00130A96">
        <w:t>Kiekvienoje 5</w:t>
      </w:r>
      <w:r w:rsidR="00873FCC">
        <w:t> mg</w:t>
      </w:r>
      <w:r w:rsidRPr="00130A96">
        <w:t xml:space="preserve"> tabletėje yra </w:t>
      </w:r>
      <w:r w:rsidR="002E5ADC">
        <w:t>33</w:t>
      </w:r>
      <w:r w:rsidR="009F3D9E">
        <w:t>,</w:t>
      </w:r>
      <w:r w:rsidR="002E5ADC">
        <w:t>75</w:t>
      </w:r>
      <w:r w:rsidR="00873FCC">
        <w:t> mg</w:t>
      </w:r>
      <w:r w:rsidRPr="00130A96">
        <w:t xml:space="preserve"> laktozės.</w:t>
      </w:r>
    </w:p>
    <w:p w14:paraId="06BF4B9A" w14:textId="77777777" w:rsidR="00130A96" w:rsidRDefault="00130A96" w:rsidP="00130A96">
      <w:pPr>
        <w:pStyle w:val="Pagrindinistekstas"/>
      </w:pPr>
    </w:p>
    <w:p w14:paraId="6D869007" w14:textId="3A859F82" w:rsidR="00C0147E" w:rsidRPr="00130A96" w:rsidRDefault="00873FCC" w:rsidP="00130A96">
      <w:pPr>
        <w:pStyle w:val="Pagrindinistekstas"/>
      </w:pPr>
      <w:proofErr w:type="spellStart"/>
      <w:r>
        <w:rPr>
          <w:u w:val="single"/>
        </w:rPr>
        <w:t>Dapagliflozin</w:t>
      </w:r>
      <w:proofErr w:type="spellEnd"/>
      <w:r>
        <w:rPr>
          <w:u w:val="single"/>
        </w:rPr>
        <w:t xml:space="preserve"> Olpha</w:t>
      </w:r>
      <w:r w:rsidR="001175EF" w:rsidRPr="00130A96">
        <w:rPr>
          <w:u w:val="single"/>
        </w:rPr>
        <w:t xml:space="preserve"> 10</w:t>
      </w:r>
      <w:r>
        <w:rPr>
          <w:u w:val="single"/>
        </w:rPr>
        <w:t> mg</w:t>
      </w:r>
      <w:r w:rsidR="001175EF" w:rsidRPr="00130A96">
        <w:rPr>
          <w:u w:val="single"/>
        </w:rPr>
        <w:t xml:space="preserve"> plėvele dengtos tabletės</w:t>
      </w:r>
    </w:p>
    <w:p w14:paraId="6D869008" w14:textId="40B5528C" w:rsidR="00C0147E" w:rsidRPr="00130A96" w:rsidRDefault="001175EF" w:rsidP="00130A96">
      <w:pPr>
        <w:pStyle w:val="Pagrindinistekstas"/>
      </w:pPr>
      <w:r w:rsidRPr="00130A96">
        <w:t xml:space="preserve">Kiekvienoje tabletėje yra dapagliflozino </w:t>
      </w:r>
      <w:proofErr w:type="spellStart"/>
      <w:r w:rsidRPr="00130A96">
        <w:t>propandiol</w:t>
      </w:r>
      <w:r w:rsidR="007D626C">
        <w:t>i</w:t>
      </w:r>
      <w:r w:rsidRPr="00130A96">
        <w:t>o</w:t>
      </w:r>
      <w:proofErr w:type="spellEnd"/>
      <w:r w:rsidRPr="00130A96">
        <w:t xml:space="preserve"> </w:t>
      </w:r>
      <w:proofErr w:type="spellStart"/>
      <w:r w:rsidRPr="00130A96">
        <w:t>monohidrato</w:t>
      </w:r>
      <w:proofErr w:type="spellEnd"/>
      <w:r w:rsidRPr="00130A96">
        <w:t xml:space="preserve"> kiekis, atitinkantis 10</w:t>
      </w:r>
      <w:r w:rsidR="00873FCC">
        <w:t> mg</w:t>
      </w:r>
      <w:r w:rsidRPr="00130A96">
        <w:t xml:space="preserve"> dapagliflozino (</w:t>
      </w:r>
      <w:proofErr w:type="spellStart"/>
      <w:r w:rsidRPr="00130A96">
        <w:rPr>
          <w:i/>
        </w:rPr>
        <w:t>dapagliflozinum</w:t>
      </w:r>
      <w:proofErr w:type="spellEnd"/>
      <w:r w:rsidRPr="00130A96">
        <w:t>).</w:t>
      </w:r>
    </w:p>
    <w:p w14:paraId="6D869009" w14:textId="77777777" w:rsidR="00C0147E" w:rsidRPr="00130A96" w:rsidRDefault="00C0147E" w:rsidP="00130A96">
      <w:pPr>
        <w:pStyle w:val="Pagrindinistekstas"/>
      </w:pPr>
    </w:p>
    <w:p w14:paraId="6D86900A" w14:textId="77777777" w:rsidR="00C0147E" w:rsidRPr="002E5ADC" w:rsidRDefault="001175EF" w:rsidP="00130A96">
      <w:pPr>
        <w:pStyle w:val="Pagrindinistekstas"/>
        <w:rPr>
          <w:i/>
          <w:iCs/>
        </w:rPr>
      </w:pPr>
      <w:r w:rsidRPr="002E5ADC">
        <w:rPr>
          <w:i/>
          <w:iCs/>
        </w:rPr>
        <w:t>Pagalbinė medžiaga, kurios poveikis žinomas</w:t>
      </w:r>
    </w:p>
    <w:p w14:paraId="2F263205" w14:textId="3E207AEE" w:rsidR="00DC2577" w:rsidRDefault="001175EF" w:rsidP="00130A96">
      <w:pPr>
        <w:pStyle w:val="Pagrindinistekstas"/>
      </w:pPr>
      <w:r w:rsidRPr="00130A96">
        <w:t>Kiekvienoje 10</w:t>
      </w:r>
      <w:r w:rsidR="00873FCC">
        <w:t> mg</w:t>
      </w:r>
      <w:r w:rsidRPr="00130A96">
        <w:t xml:space="preserve"> tabletėje yra </w:t>
      </w:r>
      <w:r w:rsidR="002E5ADC">
        <w:t>67,50</w:t>
      </w:r>
      <w:r w:rsidR="00873FCC">
        <w:t> mg</w:t>
      </w:r>
      <w:r w:rsidRPr="00130A96">
        <w:t xml:space="preserve"> laktozės.</w:t>
      </w:r>
    </w:p>
    <w:p w14:paraId="76E25629" w14:textId="77777777" w:rsidR="00DC2577" w:rsidRDefault="00DC2577" w:rsidP="00130A96">
      <w:pPr>
        <w:pStyle w:val="Pagrindinistekstas"/>
      </w:pPr>
    </w:p>
    <w:p w14:paraId="6D86900B" w14:textId="142443AC" w:rsidR="00C0147E" w:rsidRPr="00130A96" w:rsidRDefault="001175EF" w:rsidP="00130A96">
      <w:pPr>
        <w:pStyle w:val="Pagrindinistekstas"/>
      </w:pPr>
      <w:r w:rsidRPr="00130A96">
        <w:t>Visos pagalbinės medžiagos išvardytos 6.1</w:t>
      </w:r>
      <w:r w:rsidR="00873FCC">
        <w:t> skyriuje</w:t>
      </w:r>
      <w:r w:rsidRPr="00130A96">
        <w:t>.</w:t>
      </w:r>
    </w:p>
    <w:p w14:paraId="6D86900C" w14:textId="77777777" w:rsidR="00C0147E" w:rsidRDefault="00C0147E" w:rsidP="00130A96">
      <w:pPr>
        <w:pStyle w:val="Pagrindinistekstas"/>
      </w:pPr>
    </w:p>
    <w:p w14:paraId="636EAB23" w14:textId="77777777" w:rsidR="00DC2577" w:rsidRPr="00130A96" w:rsidRDefault="00DC2577" w:rsidP="00130A96">
      <w:pPr>
        <w:pStyle w:val="Pagrindinistekstas"/>
      </w:pPr>
    </w:p>
    <w:p w14:paraId="6D86900D" w14:textId="77777777" w:rsidR="00C0147E" w:rsidRPr="00130A96" w:rsidRDefault="001175EF" w:rsidP="00DC2577">
      <w:pPr>
        <w:pStyle w:val="Antrat1"/>
        <w:numPr>
          <w:ilvl w:val="0"/>
          <w:numId w:val="16"/>
        </w:numPr>
        <w:tabs>
          <w:tab w:val="left" w:pos="852"/>
        </w:tabs>
        <w:spacing w:before="0"/>
        <w:ind w:left="567"/>
      </w:pPr>
      <w:r w:rsidRPr="00130A96">
        <w:t>FARMACINĖ FORMA</w:t>
      </w:r>
    </w:p>
    <w:p w14:paraId="6D86900E" w14:textId="77777777" w:rsidR="00C0147E" w:rsidRPr="00130A96" w:rsidRDefault="00C0147E" w:rsidP="00130A96">
      <w:pPr>
        <w:pStyle w:val="Pagrindinistekstas"/>
        <w:rPr>
          <w:b/>
        </w:rPr>
      </w:pPr>
    </w:p>
    <w:p w14:paraId="04982A9F" w14:textId="77777777" w:rsidR="00DC2577" w:rsidRDefault="001175EF" w:rsidP="00130A96">
      <w:pPr>
        <w:pStyle w:val="Pagrindinistekstas"/>
      </w:pPr>
      <w:r w:rsidRPr="00130A96">
        <w:t>Plėvele dengta tabletė (tabletė).</w:t>
      </w:r>
    </w:p>
    <w:p w14:paraId="2A648BE8" w14:textId="77777777" w:rsidR="00DC2577" w:rsidRDefault="00DC2577" w:rsidP="00130A96">
      <w:pPr>
        <w:pStyle w:val="Pagrindinistekstas"/>
      </w:pPr>
    </w:p>
    <w:p w14:paraId="6D86900F" w14:textId="1FA13742" w:rsidR="00C0147E" w:rsidRPr="00130A96" w:rsidRDefault="00873FCC" w:rsidP="00130A96">
      <w:pPr>
        <w:pStyle w:val="Pagrindinistekstas"/>
      </w:pPr>
      <w:proofErr w:type="spellStart"/>
      <w:r>
        <w:rPr>
          <w:u w:val="single"/>
        </w:rPr>
        <w:t>Dapagliflozin</w:t>
      </w:r>
      <w:proofErr w:type="spellEnd"/>
      <w:r>
        <w:rPr>
          <w:u w:val="single"/>
        </w:rPr>
        <w:t xml:space="preserve"> Olpha</w:t>
      </w:r>
      <w:r w:rsidR="001175EF" w:rsidRPr="00130A96">
        <w:rPr>
          <w:u w:val="single"/>
        </w:rPr>
        <w:t xml:space="preserve"> 5</w:t>
      </w:r>
      <w:r>
        <w:rPr>
          <w:u w:val="single"/>
        </w:rPr>
        <w:t> mg</w:t>
      </w:r>
      <w:r w:rsidR="001175EF" w:rsidRPr="00130A96">
        <w:rPr>
          <w:u w:val="single"/>
        </w:rPr>
        <w:t xml:space="preserve"> plėvele dengtos tabletės</w:t>
      </w:r>
    </w:p>
    <w:p w14:paraId="6D869010" w14:textId="5285AED0" w:rsidR="00C0147E" w:rsidRDefault="001175EF" w:rsidP="00130A96">
      <w:pPr>
        <w:pStyle w:val="Pagrindinistekstas"/>
      </w:pPr>
      <w:r w:rsidRPr="00130A96">
        <w:t>Geltonos</w:t>
      </w:r>
      <w:r w:rsidR="005846AC">
        <w:t>,</w:t>
      </w:r>
      <w:r w:rsidRPr="00130A96">
        <w:t xml:space="preserve"> abipus išgaubtos, </w:t>
      </w:r>
      <w:r w:rsidR="00AE35D0">
        <w:t>maždaug</w:t>
      </w:r>
      <w:r w:rsidR="001F7FF0">
        <w:t xml:space="preserve"> </w:t>
      </w:r>
      <w:r w:rsidRPr="00130A96">
        <w:t>0,7</w:t>
      </w:r>
      <w:r w:rsidR="00873FCC">
        <w:t> cm</w:t>
      </w:r>
      <w:r w:rsidRPr="00130A96">
        <w:t xml:space="preserve"> skersmens</w:t>
      </w:r>
      <w:r w:rsidR="00E34B86">
        <w:t>,</w:t>
      </w:r>
      <w:r w:rsidRPr="00130A96">
        <w:t xml:space="preserve"> apvalios</w:t>
      </w:r>
      <w:r w:rsidR="00053980">
        <w:t>,</w:t>
      </w:r>
      <w:r w:rsidRPr="00130A96">
        <w:t xml:space="preserve"> plėvele dengtos tabletės, </w:t>
      </w:r>
      <w:r w:rsidR="006B7497">
        <w:t xml:space="preserve">kurių </w:t>
      </w:r>
      <w:r w:rsidRPr="00130A96">
        <w:t xml:space="preserve">vienoje pusėje yra </w:t>
      </w:r>
      <w:r w:rsidR="005F7033">
        <w:t>įspausta</w:t>
      </w:r>
      <w:r w:rsidRPr="00130A96">
        <w:t xml:space="preserve"> „</w:t>
      </w:r>
      <w:r w:rsidR="005F7033">
        <w:t>A</w:t>
      </w:r>
      <w:r w:rsidRPr="00130A96">
        <w:t>“, kitoje – „</w:t>
      </w:r>
      <w:r w:rsidR="005F7033">
        <w:t>D</w:t>
      </w:r>
      <w:r w:rsidR="00081B84">
        <w:t>2</w:t>
      </w:r>
      <w:r w:rsidRPr="00130A96">
        <w:t>“.</w:t>
      </w:r>
    </w:p>
    <w:p w14:paraId="40997707" w14:textId="77777777" w:rsidR="00DC2577" w:rsidRPr="00130A96" w:rsidRDefault="00DC2577" w:rsidP="00130A96">
      <w:pPr>
        <w:pStyle w:val="Pagrindinistekstas"/>
      </w:pPr>
    </w:p>
    <w:p w14:paraId="6D869011" w14:textId="31DAD314" w:rsidR="00C0147E" w:rsidRPr="00130A96" w:rsidRDefault="00873FCC" w:rsidP="00130A96">
      <w:pPr>
        <w:pStyle w:val="Pagrindinistekstas"/>
      </w:pPr>
      <w:proofErr w:type="spellStart"/>
      <w:r>
        <w:rPr>
          <w:u w:val="single"/>
        </w:rPr>
        <w:t>Dapagliflozin</w:t>
      </w:r>
      <w:proofErr w:type="spellEnd"/>
      <w:r>
        <w:rPr>
          <w:u w:val="single"/>
        </w:rPr>
        <w:t xml:space="preserve"> Olpha</w:t>
      </w:r>
      <w:r w:rsidR="001175EF" w:rsidRPr="00130A96">
        <w:rPr>
          <w:u w:val="single"/>
        </w:rPr>
        <w:t xml:space="preserve"> 10</w:t>
      </w:r>
      <w:r>
        <w:rPr>
          <w:u w:val="single"/>
        </w:rPr>
        <w:t> mg</w:t>
      </w:r>
      <w:r w:rsidR="001175EF" w:rsidRPr="00130A96">
        <w:rPr>
          <w:u w:val="single"/>
        </w:rPr>
        <w:t xml:space="preserve"> plėvele dengtos tabletės</w:t>
      </w:r>
    </w:p>
    <w:p w14:paraId="6D869013" w14:textId="072C9257" w:rsidR="00C0147E" w:rsidRPr="00130A96" w:rsidRDefault="001175EF" w:rsidP="00130A96">
      <w:pPr>
        <w:pStyle w:val="Pagrindinistekstas"/>
      </w:pPr>
      <w:r w:rsidRPr="00130A96">
        <w:t>Geltonos</w:t>
      </w:r>
      <w:r w:rsidR="006B7497">
        <w:t>,</w:t>
      </w:r>
      <w:r w:rsidRPr="00130A96">
        <w:t xml:space="preserve"> abipus išgaubtos, maždaug 1,1</w:t>
      </w:r>
      <w:r w:rsidR="000A4EC3">
        <w:t> </w:t>
      </w:r>
      <w:r w:rsidRPr="00130A96">
        <w:t>x</w:t>
      </w:r>
      <w:r w:rsidR="000A4EC3">
        <w:t> </w:t>
      </w:r>
      <w:r w:rsidRPr="00130A96">
        <w:t>0,8</w:t>
      </w:r>
      <w:r w:rsidR="00873FCC">
        <w:t> cm</w:t>
      </w:r>
      <w:r w:rsidR="00AE35D0">
        <w:t xml:space="preserve"> dydžio</w:t>
      </w:r>
      <w:r w:rsidR="00CB1A74">
        <w:t>,</w:t>
      </w:r>
      <w:r w:rsidRPr="00130A96">
        <w:t xml:space="preserve"> rombo formos</w:t>
      </w:r>
      <w:r w:rsidR="00AE35D0">
        <w:t>,</w:t>
      </w:r>
      <w:r w:rsidRPr="00130A96">
        <w:t xml:space="preserve"> plėvele dengtos tabletės, </w:t>
      </w:r>
      <w:r w:rsidR="00CB1A74">
        <w:t xml:space="preserve">kurių </w:t>
      </w:r>
      <w:r w:rsidRPr="00130A96">
        <w:t xml:space="preserve">vienoje pusėje yra </w:t>
      </w:r>
      <w:r w:rsidR="000A4EC3">
        <w:t>įspausta</w:t>
      </w:r>
      <w:r w:rsidR="000A4EC3" w:rsidRPr="00130A96">
        <w:t xml:space="preserve"> </w:t>
      </w:r>
      <w:r w:rsidRPr="00130A96">
        <w:t>„</w:t>
      </w:r>
      <w:r w:rsidR="000A4EC3">
        <w:t>A</w:t>
      </w:r>
      <w:r w:rsidRPr="00130A96">
        <w:t>“, kitoje – „</w:t>
      </w:r>
      <w:r w:rsidR="000A4EC3">
        <w:t>D1</w:t>
      </w:r>
      <w:r w:rsidRPr="00130A96">
        <w:t>“.</w:t>
      </w:r>
    </w:p>
    <w:p w14:paraId="6D869014" w14:textId="77777777" w:rsidR="00C0147E" w:rsidRPr="00130A96" w:rsidRDefault="00C0147E" w:rsidP="00130A96">
      <w:pPr>
        <w:pStyle w:val="Pagrindinistekstas"/>
      </w:pPr>
    </w:p>
    <w:p w14:paraId="6D869015" w14:textId="77777777" w:rsidR="00C0147E" w:rsidRPr="00130A96" w:rsidRDefault="00C0147E" w:rsidP="00130A96">
      <w:pPr>
        <w:pStyle w:val="Pagrindinistekstas"/>
      </w:pPr>
    </w:p>
    <w:p w14:paraId="6D869016" w14:textId="77777777" w:rsidR="00C0147E" w:rsidRPr="00130A96" w:rsidRDefault="001175EF" w:rsidP="00DC2577">
      <w:pPr>
        <w:pStyle w:val="Antrat1"/>
        <w:numPr>
          <w:ilvl w:val="0"/>
          <w:numId w:val="16"/>
        </w:numPr>
        <w:tabs>
          <w:tab w:val="left" w:pos="852"/>
        </w:tabs>
        <w:spacing w:before="0"/>
        <w:ind w:left="567"/>
      </w:pPr>
      <w:r w:rsidRPr="00130A96">
        <w:t>KLINIKINĖ INFORMACIJA</w:t>
      </w:r>
    </w:p>
    <w:p w14:paraId="6D869017" w14:textId="77777777" w:rsidR="00C0147E" w:rsidRPr="00130A96" w:rsidRDefault="00C0147E" w:rsidP="00130A96">
      <w:pPr>
        <w:pStyle w:val="Pagrindinistekstas"/>
        <w:rPr>
          <w:b/>
        </w:rPr>
      </w:pPr>
    </w:p>
    <w:p w14:paraId="6D869018" w14:textId="77777777" w:rsidR="00C0147E" w:rsidRPr="00130A96" w:rsidRDefault="001175EF" w:rsidP="00DC2577">
      <w:pPr>
        <w:pStyle w:val="Antrat2"/>
        <w:numPr>
          <w:ilvl w:val="1"/>
          <w:numId w:val="16"/>
        </w:numPr>
        <w:tabs>
          <w:tab w:val="left" w:pos="852"/>
        </w:tabs>
        <w:ind w:left="567"/>
      </w:pPr>
      <w:r w:rsidRPr="00130A96">
        <w:t>Terapinės indikacijos</w:t>
      </w:r>
    </w:p>
    <w:p w14:paraId="6D869019" w14:textId="77777777" w:rsidR="00C0147E" w:rsidRPr="00130A96" w:rsidRDefault="00C0147E" w:rsidP="00130A96">
      <w:pPr>
        <w:pStyle w:val="Pagrindinistekstas"/>
        <w:rPr>
          <w:b/>
        </w:rPr>
      </w:pPr>
    </w:p>
    <w:p w14:paraId="6D86901A" w14:textId="2CC4D404" w:rsidR="00C0147E" w:rsidRPr="00130A96" w:rsidRDefault="001175EF" w:rsidP="00130A96">
      <w:pPr>
        <w:pStyle w:val="Pagrindinistekstas"/>
      </w:pPr>
      <w:r w:rsidRPr="00130A96">
        <w:rPr>
          <w:u w:val="single"/>
        </w:rPr>
        <w:t>2</w:t>
      </w:r>
      <w:r w:rsidR="00873FCC">
        <w:rPr>
          <w:u w:val="single"/>
        </w:rPr>
        <w:t> tipo</w:t>
      </w:r>
      <w:r w:rsidRPr="00130A96">
        <w:rPr>
          <w:u w:val="single"/>
        </w:rPr>
        <w:t xml:space="preserve"> cukrinis diabetas</w:t>
      </w:r>
    </w:p>
    <w:p w14:paraId="6D86901B" w14:textId="77777777" w:rsidR="00C0147E" w:rsidRPr="00130A96" w:rsidRDefault="00C0147E" w:rsidP="00130A96">
      <w:pPr>
        <w:pStyle w:val="Pagrindinistekstas"/>
      </w:pPr>
    </w:p>
    <w:p w14:paraId="6D86901C" w14:textId="2F8B7934" w:rsidR="00C0147E" w:rsidRPr="00130A96" w:rsidRDefault="00873FCC" w:rsidP="00130A96">
      <w:pPr>
        <w:pStyle w:val="Pagrindinistekstas"/>
      </w:pPr>
      <w:proofErr w:type="spellStart"/>
      <w:r>
        <w:t>Dapagliflozin</w:t>
      </w:r>
      <w:proofErr w:type="spellEnd"/>
      <w:r>
        <w:t xml:space="preserve"> Olpha</w:t>
      </w:r>
      <w:r w:rsidR="001175EF" w:rsidRPr="00130A96">
        <w:t xml:space="preserve"> skirta</w:t>
      </w:r>
      <w:r w:rsidR="000C728A">
        <w:t>s</w:t>
      </w:r>
      <w:r w:rsidR="001175EF" w:rsidRPr="00130A96">
        <w:t xml:space="preserve"> </w:t>
      </w:r>
      <w:r w:rsidR="00CF6DE1">
        <w:t xml:space="preserve">suaugusiųjų </w:t>
      </w:r>
      <w:r w:rsidR="001175EF" w:rsidRPr="00130A96">
        <w:t>ir 10 metų</w:t>
      </w:r>
      <w:r w:rsidR="002D3993">
        <w:t xml:space="preserve"> bei vyresnių</w:t>
      </w:r>
      <w:r w:rsidR="002D3993" w:rsidRPr="002D3993">
        <w:t xml:space="preserve"> </w:t>
      </w:r>
      <w:r w:rsidR="002D3993" w:rsidRPr="00130A96">
        <w:t>vaik</w:t>
      </w:r>
      <w:r w:rsidR="002D3993">
        <w:t>ų</w:t>
      </w:r>
      <w:r w:rsidR="001175EF" w:rsidRPr="00130A96">
        <w:t xml:space="preserve"> nepakankamai </w:t>
      </w:r>
      <w:r w:rsidR="008D544A">
        <w:t>sureguliuoto</w:t>
      </w:r>
      <w:r w:rsidR="008D544A" w:rsidRPr="00130A96">
        <w:t xml:space="preserve"> </w:t>
      </w:r>
      <w:r w:rsidR="001175EF" w:rsidRPr="00130A96">
        <w:t>2</w:t>
      </w:r>
      <w:r>
        <w:t> tipo</w:t>
      </w:r>
      <w:r w:rsidR="001175EF" w:rsidRPr="00130A96">
        <w:t xml:space="preserve"> cukrini</w:t>
      </w:r>
      <w:r w:rsidR="008D544A">
        <w:t>o</w:t>
      </w:r>
      <w:r w:rsidR="001175EF" w:rsidRPr="00130A96">
        <w:t xml:space="preserve"> diabet</w:t>
      </w:r>
      <w:r w:rsidR="008D544A">
        <w:t>o</w:t>
      </w:r>
      <w:r w:rsidR="005C2363">
        <w:t xml:space="preserve"> </w:t>
      </w:r>
      <w:r w:rsidR="00173AC8">
        <w:t xml:space="preserve">papildomam </w:t>
      </w:r>
      <w:r w:rsidR="005C2363">
        <w:t xml:space="preserve">gydymui </w:t>
      </w:r>
      <w:r w:rsidR="00141FE3">
        <w:t xml:space="preserve">kartu su </w:t>
      </w:r>
      <w:r w:rsidR="001175EF" w:rsidRPr="00130A96">
        <w:t>diet</w:t>
      </w:r>
      <w:r w:rsidR="00C9037E">
        <w:t>a</w:t>
      </w:r>
      <w:r w:rsidR="001175EF" w:rsidRPr="00130A96">
        <w:t xml:space="preserve"> ir fizini</w:t>
      </w:r>
      <w:r w:rsidR="00C9037E">
        <w:t>u</w:t>
      </w:r>
      <w:r w:rsidR="001175EF" w:rsidRPr="00130A96">
        <w:t xml:space="preserve"> krūvi</w:t>
      </w:r>
      <w:r w:rsidR="00C9037E">
        <w:t>u</w:t>
      </w:r>
      <w:r w:rsidR="001175EF" w:rsidRPr="00130A96">
        <w:t>:</w:t>
      </w:r>
    </w:p>
    <w:p w14:paraId="6D86901D" w14:textId="14B580B5" w:rsidR="00C0147E" w:rsidRPr="00130A96" w:rsidRDefault="001175EF" w:rsidP="00DC2577">
      <w:pPr>
        <w:pStyle w:val="Sraopastraipa"/>
        <w:numPr>
          <w:ilvl w:val="0"/>
          <w:numId w:val="15"/>
        </w:numPr>
        <w:tabs>
          <w:tab w:val="left" w:pos="852"/>
        </w:tabs>
        <w:ind w:left="567"/>
      </w:pPr>
      <w:proofErr w:type="spellStart"/>
      <w:r w:rsidRPr="00130A96">
        <w:t>monoterapijai</w:t>
      </w:r>
      <w:proofErr w:type="spellEnd"/>
      <w:r w:rsidRPr="00130A96">
        <w:t>, kai</w:t>
      </w:r>
      <w:r w:rsidR="0074105C" w:rsidRPr="0074105C">
        <w:t xml:space="preserve"> </w:t>
      </w:r>
      <w:proofErr w:type="spellStart"/>
      <w:r w:rsidR="0074105C">
        <w:t>metformino</w:t>
      </w:r>
      <w:proofErr w:type="spellEnd"/>
      <w:r w:rsidR="0074105C">
        <w:t xml:space="preserve"> vartoti negalima dėl netoleravimo</w:t>
      </w:r>
      <w:r w:rsidRPr="00130A96">
        <w:t>;</w:t>
      </w:r>
    </w:p>
    <w:p w14:paraId="6D86901E" w14:textId="24902838" w:rsidR="00C0147E" w:rsidRPr="00130A96" w:rsidRDefault="001175EF" w:rsidP="00DC2577">
      <w:pPr>
        <w:pStyle w:val="Sraopastraipa"/>
        <w:numPr>
          <w:ilvl w:val="0"/>
          <w:numId w:val="15"/>
        </w:numPr>
        <w:tabs>
          <w:tab w:val="left" w:pos="852"/>
        </w:tabs>
        <w:ind w:left="567"/>
      </w:pPr>
      <w:r w:rsidRPr="00130A96">
        <w:t>kartu su kitais vaistiniais preparatais, skirtais 2</w:t>
      </w:r>
      <w:r w:rsidR="00873FCC">
        <w:t> tipo</w:t>
      </w:r>
      <w:r w:rsidRPr="00130A96">
        <w:t xml:space="preserve"> </w:t>
      </w:r>
      <w:r w:rsidR="000E3852">
        <w:t xml:space="preserve">cukriniam </w:t>
      </w:r>
      <w:r w:rsidRPr="00130A96">
        <w:t>diabet</w:t>
      </w:r>
      <w:r w:rsidR="000E3852">
        <w:t>ui</w:t>
      </w:r>
      <w:r w:rsidRPr="00130A96">
        <w:t xml:space="preserve"> </w:t>
      </w:r>
      <w:r w:rsidR="00E23F1E">
        <w:t>gydy</w:t>
      </w:r>
      <w:r w:rsidR="000E3852">
        <w:t>t</w:t>
      </w:r>
      <w:r w:rsidR="00E23F1E">
        <w:t>i</w:t>
      </w:r>
      <w:r w:rsidRPr="00130A96">
        <w:t>.</w:t>
      </w:r>
    </w:p>
    <w:p w14:paraId="0AD72576" w14:textId="77777777" w:rsidR="00DC2577" w:rsidRDefault="00DC2577" w:rsidP="00130A96">
      <w:pPr>
        <w:pStyle w:val="Pagrindinistekstas"/>
      </w:pPr>
    </w:p>
    <w:p w14:paraId="6D86901F" w14:textId="0DE80D2E" w:rsidR="00C0147E" w:rsidRPr="00130A96" w:rsidRDefault="00346E7A" w:rsidP="00130A96">
      <w:pPr>
        <w:pStyle w:val="Pagrindinistekstas"/>
      </w:pPr>
      <w:r>
        <w:t>Tyrimų rezultatus apie vaistinių preparatų derinius</w:t>
      </w:r>
      <w:r w:rsidR="00E23473" w:rsidRPr="00E23473">
        <w:t xml:space="preserve">, poveikį </w:t>
      </w:r>
      <w:proofErr w:type="spellStart"/>
      <w:r w:rsidR="00E23473" w:rsidRPr="00E23473">
        <w:t>glikemijos</w:t>
      </w:r>
      <w:proofErr w:type="spellEnd"/>
      <w:r w:rsidR="00E23473" w:rsidRPr="00E23473">
        <w:t xml:space="preserve"> </w:t>
      </w:r>
      <w:r w:rsidR="00871799">
        <w:t>sureguliavimui</w:t>
      </w:r>
      <w:r w:rsidR="00E23473" w:rsidRPr="00E23473">
        <w:t>, kardiovaskuliniams reiškiniams ir inkstų sutrikimams bei tirtas populiacijas pateikiama 4.4, 4.5 ir 5.1 skyriuose.</w:t>
      </w:r>
    </w:p>
    <w:p w14:paraId="5F3DAD93" w14:textId="77777777" w:rsidR="00DC2577" w:rsidRDefault="00DC2577" w:rsidP="00130A96">
      <w:pPr>
        <w:pStyle w:val="Pagrindinistekstas"/>
        <w:rPr>
          <w:u w:val="single"/>
        </w:rPr>
      </w:pPr>
    </w:p>
    <w:p w14:paraId="6D869021" w14:textId="3336FABB" w:rsidR="00C0147E" w:rsidRPr="00130A96" w:rsidRDefault="001175EF" w:rsidP="00130A96">
      <w:pPr>
        <w:pStyle w:val="Pagrindinistekstas"/>
      </w:pPr>
      <w:r w:rsidRPr="00130A96">
        <w:rPr>
          <w:u w:val="single"/>
        </w:rPr>
        <w:t>Širdies nepakankamumas</w:t>
      </w:r>
    </w:p>
    <w:p w14:paraId="6D869022" w14:textId="77777777" w:rsidR="00C0147E" w:rsidRPr="00130A96" w:rsidRDefault="00C0147E" w:rsidP="00130A96">
      <w:pPr>
        <w:pStyle w:val="Pagrindinistekstas"/>
      </w:pPr>
    </w:p>
    <w:p w14:paraId="399B2AA0" w14:textId="5020B38C" w:rsidR="00DC2577" w:rsidRDefault="00873FCC" w:rsidP="00130A96">
      <w:pPr>
        <w:pStyle w:val="Pagrindinistekstas"/>
      </w:pPr>
      <w:proofErr w:type="spellStart"/>
      <w:r>
        <w:t>Dapagliflozin</w:t>
      </w:r>
      <w:proofErr w:type="spellEnd"/>
      <w:r>
        <w:t xml:space="preserve"> Olpha</w:t>
      </w:r>
      <w:r w:rsidR="001175EF" w:rsidRPr="00130A96">
        <w:t xml:space="preserve"> skirta</w:t>
      </w:r>
      <w:r w:rsidR="000C728A">
        <w:t>s</w:t>
      </w:r>
      <w:r w:rsidR="001175EF" w:rsidRPr="00130A96">
        <w:t xml:space="preserve"> suaugusi</w:t>
      </w:r>
      <w:r w:rsidR="000C728A">
        <w:t>ųjų</w:t>
      </w:r>
      <w:r w:rsidR="004A291B">
        <w:t xml:space="preserve"> </w:t>
      </w:r>
      <w:r w:rsidR="001175EF" w:rsidRPr="00130A96">
        <w:t>simptomini</w:t>
      </w:r>
      <w:r w:rsidR="00AA1F17">
        <w:t>am</w:t>
      </w:r>
      <w:r w:rsidR="001175EF" w:rsidRPr="00130A96">
        <w:t xml:space="preserve"> lėtini</w:t>
      </w:r>
      <w:r w:rsidR="00AA1F17">
        <w:t>am</w:t>
      </w:r>
      <w:r w:rsidR="001175EF" w:rsidRPr="00130A96">
        <w:t xml:space="preserve"> širdies nepakankamumu</w:t>
      </w:r>
      <w:r w:rsidR="00AA1F17">
        <w:t>i</w:t>
      </w:r>
      <w:r w:rsidR="000C728A">
        <w:t xml:space="preserve"> gydy</w:t>
      </w:r>
      <w:r w:rsidR="00AA1F17">
        <w:t>t</w:t>
      </w:r>
      <w:r w:rsidR="000C728A">
        <w:t>i</w:t>
      </w:r>
      <w:r w:rsidR="001175EF" w:rsidRPr="00130A96">
        <w:t>.</w:t>
      </w:r>
    </w:p>
    <w:p w14:paraId="0ACC3829" w14:textId="77777777" w:rsidR="00DC2577" w:rsidRDefault="00DC2577" w:rsidP="00130A96">
      <w:pPr>
        <w:pStyle w:val="Pagrindinistekstas"/>
      </w:pPr>
    </w:p>
    <w:p w14:paraId="6D869023" w14:textId="10BF0269" w:rsidR="00C0147E" w:rsidRDefault="001175EF" w:rsidP="00130A96">
      <w:pPr>
        <w:pStyle w:val="Pagrindinistekstas"/>
        <w:rPr>
          <w:u w:val="single"/>
        </w:rPr>
      </w:pPr>
      <w:r w:rsidRPr="00130A96">
        <w:rPr>
          <w:u w:val="single"/>
        </w:rPr>
        <w:lastRenderedPageBreak/>
        <w:t>Lėtinė inkstų liga</w:t>
      </w:r>
    </w:p>
    <w:p w14:paraId="44D8DC81" w14:textId="77777777" w:rsidR="00DC2577" w:rsidRPr="00130A96" w:rsidRDefault="00DC2577" w:rsidP="00130A96">
      <w:pPr>
        <w:pStyle w:val="Pagrindinistekstas"/>
      </w:pPr>
    </w:p>
    <w:p w14:paraId="6D869024" w14:textId="3A310AA6" w:rsidR="00C0147E" w:rsidRPr="00130A96" w:rsidRDefault="00434B90" w:rsidP="00130A96">
      <w:pPr>
        <w:pStyle w:val="Pagrindinistekstas"/>
      </w:pPr>
      <w:proofErr w:type="spellStart"/>
      <w:r>
        <w:t>Dapagliflozin</w:t>
      </w:r>
      <w:proofErr w:type="spellEnd"/>
      <w:r>
        <w:t xml:space="preserve"> Olpha</w:t>
      </w:r>
      <w:r w:rsidRPr="00130A96">
        <w:t xml:space="preserve"> skirta</w:t>
      </w:r>
      <w:r>
        <w:t>s</w:t>
      </w:r>
      <w:r w:rsidRPr="00130A96">
        <w:t xml:space="preserve"> suaugusi</w:t>
      </w:r>
      <w:r>
        <w:t>ųjų</w:t>
      </w:r>
      <w:r w:rsidR="004A291B">
        <w:t xml:space="preserve"> </w:t>
      </w:r>
      <w:r w:rsidRPr="00130A96">
        <w:t>lėtine</w:t>
      </w:r>
      <w:r w:rsidR="00C811AF">
        <w:t>i</w:t>
      </w:r>
      <w:r w:rsidRPr="00130A96">
        <w:t xml:space="preserve"> inkstų liga</w:t>
      </w:r>
      <w:r w:rsidR="00C811AF">
        <w:t>i</w:t>
      </w:r>
      <w:r>
        <w:t xml:space="preserve"> gydy</w:t>
      </w:r>
      <w:r w:rsidR="00C811AF">
        <w:t>t</w:t>
      </w:r>
      <w:r>
        <w:t xml:space="preserve">i. </w:t>
      </w:r>
    </w:p>
    <w:p w14:paraId="6D869025" w14:textId="77777777" w:rsidR="00C0147E" w:rsidRPr="00130A96" w:rsidRDefault="00C0147E" w:rsidP="00130A96">
      <w:pPr>
        <w:pStyle w:val="Pagrindinistekstas"/>
      </w:pPr>
    </w:p>
    <w:p w14:paraId="6D869026" w14:textId="77777777" w:rsidR="00C0147E" w:rsidRPr="00130A96" w:rsidRDefault="001175EF" w:rsidP="00DC2577">
      <w:pPr>
        <w:pStyle w:val="Antrat2"/>
        <w:numPr>
          <w:ilvl w:val="1"/>
          <w:numId w:val="16"/>
        </w:numPr>
        <w:tabs>
          <w:tab w:val="left" w:pos="852"/>
        </w:tabs>
        <w:ind w:left="567"/>
      </w:pPr>
      <w:r w:rsidRPr="00130A96">
        <w:t>Dozavimas ir vartojimo metodas</w:t>
      </w:r>
    </w:p>
    <w:p w14:paraId="6D869027" w14:textId="77777777" w:rsidR="00C0147E" w:rsidRPr="00130A96" w:rsidRDefault="00C0147E" w:rsidP="00130A96">
      <w:pPr>
        <w:pStyle w:val="Pagrindinistekstas"/>
        <w:rPr>
          <w:b/>
        </w:rPr>
      </w:pPr>
    </w:p>
    <w:p w14:paraId="6D869028" w14:textId="77777777" w:rsidR="00C0147E" w:rsidRDefault="001175EF" w:rsidP="00130A96">
      <w:pPr>
        <w:pStyle w:val="Pagrindinistekstas"/>
        <w:rPr>
          <w:u w:val="single"/>
        </w:rPr>
      </w:pPr>
      <w:r w:rsidRPr="00130A96">
        <w:rPr>
          <w:u w:val="single"/>
        </w:rPr>
        <w:t>Dozavimas</w:t>
      </w:r>
    </w:p>
    <w:p w14:paraId="28BF574C" w14:textId="77777777" w:rsidR="00822CF0" w:rsidRPr="00130A96" w:rsidRDefault="00822CF0" w:rsidP="00130A96">
      <w:pPr>
        <w:pStyle w:val="Pagrindinistekstas"/>
      </w:pPr>
    </w:p>
    <w:p w14:paraId="6D869029" w14:textId="06265226" w:rsidR="00C0147E" w:rsidRPr="00130A96" w:rsidRDefault="001175EF" w:rsidP="00130A96">
      <w:pPr>
        <w:rPr>
          <w:i/>
        </w:rPr>
      </w:pPr>
      <w:r w:rsidRPr="00130A96">
        <w:rPr>
          <w:i/>
          <w:u w:val="single"/>
        </w:rPr>
        <w:t>2</w:t>
      </w:r>
      <w:r w:rsidR="00873FCC">
        <w:rPr>
          <w:i/>
          <w:u w:val="single"/>
        </w:rPr>
        <w:t> tipo</w:t>
      </w:r>
      <w:r w:rsidRPr="00130A96">
        <w:rPr>
          <w:i/>
          <w:u w:val="single"/>
        </w:rPr>
        <w:t xml:space="preserve"> cukrinis diabetas</w:t>
      </w:r>
    </w:p>
    <w:p w14:paraId="6D86902A" w14:textId="351D54B6" w:rsidR="00C0147E" w:rsidRPr="00130A96" w:rsidRDefault="001175EF" w:rsidP="00130A96">
      <w:pPr>
        <w:pStyle w:val="Pagrindinistekstas"/>
      </w:pPr>
      <w:r w:rsidRPr="00130A96">
        <w:t>Rekomenduojama dapagliflozino dozė – 10</w:t>
      </w:r>
      <w:r w:rsidR="00873FCC">
        <w:t> mg</w:t>
      </w:r>
      <w:r w:rsidRPr="00130A96">
        <w:t xml:space="preserve"> 1</w:t>
      </w:r>
      <w:r w:rsidR="00822CF0">
        <w:t> </w:t>
      </w:r>
      <w:r w:rsidRPr="00130A96">
        <w:t>kartą per parą.</w:t>
      </w:r>
    </w:p>
    <w:p w14:paraId="6D86902B" w14:textId="77777777" w:rsidR="00C0147E" w:rsidRPr="00130A96" w:rsidRDefault="00C0147E" w:rsidP="00130A96">
      <w:pPr>
        <w:pStyle w:val="Pagrindinistekstas"/>
      </w:pPr>
    </w:p>
    <w:p w14:paraId="6D86902C" w14:textId="0617B584" w:rsidR="00C0147E" w:rsidRPr="00130A96" w:rsidRDefault="001175EF" w:rsidP="008732C5">
      <w:pPr>
        <w:pStyle w:val="Pagrindinistekstas"/>
      </w:pPr>
      <w:r w:rsidRPr="00130A96">
        <w:t>Kai dapagliflozin</w:t>
      </w:r>
      <w:r w:rsidR="00822CF0">
        <w:t>o</w:t>
      </w:r>
      <w:r w:rsidRPr="00130A96">
        <w:t xml:space="preserve"> vartojama kartu su insulinu arba </w:t>
      </w:r>
      <w:r w:rsidR="00635B72">
        <w:t>insulino</w:t>
      </w:r>
      <w:r w:rsidRPr="00130A96">
        <w:t xml:space="preserve"> sekreciją skatinančiu vaistiniu preparatu, pvz., </w:t>
      </w:r>
      <w:proofErr w:type="spellStart"/>
      <w:r w:rsidRPr="00130A96">
        <w:t>sulfonilkarbamid</w:t>
      </w:r>
      <w:r w:rsidR="00C2469B">
        <w:t>o</w:t>
      </w:r>
      <w:proofErr w:type="spellEnd"/>
      <w:r w:rsidR="00C2469B">
        <w:t xml:space="preserve"> dariniais</w:t>
      </w:r>
      <w:r w:rsidRPr="00130A96">
        <w:t xml:space="preserve">, gali </w:t>
      </w:r>
      <w:r w:rsidR="00714332">
        <w:t>prireikti mažesnės</w:t>
      </w:r>
      <w:r w:rsidRPr="00130A96">
        <w:t xml:space="preserve"> insulino ar jo sekreciją skatinančio vaistinio preparato doz</w:t>
      </w:r>
      <w:r w:rsidR="002D44B6">
        <w:t>ės</w:t>
      </w:r>
      <w:r w:rsidRPr="00130A96">
        <w:t xml:space="preserve">, </w:t>
      </w:r>
      <w:r w:rsidR="00C20427" w:rsidRPr="00C20427">
        <w:t>siekiant sumažinti hipoglikemijos riziką</w:t>
      </w:r>
      <w:r w:rsidRPr="00130A96">
        <w:t xml:space="preserve"> (žr. 4.5 ir 4.8</w:t>
      </w:r>
      <w:r w:rsidR="00873FCC">
        <w:t> skyrius</w:t>
      </w:r>
      <w:r w:rsidRPr="00130A96">
        <w:t>).</w:t>
      </w:r>
    </w:p>
    <w:p w14:paraId="6D86902D" w14:textId="77777777" w:rsidR="00C0147E" w:rsidRPr="00130A96" w:rsidRDefault="00C0147E" w:rsidP="00130A96">
      <w:pPr>
        <w:pStyle w:val="Pagrindinistekstas"/>
      </w:pPr>
    </w:p>
    <w:p w14:paraId="6D86902E" w14:textId="77777777" w:rsidR="00C0147E" w:rsidRPr="00130A96" w:rsidRDefault="001175EF" w:rsidP="00130A96">
      <w:pPr>
        <w:rPr>
          <w:i/>
        </w:rPr>
      </w:pPr>
      <w:r w:rsidRPr="00130A96">
        <w:rPr>
          <w:i/>
          <w:u w:val="single"/>
        </w:rPr>
        <w:t>Širdies nepakankamumas</w:t>
      </w:r>
    </w:p>
    <w:p w14:paraId="6D86902F" w14:textId="41821AE0" w:rsidR="00C0147E" w:rsidRPr="00130A96" w:rsidRDefault="001175EF" w:rsidP="00130A96">
      <w:pPr>
        <w:pStyle w:val="Pagrindinistekstas"/>
      </w:pPr>
      <w:r w:rsidRPr="00130A96">
        <w:t>Rekomenduojama dozė yra 10</w:t>
      </w:r>
      <w:r w:rsidR="00873FCC">
        <w:t> mg</w:t>
      </w:r>
      <w:r w:rsidRPr="00130A96">
        <w:t xml:space="preserve"> dapagliflozino 1</w:t>
      </w:r>
      <w:r w:rsidR="000142FE">
        <w:t> </w:t>
      </w:r>
      <w:r w:rsidRPr="00130A96">
        <w:t>kartą per parą.</w:t>
      </w:r>
    </w:p>
    <w:p w14:paraId="6D869030" w14:textId="77777777" w:rsidR="00C0147E" w:rsidRPr="00130A96" w:rsidRDefault="00C0147E" w:rsidP="00130A96">
      <w:pPr>
        <w:pStyle w:val="Pagrindinistekstas"/>
      </w:pPr>
    </w:p>
    <w:p w14:paraId="6D869031" w14:textId="77777777" w:rsidR="00C0147E" w:rsidRPr="00130A96" w:rsidRDefault="001175EF" w:rsidP="00130A96">
      <w:pPr>
        <w:rPr>
          <w:i/>
        </w:rPr>
      </w:pPr>
      <w:r w:rsidRPr="00130A96">
        <w:rPr>
          <w:i/>
          <w:u w:val="single"/>
        </w:rPr>
        <w:t>Lėtinė inkstų liga</w:t>
      </w:r>
    </w:p>
    <w:p w14:paraId="6D869032" w14:textId="3E5DB8FC" w:rsidR="00C0147E" w:rsidRPr="00130A96" w:rsidRDefault="001175EF" w:rsidP="00130A96">
      <w:pPr>
        <w:pStyle w:val="Pagrindinistekstas"/>
      </w:pPr>
      <w:r w:rsidRPr="00130A96">
        <w:t>Rekomenduojama dozė yra 10</w:t>
      </w:r>
      <w:r w:rsidR="00873FCC">
        <w:t> mg</w:t>
      </w:r>
      <w:r w:rsidRPr="00130A96">
        <w:t xml:space="preserve"> dapagliflozino 1</w:t>
      </w:r>
      <w:r w:rsidR="000142FE">
        <w:t> </w:t>
      </w:r>
      <w:r w:rsidRPr="00130A96">
        <w:t>kartą per parą.</w:t>
      </w:r>
    </w:p>
    <w:p w14:paraId="6D869033" w14:textId="77777777" w:rsidR="00C0147E" w:rsidRPr="00130A96" w:rsidRDefault="00C0147E" w:rsidP="00130A96">
      <w:pPr>
        <w:pStyle w:val="Pagrindinistekstas"/>
      </w:pPr>
    </w:p>
    <w:p w14:paraId="256C51EA" w14:textId="77777777" w:rsidR="00DC2577" w:rsidRDefault="001175EF" w:rsidP="00130A96">
      <w:pPr>
        <w:rPr>
          <w:i/>
        </w:rPr>
      </w:pPr>
      <w:r w:rsidRPr="00130A96">
        <w:rPr>
          <w:i/>
          <w:u w:val="single"/>
        </w:rPr>
        <w:t>Ypatingos populiacijos</w:t>
      </w:r>
    </w:p>
    <w:p w14:paraId="6594C1C4" w14:textId="77777777" w:rsidR="0025438D" w:rsidRPr="0025438D" w:rsidRDefault="0025438D" w:rsidP="0025438D">
      <w:pPr>
        <w:pStyle w:val="Pagrindinistekstas"/>
        <w:rPr>
          <w:i/>
          <w:iCs/>
        </w:rPr>
      </w:pPr>
      <w:r w:rsidRPr="0025438D">
        <w:rPr>
          <w:i/>
          <w:iCs/>
        </w:rPr>
        <w:t>Pacientams, kurių inkstų funkcija sutrikusi</w:t>
      </w:r>
    </w:p>
    <w:p w14:paraId="6D869035" w14:textId="77777777" w:rsidR="00C0147E" w:rsidRPr="00130A96" w:rsidRDefault="001175EF" w:rsidP="00130A96">
      <w:pPr>
        <w:pStyle w:val="Pagrindinistekstas"/>
      </w:pPr>
      <w:r w:rsidRPr="00130A96">
        <w:t>Dėl sutrikusios inkstų funkcijos dozės koreguoti nereikia.</w:t>
      </w:r>
    </w:p>
    <w:p w14:paraId="6D869036" w14:textId="77777777" w:rsidR="00C0147E" w:rsidRPr="00130A96" w:rsidRDefault="00C0147E" w:rsidP="00130A96">
      <w:pPr>
        <w:pStyle w:val="Pagrindinistekstas"/>
      </w:pPr>
    </w:p>
    <w:p w14:paraId="6D869037" w14:textId="54F72DFD" w:rsidR="00C0147E" w:rsidRPr="00130A96" w:rsidRDefault="001175EF" w:rsidP="00130A96">
      <w:pPr>
        <w:pStyle w:val="Pagrindinistekstas"/>
        <w:jc w:val="both"/>
      </w:pPr>
      <w:r w:rsidRPr="00130A96">
        <w:t xml:space="preserve">Jei GFG </w:t>
      </w:r>
      <w:r w:rsidR="00873FCC">
        <w:t>&lt; </w:t>
      </w:r>
      <w:r w:rsidRPr="00130A96">
        <w:t>25</w:t>
      </w:r>
      <w:r w:rsidR="00873FCC">
        <w:t> ml/</w:t>
      </w:r>
      <w:r w:rsidRPr="00130A96">
        <w:t>min., gydymo dapagliflozinu pradėti nerekomenduojama, nes tokių pacientų gydymo patirties yra nedaug.</w:t>
      </w:r>
    </w:p>
    <w:p w14:paraId="6D869038" w14:textId="77777777" w:rsidR="00C0147E" w:rsidRPr="00130A96" w:rsidRDefault="00C0147E" w:rsidP="00130A96">
      <w:pPr>
        <w:pStyle w:val="Pagrindinistekstas"/>
      </w:pPr>
    </w:p>
    <w:p w14:paraId="6D869039" w14:textId="185A6060" w:rsidR="00C0147E" w:rsidRDefault="001175EF" w:rsidP="00130A96">
      <w:pPr>
        <w:pStyle w:val="Pagrindinistekstas"/>
      </w:pPr>
      <w:r w:rsidRPr="00130A96">
        <w:t>Pacientams, sergantiems 2</w:t>
      </w:r>
      <w:r w:rsidR="00873FCC">
        <w:t> tipo</w:t>
      </w:r>
      <w:r w:rsidRPr="00130A96">
        <w:t xml:space="preserve"> cukriniu diabetu, </w:t>
      </w:r>
      <w:proofErr w:type="spellStart"/>
      <w:r w:rsidRPr="00130A96">
        <w:t>glikemiją</w:t>
      </w:r>
      <w:proofErr w:type="spellEnd"/>
      <w:r w:rsidRPr="00130A96">
        <w:t xml:space="preserve"> mažinantis dapagliflozino poveikis būna </w:t>
      </w:r>
      <w:r w:rsidR="0025198D">
        <w:t>silpnesnis</w:t>
      </w:r>
      <w:r w:rsidRPr="00130A96">
        <w:t xml:space="preserve">, kai </w:t>
      </w:r>
      <w:proofErr w:type="spellStart"/>
      <w:r w:rsidRPr="00130A96">
        <w:t>glomerulų</w:t>
      </w:r>
      <w:proofErr w:type="spellEnd"/>
      <w:r w:rsidRPr="00130A96">
        <w:t xml:space="preserve"> filtracijos greitis (GFG) </w:t>
      </w:r>
      <w:r w:rsidR="00873FCC">
        <w:t>&lt; </w:t>
      </w:r>
      <w:r w:rsidRPr="00130A96">
        <w:t>45</w:t>
      </w:r>
      <w:r w:rsidR="00873FCC">
        <w:t> ml/</w:t>
      </w:r>
      <w:r w:rsidRPr="00130A96">
        <w:t xml:space="preserve">min.; </w:t>
      </w:r>
      <w:r w:rsidR="00E15F47" w:rsidRPr="00E15F47">
        <w:t xml:space="preserve">jeigu yra sunkus inkstų funkcijos sutrikimas, tikėtina, kad poveikis nepasireikš. </w:t>
      </w:r>
      <w:r w:rsidR="00DD43AA">
        <w:t>Todėl</w:t>
      </w:r>
      <w:r w:rsidR="00907625">
        <w:t xml:space="preserve"> pacientams, sergantiems 2 tipo cukriniu diabetu, jei GFG tampa mažesnis nei 45 ml/min ir reikalinga papildoma </w:t>
      </w:r>
      <w:proofErr w:type="spellStart"/>
      <w:r w:rsidR="00907625">
        <w:t>glikemijos</w:t>
      </w:r>
      <w:proofErr w:type="spellEnd"/>
      <w:r w:rsidR="00907625">
        <w:t xml:space="preserve"> kontrolė, reikia apsvarstyti papildomą gliukozės kiekį kraujyje mažinantį gydymą</w:t>
      </w:r>
      <w:r w:rsidR="004A291B">
        <w:t xml:space="preserve"> </w:t>
      </w:r>
      <w:r w:rsidR="00E15F47" w:rsidRPr="00E15F47">
        <w:t>(žr.</w:t>
      </w:r>
      <w:r w:rsidR="00DD43AA">
        <w:t xml:space="preserve"> </w:t>
      </w:r>
      <w:r w:rsidR="00E15F47" w:rsidRPr="00E15F47">
        <w:t>4.4, 4.8, 5.1 ir 5.2 skyrius).</w:t>
      </w:r>
    </w:p>
    <w:p w14:paraId="38BDC553" w14:textId="77777777" w:rsidR="00E5248F" w:rsidRPr="00130A96" w:rsidRDefault="00E5248F" w:rsidP="00130A96">
      <w:pPr>
        <w:pStyle w:val="Pagrindinistekstas"/>
      </w:pPr>
    </w:p>
    <w:p w14:paraId="2DB2C5A7" w14:textId="22C42EBF" w:rsidR="00DD43AA" w:rsidRPr="0025438D" w:rsidRDefault="00DD43AA" w:rsidP="00DD43AA">
      <w:pPr>
        <w:pStyle w:val="Pagrindinistekstas"/>
        <w:rPr>
          <w:i/>
          <w:iCs/>
        </w:rPr>
      </w:pPr>
      <w:r w:rsidRPr="0025438D">
        <w:rPr>
          <w:i/>
          <w:iCs/>
        </w:rPr>
        <w:t xml:space="preserve">Pacientams, kurių </w:t>
      </w:r>
      <w:r>
        <w:rPr>
          <w:i/>
          <w:iCs/>
        </w:rPr>
        <w:t>kepenų</w:t>
      </w:r>
      <w:r w:rsidRPr="0025438D">
        <w:rPr>
          <w:i/>
          <w:iCs/>
        </w:rPr>
        <w:t xml:space="preserve"> funkcija sutrikusi</w:t>
      </w:r>
    </w:p>
    <w:p w14:paraId="6E25AE8A" w14:textId="74809693" w:rsidR="00092A18" w:rsidRPr="00092A18" w:rsidRDefault="00B21D11" w:rsidP="00092A18">
      <w:pPr>
        <w:pStyle w:val="Pagrindinistekstas"/>
      </w:pPr>
      <w:r>
        <w:t>Pacientams, kuriems</w:t>
      </w:r>
      <w:r w:rsidR="00092A18" w:rsidRPr="00092A18">
        <w:t xml:space="preserve"> yra lengvas arba vidutinio sunkumo kepenų funkcijos sutrikimas, dozės koreguoti nereikia. Pacientams, kuriems yra sunkus </w:t>
      </w:r>
      <w:r>
        <w:t>kepen</w:t>
      </w:r>
      <w:r w:rsidR="001B6CA7">
        <w:t>ų</w:t>
      </w:r>
      <w:r w:rsidR="00092A18" w:rsidRPr="00092A18">
        <w:t xml:space="preserve"> funkcijos sutrikimas, rekomenduojama pradinė dozė yra 5 mg. Jeigu šią dozę pacientas gerai toleruoja, ją galima padidinti iki 10 mg (žr. 4.4 ir 5.2 skyrius).</w:t>
      </w:r>
    </w:p>
    <w:p w14:paraId="7788D3D2" w14:textId="77777777" w:rsidR="00092A18" w:rsidRPr="00130A96" w:rsidRDefault="00092A18" w:rsidP="00130A96">
      <w:pPr>
        <w:pStyle w:val="Pagrindinistekstas"/>
      </w:pPr>
    </w:p>
    <w:p w14:paraId="6D86903D" w14:textId="4A28E2FB" w:rsidR="00C0147E" w:rsidRPr="00130A96" w:rsidRDefault="001175EF" w:rsidP="00130A96">
      <w:pPr>
        <w:rPr>
          <w:i/>
        </w:rPr>
      </w:pPr>
      <w:r w:rsidRPr="00130A96">
        <w:rPr>
          <w:i/>
        </w:rPr>
        <w:t>Senyviems (</w:t>
      </w:r>
      <w:r w:rsidR="00873FCC">
        <w:rPr>
          <w:i/>
        </w:rPr>
        <w:t>≥ </w:t>
      </w:r>
      <w:r w:rsidRPr="00130A96">
        <w:rPr>
          <w:i/>
        </w:rPr>
        <w:t>65 metų) pacientams</w:t>
      </w:r>
    </w:p>
    <w:p w14:paraId="6D86903E" w14:textId="77777777" w:rsidR="00C0147E" w:rsidRPr="00130A96" w:rsidRDefault="001175EF" w:rsidP="00130A96">
      <w:pPr>
        <w:pStyle w:val="Pagrindinistekstas"/>
      </w:pPr>
      <w:r w:rsidRPr="00130A96">
        <w:t>Dėl amžiaus dozės koreguoti nerekomenduojama.</w:t>
      </w:r>
    </w:p>
    <w:p w14:paraId="6D86903F" w14:textId="77777777" w:rsidR="00C0147E" w:rsidRPr="00130A96" w:rsidRDefault="00C0147E" w:rsidP="00130A96">
      <w:pPr>
        <w:pStyle w:val="Pagrindinistekstas"/>
      </w:pPr>
    </w:p>
    <w:p w14:paraId="6D869040" w14:textId="77777777" w:rsidR="00C0147E" w:rsidRPr="00130A96" w:rsidRDefault="001175EF" w:rsidP="00130A96">
      <w:pPr>
        <w:jc w:val="both"/>
        <w:rPr>
          <w:i/>
        </w:rPr>
      </w:pPr>
      <w:r w:rsidRPr="00130A96">
        <w:rPr>
          <w:i/>
        </w:rPr>
        <w:t>Vaikų populiacija</w:t>
      </w:r>
    </w:p>
    <w:p w14:paraId="4F1F8F4A" w14:textId="022891F3" w:rsidR="0067457B" w:rsidRPr="0067457B" w:rsidRDefault="0067457B" w:rsidP="0067457B">
      <w:pPr>
        <w:pStyle w:val="Pagrindinistekstas"/>
      </w:pPr>
      <w:r w:rsidRPr="0067457B">
        <w:t>10 metų ir vyresnių vaikų 2 tipo cukrini</w:t>
      </w:r>
      <w:r>
        <w:t>o</w:t>
      </w:r>
      <w:r w:rsidRPr="0067457B">
        <w:t xml:space="preserve"> diabet</w:t>
      </w:r>
      <w:r>
        <w:t>o</w:t>
      </w:r>
      <w:r w:rsidRPr="0067457B">
        <w:t xml:space="preserve"> </w:t>
      </w:r>
      <w:r>
        <w:t>gydymui</w:t>
      </w:r>
      <w:r w:rsidRPr="0067457B">
        <w:t xml:space="preserve"> dozės koreguoti nereikia (žr. 5.1 ir 5.2 skyrius). Duomenų jaunesniems kaip 10 metų vaikams nėra.</w:t>
      </w:r>
    </w:p>
    <w:p w14:paraId="3BFAA187" w14:textId="77777777" w:rsidR="00E5248F" w:rsidRDefault="00E5248F" w:rsidP="00130A96">
      <w:pPr>
        <w:pStyle w:val="Pagrindinistekstas"/>
      </w:pPr>
    </w:p>
    <w:p w14:paraId="7CF12265" w14:textId="5F3068B0" w:rsidR="00550982" w:rsidRPr="00550982" w:rsidRDefault="00550982" w:rsidP="00550982">
      <w:pPr>
        <w:pStyle w:val="Pagrindinistekstas"/>
      </w:pPr>
      <w:r w:rsidRPr="00550982">
        <w:t>Dapagliflozino saugumas ir veiksmingumas jaunesnių nei 18 metų vaikų širdies nepakankamumui ar lėtinei inkstų ligai gydyti neištirti. Duomenų nėra.</w:t>
      </w:r>
    </w:p>
    <w:p w14:paraId="3DF705A7" w14:textId="77777777" w:rsidR="00550982" w:rsidRPr="00130A96" w:rsidRDefault="00550982" w:rsidP="00130A96">
      <w:pPr>
        <w:pStyle w:val="Pagrindinistekstas"/>
      </w:pPr>
    </w:p>
    <w:p w14:paraId="6D869043" w14:textId="77777777" w:rsidR="00C0147E" w:rsidRPr="00130A96" w:rsidRDefault="001175EF" w:rsidP="00130A96">
      <w:pPr>
        <w:pStyle w:val="Pagrindinistekstas"/>
      </w:pPr>
      <w:r w:rsidRPr="00130A96">
        <w:rPr>
          <w:u w:val="single"/>
        </w:rPr>
        <w:t>Vartojimo metodas</w:t>
      </w:r>
    </w:p>
    <w:p w14:paraId="6D869044" w14:textId="72639CD8" w:rsidR="00C0147E" w:rsidRPr="00130A96" w:rsidRDefault="00873FCC" w:rsidP="00130A96">
      <w:pPr>
        <w:pStyle w:val="Pagrindinistekstas"/>
      </w:pPr>
      <w:proofErr w:type="spellStart"/>
      <w:r>
        <w:t>Dapagliflozin</w:t>
      </w:r>
      <w:proofErr w:type="spellEnd"/>
      <w:r>
        <w:t xml:space="preserve"> Olpha</w:t>
      </w:r>
      <w:r w:rsidR="001175EF" w:rsidRPr="00130A96">
        <w:t xml:space="preserve"> galima vartoti per burną 1</w:t>
      </w:r>
      <w:r w:rsidR="00E5007B">
        <w:t> </w:t>
      </w:r>
      <w:r w:rsidR="001175EF" w:rsidRPr="00130A96">
        <w:t xml:space="preserve">kartą per parą bet kuriuo paros metu </w:t>
      </w:r>
      <w:r w:rsidR="00E5007B">
        <w:t>valg</w:t>
      </w:r>
      <w:r w:rsidR="00BA3861">
        <w:t>ant</w:t>
      </w:r>
      <w:r w:rsidR="00E5007B">
        <w:t xml:space="preserve"> arba nevalgius</w:t>
      </w:r>
      <w:r w:rsidR="001175EF" w:rsidRPr="00130A96">
        <w:t>.</w:t>
      </w:r>
      <w:r w:rsidR="00E5007B">
        <w:t xml:space="preserve"> </w:t>
      </w:r>
      <w:r w:rsidR="001175EF" w:rsidRPr="00130A96">
        <w:t>Tabletes reikia nuryti nepažeistas.</w:t>
      </w:r>
    </w:p>
    <w:p w14:paraId="7A662097" w14:textId="77777777" w:rsidR="00E551D6" w:rsidRDefault="00E551D6" w:rsidP="00130A96">
      <w:pPr>
        <w:pStyle w:val="Pagrindinistekstas"/>
      </w:pPr>
    </w:p>
    <w:p w14:paraId="6D869046" w14:textId="77777777" w:rsidR="00C0147E" w:rsidRPr="00130A96" w:rsidRDefault="001175EF" w:rsidP="00E5248F">
      <w:pPr>
        <w:pStyle w:val="Antrat2"/>
        <w:numPr>
          <w:ilvl w:val="1"/>
          <w:numId w:val="16"/>
        </w:numPr>
        <w:tabs>
          <w:tab w:val="left" w:pos="852"/>
        </w:tabs>
        <w:ind w:left="567"/>
      </w:pPr>
      <w:r w:rsidRPr="00130A96">
        <w:t>Kontraindikacijos</w:t>
      </w:r>
    </w:p>
    <w:p w14:paraId="6D869047" w14:textId="77777777" w:rsidR="00C0147E" w:rsidRPr="00130A96" w:rsidRDefault="00C0147E" w:rsidP="00130A96">
      <w:pPr>
        <w:pStyle w:val="Pagrindinistekstas"/>
        <w:rPr>
          <w:b/>
        </w:rPr>
      </w:pPr>
    </w:p>
    <w:p w14:paraId="6D869048" w14:textId="1CB4D1A8" w:rsidR="00C0147E" w:rsidRPr="00130A96" w:rsidRDefault="001175EF" w:rsidP="00130A96">
      <w:pPr>
        <w:pStyle w:val="Pagrindinistekstas"/>
      </w:pPr>
      <w:r w:rsidRPr="00130A96">
        <w:t>Padidėjęs jautrumas veikliajai arba bet kuriai 6.1</w:t>
      </w:r>
      <w:r w:rsidR="00873FCC">
        <w:t> skyriuje</w:t>
      </w:r>
      <w:r w:rsidRPr="00130A96">
        <w:t xml:space="preserve"> nurodytai pagalbinei medžiagai.</w:t>
      </w:r>
    </w:p>
    <w:p w14:paraId="6D869049" w14:textId="77777777" w:rsidR="00C0147E" w:rsidRPr="00130A96" w:rsidRDefault="00C0147E" w:rsidP="00130A96">
      <w:pPr>
        <w:pStyle w:val="Pagrindinistekstas"/>
      </w:pPr>
    </w:p>
    <w:p w14:paraId="6D86904A" w14:textId="77777777" w:rsidR="00C0147E" w:rsidRPr="00130A96" w:rsidRDefault="001175EF" w:rsidP="00E5248F">
      <w:pPr>
        <w:pStyle w:val="Antrat2"/>
        <w:numPr>
          <w:ilvl w:val="1"/>
          <w:numId w:val="16"/>
        </w:numPr>
        <w:tabs>
          <w:tab w:val="left" w:pos="852"/>
        </w:tabs>
        <w:ind w:left="567"/>
      </w:pPr>
      <w:r w:rsidRPr="00130A96">
        <w:t>Specialūs įspėjimai ir atsargumo priemonės</w:t>
      </w:r>
    </w:p>
    <w:p w14:paraId="6D86904B" w14:textId="77777777" w:rsidR="00C0147E" w:rsidRPr="00130A96" w:rsidRDefault="00C0147E" w:rsidP="00130A96">
      <w:pPr>
        <w:pStyle w:val="Pagrindinistekstas"/>
        <w:rPr>
          <w:b/>
        </w:rPr>
      </w:pPr>
    </w:p>
    <w:p w14:paraId="6D86904C" w14:textId="77777777" w:rsidR="00C0147E" w:rsidRPr="00130A96" w:rsidRDefault="001175EF" w:rsidP="00130A96">
      <w:pPr>
        <w:pStyle w:val="Pagrindinistekstas"/>
      </w:pPr>
      <w:r w:rsidRPr="00130A96">
        <w:rPr>
          <w:u w:val="single"/>
        </w:rPr>
        <w:t>Bendrieji</w:t>
      </w:r>
    </w:p>
    <w:p w14:paraId="6D86904D" w14:textId="77777777" w:rsidR="00C0147E" w:rsidRPr="00130A96" w:rsidRDefault="00C0147E" w:rsidP="00130A96">
      <w:pPr>
        <w:pStyle w:val="Pagrindinistekstas"/>
      </w:pPr>
    </w:p>
    <w:p w14:paraId="7A0D2BC6" w14:textId="11BB375B" w:rsidR="00E5248F" w:rsidRDefault="001175EF" w:rsidP="00130A96">
      <w:pPr>
        <w:pStyle w:val="Pagrindinistekstas"/>
      </w:pPr>
      <w:r w:rsidRPr="00130A96">
        <w:t>Dapagliflozino negalima vartoti pacientams, sergantiems 1</w:t>
      </w:r>
      <w:r w:rsidR="00873FCC">
        <w:t> tipo</w:t>
      </w:r>
      <w:r w:rsidRPr="00130A96">
        <w:t xml:space="preserve"> cukriniu diabetu (žr. 4.4</w:t>
      </w:r>
      <w:r w:rsidR="00873FCC">
        <w:t xml:space="preserve"> skyrių </w:t>
      </w:r>
      <w:r w:rsidRPr="00130A96">
        <w:t xml:space="preserve">„Diabetinė </w:t>
      </w:r>
      <w:proofErr w:type="spellStart"/>
      <w:r w:rsidRPr="00130A96">
        <w:t>ketoacidozė</w:t>
      </w:r>
      <w:proofErr w:type="spellEnd"/>
      <w:r w:rsidRPr="00130A96">
        <w:t>“).</w:t>
      </w:r>
    </w:p>
    <w:p w14:paraId="6DBDB0B9" w14:textId="77777777" w:rsidR="00E5248F" w:rsidRDefault="00E5248F" w:rsidP="00130A96">
      <w:pPr>
        <w:pStyle w:val="Pagrindinistekstas"/>
      </w:pPr>
    </w:p>
    <w:p w14:paraId="6D86904F" w14:textId="66553421" w:rsidR="00C0147E" w:rsidRDefault="001175EF" w:rsidP="00130A96">
      <w:pPr>
        <w:pStyle w:val="Pagrindinistekstas"/>
        <w:rPr>
          <w:u w:val="single"/>
        </w:rPr>
      </w:pPr>
      <w:r w:rsidRPr="00130A96">
        <w:rPr>
          <w:u w:val="single"/>
        </w:rPr>
        <w:t>Sutrikusi inkstų funkcija</w:t>
      </w:r>
    </w:p>
    <w:p w14:paraId="6E320898" w14:textId="77777777" w:rsidR="00E8616A" w:rsidRPr="00130A96" w:rsidRDefault="00E8616A" w:rsidP="00130A96">
      <w:pPr>
        <w:pStyle w:val="Pagrindinistekstas"/>
      </w:pPr>
    </w:p>
    <w:p w14:paraId="6D869050" w14:textId="65FA1767" w:rsidR="00C0147E" w:rsidRDefault="00922667" w:rsidP="00130A96">
      <w:pPr>
        <w:pStyle w:val="Pagrindinistekstas"/>
      </w:pPr>
      <w:r>
        <w:t>Pacientams, kurių</w:t>
      </w:r>
      <w:r w:rsidR="001175EF" w:rsidRPr="00130A96">
        <w:t xml:space="preserve"> GFG </w:t>
      </w:r>
      <w:r w:rsidR="00873FCC">
        <w:t>&lt; </w:t>
      </w:r>
      <w:r w:rsidR="001175EF" w:rsidRPr="00130A96">
        <w:t>25</w:t>
      </w:r>
      <w:r w:rsidR="00873FCC">
        <w:t> ml/</w:t>
      </w:r>
      <w:r w:rsidR="001175EF" w:rsidRPr="00130A96">
        <w:t>min., gydymo dapagliflozinu pradėti nerekomenduojama, nes tokių pacientų gydymo patirties yra nedaug.</w:t>
      </w:r>
    </w:p>
    <w:p w14:paraId="090C152B" w14:textId="77777777" w:rsidR="00E5248F" w:rsidRPr="00130A96" w:rsidRDefault="00E5248F" w:rsidP="00130A96">
      <w:pPr>
        <w:pStyle w:val="Pagrindinistekstas"/>
      </w:pPr>
    </w:p>
    <w:p w14:paraId="6D869051" w14:textId="196C1F8F" w:rsidR="00C0147E" w:rsidRPr="00130A96" w:rsidRDefault="0048218C" w:rsidP="00130A96">
      <w:pPr>
        <w:pStyle w:val="Pagrindinistekstas"/>
      </w:pPr>
      <w:r>
        <w:t xml:space="preserve">Dapagliflozino gliukozės kiekį kraujyje mažinantis </w:t>
      </w:r>
      <w:r w:rsidR="001175EF" w:rsidRPr="00130A96">
        <w:t xml:space="preserve">veiksmingumas priklauso nuo inkstų funkcijos – jis būna mažesnis, kai GFG </w:t>
      </w:r>
      <w:r w:rsidR="00873FCC">
        <w:t>&lt; </w:t>
      </w:r>
      <w:r w:rsidR="001175EF" w:rsidRPr="00130A96">
        <w:t>45</w:t>
      </w:r>
      <w:r w:rsidR="00873FCC">
        <w:t> ml/</w:t>
      </w:r>
      <w:r w:rsidR="001175EF" w:rsidRPr="00130A96">
        <w:t xml:space="preserve">min.; </w:t>
      </w:r>
      <w:r w:rsidR="00B67903">
        <w:t>o pacientams, kuriems yra sunkus inkstų funkcijos sutrikimas, poveikio tikriausiai nebus</w:t>
      </w:r>
      <w:r w:rsidR="00B67903" w:rsidRPr="007C5D78">
        <w:t xml:space="preserve"> </w:t>
      </w:r>
      <w:r w:rsidR="001175EF" w:rsidRPr="00130A96">
        <w:t>(žr. 4.2, 5.1 ir 5.2</w:t>
      </w:r>
      <w:r w:rsidR="00873FCC">
        <w:t> skyrius</w:t>
      </w:r>
      <w:r w:rsidR="001175EF" w:rsidRPr="00130A96">
        <w:t>).</w:t>
      </w:r>
    </w:p>
    <w:p w14:paraId="6D869052" w14:textId="77777777" w:rsidR="00C0147E" w:rsidRPr="00130A96" w:rsidRDefault="00C0147E" w:rsidP="00130A96">
      <w:pPr>
        <w:pStyle w:val="Pagrindinistekstas"/>
      </w:pPr>
    </w:p>
    <w:p w14:paraId="6D869053" w14:textId="64E8928A" w:rsidR="00C0147E" w:rsidRPr="00130A96" w:rsidRDefault="001175EF" w:rsidP="00130A96">
      <w:pPr>
        <w:pStyle w:val="Pagrindinistekstas"/>
      </w:pPr>
      <w:r w:rsidRPr="00130A96">
        <w:t xml:space="preserve">Vieno </w:t>
      </w:r>
      <w:r w:rsidR="00DB1987">
        <w:t xml:space="preserve">tyrimo, kuriame dalyvavo pacientai, sergantys </w:t>
      </w:r>
      <w:r w:rsidRPr="00130A96">
        <w:t>2</w:t>
      </w:r>
      <w:r w:rsidR="00873FCC">
        <w:t> tipo</w:t>
      </w:r>
      <w:r w:rsidRPr="00130A96">
        <w:t xml:space="preserve"> cukrini</w:t>
      </w:r>
      <w:r w:rsidR="00DB1987">
        <w:t>u</w:t>
      </w:r>
      <w:r w:rsidRPr="00130A96">
        <w:t xml:space="preserve"> diabet</w:t>
      </w:r>
      <w:r w:rsidR="00DB1987">
        <w:t>u</w:t>
      </w:r>
      <w:r w:rsidR="00BB55DA">
        <w:t xml:space="preserve"> ir</w:t>
      </w:r>
      <w:r w:rsidRPr="00130A96">
        <w:t xml:space="preserve"> </w:t>
      </w:r>
      <w:r w:rsidR="00226D69">
        <w:t xml:space="preserve">kuriems </w:t>
      </w:r>
      <w:r w:rsidR="00BB55DA">
        <w:t xml:space="preserve">buvo </w:t>
      </w:r>
      <w:r w:rsidR="00226D69">
        <w:t>vidutinio stiprumo</w:t>
      </w:r>
      <w:r w:rsidRPr="00130A96">
        <w:t xml:space="preserve"> inkstų funkcij</w:t>
      </w:r>
      <w:r w:rsidR="00226D69">
        <w:t>os</w:t>
      </w:r>
      <w:r w:rsidRPr="00130A96">
        <w:t xml:space="preserve"> </w:t>
      </w:r>
      <w:r w:rsidR="00226D69">
        <w:t>sutrikimas</w:t>
      </w:r>
      <w:r w:rsidRPr="00130A96">
        <w:t xml:space="preserve"> (GFG </w:t>
      </w:r>
      <w:r w:rsidR="00873FCC">
        <w:t>&lt; </w:t>
      </w:r>
      <w:r w:rsidRPr="00130A96">
        <w:t>60</w:t>
      </w:r>
      <w:r w:rsidR="00873FCC">
        <w:t> ml/</w:t>
      </w:r>
      <w:r w:rsidRPr="00130A96">
        <w:t>min.), vartojant dapagliflozin</w:t>
      </w:r>
      <w:r w:rsidR="00673379">
        <w:t>o</w:t>
      </w:r>
      <w:r w:rsidRPr="00130A96">
        <w:t xml:space="preserve"> nepageidaujamų reakcijų (padidėjusi kreatinino, fosforo ir </w:t>
      </w:r>
      <w:proofErr w:type="spellStart"/>
      <w:r w:rsidRPr="00130A96">
        <w:t>parathormono</w:t>
      </w:r>
      <w:proofErr w:type="spellEnd"/>
      <w:r w:rsidR="00673379">
        <w:t xml:space="preserve"> (PTH)</w:t>
      </w:r>
      <w:r w:rsidRPr="00130A96">
        <w:t xml:space="preserve"> koncentracija, </w:t>
      </w:r>
      <w:proofErr w:type="spellStart"/>
      <w:r w:rsidRPr="00130A96">
        <w:t>hipotenzija</w:t>
      </w:r>
      <w:proofErr w:type="spellEnd"/>
      <w:r w:rsidRPr="00130A96">
        <w:t>) pasireiškė dažniau negu vartojant placeb</w:t>
      </w:r>
      <w:r w:rsidR="00673379">
        <w:t>o</w:t>
      </w:r>
      <w:r w:rsidRPr="00130A96">
        <w:t>.</w:t>
      </w:r>
    </w:p>
    <w:p w14:paraId="6D869054" w14:textId="77777777" w:rsidR="00C0147E" w:rsidRPr="00130A96" w:rsidRDefault="00C0147E" w:rsidP="00130A96">
      <w:pPr>
        <w:pStyle w:val="Pagrindinistekstas"/>
      </w:pPr>
    </w:p>
    <w:p w14:paraId="6D869055" w14:textId="77777777" w:rsidR="00C0147E" w:rsidRDefault="001175EF" w:rsidP="00130A96">
      <w:pPr>
        <w:pStyle w:val="Pagrindinistekstas"/>
        <w:rPr>
          <w:u w:val="single"/>
        </w:rPr>
      </w:pPr>
      <w:r w:rsidRPr="00130A96">
        <w:rPr>
          <w:u w:val="single"/>
        </w:rPr>
        <w:t>Sutrikusi kepenų funkcija</w:t>
      </w:r>
    </w:p>
    <w:p w14:paraId="7A8612FB" w14:textId="77777777" w:rsidR="00E5248F" w:rsidRPr="00130A96" w:rsidRDefault="00E5248F" w:rsidP="00130A96">
      <w:pPr>
        <w:pStyle w:val="Pagrindinistekstas"/>
      </w:pPr>
    </w:p>
    <w:p w14:paraId="6D869056" w14:textId="1E4F48FC" w:rsidR="00C0147E" w:rsidRPr="00130A96" w:rsidRDefault="001175EF" w:rsidP="00130A96">
      <w:pPr>
        <w:pStyle w:val="Pagrindinistekstas"/>
      </w:pPr>
      <w:r w:rsidRPr="00130A96">
        <w:t xml:space="preserve">Klinikinių tyrimų su pacientais, kurių kepenų funkcija sutrikusi, patirties yra nedaug. Kai </w:t>
      </w:r>
      <w:r w:rsidR="00042228">
        <w:t xml:space="preserve">yra sunkus </w:t>
      </w:r>
      <w:r w:rsidRPr="00130A96">
        <w:t xml:space="preserve">kepenų </w:t>
      </w:r>
      <w:r w:rsidR="00042228">
        <w:t>funkcijos sutrikimas</w:t>
      </w:r>
      <w:r w:rsidRPr="00130A96">
        <w:t>, dapagliflozino ekspozicija būna didesnė (žr. 4.2 ir 5.2</w:t>
      </w:r>
      <w:r w:rsidR="00873FCC">
        <w:t> skyrius</w:t>
      </w:r>
      <w:r w:rsidRPr="00130A96">
        <w:t>).</w:t>
      </w:r>
    </w:p>
    <w:p w14:paraId="6D869057" w14:textId="77777777" w:rsidR="00C0147E" w:rsidRPr="00130A96" w:rsidRDefault="00C0147E" w:rsidP="00130A96">
      <w:pPr>
        <w:pStyle w:val="Pagrindinistekstas"/>
      </w:pPr>
    </w:p>
    <w:p w14:paraId="6D869058" w14:textId="151A9D8A" w:rsidR="00C0147E" w:rsidRPr="004A291B" w:rsidRDefault="001175EF" w:rsidP="00130A96">
      <w:pPr>
        <w:pStyle w:val="Pagrindinistekstas"/>
        <w:rPr>
          <w:u w:val="single"/>
        </w:rPr>
      </w:pPr>
      <w:r w:rsidRPr="004A291B">
        <w:rPr>
          <w:u w:val="single"/>
        </w:rPr>
        <w:t xml:space="preserve">Vartojimas </w:t>
      </w:r>
      <w:r w:rsidR="0091730C" w:rsidRPr="007E7DFC">
        <w:rPr>
          <w:u w:val="single"/>
        </w:rPr>
        <w:t>pacientams, kuriems yra skysčių trūkumo</w:t>
      </w:r>
      <w:r w:rsidR="0091730C" w:rsidRPr="004A291B">
        <w:rPr>
          <w:u w:val="single"/>
        </w:rPr>
        <w:t xml:space="preserve"> </w:t>
      </w:r>
      <w:r w:rsidRPr="004A291B">
        <w:rPr>
          <w:u w:val="single"/>
        </w:rPr>
        <w:t xml:space="preserve">ir (arba) </w:t>
      </w:r>
      <w:proofErr w:type="spellStart"/>
      <w:r w:rsidRPr="004A291B">
        <w:rPr>
          <w:u w:val="single"/>
        </w:rPr>
        <w:t>hipotenzijos</w:t>
      </w:r>
      <w:proofErr w:type="spellEnd"/>
      <w:r w:rsidRPr="004A291B">
        <w:rPr>
          <w:u w:val="single"/>
        </w:rPr>
        <w:t xml:space="preserve"> </w:t>
      </w:r>
      <w:r w:rsidR="00994224" w:rsidRPr="004A291B">
        <w:rPr>
          <w:u w:val="single"/>
        </w:rPr>
        <w:t>rizika</w:t>
      </w:r>
    </w:p>
    <w:p w14:paraId="1D94248B" w14:textId="77777777" w:rsidR="00E5248F" w:rsidRPr="00130A96" w:rsidRDefault="00E5248F" w:rsidP="00130A96">
      <w:pPr>
        <w:pStyle w:val="Pagrindinistekstas"/>
      </w:pPr>
    </w:p>
    <w:p w14:paraId="6D869059" w14:textId="391A8296" w:rsidR="00C0147E" w:rsidRPr="00130A96" w:rsidRDefault="001175EF" w:rsidP="00130A96">
      <w:pPr>
        <w:pStyle w:val="Pagrindinistekstas"/>
      </w:pPr>
      <w:r w:rsidRPr="00130A96">
        <w:t xml:space="preserve">Dėl savo veikimo mechanizmo dapagliflozinas </w:t>
      </w:r>
      <w:r w:rsidR="00A26128">
        <w:t>skatina</w:t>
      </w:r>
      <w:r w:rsidRPr="00130A96">
        <w:t xml:space="preserve"> diurezę, todėl gali sukelti nedidelį kraujospūdžio sumažėjimą, nustatytą klinikinių tyrimų metu (žr. 5.1</w:t>
      </w:r>
      <w:r w:rsidR="00873FCC">
        <w:t> skyrių</w:t>
      </w:r>
      <w:r w:rsidRPr="00130A96">
        <w:t xml:space="preserve">). Šis poveikis gali būti </w:t>
      </w:r>
      <w:r w:rsidR="00646F10">
        <w:t>stipresnis</w:t>
      </w:r>
      <w:r w:rsidR="00646F10" w:rsidRPr="00130A96">
        <w:t xml:space="preserve"> </w:t>
      </w:r>
      <w:r w:rsidRPr="00130A96">
        <w:t>pacientams, kurių kraujyje gliukozės koncentracija yra labai didelė.</w:t>
      </w:r>
    </w:p>
    <w:p w14:paraId="6D86905A" w14:textId="77777777" w:rsidR="00C0147E" w:rsidRPr="00130A96" w:rsidRDefault="00C0147E" w:rsidP="00130A96">
      <w:pPr>
        <w:pStyle w:val="Pagrindinistekstas"/>
      </w:pPr>
    </w:p>
    <w:p w14:paraId="6D86905B" w14:textId="24819082" w:rsidR="00C0147E" w:rsidRPr="00130A96" w:rsidRDefault="00112DCF" w:rsidP="00130A96">
      <w:pPr>
        <w:pStyle w:val="Pagrindinistekstas"/>
      </w:pPr>
      <w:r>
        <w:t xml:space="preserve">Reikia laikytis atsargumo gydant pacientus, kuriems dapagliflozino sukeltas kraujospūdžio sumažėjimas gali kelti pavojų, pavyzdžiui, pacientus, vartojančius vaistinius preparatus nuo hipertenzijos, kuriems praeityje buvo pasireiškusi </w:t>
      </w:r>
      <w:proofErr w:type="spellStart"/>
      <w:r>
        <w:t>hipotenzija</w:t>
      </w:r>
      <w:proofErr w:type="spellEnd"/>
      <w:r>
        <w:t>, arba senyvus pacientus</w:t>
      </w:r>
      <w:r w:rsidR="001175EF" w:rsidRPr="00130A96">
        <w:t>.</w:t>
      </w:r>
    </w:p>
    <w:p w14:paraId="6D86905C" w14:textId="77777777" w:rsidR="00C0147E" w:rsidRPr="00130A96" w:rsidRDefault="00C0147E" w:rsidP="00130A96">
      <w:pPr>
        <w:pStyle w:val="Pagrindinistekstas"/>
      </w:pPr>
    </w:p>
    <w:p w14:paraId="6D86905D" w14:textId="7F06F8EE" w:rsidR="00C0147E" w:rsidRPr="00130A96" w:rsidRDefault="001175EF" w:rsidP="00130A96">
      <w:pPr>
        <w:pStyle w:val="Pagrindinistekstas"/>
      </w:pPr>
      <w:r w:rsidRPr="00130A96">
        <w:t xml:space="preserve">Jeigu pacientas serga gretutine (pvz., virškinimo trakto) liga, </w:t>
      </w:r>
      <w:r w:rsidR="005038E5">
        <w:t>galinčia sukelti skysčių trūkumą</w:t>
      </w:r>
      <w:r w:rsidRPr="00130A96">
        <w:t xml:space="preserve">, rekomenduojama </w:t>
      </w:r>
      <w:r w:rsidR="007D3EA6">
        <w:t>atidžiai</w:t>
      </w:r>
      <w:r w:rsidRPr="00130A96">
        <w:t xml:space="preserve"> stebėti </w:t>
      </w:r>
      <w:r w:rsidR="005132C3">
        <w:t>skysčių kiekį organizme</w:t>
      </w:r>
      <w:r w:rsidR="005132C3" w:rsidRPr="00130A96">
        <w:t xml:space="preserve"> </w:t>
      </w:r>
      <w:r w:rsidRPr="00130A96">
        <w:t>(pvz., atlikti medicininę apžiūrą, matuo</w:t>
      </w:r>
      <w:r w:rsidR="00093C26">
        <w:t>jant</w:t>
      </w:r>
      <w:r w:rsidRPr="00130A96">
        <w:t xml:space="preserve"> kraujospūdį, </w:t>
      </w:r>
      <w:r w:rsidR="00093C26">
        <w:t>atliekant</w:t>
      </w:r>
      <w:r w:rsidR="00093C26" w:rsidRPr="00130A96">
        <w:t xml:space="preserve"> </w:t>
      </w:r>
      <w:r w:rsidRPr="00130A96">
        <w:t xml:space="preserve">laboratorinius tyrimus, įskaitant </w:t>
      </w:r>
      <w:proofErr w:type="spellStart"/>
      <w:r w:rsidRPr="00130A96">
        <w:t>hematokrito</w:t>
      </w:r>
      <w:proofErr w:type="spellEnd"/>
      <w:r w:rsidRPr="00130A96">
        <w:t xml:space="preserve"> ir elektrolitų </w:t>
      </w:r>
      <w:r w:rsidR="00093C26">
        <w:t>kiekius</w:t>
      </w:r>
      <w:r w:rsidRPr="00130A96">
        <w:t xml:space="preserve">). </w:t>
      </w:r>
      <w:r w:rsidR="00D72B65">
        <w:t>Pasireiškus skysčių trūkumui,</w:t>
      </w:r>
      <w:r w:rsidR="00D72B65" w:rsidRPr="00130A96">
        <w:t xml:space="preserve"> </w:t>
      </w:r>
      <w:r w:rsidRPr="00130A96">
        <w:t>rekomenduojama laikinai (kol</w:t>
      </w:r>
      <w:r w:rsidR="0060373E" w:rsidRPr="0060373E">
        <w:t xml:space="preserve"> </w:t>
      </w:r>
      <w:r w:rsidR="0060373E">
        <w:t>skysčių trūkumas bus pašalintas</w:t>
      </w:r>
      <w:r w:rsidRPr="00130A96">
        <w:t>) nutraukti dapagliflozino vartojimą (žr. 4.8</w:t>
      </w:r>
      <w:r w:rsidR="00873FCC">
        <w:t> skyrių</w:t>
      </w:r>
      <w:r w:rsidRPr="00130A96">
        <w:t>).</w:t>
      </w:r>
    </w:p>
    <w:p w14:paraId="6D86905E" w14:textId="77777777" w:rsidR="00C0147E" w:rsidRPr="00130A96" w:rsidRDefault="00C0147E" w:rsidP="00130A96">
      <w:pPr>
        <w:pStyle w:val="Pagrindinistekstas"/>
      </w:pPr>
    </w:p>
    <w:p w14:paraId="6D86905F" w14:textId="77777777" w:rsidR="00C0147E" w:rsidRPr="00963ABA" w:rsidRDefault="001175EF" w:rsidP="00130A96">
      <w:pPr>
        <w:pStyle w:val="Pagrindinistekstas"/>
      </w:pPr>
      <w:r w:rsidRPr="00963ABA">
        <w:rPr>
          <w:u w:val="single"/>
        </w:rPr>
        <w:t xml:space="preserve">Diabetinė </w:t>
      </w:r>
      <w:proofErr w:type="spellStart"/>
      <w:r w:rsidRPr="00963ABA">
        <w:rPr>
          <w:u w:val="single"/>
        </w:rPr>
        <w:t>ketoacidozė</w:t>
      </w:r>
      <w:proofErr w:type="spellEnd"/>
    </w:p>
    <w:p w14:paraId="6D869060" w14:textId="77777777" w:rsidR="00C0147E" w:rsidRPr="00963ABA" w:rsidRDefault="00C0147E" w:rsidP="00130A96">
      <w:pPr>
        <w:pStyle w:val="Pagrindinistekstas"/>
      </w:pPr>
    </w:p>
    <w:p w14:paraId="6D869061" w14:textId="4988C9B5" w:rsidR="00C0147E" w:rsidRDefault="001175EF" w:rsidP="00130A96">
      <w:pPr>
        <w:pStyle w:val="Pagrindinistekstas"/>
      </w:pPr>
      <w:r w:rsidRPr="00963ABA">
        <w:t xml:space="preserve">Natrio ir gliukozės vienakrypčio nešiklio 2 (angl. </w:t>
      </w:r>
      <w:proofErr w:type="spellStart"/>
      <w:r w:rsidRPr="00963ABA">
        <w:rPr>
          <w:i/>
        </w:rPr>
        <w:t>sodium</w:t>
      </w:r>
      <w:proofErr w:type="spellEnd"/>
      <w:r w:rsidRPr="00963ABA">
        <w:rPr>
          <w:i/>
        </w:rPr>
        <w:t xml:space="preserve"> </w:t>
      </w:r>
      <w:proofErr w:type="spellStart"/>
      <w:r w:rsidRPr="00963ABA">
        <w:rPr>
          <w:i/>
        </w:rPr>
        <w:t>glucose</w:t>
      </w:r>
      <w:proofErr w:type="spellEnd"/>
      <w:r w:rsidRPr="00963ABA">
        <w:rPr>
          <w:i/>
        </w:rPr>
        <w:t xml:space="preserve"> </w:t>
      </w:r>
      <w:proofErr w:type="spellStart"/>
      <w:r w:rsidRPr="00963ABA">
        <w:rPr>
          <w:i/>
        </w:rPr>
        <w:t>co-transporter</w:t>
      </w:r>
      <w:proofErr w:type="spellEnd"/>
      <w:r w:rsidRPr="00963ABA">
        <w:rPr>
          <w:i/>
        </w:rPr>
        <w:t xml:space="preserve"> 2</w:t>
      </w:r>
      <w:r w:rsidRPr="00963ABA">
        <w:t xml:space="preserve">, SGLT2) inhibitorius, įskaitant dapaglifloziną, vartojusiems pacientams </w:t>
      </w:r>
      <w:r w:rsidR="00785209">
        <w:t>nustatyta</w:t>
      </w:r>
      <w:r w:rsidR="00785209" w:rsidRPr="00963ABA">
        <w:t xml:space="preserve"> </w:t>
      </w:r>
      <w:r w:rsidRPr="00963ABA">
        <w:t xml:space="preserve">retų diabetinės </w:t>
      </w:r>
      <w:proofErr w:type="spellStart"/>
      <w:r w:rsidRPr="00963ABA">
        <w:t>ketoacidozės</w:t>
      </w:r>
      <w:proofErr w:type="spellEnd"/>
      <w:r w:rsidRPr="00963ABA">
        <w:t xml:space="preserve"> (DKA) atvejų, tarp kurių buvo sukėlusių pavojų gyvybei ir net mirtį. Kai kuriais atvejais DKA buvo netipinė, </w:t>
      </w:r>
      <w:proofErr w:type="spellStart"/>
      <w:r w:rsidRPr="00963ABA">
        <w:t>t.y</w:t>
      </w:r>
      <w:proofErr w:type="spellEnd"/>
      <w:r w:rsidRPr="00963ABA">
        <w:t>. su saikingai padidėjusia (mažesne kaip 14</w:t>
      </w:r>
      <w:r w:rsidR="00873FCC" w:rsidRPr="00963ABA">
        <w:t> </w:t>
      </w:r>
      <w:proofErr w:type="spellStart"/>
      <w:r w:rsidR="00873FCC" w:rsidRPr="00963ABA">
        <w:t>mmol</w:t>
      </w:r>
      <w:proofErr w:type="spellEnd"/>
      <w:r w:rsidRPr="00963ABA">
        <w:t>/l [250</w:t>
      </w:r>
      <w:r w:rsidR="00873FCC" w:rsidRPr="00963ABA">
        <w:t> mg</w:t>
      </w:r>
      <w:r w:rsidRPr="00963ABA">
        <w:t>/dl] gliukozės koncentracija kraujyje).</w:t>
      </w:r>
    </w:p>
    <w:p w14:paraId="65E97EA2" w14:textId="77777777" w:rsidR="00E5248F" w:rsidRPr="00130A96" w:rsidRDefault="00E5248F" w:rsidP="00130A96">
      <w:pPr>
        <w:pStyle w:val="Pagrindinistekstas"/>
      </w:pPr>
    </w:p>
    <w:p w14:paraId="6D869062" w14:textId="1FAEF95A" w:rsidR="00C0147E" w:rsidRPr="00130A96" w:rsidRDefault="00B84666" w:rsidP="00130A96">
      <w:pPr>
        <w:pStyle w:val="Pagrindinistekstas"/>
      </w:pPr>
      <w:r>
        <w:t xml:space="preserve">Diabetinės </w:t>
      </w:r>
      <w:proofErr w:type="spellStart"/>
      <w:r>
        <w:t>ketoacidozės</w:t>
      </w:r>
      <w:proofErr w:type="spellEnd"/>
      <w:r>
        <w:t xml:space="preserve"> riziką būtina apsvarstyti, jei pasireiškia nespecifiniai simptomai</w:t>
      </w:r>
      <w:r w:rsidR="001175EF" w:rsidRPr="004E4B3C">
        <w:t>, pvz., pykinim</w:t>
      </w:r>
      <w:r>
        <w:t>as</w:t>
      </w:r>
      <w:r w:rsidR="001175EF" w:rsidRPr="004E4B3C">
        <w:t>, vėmim</w:t>
      </w:r>
      <w:r w:rsidR="00E07DCB">
        <w:t>as</w:t>
      </w:r>
      <w:r w:rsidR="001175EF" w:rsidRPr="004E4B3C">
        <w:t>, anoreksija, pilvo skausm</w:t>
      </w:r>
      <w:r w:rsidR="00241A82">
        <w:t>as</w:t>
      </w:r>
      <w:r w:rsidR="001175EF" w:rsidRPr="004E4B3C">
        <w:t xml:space="preserve">, </w:t>
      </w:r>
      <w:r w:rsidR="00D921BD">
        <w:t>stiprus</w:t>
      </w:r>
      <w:r w:rsidR="00D921BD" w:rsidRPr="004E4B3C">
        <w:t xml:space="preserve"> </w:t>
      </w:r>
      <w:r w:rsidR="001175EF" w:rsidRPr="004E4B3C">
        <w:t>troškul</w:t>
      </w:r>
      <w:r w:rsidR="00D921BD">
        <w:t>ys</w:t>
      </w:r>
      <w:r w:rsidR="001175EF" w:rsidRPr="004E4B3C">
        <w:t>, kvėpavim</w:t>
      </w:r>
      <w:r w:rsidR="003B73D4">
        <w:t>o pasunkėjimas</w:t>
      </w:r>
      <w:r w:rsidR="001175EF" w:rsidRPr="004E4B3C">
        <w:t>, sutrikus</w:t>
      </w:r>
      <w:r w:rsidR="002707FD">
        <w:t>i</w:t>
      </w:r>
      <w:r w:rsidR="001175EF" w:rsidRPr="004E4B3C">
        <w:t xml:space="preserve"> orientacija, neįprasta</w:t>
      </w:r>
      <w:r w:rsidR="002707FD">
        <w:t>s</w:t>
      </w:r>
      <w:r w:rsidR="001175EF" w:rsidRPr="004E4B3C">
        <w:t xml:space="preserve"> nuovargi</w:t>
      </w:r>
      <w:r w:rsidR="002707FD">
        <w:t>s</w:t>
      </w:r>
      <w:r w:rsidR="001175EF" w:rsidRPr="004E4B3C">
        <w:t xml:space="preserve"> ar mieguistum</w:t>
      </w:r>
      <w:r w:rsidR="002707FD">
        <w:t>as</w:t>
      </w:r>
      <w:r w:rsidR="001175EF" w:rsidRPr="004E4B3C">
        <w:t>.</w:t>
      </w:r>
      <w:r w:rsidR="0028699C" w:rsidRPr="0028699C">
        <w:t xml:space="preserve"> </w:t>
      </w:r>
      <w:r w:rsidR="0028699C">
        <w:t xml:space="preserve">Atsiradus šiems simptomams, pacientus reikia nedelsiant ištirti dėl </w:t>
      </w:r>
      <w:proofErr w:type="spellStart"/>
      <w:r w:rsidR="0028699C">
        <w:t>ketoacidozės</w:t>
      </w:r>
      <w:proofErr w:type="spellEnd"/>
      <w:r w:rsidR="0028699C">
        <w:t>, nepriklausomai nuo gliukozės koncentracijos kraujyje</w:t>
      </w:r>
      <w:r w:rsidR="001175EF" w:rsidRPr="004E4B3C">
        <w:t>.</w:t>
      </w:r>
    </w:p>
    <w:p w14:paraId="66589C75" w14:textId="77777777" w:rsidR="00C0147E" w:rsidRDefault="00C0147E" w:rsidP="00130A96">
      <w:pPr>
        <w:pStyle w:val="Pagrindinistekstas"/>
      </w:pPr>
    </w:p>
    <w:p w14:paraId="6D869064" w14:textId="77777777" w:rsidR="00C0147E" w:rsidRPr="00130A96" w:rsidRDefault="001175EF" w:rsidP="00130A96">
      <w:pPr>
        <w:pStyle w:val="Pagrindinistekstas"/>
        <w:jc w:val="both"/>
      </w:pPr>
      <w:r w:rsidRPr="00130A96">
        <w:t>Įtarus arba nustačius DKA, reikia nedelsiant nutraukti dapagliflozino vartojimą.</w:t>
      </w:r>
    </w:p>
    <w:p w14:paraId="6D869065" w14:textId="77777777" w:rsidR="00C0147E" w:rsidRPr="00130A96" w:rsidRDefault="00C0147E" w:rsidP="00130A96">
      <w:pPr>
        <w:pStyle w:val="Pagrindinistekstas"/>
      </w:pPr>
    </w:p>
    <w:p w14:paraId="6D869066" w14:textId="570478B7" w:rsidR="00C0147E" w:rsidRPr="00130A96" w:rsidRDefault="00C372CB" w:rsidP="00130A96">
      <w:pPr>
        <w:pStyle w:val="Pagrindinistekstas"/>
        <w:jc w:val="both"/>
      </w:pPr>
      <w:r>
        <w:t xml:space="preserve">Gydymą </w:t>
      </w:r>
      <w:r w:rsidR="001175EF" w:rsidRPr="00130A96">
        <w:t xml:space="preserve">reikia </w:t>
      </w:r>
      <w:r w:rsidR="001365F9">
        <w:t xml:space="preserve">laikinai </w:t>
      </w:r>
      <w:r w:rsidR="001175EF" w:rsidRPr="00130A96">
        <w:t>nutraukti</w:t>
      </w:r>
      <w:r w:rsidR="00A62907">
        <w:t xml:space="preserve"> pacientams, kurie hospitalizuojami dėl didelių chirurginių operacijų arba ūminių sunkių ligų</w:t>
      </w:r>
      <w:r w:rsidR="001175EF" w:rsidRPr="00130A96">
        <w:t>. Šiems pacientams rekomenduojama stebėti ketonų kiekį. Ketonų kiekį pageidau</w:t>
      </w:r>
      <w:r w:rsidR="00A76F51">
        <w:t>tin</w:t>
      </w:r>
      <w:r w:rsidR="001175EF" w:rsidRPr="00130A96">
        <w:t xml:space="preserve">a </w:t>
      </w:r>
      <w:r w:rsidR="00865DBC">
        <w:t>tirti ne</w:t>
      </w:r>
      <w:r w:rsidR="00865DBC" w:rsidRPr="00130A96">
        <w:t xml:space="preserve"> </w:t>
      </w:r>
      <w:r w:rsidR="001175EF" w:rsidRPr="00130A96">
        <w:t>šlapime</w:t>
      </w:r>
      <w:r w:rsidR="00865DBC">
        <w:t>, o kraujyje</w:t>
      </w:r>
      <w:r w:rsidR="001175EF" w:rsidRPr="00130A96">
        <w:t>. Dapagliflozin</w:t>
      </w:r>
      <w:r w:rsidR="00652747">
        <w:t>o</w:t>
      </w:r>
      <w:r w:rsidR="001175EF" w:rsidRPr="00130A96">
        <w:t xml:space="preserve"> </w:t>
      </w:r>
      <w:r w:rsidR="00652747">
        <w:t>vartojimą galima atnaujinti</w:t>
      </w:r>
      <w:r w:rsidR="001175EF" w:rsidRPr="00130A96">
        <w:t>, kai ketonų kiekis tampa normalus ir</w:t>
      </w:r>
      <w:r w:rsidR="00232EEC">
        <w:t xml:space="preserve"> </w:t>
      </w:r>
      <w:r w:rsidR="00232EEC" w:rsidRPr="00232EEC">
        <w:t>paciento sveikatos būklė stabilizuojasi</w:t>
      </w:r>
      <w:r w:rsidR="001175EF" w:rsidRPr="00130A96">
        <w:t>.</w:t>
      </w:r>
    </w:p>
    <w:p w14:paraId="6D869067" w14:textId="77777777" w:rsidR="00C0147E" w:rsidRPr="00130A96" w:rsidRDefault="00C0147E" w:rsidP="00130A96">
      <w:pPr>
        <w:pStyle w:val="Pagrindinistekstas"/>
      </w:pPr>
    </w:p>
    <w:p w14:paraId="6D869068" w14:textId="1E35338D" w:rsidR="00C0147E" w:rsidRPr="00130A96" w:rsidRDefault="001175EF" w:rsidP="00130A96">
      <w:pPr>
        <w:pStyle w:val="Pagrindinistekstas"/>
      </w:pPr>
      <w:r w:rsidRPr="00130A96">
        <w:t xml:space="preserve">Prieš skiriant dapagliflozino reikia </w:t>
      </w:r>
      <w:r w:rsidR="001F1014">
        <w:t xml:space="preserve">įvertinti paciento anamnezės </w:t>
      </w:r>
      <w:r w:rsidRPr="00130A96">
        <w:t xml:space="preserve">veiksnius, kurie gali skatinti </w:t>
      </w:r>
      <w:proofErr w:type="spellStart"/>
      <w:r w:rsidRPr="00130A96">
        <w:t>ketoacidozę</w:t>
      </w:r>
      <w:proofErr w:type="spellEnd"/>
      <w:r w:rsidRPr="00130A96">
        <w:t>.</w:t>
      </w:r>
    </w:p>
    <w:p w14:paraId="6D869069" w14:textId="77777777" w:rsidR="00C0147E" w:rsidRPr="00130A96" w:rsidRDefault="00C0147E" w:rsidP="00130A96">
      <w:pPr>
        <w:pStyle w:val="Pagrindinistekstas"/>
      </w:pPr>
    </w:p>
    <w:p w14:paraId="6D86906A" w14:textId="7DC1C0C0" w:rsidR="00C0147E" w:rsidRPr="00130A96" w:rsidRDefault="001175EF" w:rsidP="00130A96">
      <w:pPr>
        <w:pStyle w:val="Pagrindinistekstas"/>
      </w:pPr>
      <w:r w:rsidRPr="00130A96">
        <w:t xml:space="preserve">DKA rizika gali būti didesnė </w:t>
      </w:r>
      <w:r w:rsidR="000510B5">
        <w:t>pacientams</w:t>
      </w:r>
      <w:r w:rsidR="00C8220C">
        <w:t xml:space="preserve">, kurių </w:t>
      </w:r>
      <w:r w:rsidRPr="00130A96">
        <w:t>beta ląstelių funkcijos rezerv</w:t>
      </w:r>
      <w:r w:rsidR="00C8220C">
        <w:t>as yra mažas</w:t>
      </w:r>
      <w:r w:rsidRPr="00130A96">
        <w:t xml:space="preserve"> (pvz., 2</w:t>
      </w:r>
      <w:r w:rsidR="00873FCC">
        <w:t> tipo</w:t>
      </w:r>
      <w:r w:rsidRPr="00130A96">
        <w:t xml:space="preserve"> </w:t>
      </w:r>
      <w:r w:rsidR="003B2764">
        <w:t xml:space="preserve">cukriniu </w:t>
      </w:r>
      <w:r w:rsidRPr="00130A96">
        <w:t>diabetu</w:t>
      </w:r>
      <w:r w:rsidR="00E320B8" w:rsidRPr="00E320B8">
        <w:t xml:space="preserve"> </w:t>
      </w:r>
      <w:r w:rsidR="00E320B8">
        <w:t>sergantiems pacientams, kuriems nustatytas mažas C-peptido kiekis arba latentinis autoimuninis suaugusiųjų diabetas (LADA), arba pacientams, sirgusiems pankreatitu</w:t>
      </w:r>
      <w:r w:rsidRPr="00130A96">
        <w:t>),</w:t>
      </w:r>
      <w:r w:rsidR="00964890">
        <w:t xml:space="preserve"> </w:t>
      </w:r>
      <w:r w:rsidR="000D4440">
        <w:t>pacientams, kurių būklė lemia ribotą maisto vartojimą ar sunkią dehidrataciją, pacientams, kuriems sumažintos insulino dozės, ir pacientams, kuriems yra padidėjęs insulino poreikis dėl ūminės ligos, operacijos ar piktnaudžiavimo alkoholiu. Šiems pacientams SGLT2 inhibitorius reikia vartoti atsargiai</w:t>
      </w:r>
      <w:r w:rsidR="00F151FC" w:rsidRPr="00F151FC">
        <w:t>.</w:t>
      </w:r>
    </w:p>
    <w:p w14:paraId="6D86906B" w14:textId="77777777" w:rsidR="00C0147E" w:rsidRPr="00130A96" w:rsidRDefault="00C0147E" w:rsidP="00130A96">
      <w:pPr>
        <w:pStyle w:val="Pagrindinistekstas"/>
      </w:pPr>
    </w:p>
    <w:p w14:paraId="6D86906C" w14:textId="16A0A7F2" w:rsidR="00C0147E" w:rsidRDefault="00860A03" w:rsidP="00130A96">
      <w:pPr>
        <w:pStyle w:val="Pagrindinistekstas"/>
      </w:pPr>
      <w:r>
        <w:t>SGLT2 inhibitorių vartojimą atnaujinti pacientams, kuriems SGLT2 inhibitorių vartojimo metu pasireiškė DKA, nerekomenduojama, nebent nustatomas ir pašalinamas kitas aiškus provokuojantis veiksnys</w:t>
      </w:r>
      <w:r w:rsidR="001175EF" w:rsidRPr="00130A96">
        <w:t>.</w:t>
      </w:r>
    </w:p>
    <w:p w14:paraId="5AA907A6" w14:textId="77777777" w:rsidR="009A67E2" w:rsidRPr="00130A96" w:rsidRDefault="009A67E2" w:rsidP="00130A96">
      <w:pPr>
        <w:pStyle w:val="Pagrindinistekstas"/>
      </w:pPr>
    </w:p>
    <w:p w14:paraId="6D86906D" w14:textId="43F128BA" w:rsidR="00C0147E" w:rsidRDefault="001175EF" w:rsidP="00771EEB">
      <w:pPr>
        <w:pStyle w:val="Pagrindinistekstas"/>
      </w:pPr>
      <w:r w:rsidRPr="00130A96">
        <w:t>Dapagliflozino poveikio 1</w:t>
      </w:r>
      <w:r w:rsidR="00873FCC">
        <w:t> tipo</w:t>
      </w:r>
      <w:r w:rsidRPr="00130A96">
        <w:t xml:space="preserve"> cukriniu diabetu sergantiems pacientams tyrimų metu dažnai </w:t>
      </w:r>
      <w:r w:rsidR="00771EEB">
        <w:t>pranešta apie</w:t>
      </w:r>
      <w:r w:rsidRPr="00130A96">
        <w:t xml:space="preserve"> DKA. 1</w:t>
      </w:r>
      <w:r w:rsidR="00873FCC">
        <w:t> tipo</w:t>
      </w:r>
      <w:r w:rsidRPr="00130A96">
        <w:t xml:space="preserve"> cukriniu diabetu sergantiems pacientams dapagliflozino vartoti negalima.</w:t>
      </w:r>
    </w:p>
    <w:p w14:paraId="42923622" w14:textId="77777777" w:rsidR="009A67E2" w:rsidRPr="00130A96" w:rsidRDefault="009A67E2" w:rsidP="00130A96">
      <w:pPr>
        <w:pStyle w:val="Pagrindinistekstas"/>
        <w:jc w:val="both"/>
      </w:pPr>
    </w:p>
    <w:p w14:paraId="6D86906E" w14:textId="77777777" w:rsidR="00C0147E" w:rsidRPr="00130A96" w:rsidRDefault="001175EF" w:rsidP="00130A96">
      <w:pPr>
        <w:pStyle w:val="Pagrindinistekstas"/>
        <w:jc w:val="both"/>
      </w:pPr>
      <w:proofErr w:type="spellStart"/>
      <w:r w:rsidRPr="00130A96">
        <w:rPr>
          <w:u w:val="single"/>
        </w:rPr>
        <w:t>Tarpvietės</w:t>
      </w:r>
      <w:proofErr w:type="spellEnd"/>
      <w:r w:rsidRPr="00130A96">
        <w:rPr>
          <w:u w:val="single"/>
        </w:rPr>
        <w:t xml:space="preserve"> </w:t>
      </w:r>
      <w:proofErr w:type="spellStart"/>
      <w:r w:rsidRPr="00130A96">
        <w:rPr>
          <w:u w:val="single"/>
        </w:rPr>
        <w:t>nekrozuojantis</w:t>
      </w:r>
      <w:proofErr w:type="spellEnd"/>
      <w:r w:rsidRPr="00130A96">
        <w:rPr>
          <w:u w:val="single"/>
        </w:rPr>
        <w:t xml:space="preserve"> </w:t>
      </w:r>
      <w:proofErr w:type="spellStart"/>
      <w:r w:rsidRPr="00130A96">
        <w:rPr>
          <w:u w:val="single"/>
        </w:rPr>
        <w:t>fascitas</w:t>
      </w:r>
      <w:proofErr w:type="spellEnd"/>
      <w:r w:rsidRPr="00130A96">
        <w:rPr>
          <w:u w:val="single"/>
        </w:rPr>
        <w:t xml:space="preserve"> (</w:t>
      </w:r>
      <w:proofErr w:type="spellStart"/>
      <w:r w:rsidRPr="00130A96">
        <w:rPr>
          <w:i/>
          <w:u w:val="single"/>
        </w:rPr>
        <w:t>Fournier</w:t>
      </w:r>
      <w:proofErr w:type="spellEnd"/>
      <w:r w:rsidRPr="00130A96">
        <w:rPr>
          <w:i/>
          <w:u w:val="single"/>
        </w:rPr>
        <w:t xml:space="preserve"> </w:t>
      </w:r>
      <w:r w:rsidRPr="00130A96">
        <w:rPr>
          <w:u w:val="single"/>
        </w:rPr>
        <w:t>gangrena)</w:t>
      </w:r>
    </w:p>
    <w:p w14:paraId="6D86906F" w14:textId="77777777" w:rsidR="00C0147E" w:rsidRPr="00130A96" w:rsidRDefault="00C0147E" w:rsidP="00130A96">
      <w:pPr>
        <w:pStyle w:val="Pagrindinistekstas"/>
      </w:pPr>
    </w:p>
    <w:p w14:paraId="6D869070" w14:textId="79E7C9A3" w:rsidR="00C0147E" w:rsidRPr="00130A96" w:rsidRDefault="00766D6E" w:rsidP="00130A96">
      <w:pPr>
        <w:pStyle w:val="Pagrindinistekstas"/>
      </w:pPr>
      <w:r w:rsidRPr="00766D6E">
        <w:t>Po SGLT2 inhibitorių pateikimo į rinką</w:t>
      </w:r>
      <w:r w:rsidR="001175EF" w:rsidRPr="00130A96">
        <w:t xml:space="preserve"> gauta pranešimų apie </w:t>
      </w:r>
      <w:proofErr w:type="spellStart"/>
      <w:r w:rsidR="001175EF" w:rsidRPr="00130A96">
        <w:t>tarpvietės</w:t>
      </w:r>
      <w:proofErr w:type="spellEnd"/>
      <w:r w:rsidR="001175EF" w:rsidRPr="00130A96">
        <w:t xml:space="preserve"> </w:t>
      </w:r>
      <w:proofErr w:type="spellStart"/>
      <w:r w:rsidR="001175EF" w:rsidRPr="00130A96">
        <w:t>nekrozuojančio</w:t>
      </w:r>
      <w:proofErr w:type="spellEnd"/>
      <w:r w:rsidR="001175EF" w:rsidRPr="00130A96">
        <w:t xml:space="preserve"> </w:t>
      </w:r>
      <w:proofErr w:type="spellStart"/>
      <w:r w:rsidR="001175EF" w:rsidRPr="00130A96">
        <w:t>fascito</w:t>
      </w:r>
      <w:proofErr w:type="spellEnd"/>
      <w:r w:rsidR="001175EF" w:rsidRPr="00130A96">
        <w:t xml:space="preserve"> (dar vadinamo </w:t>
      </w:r>
      <w:proofErr w:type="spellStart"/>
      <w:r w:rsidR="001175EF" w:rsidRPr="00130A96">
        <w:rPr>
          <w:i/>
        </w:rPr>
        <w:t>Fournier</w:t>
      </w:r>
      <w:proofErr w:type="spellEnd"/>
      <w:r w:rsidR="001175EF" w:rsidRPr="00130A96">
        <w:rPr>
          <w:i/>
        </w:rPr>
        <w:t xml:space="preserve"> </w:t>
      </w:r>
      <w:r w:rsidR="001175EF" w:rsidRPr="00130A96">
        <w:t>gangrena) pasireiškimą jų vartojantiems moterims ir vyrams (žr. 4.8</w:t>
      </w:r>
      <w:r w:rsidR="00873FCC">
        <w:t> skyrių</w:t>
      </w:r>
      <w:r w:rsidR="001175EF" w:rsidRPr="00130A96">
        <w:t xml:space="preserve">). Tai retas, bet sunkus ir galintis sukelti pavojų gyvybei reiškinys, </w:t>
      </w:r>
      <w:r w:rsidR="005260E7" w:rsidRPr="005260E7">
        <w:t>kuriam pasireiškus būtina skubi chirurginė intervencija ir gydymas antibiotikais.</w:t>
      </w:r>
    </w:p>
    <w:p w14:paraId="6D869071" w14:textId="77777777" w:rsidR="00C0147E" w:rsidRPr="00130A96" w:rsidRDefault="00C0147E" w:rsidP="00130A96">
      <w:pPr>
        <w:pStyle w:val="Pagrindinistekstas"/>
      </w:pPr>
    </w:p>
    <w:p w14:paraId="60FF8806" w14:textId="2C57B5DF" w:rsidR="004A74CF" w:rsidRPr="004A74CF" w:rsidRDefault="001175EF" w:rsidP="004A74CF">
      <w:pPr>
        <w:pStyle w:val="Pagrindinistekstas"/>
      </w:pPr>
      <w:r w:rsidRPr="00130A96">
        <w:t xml:space="preserve">Pacientus reikia įspėti, kad būtina kreiptis </w:t>
      </w:r>
      <w:r w:rsidR="00AA3BBA">
        <w:t xml:space="preserve">į </w:t>
      </w:r>
      <w:r w:rsidRPr="00130A96">
        <w:t>gydytoj</w:t>
      </w:r>
      <w:r w:rsidR="00AA3BBA">
        <w:t>ą</w:t>
      </w:r>
      <w:r w:rsidRPr="00130A96">
        <w:t xml:space="preserve">, </w:t>
      </w:r>
      <w:r w:rsidR="004A74CF" w:rsidRPr="004A74CF">
        <w:t>jeigu pasireiškia tok</w:t>
      </w:r>
      <w:r w:rsidR="00CF0040">
        <w:t>ių</w:t>
      </w:r>
      <w:r w:rsidR="004A74CF" w:rsidRPr="004A74CF">
        <w:t xml:space="preserve"> simptom</w:t>
      </w:r>
      <w:r w:rsidR="00CF0040">
        <w:t>ų</w:t>
      </w:r>
      <w:r w:rsidR="004A74CF" w:rsidRPr="004A74CF">
        <w:t xml:space="preserve"> kaip skausmas, jautrumas, </w:t>
      </w:r>
      <w:proofErr w:type="spellStart"/>
      <w:r w:rsidR="004A74CF" w:rsidRPr="004A74CF">
        <w:t>eritema</w:t>
      </w:r>
      <w:proofErr w:type="spellEnd"/>
      <w:r w:rsidR="004A74CF" w:rsidRPr="004A74CF">
        <w:t xml:space="preserve"> ar patinimas lytinių organų arba </w:t>
      </w:r>
      <w:proofErr w:type="spellStart"/>
      <w:r w:rsidR="004A74CF" w:rsidRPr="004A74CF">
        <w:t>tarpvietės</w:t>
      </w:r>
      <w:proofErr w:type="spellEnd"/>
      <w:r w:rsidR="004A74CF" w:rsidRPr="004A74CF">
        <w:t xml:space="preserve"> srityje kartu su karščiavimu ar bendru negalavimu, derinys. Reikia žinoti, kad </w:t>
      </w:r>
      <w:proofErr w:type="spellStart"/>
      <w:r w:rsidR="004A74CF" w:rsidRPr="004A74CF">
        <w:t>nekrozuojantis</w:t>
      </w:r>
      <w:proofErr w:type="spellEnd"/>
      <w:r w:rsidR="004A74CF" w:rsidRPr="004A74CF">
        <w:t xml:space="preserve"> </w:t>
      </w:r>
      <w:proofErr w:type="spellStart"/>
      <w:r w:rsidR="004A74CF" w:rsidRPr="004A74CF">
        <w:t>fascitas</w:t>
      </w:r>
      <w:proofErr w:type="spellEnd"/>
      <w:r w:rsidR="004A74CF" w:rsidRPr="004A74CF">
        <w:t xml:space="preserve"> gali pasireikšti po </w:t>
      </w:r>
      <w:proofErr w:type="spellStart"/>
      <w:r w:rsidR="004A74CF" w:rsidRPr="004A74CF">
        <w:t>urogenitalinės</w:t>
      </w:r>
      <w:proofErr w:type="spellEnd"/>
      <w:r w:rsidR="004A74CF" w:rsidRPr="004A74CF">
        <w:t xml:space="preserve"> infekcijos arba </w:t>
      </w:r>
      <w:proofErr w:type="spellStart"/>
      <w:r w:rsidR="004A74CF" w:rsidRPr="004A74CF">
        <w:t>tarpvietės</w:t>
      </w:r>
      <w:proofErr w:type="spellEnd"/>
      <w:r w:rsidR="004A74CF" w:rsidRPr="004A74CF">
        <w:t xml:space="preserve"> </w:t>
      </w:r>
      <w:proofErr w:type="spellStart"/>
      <w:r w:rsidR="004A74CF" w:rsidRPr="004A74CF">
        <w:t>absceso</w:t>
      </w:r>
      <w:proofErr w:type="spellEnd"/>
      <w:r w:rsidR="004A74CF" w:rsidRPr="004A74CF">
        <w:t xml:space="preserve">. Įtarus </w:t>
      </w:r>
      <w:proofErr w:type="spellStart"/>
      <w:r w:rsidR="004A74CF" w:rsidRPr="004A74CF">
        <w:rPr>
          <w:i/>
          <w:iCs/>
        </w:rPr>
        <w:t>Fournier</w:t>
      </w:r>
      <w:proofErr w:type="spellEnd"/>
      <w:r w:rsidR="004A74CF" w:rsidRPr="004A74CF">
        <w:rPr>
          <w:i/>
          <w:iCs/>
        </w:rPr>
        <w:t xml:space="preserve"> </w:t>
      </w:r>
      <w:r w:rsidR="004A74CF" w:rsidRPr="004A74CF">
        <w:t xml:space="preserve">gangreną, reikia nutraukti </w:t>
      </w:r>
      <w:proofErr w:type="spellStart"/>
      <w:r w:rsidR="004A74CF" w:rsidRPr="004A74CF">
        <w:t>Dapagliflozin</w:t>
      </w:r>
      <w:proofErr w:type="spellEnd"/>
      <w:r w:rsidR="004A74CF" w:rsidRPr="004A74CF">
        <w:t xml:space="preserve"> </w:t>
      </w:r>
      <w:r w:rsidR="004E6530">
        <w:t>Olpha</w:t>
      </w:r>
      <w:r w:rsidR="004A74CF" w:rsidRPr="004A74CF">
        <w:t xml:space="preserve"> vartojimą ir nedelsiant pradėti gydymą (</w:t>
      </w:r>
      <w:r w:rsidR="00551514">
        <w:t>įskaitant antibiotikus ir chirurgines intervencijas</w:t>
      </w:r>
      <w:r w:rsidR="004A74CF" w:rsidRPr="004A74CF">
        <w:t>).</w:t>
      </w:r>
    </w:p>
    <w:p w14:paraId="192A10C1" w14:textId="46123F8C" w:rsidR="009A67E2" w:rsidRPr="00130A96" w:rsidRDefault="009A67E2" w:rsidP="00130A96">
      <w:pPr>
        <w:pStyle w:val="Pagrindinistekstas"/>
      </w:pPr>
    </w:p>
    <w:p w14:paraId="6D869073" w14:textId="77777777" w:rsidR="00C0147E" w:rsidRPr="00130A96" w:rsidRDefault="001175EF" w:rsidP="00130A96">
      <w:pPr>
        <w:pStyle w:val="Pagrindinistekstas"/>
      </w:pPr>
      <w:r w:rsidRPr="00130A96">
        <w:rPr>
          <w:u w:val="single"/>
        </w:rPr>
        <w:t>Šlapimo takų infekcijos</w:t>
      </w:r>
    </w:p>
    <w:p w14:paraId="6D869074" w14:textId="77777777" w:rsidR="00C0147E" w:rsidRPr="00130A96" w:rsidRDefault="00C0147E" w:rsidP="00130A96">
      <w:pPr>
        <w:pStyle w:val="Pagrindinistekstas"/>
      </w:pPr>
    </w:p>
    <w:p w14:paraId="6D869075" w14:textId="49C15422" w:rsidR="00C0147E" w:rsidRPr="00130A96" w:rsidRDefault="001175EF" w:rsidP="00130A96">
      <w:pPr>
        <w:pStyle w:val="Pagrindinistekstas"/>
      </w:pPr>
      <w:r w:rsidRPr="00130A96">
        <w:t xml:space="preserve">Gliukozės išskyrimas su šlapimu gali būti susijęs su padidėjusia šlapimo takų infekcijos rizika, todėl gydant </w:t>
      </w:r>
      <w:proofErr w:type="spellStart"/>
      <w:r w:rsidRPr="00130A96">
        <w:t>pielonefritą</w:t>
      </w:r>
      <w:proofErr w:type="spellEnd"/>
      <w:r w:rsidRPr="00130A96">
        <w:t xml:space="preserve"> ar </w:t>
      </w:r>
      <w:proofErr w:type="spellStart"/>
      <w:r w:rsidRPr="00130A96">
        <w:t>urosepsį</w:t>
      </w:r>
      <w:proofErr w:type="spellEnd"/>
      <w:r w:rsidR="002E2A2A" w:rsidRPr="002E2A2A">
        <w:t xml:space="preserve"> </w:t>
      </w:r>
      <w:r w:rsidR="002E2A2A">
        <w:t>reikia apsvarstyti galimybę laikinai nutraukti dapagliflozino vartojimą</w:t>
      </w:r>
      <w:r w:rsidRPr="00130A96">
        <w:t>.</w:t>
      </w:r>
    </w:p>
    <w:p w14:paraId="6D869076" w14:textId="77777777" w:rsidR="00C0147E" w:rsidRPr="00130A96" w:rsidRDefault="00C0147E" w:rsidP="00130A96">
      <w:pPr>
        <w:pStyle w:val="Pagrindinistekstas"/>
      </w:pPr>
    </w:p>
    <w:p w14:paraId="6D869077" w14:textId="51AA8F8B" w:rsidR="00C0147E" w:rsidRPr="00130A96" w:rsidRDefault="001175EF" w:rsidP="00130A96">
      <w:pPr>
        <w:pStyle w:val="Pagrindinistekstas"/>
      </w:pPr>
      <w:r w:rsidRPr="00130A96">
        <w:rPr>
          <w:u w:val="single"/>
        </w:rPr>
        <w:t>Senyvi (</w:t>
      </w:r>
      <w:r w:rsidR="00E0466B">
        <w:rPr>
          <w:u w:val="single"/>
        </w:rPr>
        <w:t>≥ </w:t>
      </w:r>
      <w:r w:rsidRPr="00130A96">
        <w:rPr>
          <w:u w:val="single"/>
        </w:rPr>
        <w:t>65</w:t>
      </w:r>
      <w:r w:rsidR="00E0466B">
        <w:rPr>
          <w:u w:val="single"/>
        </w:rPr>
        <w:t> </w:t>
      </w:r>
      <w:r w:rsidRPr="00130A96">
        <w:rPr>
          <w:u w:val="single"/>
        </w:rPr>
        <w:t xml:space="preserve">metų) </w:t>
      </w:r>
      <w:r w:rsidR="009A67E2">
        <w:rPr>
          <w:u w:val="single"/>
        </w:rPr>
        <w:t>pacientai</w:t>
      </w:r>
    </w:p>
    <w:p w14:paraId="6D869078" w14:textId="77777777" w:rsidR="00C0147E" w:rsidRPr="00130A96" w:rsidRDefault="00C0147E" w:rsidP="00130A96">
      <w:pPr>
        <w:pStyle w:val="Pagrindinistekstas"/>
      </w:pPr>
    </w:p>
    <w:p w14:paraId="6D869079" w14:textId="18C57A50" w:rsidR="00C0147E" w:rsidRDefault="001175EF" w:rsidP="00130A96">
      <w:pPr>
        <w:pStyle w:val="Pagrindinistekstas"/>
      </w:pPr>
      <w:r w:rsidRPr="00130A96">
        <w:t xml:space="preserve">Senyviems pacientams gali </w:t>
      </w:r>
      <w:r w:rsidR="0061619A">
        <w:t xml:space="preserve">būti </w:t>
      </w:r>
      <w:r w:rsidRPr="00130A96">
        <w:t>didesn</w:t>
      </w:r>
      <w:r w:rsidR="0061619A">
        <w:t>ė</w:t>
      </w:r>
      <w:r w:rsidRPr="00130A96">
        <w:t xml:space="preserve"> </w:t>
      </w:r>
      <w:r w:rsidR="00162010">
        <w:t>skysčių trūkumo</w:t>
      </w:r>
      <w:r w:rsidRPr="00130A96">
        <w:t xml:space="preserve"> </w:t>
      </w:r>
      <w:r w:rsidR="0061619A">
        <w:t>rizika</w:t>
      </w:r>
      <w:r w:rsidRPr="00130A96">
        <w:t xml:space="preserve"> ir tikėtina, kad jie dažniau gydomi diuretikais.</w:t>
      </w:r>
    </w:p>
    <w:p w14:paraId="1D2BAF6E" w14:textId="77777777" w:rsidR="009A67E2" w:rsidRPr="00130A96" w:rsidRDefault="009A67E2" w:rsidP="00130A96">
      <w:pPr>
        <w:pStyle w:val="Pagrindinistekstas"/>
      </w:pPr>
    </w:p>
    <w:p w14:paraId="28D9F70D" w14:textId="3BE90660" w:rsidR="00513B18" w:rsidRDefault="00D41467" w:rsidP="00130A96">
      <w:pPr>
        <w:pStyle w:val="Pagrindinistekstas"/>
      </w:pPr>
      <w:r>
        <w:t>Senyviems pacientams dažniau nustatomas inkstų funkcijos sutrikimas</w:t>
      </w:r>
      <w:r w:rsidR="001175EF" w:rsidRPr="00130A96">
        <w:t xml:space="preserve">, taip pat jie dažniau vartoja </w:t>
      </w:r>
      <w:proofErr w:type="spellStart"/>
      <w:r w:rsidR="001175EF" w:rsidRPr="00130A96">
        <w:t>antihipertenzinių</w:t>
      </w:r>
      <w:proofErr w:type="spellEnd"/>
      <w:r w:rsidR="001175EF" w:rsidRPr="00130A96">
        <w:t xml:space="preserve"> vaistinių preparatų (pvz., </w:t>
      </w:r>
      <w:proofErr w:type="spellStart"/>
      <w:r w:rsidR="001175EF" w:rsidRPr="00130A96">
        <w:t>angiotenziną</w:t>
      </w:r>
      <w:proofErr w:type="spellEnd"/>
      <w:r w:rsidR="001175EF" w:rsidRPr="00130A96">
        <w:t xml:space="preserve"> konvertuojančio fermento inhibitorių</w:t>
      </w:r>
      <w:r w:rsidR="00AF1A72">
        <w:t xml:space="preserve"> (AKF</w:t>
      </w:r>
      <w:r w:rsidR="00AF1A72">
        <w:noBreakHyphen/>
        <w:t>I)</w:t>
      </w:r>
      <w:r w:rsidR="001175EF" w:rsidRPr="00130A96">
        <w:t xml:space="preserve">, </w:t>
      </w:r>
      <w:proofErr w:type="spellStart"/>
      <w:r w:rsidR="001175EF" w:rsidRPr="00130A96">
        <w:t>angiotenzino</w:t>
      </w:r>
      <w:proofErr w:type="spellEnd"/>
      <w:r w:rsidR="001175EF" w:rsidRPr="00130A96">
        <w:t>-II 1</w:t>
      </w:r>
      <w:r w:rsidR="00873FCC">
        <w:t> tipo</w:t>
      </w:r>
      <w:r w:rsidR="001175EF" w:rsidRPr="00130A96">
        <w:t xml:space="preserve"> receptorių blokatorių</w:t>
      </w:r>
      <w:r w:rsidR="00513B18">
        <w:t xml:space="preserve"> (ARB)</w:t>
      </w:r>
      <w:r w:rsidR="001175EF" w:rsidRPr="00130A96">
        <w:t xml:space="preserve">), kurie gali sukelti inkstų funkcijos </w:t>
      </w:r>
      <w:r w:rsidR="00513B18">
        <w:t>pokyčių</w:t>
      </w:r>
      <w:r w:rsidR="001175EF" w:rsidRPr="00130A96">
        <w:t>.</w:t>
      </w:r>
    </w:p>
    <w:p w14:paraId="39DAB0E2" w14:textId="01961AF9" w:rsidR="009A67E2" w:rsidRDefault="001175EF" w:rsidP="00130A96">
      <w:pPr>
        <w:pStyle w:val="Pagrindinistekstas"/>
      </w:pPr>
      <w:r w:rsidRPr="00130A96">
        <w:t xml:space="preserve">Senyviems pacientams taikomos tokios pačios rekomendacijos dėl inkstų funkcijos kaip ir visiems </w:t>
      </w:r>
      <w:r w:rsidR="00213D2E">
        <w:t xml:space="preserve">pacientams </w:t>
      </w:r>
      <w:r w:rsidRPr="00130A96">
        <w:t>(žr.</w:t>
      </w:r>
      <w:r w:rsidR="009A67E2">
        <w:t xml:space="preserve"> </w:t>
      </w:r>
      <w:r w:rsidRPr="00130A96">
        <w:t>4.2, 4.4, 4.8 ir 5.1</w:t>
      </w:r>
      <w:r w:rsidR="00873FCC">
        <w:t> skyrius</w:t>
      </w:r>
      <w:r w:rsidRPr="00130A96">
        <w:t>).</w:t>
      </w:r>
    </w:p>
    <w:p w14:paraId="44E5EF8C" w14:textId="77777777" w:rsidR="00E551D6" w:rsidRDefault="00E551D6" w:rsidP="00130A96">
      <w:pPr>
        <w:pStyle w:val="Pagrindinistekstas"/>
      </w:pPr>
    </w:p>
    <w:p w14:paraId="6D86907B" w14:textId="15C0AC97" w:rsidR="00C0147E" w:rsidRDefault="001175EF" w:rsidP="00130A96">
      <w:pPr>
        <w:pStyle w:val="Pagrindinistekstas"/>
        <w:rPr>
          <w:u w:val="single"/>
        </w:rPr>
      </w:pPr>
      <w:r w:rsidRPr="00130A96">
        <w:rPr>
          <w:u w:val="single"/>
        </w:rPr>
        <w:t>Širdies nepakankamumas</w:t>
      </w:r>
    </w:p>
    <w:p w14:paraId="4A4337E1" w14:textId="77777777" w:rsidR="009A67E2" w:rsidRPr="00130A96" w:rsidRDefault="009A67E2" w:rsidP="00130A96">
      <w:pPr>
        <w:pStyle w:val="Pagrindinistekstas"/>
      </w:pPr>
    </w:p>
    <w:p w14:paraId="6D86907C" w14:textId="665CC76D" w:rsidR="00C0147E" w:rsidRPr="00130A96" w:rsidRDefault="001175EF" w:rsidP="00130A96">
      <w:pPr>
        <w:pStyle w:val="Pagrindinistekstas"/>
      </w:pPr>
      <w:r w:rsidRPr="00130A96">
        <w:t>Dapagliflozino vartojimo patirties IV</w:t>
      </w:r>
      <w:r w:rsidR="001C04CA">
        <w:t> </w:t>
      </w:r>
      <w:r w:rsidRPr="00130A96">
        <w:t>klasės pagal NYHA širdies nepakankamumu sergantiems pacientams yra nedaug.</w:t>
      </w:r>
    </w:p>
    <w:p w14:paraId="5B9E9F51" w14:textId="77777777" w:rsidR="00C0147E" w:rsidRDefault="00C0147E" w:rsidP="00130A96">
      <w:pPr>
        <w:pStyle w:val="Pagrindinistekstas"/>
      </w:pPr>
    </w:p>
    <w:p w14:paraId="6D86907E" w14:textId="77777777" w:rsidR="00C0147E" w:rsidRPr="00130A96" w:rsidRDefault="001175EF" w:rsidP="00130A96">
      <w:pPr>
        <w:pStyle w:val="Pagrindinistekstas"/>
      </w:pPr>
      <w:r w:rsidRPr="00130A96">
        <w:rPr>
          <w:u w:val="single"/>
        </w:rPr>
        <w:t>Infiltracinė kardiomiopatija</w:t>
      </w:r>
    </w:p>
    <w:p w14:paraId="6D86907F" w14:textId="77777777" w:rsidR="00C0147E" w:rsidRPr="00130A96" w:rsidRDefault="00C0147E" w:rsidP="00130A96">
      <w:pPr>
        <w:pStyle w:val="Pagrindinistekstas"/>
      </w:pPr>
    </w:p>
    <w:p w14:paraId="012651DA" w14:textId="77777777" w:rsidR="009A67E2" w:rsidRDefault="001175EF" w:rsidP="00130A96">
      <w:pPr>
        <w:pStyle w:val="Pagrindinistekstas"/>
      </w:pPr>
      <w:r w:rsidRPr="00130A96">
        <w:t>Pacientai, sergantys infiltracine kardiomiopatija, netirti.</w:t>
      </w:r>
    </w:p>
    <w:p w14:paraId="5475CE4E" w14:textId="77777777" w:rsidR="009A67E2" w:rsidRDefault="009A67E2" w:rsidP="00130A96">
      <w:pPr>
        <w:pStyle w:val="Pagrindinistekstas"/>
      </w:pPr>
    </w:p>
    <w:p w14:paraId="6D869080" w14:textId="361EBE43" w:rsidR="00C0147E" w:rsidRDefault="001175EF" w:rsidP="00130A96">
      <w:pPr>
        <w:pStyle w:val="Pagrindinistekstas"/>
        <w:rPr>
          <w:u w:val="single"/>
        </w:rPr>
      </w:pPr>
      <w:r w:rsidRPr="00130A96">
        <w:rPr>
          <w:u w:val="single"/>
        </w:rPr>
        <w:t>Lėtinė inkstų liga</w:t>
      </w:r>
    </w:p>
    <w:p w14:paraId="16054DE1" w14:textId="77777777" w:rsidR="009A67E2" w:rsidRPr="00130A96" w:rsidRDefault="009A67E2" w:rsidP="00130A96">
      <w:pPr>
        <w:pStyle w:val="Pagrindinistekstas"/>
      </w:pPr>
    </w:p>
    <w:p w14:paraId="6D869081" w14:textId="02270DB7" w:rsidR="00C0147E" w:rsidRDefault="00750A11" w:rsidP="00130A96">
      <w:pPr>
        <w:pStyle w:val="Pagrindinistekstas"/>
      </w:pPr>
      <w:r>
        <w:t xml:space="preserve">Dapagliflozino vartojimo patirties gydant lėtinę inkstų ligą pacientams, kurie neserga cukriniu diabetu ir kuriems nenustatyta </w:t>
      </w:r>
      <w:proofErr w:type="spellStart"/>
      <w:r>
        <w:t>albuminurija</w:t>
      </w:r>
      <w:proofErr w:type="spellEnd"/>
      <w:r>
        <w:t xml:space="preserve">, nėra. Gydymas dapagliflozinu gali būti naudingesnis pacientams, kuriems nustatyta </w:t>
      </w:r>
      <w:proofErr w:type="spellStart"/>
      <w:r>
        <w:t>albuminurija</w:t>
      </w:r>
      <w:proofErr w:type="spellEnd"/>
      <w:r w:rsidR="001175EF" w:rsidRPr="00130A96">
        <w:t>.</w:t>
      </w:r>
    </w:p>
    <w:p w14:paraId="0973FA03" w14:textId="77777777" w:rsidR="009A67E2" w:rsidRPr="00130A96" w:rsidRDefault="009A67E2" w:rsidP="00130A96">
      <w:pPr>
        <w:pStyle w:val="Pagrindinistekstas"/>
      </w:pPr>
    </w:p>
    <w:p w14:paraId="6D869082" w14:textId="77777777" w:rsidR="00C0147E" w:rsidRPr="00130A96" w:rsidRDefault="001175EF" w:rsidP="00130A96">
      <w:pPr>
        <w:pStyle w:val="Pagrindinistekstas"/>
      </w:pPr>
      <w:proofErr w:type="spellStart"/>
      <w:r w:rsidRPr="00130A96">
        <w:rPr>
          <w:u w:val="single"/>
        </w:rPr>
        <w:t>Hematokrito</w:t>
      </w:r>
      <w:proofErr w:type="spellEnd"/>
      <w:r w:rsidRPr="00130A96">
        <w:rPr>
          <w:u w:val="single"/>
        </w:rPr>
        <w:t xml:space="preserve"> padidėjimas</w:t>
      </w:r>
    </w:p>
    <w:p w14:paraId="6D869083" w14:textId="77777777" w:rsidR="00C0147E" w:rsidRPr="00130A96" w:rsidRDefault="00C0147E" w:rsidP="00130A96">
      <w:pPr>
        <w:pStyle w:val="Pagrindinistekstas"/>
      </w:pPr>
    </w:p>
    <w:p w14:paraId="6D869084" w14:textId="66EC9D7E" w:rsidR="00C0147E" w:rsidRPr="00130A96" w:rsidRDefault="001175EF" w:rsidP="00130A96">
      <w:pPr>
        <w:pStyle w:val="Pagrindinistekstas"/>
      </w:pPr>
      <w:r w:rsidRPr="00130A96">
        <w:t xml:space="preserve">Buvo pastebėta, kad gydant dapagliflozinu, padidėja </w:t>
      </w:r>
      <w:proofErr w:type="spellStart"/>
      <w:r w:rsidRPr="00130A96">
        <w:t>hematokrit</w:t>
      </w:r>
      <w:r w:rsidR="00DF24F2">
        <w:t>as</w:t>
      </w:r>
      <w:proofErr w:type="spellEnd"/>
      <w:r w:rsidRPr="00130A96">
        <w:t xml:space="preserve"> (žr. 4.8</w:t>
      </w:r>
      <w:r w:rsidR="00873FCC">
        <w:t> skyrių</w:t>
      </w:r>
      <w:r w:rsidRPr="00130A96">
        <w:t xml:space="preserve">). Pacientus, kuriems nustatomas žymus </w:t>
      </w:r>
      <w:proofErr w:type="spellStart"/>
      <w:r w:rsidRPr="00130A96">
        <w:t>hematokrito</w:t>
      </w:r>
      <w:proofErr w:type="spellEnd"/>
      <w:r w:rsidRPr="00130A96">
        <w:t xml:space="preserve"> padidėjimas, reikia stebėti ir ištirti dėl</w:t>
      </w:r>
      <w:r w:rsidR="00906459" w:rsidRPr="00906459">
        <w:t xml:space="preserve"> </w:t>
      </w:r>
      <w:r w:rsidR="00906459">
        <w:t>galimų gretutinių hematologinių ligų</w:t>
      </w:r>
      <w:r w:rsidRPr="00130A96">
        <w:t>.</w:t>
      </w:r>
    </w:p>
    <w:p w14:paraId="6D869085" w14:textId="77777777" w:rsidR="00C0147E" w:rsidRPr="00130A96" w:rsidRDefault="00C0147E" w:rsidP="00130A96">
      <w:pPr>
        <w:pStyle w:val="Pagrindinistekstas"/>
      </w:pPr>
    </w:p>
    <w:p w14:paraId="6D869086" w14:textId="77777777" w:rsidR="00C0147E" w:rsidRDefault="001175EF" w:rsidP="00130A96">
      <w:pPr>
        <w:pStyle w:val="Pagrindinistekstas"/>
        <w:rPr>
          <w:u w:val="single"/>
        </w:rPr>
      </w:pPr>
      <w:r w:rsidRPr="00130A96">
        <w:rPr>
          <w:u w:val="single"/>
        </w:rPr>
        <w:t>Kojų amputacijos</w:t>
      </w:r>
    </w:p>
    <w:p w14:paraId="767909F6" w14:textId="77777777" w:rsidR="009A67E2" w:rsidRPr="00130A96" w:rsidRDefault="009A67E2" w:rsidP="00130A96">
      <w:pPr>
        <w:pStyle w:val="Pagrindinistekstas"/>
      </w:pPr>
    </w:p>
    <w:p w14:paraId="6D869087" w14:textId="75A66CF5" w:rsidR="00C0147E" w:rsidRPr="00130A96" w:rsidRDefault="00CA3E75" w:rsidP="008732C5">
      <w:pPr>
        <w:pStyle w:val="Pagrindinistekstas"/>
      </w:pPr>
      <w:r>
        <w:t>Ilgalaikių klinikinių tyrimų metu, kuriuose dalyvavo 2 tipo cukriniu diabetu sergantys pacientai, vartoję SGLT2 inhibitorius, pastebėtas kojų amputacijų (daugiausia kojos piršto) atvejų padažnėjimas</w:t>
      </w:r>
      <w:r w:rsidR="001175EF" w:rsidRPr="00130A96">
        <w:t>.</w:t>
      </w:r>
      <w:r w:rsidR="002D273E" w:rsidRPr="002D273E">
        <w:t xml:space="preserve"> </w:t>
      </w:r>
      <w:r w:rsidR="002D273E">
        <w:t>Nežinoma, ar tai yra šios vaistų klasės poveikis</w:t>
      </w:r>
      <w:r w:rsidR="001175EF" w:rsidRPr="00130A96">
        <w:t xml:space="preserve">. Cukriniu diabetu sergančius pacientus svarbu </w:t>
      </w:r>
      <w:r w:rsidR="00C00FC9">
        <w:t>mokyti</w:t>
      </w:r>
      <w:r w:rsidR="00C00FC9" w:rsidRPr="00130A96">
        <w:t xml:space="preserve"> </w:t>
      </w:r>
      <w:r w:rsidR="001175EF" w:rsidRPr="00130A96">
        <w:t>įprast</w:t>
      </w:r>
      <w:r w:rsidR="00C00FC9">
        <w:t>o</w:t>
      </w:r>
      <w:r w:rsidR="001175EF" w:rsidRPr="00130A96">
        <w:t>s profilaktinės pėdų priežiūros.</w:t>
      </w:r>
    </w:p>
    <w:p w14:paraId="6D869088" w14:textId="77777777" w:rsidR="00C0147E" w:rsidRPr="00130A96" w:rsidRDefault="00C0147E" w:rsidP="00130A96">
      <w:pPr>
        <w:pStyle w:val="Pagrindinistekstas"/>
      </w:pPr>
    </w:p>
    <w:p w14:paraId="6D869089" w14:textId="77777777" w:rsidR="00C0147E" w:rsidRPr="00130A96" w:rsidRDefault="001175EF" w:rsidP="00130A96">
      <w:pPr>
        <w:pStyle w:val="Pagrindinistekstas"/>
        <w:jc w:val="both"/>
      </w:pPr>
      <w:r w:rsidRPr="00130A96">
        <w:rPr>
          <w:u w:val="single"/>
        </w:rPr>
        <w:t>Laboratoriniai šlapimo tyrimai</w:t>
      </w:r>
    </w:p>
    <w:p w14:paraId="6D86908A" w14:textId="77777777" w:rsidR="00C0147E" w:rsidRPr="00130A96" w:rsidRDefault="00C0147E" w:rsidP="00130A96">
      <w:pPr>
        <w:pStyle w:val="Pagrindinistekstas"/>
      </w:pPr>
    </w:p>
    <w:p w14:paraId="6D86908B" w14:textId="4E05077C" w:rsidR="00C0147E" w:rsidRPr="00130A96" w:rsidRDefault="001175EF" w:rsidP="00130A96">
      <w:pPr>
        <w:pStyle w:val="Pagrindinistekstas"/>
      </w:pPr>
      <w:r w:rsidRPr="00130A96">
        <w:t xml:space="preserve">Dėl </w:t>
      </w:r>
      <w:r w:rsidR="008E5981" w:rsidRPr="00130A96">
        <w:t>vaistin</w:t>
      </w:r>
      <w:r w:rsidR="008E5981">
        <w:t>io</w:t>
      </w:r>
      <w:r w:rsidR="008E5981" w:rsidRPr="00130A96">
        <w:t xml:space="preserve"> preparat</w:t>
      </w:r>
      <w:r w:rsidR="008E5981">
        <w:t>o</w:t>
      </w:r>
      <w:r w:rsidR="008E5981" w:rsidRPr="00130A96">
        <w:t xml:space="preserve"> </w:t>
      </w:r>
      <w:r w:rsidR="006C5A56" w:rsidRPr="00130A96">
        <w:t>veikimo mechanizmo</w:t>
      </w:r>
      <w:r w:rsidR="006C5A56">
        <w:t>,</w:t>
      </w:r>
      <w:r w:rsidR="006C5A56" w:rsidRPr="00130A96">
        <w:t xml:space="preserve"> </w:t>
      </w:r>
      <w:proofErr w:type="spellStart"/>
      <w:r w:rsidR="00873FCC">
        <w:t>Dapagliflozin</w:t>
      </w:r>
      <w:proofErr w:type="spellEnd"/>
      <w:r w:rsidR="00873FCC">
        <w:t xml:space="preserve"> Olpha</w:t>
      </w:r>
      <w:r w:rsidRPr="00130A96">
        <w:t xml:space="preserve"> </w:t>
      </w:r>
      <w:r w:rsidR="006C5A56" w:rsidRPr="00130A96">
        <w:t xml:space="preserve">vartojančių pacientų </w:t>
      </w:r>
      <w:r w:rsidR="006C5A56">
        <w:t xml:space="preserve">šlapimo tyrimas dėl </w:t>
      </w:r>
      <w:r w:rsidRPr="00130A96">
        <w:t xml:space="preserve">gliukozės </w:t>
      </w:r>
      <w:r w:rsidR="00365582">
        <w:t>bus</w:t>
      </w:r>
      <w:r w:rsidRPr="00130A96">
        <w:t xml:space="preserve"> teigiamas.</w:t>
      </w:r>
    </w:p>
    <w:p w14:paraId="6D86908C" w14:textId="77777777" w:rsidR="00C0147E" w:rsidRPr="00130A96" w:rsidRDefault="00C0147E" w:rsidP="00130A96">
      <w:pPr>
        <w:pStyle w:val="Pagrindinistekstas"/>
      </w:pPr>
    </w:p>
    <w:p w14:paraId="6D86908D" w14:textId="77777777" w:rsidR="00C0147E" w:rsidRDefault="001175EF" w:rsidP="00130A96">
      <w:pPr>
        <w:pStyle w:val="Pagrindinistekstas"/>
        <w:rPr>
          <w:u w:val="single"/>
        </w:rPr>
      </w:pPr>
      <w:r w:rsidRPr="00130A96">
        <w:rPr>
          <w:u w:val="single"/>
        </w:rPr>
        <w:t>Laktozė</w:t>
      </w:r>
    </w:p>
    <w:p w14:paraId="7B2847DE" w14:textId="77777777" w:rsidR="009A67E2" w:rsidRPr="00130A96" w:rsidRDefault="009A67E2" w:rsidP="00130A96">
      <w:pPr>
        <w:pStyle w:val="Pagrindinistekstas"/>
      </w:pPr>
    </w:p>
    <w:p w14:paraId="3B6C15A2" w14:textId="77777777" w:rsidR="00FE34F8" w:rsidRPr="00FE34F8" w:rsidRDefault="001175EF" w:rsidP="00FE34F8">
      <w:pPr>
        <w:pStyle w:val="Pagrindinistekstas"/>
      </w:pPr>
      <w:r w:rsidRPr="00130A96">
        <w:t xml:space="preserve">Šiose tabletėse yra laktozės. </w:t>
      </w:r>
      <w:r w:rsidR="00FE34F8" w:rsidRPr="00FE34F8">
        <w:t xml:space="preserve">Šio vaistinio preparato negalima vartoti pacientams, kuriems nustatytas retas paveldimas sutrikimas – </w:t>
      </w:r>
      <w:proofErr w:type="spellStart"/>
      <w:r w:rsidR="00FE34F8" w:rsidRPr="00FE34F8">
        <w:t>galaktozės</w:t>
      </w:r>
      <w:proofErr w:type="spellEnd"/>
      <w:r w:rsidR="00FE34F8" w:rsidRPr="00FE34F8">
        <w:t xml:space="preserve"> netoleravimas, visiškas laktazės stygius arba gliukozės ir </w:t>
      </w:r>
      <w:proofErr w:type="spellStart"/>
      <w:r w:rsidR="00FE34F8" w:rsidRPr="00FE34F8">
        <w:t>galaktozės</w:t>
      </w:r>
      <w:proofErr w:type="spellEnd"/>
      <w:r w:rsidR="00FE34F8" w:rsidRPr="00FE34F8">
        <w:t xml:space="preserve"> </w:t>
      </w:r>
      <w:proofErr w:type="spellStart"/>
      <w:r w:rsidR="00FE34F8" w:rsidRPr="00FE34F8">
        <w:t>malabsorbcija</w:t>
      </w:r>
      <w:proofErr w:type="spellEnd"/>
      <w:r w:rsidR="00FE34F8" w:rsidRPr="00FE34F8">
        <w:t>.</w:t>
      </w:r>
    </w:p>
    <w:p w14:paraId="6D86908F" w14:textId="3C86ACC9" w:rsidR="00C0147E" w:rsidRPr="00130A96" w:rsidRDefault="00C0147E" w:rsidP="00130A96">
      <w:pPr>
        <w:pStyle w:val="Pagrindinistekstas"/>
      </w:pPr>
    </w:p>
    <w:p w14:paraId="6D869090" w14:textId="77777777" w:rsidR="00C0147E" w:rsidRPr="00130A96" w:rsidRDefault="001175EF" w:rsidP="00FE34F8">
      <w:pPr>
        <w:pStyle w:val="Antrat2"/>
        <w:numPr>
          <w:ilvl w:val="1"/>
          <w:numId w:val="16"/>
        </w:numPr>
        <w:tabs>
          <w:tab w:val="left" w:pos="567"/>
        </w:tabs>
        <w:ind w:left="567"/>
      </w:pPr>
      <w:r w:rsidRPr="00130A96">
        <w:t>Sąveika su kitais vaistiniais preparatais ir kitokia sąveika</w:t>
      </w:r>
    </w:p>
    <w:p w14:paraId="6D869091" w14:textId="77777777" w:rsidR="00C0147E" w:rsidRPr="00130A96" w:rsidRDefault="00C0147E" w:rsidP="00130A96">
      <w:pPr>
        <w:pStyle w:val="Pagrindinistekstas"/>
        <w:rPr>
          <w:b/>
        </w:rPr>
      </w:pPr>
    </w:p>
    <w:p w14:paraId="6D869092" w14:textId="77777777" w:rsidR="00C0147E" w:rsidRDefault="001175EF" w:rsidP="00130A96">
      <w:pPr>
        <w:pStyle w:val="Pagrindinistekstas"/>
        <w:rPr>
          <w:u w:val="single"/>
        </w:rPr>
      </w:pPr>
      <w:proofErr w:type="spellStart"/>
      <w:r w:rsidRPr="00130A96">
        <w:rPr>
          <w:u w:val="single"/>
        </w:rPr>
        <w:t>Farmakodinaminė</w:t>
      </w:r>
      <w:proofErr w:type="spellEnd"/>
      <w:r w:rsidRPr="00130A96">
        <w:rPr>
          <w:u w:val="single"/>
        </w:rPr>
        <w:t xml:space="preserve"> sąveika</w:t>
      </w:r>
    </w:p>
    <w:p w14:paraId="6D8E6F58" w14:textId="77777777" w:rsidR="009A67E2" w:rsidRPr="00130A96" w:rsidRDefault="009A67E2" w:rsidP="00130A96">
      <w:pPr>
        <w:pStyle w:val="Pagrindinistekstas"/>
      </w:pPr>
    </w:p>
    <w:p w14:paraId="6D869093" w14:textId="77777777" w:rsidR="00C0147E" w:rsidRPr="00130A96" w:rsidRDefault="001175EF" w:rsidP="00130A96">
      <w:pPr>
        <w:rPr>
          <w:i/>
        </w:rPr>
      </w:pPr>
      <w:r w:rsidRPr="00130A96">
        <w:rPr>
          <w:i/>
          <w:u w:val="single"/>
        </w:rPr>
        <w:t>Diuretikai</w:t>
      </w:r>
    </w:p>
    <w:p w14:paraId="6D869094" w14:textId="0CAEFC47" w:rsidR="00C0147E" w:rsidRPr="00130A96" w:rsidRDefault="0024491C" w:rsidP="00130A96">
      <w:pPr>
        <w:pStyle w:val="Pagrindinistekstas"/>
      </w:pPr>
      <w:r>
        <w:t xml:space="preserve">Dapagliflozinas gali sustiprinti </w:t>
      </w:r>
      <w:proofErr w:type="spellStart"/>
      <w:r>
        <w:t>tiazidinių</w:t>
      </w:r>
      <w:proofErr w:type="spellEnd"/>
      <w:r>
        <w:t xml:space="preserve"> ir kilpinių diuretikų poveikį</w:t>
      </w:r>
      <w:r w:rsidR="001175EF" w:rsidRPr="00130A96">
        <w:t xml:space="preserve">, todėl gali padidėti dehidratacijos ir </w:t>
      </w:r>
      <w:proofErr w:type="spellStart"/>
      <w:r w:rsidR="001175EF" w:rsidRPr="00130A96">
        <w:t>hipotenzijos</w:t>
      </w:r>
      <w:proofErr w:type="spellEnd"/>
      <w:r w:rsidR="001175EF" w:rsidRPr="00130A96">
        <w:t xml:space="preserve"> rizika (žr. 4.4</w:t>
      </w:r>
      <w:r w:rsidR="00873FCC">
        <w:t> skyrių</w:t>
      </w:r>
      <w:r w:rsidR="001175EF" w:rsidRPr="00130A96">
        <w:t>).</w:t>
      </w:r>
    </w:p>
    <w:p w14:paraId="6D869095" w14:textId="77777777" w:rsidR="00C0147E" w:rsidRPr="00130A96" w:rsidRDefault="00C0147E" w:rsidP="00130A96">
      <w:pPr>
        <w:pStyle w:val="Pagrindinistekstas"/>
      </w:pPr>
    </w:p>
    <w:p w14:paraId="6D869096" w14:textId="77777777" w:rsidR="00C0147E" w:rsidRPr="00130A96" w:rsidRDefault="001175EF" w:rsidP="00130A96">
      <w:pPr>
        <w:rPr>
          <w:i/>
        </w:rPr>
      </w:pPr>
      <w:r w:rsidRPr="00130A96">
        <w:rPr>
          <w:i/>
          <w:u w:val="single"/>
        </w:rPr>
        <w:t>Insulinas ir jo sekreciją skatinantys vaistiniai preparatai</w:t>
      </w:r>
    </w:p>
    <w:p w14:paraId="6D869097" w14:textId="6E1DC21C" w:rsidR="00C0147E" w:rsidRPr="00130A96" w:rsidRDefault="001175EF" w:rsidP="00130A96">
      <w:pPr>
        <w:pStyle w:val="Pagrindinistekstas"/>
      </w:pPr>
      <w:r w:rsidRPr="00130A96">
        <w:t xml:space="preserve">Insulinas ir jo sekreciją skatinantys vaistiniai preparatai, pvz., </w:t>
      </w:r>
      <w:proofErr w:type="spellStart"/>
      <w:r w:rsidRPr="00130A96">
        <w:t>sulfonilkarbamid</w:t>
      </w:r>
      <w:r w:rsidR="00AD44F2">
        <w:t>o</w:t>
      </w:r>
      <w:proofErr w:type="spellEnd"/>
      <w:r w:rsidR="00AD44F2">
        <w:t xml:space="preserve"> dariniai</w:t>
      </w:r>
      <w:r w:rsidRPr="00130A96">
        <w:t>, sukelia hipoglikemiją</w:t>
      </w:r>
      <w:r w:rsidR="004D2A20">
        <w:t>. T</w:t>
      </w:r>
      <w:r w:rsidRPr="00130A96">
        <w:t xml:space="preserve">odėl norint sumažinti </w:t>
      </w:r>
      <w:r w:rsidR="005E3D97">
        <w:t>hipoglikemijos</w:t>
      </w:r>
      <w:r w:rsidRPr="00130A96">
        <w:t xml:space="preserve"> riziką 2</w:t>
      </w:r>
      <w:r w:rsidR="00873FCC">
        <w:t> tipo</w:t>
      </w:r>
      <w:r w:rsidRPr="00130A96">
        <w:t xml:space="preserve"> </w:t>
      </w:r>
      <w:r w:rsidR="00C806F2">
        <w:t xml:space="preserve">cukriniu </w:t>
      </w:r>
      <w:r w:rsidRPr="00130A96">
        <w:t xml:space="preserve">diabetu sergantiems pacientams gali </w:t>
      </w:r>
      <w:r w:rsidR="00713D67">
        <w:t>reikėti</w:t>
      </w:r>
      <w:r w:rsidRPr="00130A96">
        <w:t xml:space="preserve"> sumažinti kartu su dapagliflozinu vartojamo insulino ar jo sekreciją skatinančio vaistinio preparato dozę (žr. 4.2 ir 4.8</w:t>
      </w:r>
      <w:r w:rsidR="00873FCC">
        <w:t> skyrius</w:t>
      </w:r>
      <w:r w:rsidRPr="00130A96">
        <w:t>).</w:t>
      </w:r>
    </w:p>
    <w:p w14:paraId="6D869098" w14:textId="77777777" w:rsidR="00C0147E" w:rsidRPr="00130A96" w:rsidRDefault="00C0147E" w:rsidP="00130A96">
      <w:pPr>
        <w:pStyle w:val="Pagrindinistekstas"/>
      </w:pPr>
    </w:p>
    <w:p w14:paraId="6D869099" w14:textId="77777777" w:rsidR="00C0147E" w:rsidRPr="00130A96" w:rsidRDefault="001175EF" w:rsidP="00130A96">
      <w:pPr>
        <w:pStyle w:val="Pagrindinistekstas"/>
      </w:pPr>
      <w:proofErr w:type="spellStart"/>
      <w:r w:rsidRPr="00130A96">
        <w:rPr>
          <w:u w:val="single"/>
        </w:rPr>
        <w:t>Farmakokinetinė</w:t>
      </w:r>
      <w:proofErr w:type="spellEnd"/>
      <w:r w:rsidRPr="00130A96">
        <w:rPr>
          <w:u w:val="single"/>
        </w:rPr>
        <w:t xml:space="preserve"> sąveika</w:t>
      </w:r>
    </w:p>
    <w:p w14:paraId="6D86909A" w14:textId="77777777" w:rsidR="00C0147E" w:rsidRPr="00130A96" w:rsidRDefault="00C0147E" w:rsidP="00130A96">
      <w:pPr>
        <w:pStyle w:val="Pagrindinistekstas"/>
      </w:pPr>
    </w:p>
    <w:p w14:paraId="6D86909B" w14:textId="5922A200" w:rsidR="00C0147E" w:rsidRDefault="001175EF" w:rsidP="00130A96">
      <w:pPr>
        <w:pStyle w:val="Pagrindinistekstas"/>
      </w:pPr>
      <w:r w:rsidRPr="00130A96">
        <w:t xml:space="preserve">Pagrindinis dapagliflozino metabolizmo būdas – </w:t>
      </w:r>
      <w:proofErr w:type="spellStart"/>
      <w:r w:rsidRPr="00130A96">
        <w:t>konjugacija</w:t>
      </w:r>
      <w:proofErr w:type="spellEnd"/>
      <w:r w:rsidRPr="00130A96">
        <w:t xml:space="preserve"> su </w:t>
      </w:r>
      <w:proofErr w:type="spellStart"/>
      <w:r w:rsidRPr="00130A96">
        <w:t>glukuronidu</w:t>
      </w:r>
      <w:proofErr w:type="spellEnd"/>
      <w:r w:rsidRPr="00130A96">
        <w:t xml:space="preserve">, kurią katalizuoja UDF </w:t>
      </w:r>
      <w:proofErr w:type="spellStart"/>
      <w:r w:rsidRPr="00130A96">
        <w:t>glukuronoziltransferazė</w:t>
      </w:r>
      <w:proofErr w:type="spellEnd"/>
      <w:r w:rsidR="005B1B7B">
        <w:t> </w:t>
      </w:r>
      <w:r w:rsidRPr="00130A96">
        <w:t>1A9 (UGT1A9).</w:t>
      </w:r>
    </w:p>
    <w:p w14:paraId="67C42929" w14:textId="77777777" w:rsidR="007006F5" w:rsidRPr="00130A96" w:rsidRDefault="007006F5" w:rsidP="00130A96">
      <w:pPr>
        <w:pStyle w:val="Pagrindinistekstas"/>
      </w:pPr>
    </w:p>
    <w:p w14:paraId="3208681D" w14:textId="77777777" w:rsidR="00D52192" w:rsidRDefault="001175EF" w:rsidP="00130A96">
      <w:pPr>
        <w:pStyle w:val="Pagrindinistekstas"/>
      </w:pPr>
      <w:proofErr w:type="spellStart"/>
      <w:r w:rsidRPr="00130A96">
        <w:rPr>
          <w:i/>
        </w:rPr>
        <w:t>In</w:t>
      </w:r>
      <w:proofErr w:type="spellEnd"/>
      <w:r w:rsidRPr="00130A96">
        <w:rPr>
          <w:i/>
        </w:rPr>
        <w:t xml:space="preserve"> </w:t>
      </w:r>
      <w:proofErr w:type="spellStart"/>
      <w:r w:rsidRPr="00130A96">
        <w:rPr>
          <w:i/>
        </w:rPr>
        <w:t>vitro</w:t>
      </w:r>
      <w:proofErr w:type="spellEnd"/>
      <w:r w:rsidRPr="00130A96">
        <w:rPr>
          <w:i/>
        </w:rPr>
        <w:t xml:space="preserve"> </w:t>
      </w:r>
      <w:r w:rsidRPr="00130A96">
        <w:t xml:space="preserve">tyrimų metu dapagliflozinas neslopino </w:t>
      </w:r>
      <w:proofErr w:type="spellStart"/>
      <w:r w:rsidRPr="00130A96">
        <w:t>citochromo</w:t>
      </w:r>
      <w:proofErr w:type="spellEnd"/>
      <w:r w:rsidRPr="00130A96">
        <w:t xml:space="preserve"> P450 (CYP) 1A2, CYP2A6, CYP2B6, CYP2C8, CYP2C9, CYP2C19</w:t>
      </w:r>
      <w:r w:rsidR="00D52192">
        <w:t xml:space="preserve">, </w:t>
      </w:r>
      <w:r w:rsidRPr="00130A96">
        <w:t>CYP2D6, CYP3A4 bei neindukavo CYP1A2, CYP2B6 ar</w:t>
      </w:r>
      <w:r w:rsidR="007006F5">
        <w:t xml:space="preserve"> </w:t>
      </w:r>
      <w:r w:rsidRPr="00130A96">
        <w:t>CYP3A4.</w:t>
      </w:r>
    </w:p>
    <w:p w14:paraId="40EEA44D" w14:textId="3010DA47" w:rsidR="00E10FF3" w:rsidRPr="00E10FF3" w:rsidRDefault="00230B1D" w:rsidP="00E10FF3">
      <w:pPr>
        <w:pStyle w:val="Pagrindinistekstas"/>
      </w:pPr>
      <w:r>
        <w:t xml:space="preserve">Todėl nemanoma, kad dapagliflozinas galėtų pakeisti kartu vartojamų vaistinių preparatų, kuriuos </w:t>
      </w:r>
      <w:proofErr w:type="spellStart"/>
      <w:r>
        <w:lastRenderedPageBreak/>
        <w:t>metabolizuoja</w:t>
      </w:r>
      <w:proofErr w:type="spellEnd"/>
      <w:r>
        <w:t xml:space="preserve"> šie fermentai, </w:t>
      </w:r>
      <w:proofErr w:type="spellStart"/>
      <w:r>
        <w:t>metabolinį</w:t>
      </w:r>
      <w:proofErr w:type="spellEnd"/>
      <w:r>
        <w:t xml:space="preserve"> klirensą</w:t>
      </w:r>
      <w:r w:rsidR="00E10FF3" w:rsidRPr="00E10FF3">
        <w:t>.</w:t>
      </w:r>
    </w:p>
    <w:p w14:paraId="23EEA0C9" w14:textId="77777777" w:rsidR="00C0147E" w:rsidRDefault="00C0147E" w:rsidP="00130A96">
      <w:pPr>
        <w:pStyle w:val="Pagrindinistekstas"/>
      </w:pPr>
    </w:p>
    <w:p w14:paraId="6D86909F" w14:textId="77777777" w:rsidR="00C0147E" w:rsidRPr="00130A96" w:rsidRDefault="001175EF" w:rsidP="00130A96">
      <w:pPr>
        <w:pStyle w:val="Pagrindinistekstas"/>
      </w:pPr>
      <w:r w:rsidRPr="00130A96">
        <w:rPr>
          <w:u w:val="single"/>
        </w:rPr>
        <w:t>Kitų vaistinių preparatų poveikis dapagliflozinui</w:t>
      </w:r>
    </w:p>
    <w:p w14:paraId="6D8690A0" w14:textId="77777777" w:rsidR="00C0147E" w:rsidRPr="00130A96" w:rsidRDefault="00C0147E" w:rsidP="00130A96">
      <w:pPr>
        <w:pStyle w:val="Pagrindinistekstas"/>
      </w:pPr>
    </w:p>
    <w:p w14:paraId="6D8690A1" w14:textId="1192AF43" w:rsidR="00C0147E" w:rsidRPr="00130A96" w:rsidRDefault="00C75102" w:rsidP="00130A96">
      <w:pPr>
        <w:pStyle w:val="Pagrindinistekstas"/>
      </w:pPr>
      <w:r>
        <w:t>Sąveikos tyrimų, atliktų su sveikais savanoriais (daugiausia taikant vienkartinės dozės schemą), duomenys rodo, kad</w:t>
      </w:r>
      <w:r w:rsidR="001175EF" w:rsidRPr="00130A96">
        <w:t xml:space="preserve"> </w:t>
      </w:r>
      <w:proofErr w:type="spellStart"/>
      <w:r w:rsidR="001175EF" w:rsidRPr="00130A96">
        <w:t>metforminas</w:t>
      </w:r>
      <w:proofErr w:type="spellEnd"/>
      <w:r w:rsidR="001175EF" w:rsidRPr="00130A96">
        <w:t xml:space="preserve">, </w:t>
      </w:r>
      <w:proofErr w:type="spellStart"/>
      <w:r w:rsidR="001175EF" w:rsidRPr="00130A96">
        <w:t>pioglitazonas</w:t>
      </w:r>
      <w:proofErr w:type="spellEnd"/>
      <w:r w:rsidR="001175EF" w:rsidRPr="00130A96">
        <w:t xml:space="preserve">, </w:t>
      </w:r>
      <w:proofErr w:type="spellStart"/>
      <w:r w:rsidR="001175EF" w:rsidRPr="00130A96">
        <w:t>sitagliptinas</w:t>
      </w:r>
      <w:proofErr w:type="spellEnd"/>
      <w:r w:rsidR="001175EF" w:rsidRPr="00130A96">
        <w:t xml:space="preserve">, </w:t>
      </w:r>
      <w:proofErr w:type="spellStart"/>
      <w:r w:rsidR="001175EF" w:rsidRPr="00130A96">
        <w:t>glimepiridas</w:t>
      </w:r>
      <w:proofErr w:type="spellEnd"/>
      <w:r w:rsidR="001175EF" w:rsidRPr="00130A96">
        <w:t xml:space="preserve">, </w:t>
      </w:r>
      <w:proofErr w:type="spellStart"/>
      <w:r w:rsidR="001175EF" w:rsidRPr="00130A96">
        <w:t>voglibozė</w:t>
      </w:r>
      <w:proofErr w:type="spellEnd"/>
      <w:r w:rsidR="001175EF" w:rsidRPr="00130A96">
        <w:t xml:space="preserve">, </w:t>
      </w:r>
      <w:proofErr w:type="spellStart"/>
      <w:r w:rsidR="001175EF" w:rsidRPr="00130A96">
        <w:t>hidrochlorotiazidas</w:t>
      </w:r>
      <w:proofErr w:type="spellEnd"/>
      <w:r w:rsidR="001175EF" w:rsidRPr="00130A96">
        <w:t xml:space="preserve">, </w:t>
      </w:r>
      <w:proofErr w:type="spellStart"/>
      <w:r w:rsidR="001175EF" w:rsidRPr="00130A96">
        <w:t>bumetanidas</w:t>
      </w:r>
      <w:proofErr w:type="spellEnd"/>
      <w:r w:rsidR="001175EF" w:rsidRPr="00130A96">
        <w:t xml:space="preserve">, </w:t>
      </w:r>
      <w:proofErr w:type="spellStart"/>
      <w:r w:rsidR="001175EF" w:rsidRPr="00130A96">
        <w:t>valsartanas</w:t>
      </w:r>
      <w:proofErr w:type="spellEnd"/>
      <w:r w:rsidR="001175EF" w:rsidRPr="00130A96">
        <w:t xml:space="preserve"> </w:t>
      </w:r>
      <w:r w:rsidR="00AB7F71">
        <w:t>ar</w:t>
      </w:r>
      <w:r w:rsidR="001175EF" w:rsidRPr="00130A96">
        <w:t xml:space="preserve"> </w:t>
      </w:r>
      <w:proofErr w:type="spellStart"/>
      <w:r w:rsidR="001175EF" w:rsidRPr="00130A96">
        <w:t>simvastatinas</w:t>
      </w:r>
      <w:proofErr w:type="spellEnd"/>
      <w:r w:rsidR="001175EF" w:rsidRPr="00130A96">
        <w:t xml:space="preserve"> įtakos dapagliflozino farmakokinetikai neturi.</w:t>
      </w:r>
    </w:p>
    <w:p w14:paraId="6D8690A2" w14:textId="77777777" w:rsidR="00C0147E" w:rsidRPr="00130A96" w:rsidRDefault="00C0147E" w:rsidP="00130A96">
      <w:pPr>
        <w:pStyle w:val="Pagrindinistekstas"/>
      </w:pPr>
    </w:p>
    <w:p w14:paraId="6D8690A3" w14:textId="7A1E8991" w:rsidR="00C0147E" w:rsidRDefault="001175EF" w:rsidP="00130A96">
      <w:pPr>
        <w:pStyle w:val="Pagrindinistekstas"/>
      </w:pPr>
      <w:r w:rsidRPr="00130A96">
        <w:t xml:space="preserve">Kartu vartojant </w:t>
      </w:r>
      <w:proofErr w:type="spellStart"/>
      <w:r w:rsidRPr="00130A96">
        <w:t>rifampicin</w:t>
      </w:r>
      <w:r w:rsidR="001E4793">
        <w:t>o</w:t>
      </w:r>
      <w:proofErr w:type="spellEnd"/>
      <w:r w:rsidRPr="00130A96">
        <w:t xml:space="preserve">, kuris aktyvina įvairius aktyvius nešiklius ir </w:t>
      </w:r>
      <w:r w:rsidR="005B5C48" w:rsidRPr="005B5C48">
        <w:t xml:space="preserve">vaistinius preparatus </w:t>
      </w:r>
      <w:proofErr w:type="spellStart"/>
      <w:r w:rsidR="005B5C48" w:rsidRPr="005B5C48">
        <w:t>metabolizuojančius</w:t>
      </w:r>
      <w:proofErr w:type="spellEnd"/>
      <w:r w:rsidR="005B5C48" w:rsidRPr="005B5C48">
        <w:t xml:space="preserve"> fermentus</w:t>
      </w:r>
      <w:r w:rsidRPr="00130A96">
        <w:t>, nustatyta 22</w:t>
      </w:r>
      <w:r w:rsidR="00873FCC">
        <w:t> %</w:t>
      </w:r>
      <w:r w:rsidRPr="00130A96">
        <w:t xml:space="preserve"> sumažėjusi dapagliflozino sisteminė ekspozicija (AUC), tačiau klini</w:t>
      </w:r>
      <w:r w:rsidR="0062590C">
        <w:t>š</w:t>
      </w:r>
      <w:r w:rsidRPr="00130A96">
        <w:t>kai reikšmingo poveikio gliukozės išskyrimui su šlapimu 24</w:t>
      </w:r>
      <w:r w:rsidR="00430508">
        <w:t> </w:t>
      </w:r>
      <w:r w:rsidRPr="00130A96">
        <w:t xml:space="preserve">val. </w:t>
      </w:r>
      <w:r w:rsidR="00430508">
        <w:t xml:space="preserve">laikotarpiu </w:t>
      </w:r>
      <w:r w:rsidRPr="00130A96">
        <w:t xml:space="preserve">nepasireiškė. Dozės koreguoti nerekomenduojama. </w:t>
      </w:r>
      <w:r w:rsidR="00D65DB5">
        <w:t>K</w:t>
      </w:r>
      <w:r w:rsidRPr="00130A96">
        <w:t xml:space="preserve">linikai reikšmingo kitų </w:t>
      </w:r>
      <w:proofErr w:type="spellStart"/>
      <w:r w:rsidRPr="00130A96">
        <w:t>induktorių</w:t>
      </w:r>
      <w:proofErr w:type="spellEnd"/>
      <w:r w:rsidRPr="00130A96">
        <w:t xml:space="preserve"> (pvz., </w:t>
      </w:r>
      <w:proofErr w:type="spellStart"/>
      <w:r w:rsidRPr="00130A96">
        <w:t>karbamazepino</w:t>
      </w:r>
      <w:proofErr w:type="spellEnd"/>
      <w:r w:rsidRPr="00130A96">
        <w:t xml:space="preserve">, </w:t>
      </w:r>
      <w:proofErr w:type="spellStart"/>
      <w:r w:rsidRPr="00130A96">
        <w:t>fenitoino</w:t>
      </w:r>
      <w:proofErr w:type="spellEnd"/>
      <w:r w:rsidRPr="00130A96">
        <w:t xml:space="preserve">, </w:t>
      </w:r>
      <w:proofErr w:type="spellStart"/>
      <w:r w:rsidRPr="00130A96">
        <w:t>fenobarbitalio</w:t>
      </w:r>
      <w:proofErr w:type="spellEnd"/>
      <w:r w:rsidRPr="00130A96">
        <w:t>) poveikio</w:t>
      </w:r>
      <w:r w:rsidR="00D65DB5">
        <w:t xml:space="preserve"> nesitikima</w:t>
      </w:r>
      <w:r w:rsidRPr="00130A96">
        <w:t>.</w:t>
      </w:r>
    </w:p>
    <w:p w14:paraId="4AB52259" w14:textId="77777777" w:rsidR="007006F5" w:rsidRPr="00130A96" w:rsidRDefault="007006F5" w:rsidP="00130A96">
      <w:pPr>
        <w:pStyle w:val="Pagrindinistekstas"/>
      </w:pPr>
    </w:p>
    <w:p w14:paraId="6D8690A4" w14:textId="463C134E" w:rsidR="00C0147E" w:rsidRPr="00130A96" w:rsidRDefault="001175EF" w:rsidP="00130A96">
      <w:pPr>
        <w:pStyle w:val="Pagrindinistekstas"/>
      </w:pPr>
      <w:r w:rsidRPr="00130A96">
        <w:t xml:space="preserve">Kartu vartojant </w:t>
      </w:r>
      <w:proofErr w:type="spellStart"/>
      <w:r w:rsidRPr="00130A96">
        <w:t>mefenamo</w:t>
      </w:r>
      <w:proofErr w:type="spellEnd"/>
      <w:r w:rsidRPr="00130A96">
        <w:t xml:space="preserve"> rūgšt</w:t>
      </w:r>
      <w:r w:rsidR="000C1228">
        <w:t>ies</w:t>
      </w:r>
      <w:r w:rsidRPr="00130A96">
        <w:t>, kuri slopina UGT1A9, nustatyta 55</w:t>
      </w:r>
      <w:r w:rsidR="00873FCC">
        <w:t> %</w:t>
      </w:r>
      <w:r w:rsidRPr="00130A96">
        <w:t xml:space="preserve"> padidėjusi dapagliflozino sisteminė ekspozicija, tačiau klini</w:t>
      </w:r>
      <w:r w:rsidR="0062590C">
        <w:t>š</w:t>
      </w:r>
      <w:r w:rsidRPr="00130A96">
        <w:t xml:space="preserve">kai reikšmingo poveikio gliukozės išskyrimui su šlapimu 24 val. </w:t>
      </w:r>
      <w:r w:rsidR="000C1228">
        <w:t xml:space="preserve">laikotarpiu </w:t>
      </w:r>
      <w:r w:rsidRPr="00130A96">
        <w:t>nepasireiškė. Dozės koreguoti nerekomenduojama.</w:t>
      </w:r>
    </w:p>
    <w:p w14:paraId="6D8690A5" w14:textId="77777777" w:rsidR="00C0147E" w:rsidRPr="00130A96" w:rsidRDefault="00C0147E" w:rsidP="00130A96">
      <w:pPr>
        <w:pStyle w:val="Pagrindinistekstas"/>
      </w:pPr>
    </w:p>
    <w:p w14:paraId="6D8690A6" w14:textId="77777777" w:rsidR="00C0147E" w:rsidRPr="0036646D" w:rsidRDefault="001175EF" w:rsidP="00130A96">
      <w:pPr>
        <w:pStyle w:val="Pagrindinistekstas"/>
      </w:pPr>
      <w:r w:rsidRPr="0036646D">
        <w:rPr>
          <w:u w:val="single"/>
        </w:rPr>
        <w:t>Dapagliflozino poveikis kitiems vaistiniams preparatams</w:t>
      </w:r>
    </w:p>
    <w:p w14:paraId="6D8690A7" w14:textId="77777777" w:rsidR="00C0147E" w:rsidRPr="0036646D" w:rsidRDefault="00C0147E" w:rsidP="00130A96">
      <w:pPr>
        <w:pStyle w:val="Pagrindinistekstas"/>
      </w:pPr>
    </w:p>
    <w:p w14:paraId="17B7E3C5" w14:textId="366C6738" w:rsidR="007006F5" w:rsidRDefault="001175EF" w:rsidP="00130A96">
      <w:pPr>
        <w:pStyle w:val="Pagrindinistekstas"/>
      </w:pPr>
      <w:r w:rsidRPr="0036646D">
        <w:t>Dapagliflozinas gali padidinti ličio išskyrimą per inkstus, todėl gali sumažėti ličio koncentracija kraujyje. Pradėjus vartoti dapagliflozin</w:t>
      </w:r>
      <w:r w:rsidR="00FB5C06">
        <w:t>o</w:t>
      </w:r>
      <w:r w:rsidRPr="0036646D">
        <w:t xml:space="preserve"> </w:t>
      </w:r>
      <w:r w:rsidR="00FB5C06">
        <w:t>ir</w:t>
      </w:r>
      <w:r w:rsidRPr="0036646D">
        <w:t xml:space="preserve"> pakeitus jo dozę, reikia dažniau </w:t>
      </w:r>
      <w:r w:rsidR="00FB5C06">
        <w:t xml:space="preserve">tirti </w:t>
      </w:r>
      <w:r w:rsidRPr="0036646D">
        <w:t xml:space="preserve">ličio koncentraciją kraujo serume. </w:t>
      </w:r>
      <w:r w:rsidR="00872A24">
        <w:t xml:space="preserve">Pacientą reikia nukreipti pas ličio terapiją skiriantį gydytoją, stebėsenai dėl ličio koncentracijos </w:t>
      </w:r>
      <w:r w:rsidR="00CE1162" w:rsidRPr="00CE1162">
        <w:t>serume.</w:t>
      </w:r>
    </w:p>
    <w:p w14:paraId="4070A59A" w14:textId="77777777" w:rsidR="00CE1162" w:rsidRPr="00CE1162" w:rsidRDefault="00CE1162" w:rsidP="00130A96">
      <w:pPr>
        <w:pStyle w:val="Pagrindinistekstas"/>
      </w:pPr>
    </w:p>
    <w:p w14:paraId="6D8690A9" w14:textId="1F9A4432" w:rsidR="00C0147E" w:rsidRPr="00130A96" w:rsidRDefault="003B6816" w:rsidP="00130A96">
      <w:pPr>
        <w:pStyle w:val="Pagrindinistekstas"/>
      </w:pPr>
      <w:r>
        <w:t xml:space="preserve">Sąveikos tyrimų, atliktų su sveikais asmenimis (daugiausia taikant vienkartinės dozės schemą), duomenys rodo, kad dapagliflozinas nekeičia </w:t>
      </w:r>
      <w:proofErr w:type="spellStart"/>
      <w:r w:rsidR="001175EF" w:rsidRPr="00130A96">
        <w:t>metformino</w:t>
      </w:r>
      <w:proofErr w:type="spellEnd"/>
      <w:r w:rsidR="001175EF" w:rsidRPr="00130A96">
        <w:t xml:space="preserve">, </w:t>
      </w:r>
      <w:proofErr w:type="spellStart"/>
      <w:r w:rsidR="001175EF" w:rsidRPr="00130A96">
        <w:t>pioglitazono</w:t>
      </w:r>
      <w:proofErr w:type="spellEnd"/>
      <w:r w:rsidR="001175EF" w:rsidRPr="00130A96">
        <w:t xml:space="preserve">, </w:t>
      </w:r>
      <w:proofErr w:type="spellStart"/>
      <w:r w:rsidR="001175EF" w:rsidRPr="00130A96">
        <w:t>sitagliptino</w:t>
      </w:r>
      <w:proofErr w:type="spellEnd"/>
      <w:r w:rsidR="001175EF" w:rsidRPr="00130A96">
        <w:t xml:space="preserve">, </w:t>
      </w:r>
      <w:proofErr w:type="spellStart"/>
      <w:r w:rsidR="001175EF" w:rsidRPr="00130A96">
        <w:t>glimepirido</w:t>
      </w:r>
      <w:proofErr w:type="spellEnd"/>
      <w:r w:rsidR="001175EF" w:rsidRPr="00130A96">
        <w:t xml:space="preserve">, </w:t>
      </w:r>
      <w:proofErr w:type="spellStart"/>
      <w:r w:rsidR="001175EF" w:rsidRPr="00130A96">
        <w:t>hidrochlorotiazido</w:t>
      </w:r>
      <w:proofErr w:type="spellEnd"/>
      <w:r w:rsidR="001175EF" w:rsidRPr="00130A96">
        <w:t xml:space="preserve">, </w:t>
      </w:r>
      <w:proofErr w:type="spellStart"/>
      <w:r w:rsidR="001175EF" w:rsidRPr="00130A96">
        <w:t>bumetanido</w:t>
      </w:r>
      <w:proofErr w:type="spellEnd"/>
      <w:r w:rsidR="001175EF" w:rsidRPr="00130A96">
        <w:t xml:space="preserve">, </w:t>
      </w:r>
      <w:proofErr w:type="spellStart"/>
      <w:r w:rsidR="001175EF" w:rsidRPr="00130A96">
        <w:t>valsartano</w:t>
      </w:r>
      <w:proofErr w:type="spellEnd"/>
      <w:r w:rsidR="001175EF" w:rsidRPr="00130A96">
        <w:t xml:space="preserve">, </w:t>
      </w:r>
      <w:proofErr w:type="spellStart"/>
      <w:r w:rsidR="001175EF" w:rsidRPr="00130A96">
        <w:t>digoksino</w:t>
      </w:r>
      <w:proofErr w:type="spellEnd"/>
      <w:r w:rsidR="001175EF" w:rsidRPr="00130A96">
        <w:t xml:space="preserve"> (P</w:t>
      </w:r>
      <w:r w:rsidR="00B538EE">
        <w:noBreakHyphen/>
      </w:r>
      <w:proofErr w:type="spellStart"/>
      <w:r w:rsidR="001175EF" w:rsidRPr="00130A96">
        <w:t>gp</w:t>
      </w:r>
      <w:proofErr w:type="spellEnd"/>
      <w:r w:rsidR="001175EF" w:rsidRPr="00130A96">
        <w:t xml:space="preserve"> substrato) ir varfarino (S</w:t>
      </w:r>
      <w:r w:rsidR="00B538EE">
        <w:noBreakHyphen/>
      </w:r>
      <w:r w:rsidR="001175EF" w:rsidRPr="00130A96">
        <w:t>varfarino, CYP2C9 substrato) farmakokinetik</w:t>
      </w:r>
      <w:r w:rsidR="00B538EE">
        <w:t>ai</w:t>
      </w:r>
      <w:r w:rsidR="001175EF" w:rsidRPr="00130A96">
        <w:t xml:space="preserve"> </w:t>
      </w:r>
      <w:r w:rsidR="006566A6">
        <w:t xml:space="preserve">ir varfarino sukeliamo </w:t>
      </w:r>
      <w:proofErr w:type="spellStart"/>
      <w:r w:rsidR="006566A6">
        <w:t>antikoaguliacinio</w:t>
      </w:r>
      <w:proofErr w:type="spellEnd"/>
      <w:r w:rsidR="006566A6">
        <w:t xml:space="preserve"> poveikio, vertinamo pagal TNS (tarptautinį normalizuotą santykį)</w:t>
      </w:r>
      <w:r w:rsidR="006566A6" w:rsidRPr="007C5D78">
        <w:t xml:space="preserve">. </w:t>
      </w:r>
      <w:r w:rsidR="006566A6">
        <w:t xml:space="preserve">Vienkartinę 20 mg dapagliflozino dozę vartojant kartu su </w:t>
      </w:r>
      <w:proofErr w:type="spellStart"/>
      <w:r w:rsidR="006566A6">
        <w:t>simvastatinu</w:t>
      </w:r>
      <w:proofErr w:type="spellEnd"/>
      <w:r w:rsidR="006566A6">
        <w:t xml:space="preserve"> </w:t>
      </w:r>
      <w:r w:rsidR="00062812" w:rsidRPr="00062812">
        <w:t xml:space="preserve">(CYP3A4 substrato) derinys padidino </w:t>
      </w:r>
      <w:proofErr w:type="spellStart"/>
      <w:r w:rsidR="00062812" w:rsidRPr="00062812">
        <w:t>simvastatino</w:t>
      </w:r>
      <w:proofErr w:type="spellEnd"/>
      <w:r w:rsidR="00062812" w:rsidRPr="00062812">
        <w:t xml:space="preserve"> AUC 19</w:t>
      </w:r>
      <w:r w:rsidR="00062812">
        <w:t> </w:t>
      </w:r>
      <w:r w:rsidR="00062812" w:rsidRPr="00062812">
        <w:t xml:space="preserve">%, o </w:t>
      </w:r>
      <w:proofErr w:type="spellStart"/>
      <w:r w:rsidR="00062812" w:rsidRPr="00062812">
        <w:t>simvastatino</w:t>
      </w:r>
      <w:proofErr w:type="spellEnd"/>
      <w:r w:rsidR="00062812" w:rsidRPr="00062812">
        <w:t xml:space="preserve"> rūgšties AUC –</w:t>
      </w:r>
      <w:r w:rsidR="004F2960">
        <w:t>-</w:t>
      </w:r>
      <w:r w:rsidR="00062812" w:rsidRPr="00062812">
        <w:t>31</w:t>
      </w:r>
      <w:r w:rsidR="004F2960">
        <w:t> </w:t>
      </w:r>
      <w:r w:rsidR="00062812" w:rsidRPr="00062812">
        <w:t>%.</w:t>
      </w:r>
      <w:r w:rsidR="004F2960">
        <w:t xml:space="preserve"> </w:t>
      </w:r>
      <w:r w:rsidR="001175EF" w:rsidRPr="00130A96">
        <w:t xml:space="preserve">Šis </w:t>
      </w:r>
      <w:proofErr w:type="spellStart"/>
      <w:r w:rsidR="001175EF" w:rsidRPr="00130A96">
        <w:t>simvastatino</w:t>
      </w:r>
      <w:proofErr w:type="spellEnd"/>
      <w:r w:rsidR="001175EF" w:rsidRPr="00130A96">
        <w:t xml:space="preserve"> ir </w:t>
      </w:r>
      <w:proofErr w:type="spellStart"/>
      <w:r w:rsidR="001175EF" w:rsidRPr="00130A96">
        <w:t>simvastatino</w:t>
      </w:r>
      <w:proofErr w:type="spellEnd"/>
      <w:r w:rsidR="001175EF" w:rsidRPr="00130A96">
        <w:t xml:space="preserve"> rūgšties ekspozicijos padidėjimas</w:t>
      </w:r>
      <w:r w:rsidR="00A8226B" w:rsidRPr="00A8226B">
        <w:t xml:space="preserve"> </w:t>
      </w:r>
      <w:r w:rsidR="00A8226B">
        <w:t>laikomas kliniškai nereikšmingu</w:t>
      </w:r>
      <w:r w:rsidR="001175EF" w:rsidRPr="00130A96">
        <w:t>.</w:t>
      </w:r>
    </w:p>
    <w:p w14:paraId="6D8690AA" w14:textId="77777777" w:rsidR="00C0147E" w:rsidRPr="00130A96" w:rsidRDefault="00C0147E" w:rsidP="00130A96">
      <w:pPr>
        <w:pStyle w:val="Pagrindinistekstas"/>
      </w:pPr>
    </w:p>
    <w:p w14:paraId="6D8690AB" w14:textId="7C36EBB5" w:rsidR="00C0147E" w:rsidRPr="00130A96" w:rsidRDefault="001460BB" w:rsidP="00130A96">
      <w:pPr>
        <w:pStyle w:val="Pagrindinistekstas"/>
      </w:pPr>
      <w:r>
        <w:rPr>
          <w:u w:val="single"/>
        </w:rPr>
        <w:t xml:space="preserve">Sąveika su </w:t>
      </w:r>
      <w:r w:rsidR="001175EF" w:rsidRPr="00130A96">
        <w:rPr>
          <w:u w:val="single"/>
        </w:rPr>
        <w:t>1,5</w:t>
      </w:r>
      <w:r w:rsidR="00FE7B8C">
        <w:rPr>
          <w:u w:val="single"/>
        </w:rPr>
        <w:noBreakHyphen/>
      </w:r>
      <w:r w:rsidR="001175EF" w:rsidRPr="00130A96">
        <w:rPr>
          <w:u w:val="single"/>
        </w:rPr>
        <w:t>anhidrogliucitolio (1,5</w:t>
      </w:r>
      <w:r w:rsidR="00FE7B8C">
        <w:rPr>
          <w:u w:val="single"/>
        </w:rPr>
        <w:noBreakHyphen/>
      </w:r>
      <w:r w:rsidR="001175EF" w:rsidRPr="00130A96">
        <w:rPr>
          <w:u w:val="single"/>
        </w:rPr>
        <w:t xml:space="preserve">AG) </w:t>
      </w:r>
      <w:r>
        <w:rPr>
          <w:u w:val="single"/>
        </w:rPr>
        <w:t>tyrimu</w:t>
      </w:r>
    </w:p>
    <w:p w14:paraId="6D8690AC" w14:textId="77777777" w:rsidR="00C0147E" w:rsidRPr="00130A96" w:rsidRDefault="00C0147E" w:rsidP="00130A96">
      <w:pPr>
        <w:pStyle w:val="Pagrindinistekstas"/>
      </w:pPr>
    </w:p>
    <w:p w14:paraId="6D8690AD" w14:textId="435A4C2C" w:rsidR="00C0147E" w:rsidRDefault="00D42D7B" w:rsidP="00130A96">
      <w:pPr>
        <w:pStyle w:val="Pagrindinistekstas"/>
      </w:pPr>
      <w:proofErr w:type="spellStart"/>
      <w:r>
        <w:t>Glikemijos</w:t>
      </w:r>
      <w:proofErr w:type="spellEnd"/>
      <w:r>
        <w:t xml:space="preserve"> kontrolės stebėjimui nerekomenduojama naudoti 1,5-AG tyrimo, nes 1,5-AG matavimai yra nepatikimi vertinant SGLT2 inhibitorius vartojančių pacientų </w:t>
      </w:r>
      <w:proofErr w:type="spellStart"/>
      <w:r>
        <w:t>glikemijos</w:t>
      </w:r>
      <w:proofErr w:type="spellEnd"/>
      <w:r>
        <w:t xml:space="preserve"> kontrolę. </w:t>
      </w:r>
      <w:proofErr w:type="spellStart"/>
      <w:r>
        <w:t>Glikemijos</w:t>
      </w:r>
      <w:proofErr w:type="spellEnd"/>
      <w:r>
        <w:t xml:space="preserve"> kontrolei stebėti patariama naudoti alternatyvius metodus</w:t>
      </w:r>
      <w:r w:rsidR="001175EF" w:rsidRPr="00130A96">
        <w:t>.</w:t>
      </w:r>
    </w:p>
    <w:p w14:paraId="703E4B81" w14:textId="77777777" w:rsidR="007006F5" w:rsidRPr="00130A96" w:rsidRDefault="007006F5" w:rsidP="00130A96">
      <w:pPr>
        <w:pStyle w:val="Pagrindinistekstas"/>
      </w:pPr>
    </w:p>
    <w:p w14:paraId="7F546AD3" w14:textId="09AD0FF8" w:rsidR="007006F5" w:rsidRPr="007006F5" w:rsidRDefault="001175EF" w:rsidP="00130A96">
      <w:pPr>
        <w:pStyle w:val="Pagrindinistekstas"/>
        <w:rPr>
          <w:u w:val="single"/>
        </w:rPr>
      </w:pPr>
      <w:r w:rsidRPr="00130A96">
        <w:rPr>
          <w:u w:val="single"/>
        </w:rPr>
        <w:t>Vaikų populiacija</w:t>
      </w:r>
    </w:p>
    <w:p w14:paraId="6D8690AF" w14:textId="77777777" w:rsidR="00C0147E" w:rsidRPr="00130A96" w:rsidRDefault="00C0147E" w:rsidP="00130A96">
      <w:pPr>
        <w:pStyle w:val="Pagrindinistekstas"/>
      </w:pPr>
    </w:p>
    <w:p w14:paraId="56140151" w14:textId="77777777" w:rsidR="00093AF3" w:rsidRPr="00093AF3" w:rsidRDefault="00093AF3" w:rsidP="00093AF3">
      <w:pPr>
        <w:pStyle w:val="Pagrindinistekstas"/>
      </w:pPr>
      <w:r w:rsidRPr="00093AF3">
        <w:t>Sąveikos tyrimai atlikti tik suaugusiesiems.</w:t>
      </w:r>
    </w:p>
    <w:p w14:paraId="6D8690B1" w14:textId="77777777" w:rsidR="00C0147E" w:rsidRPr="00130A96" w:rsidRDefault="00C0147E" w:rsidP="00130A96">
      <w:pPr>
        <w:pStyle w:val="Pagrindinistekstas"/>
      </w:pPr>
    </w:p>
    <w:p w14:paraId="6D8690B2" w14:textId="77777777" w:rsidR="00C0147E" w:rsidRPr="00130A96" w:rsidRDefault="001175EF" w:rsidP="007006F5">
      <w:pPr>
        <w:pStyle w:val="Antrat2"/>
        <w:numPr>
          <w:ilvl w:val="1"/>
          <w:numId w:val="16"/>
        </w:numPr>
        <w:tabs>
          <w:tab w:val="left" w:pos="852"/>
        </w:tabs>
        <w:ind w:left="567"/>
      </w:pPr>
      <w:r w:rsidRPr="00130A96">
        <w:t>Vaisingumas, nėštumo ir žindymo laikotarpis</w:t>
      </w:r>
    </w:p>
    <w:p w14:paraId="6D8690B3" w14:textId="77777777" w:rsidR="00C0147E" w:rsidRPr="00130A96" w:rsidRDefault="00C0147E" w:rsidP="00130A96">
      <w:pPr>
        <w:pStyle w:val="Pagrindinistekstas"/>
        <w:rPr>
          <w:b/>
        </w:rPr>
      </w:pPr>
    </w:p>
    <w:p w14:paraId="6D8690B4" w14:textId="77777777" w:rsidR="00C0147E" w:rsidRPr="00130A96" w:rsidRDefault="001175EF" w:rsidP="00130A96">
      <w:pPr>
        <w:pStyle w:val="Pagrindinistekstas"/>
      </w:pPr>
      <w:r w:rsidRPr="00130A96">
        <w:rPr>
          <w:u w:val="single"/>
        </w:rPr>
        <w:t>Nėštumas</w:t>
      </w:r>
    </w:p>
    <w:p w14:paraId="6D8690B5" w14:textId="77777777" w:rsidR="00C0147E" w:rsidRPr="00130A96" w:rsidRDefault="00C0147E" w:rsidP="00130A96">
      <w:pPr>
        <w:pStyle w:val="Pagrindinistekstas"/>
      </w:pPr>
    </w:p>
    <w:p w14:paraId="6D8690B6" w14:textId="30D37DF8" w:rsidR="00C0147E" w:rsidRPr="00130A96" w:rsidRDefault="00DB4F39" w:rsidP="00130A96">
      <w:pPr>
        <w:pStyle w:val="Pagrindinistekstas"/>
      </w:pPr>
      <w:r w:rsidRPr="0018511C">
        <w:t xml:space="preserve">Duomenų apie dapagliflozino vartojimą nėštumo metu nėra. </w:t>
      </w:r>
      <w:r w:rsidR="00940CB5" w:rsidRPr="0018511C">
        <w:t>Tyrimai su žiurkėmis</w:t>
      </w:r>
      <w:r w:rsidR="001175EF" w:rsidRPr="0018511C">
        <w:t xml:space="preserve"> parodė toksinį poveikį besivystantiems inkstams laikotarpiu, atitinkančiu</w:t>
      </w:r>
      <w:r w:rsidR="001175EF" w:rsidRPr="00130A96">
        <w:t xml:space="preserve"> antrą ir trečią žmogaus nėštumo trimestrus (žr. 5.3</w:t>
      </w:r>
      <w:r w:rsidR="00873FCC">
        <w:t> skyrių</w:t>
      </w:r>
      <w:r w:rsidR="001175EF" w:rsidRPr="00130A96">
        <w:t xml:space="preserve">), </w:t>
      </w:r>
      <w:r w:rsidR="0018511C" w:rsidRPr="0018511C">
        <w:t>todėl antrą ir trečią nėštumo trimestrus dapagliflozino vartoti nerekomenduojama.</w:t>
      </w:r>
    </w:p>
    <w:p w14:paraId="6D8690B7" w14:textId="77777777" w:rsidR="00C0147E" w:rsidRPr="00130A96" w:rsidRDefault="00C0147E" w:rsidP="00130A96">
      <w:pPr>
        <w:pStyle w:val="Pagrindinistekstas"/>
      </w:pPr>
    </w:p>
    <w:p w14:paraId="304EEAE3" w14:textId="77777777" w:rsidR="007006F5" w:rsidRDefault="001175EF" w:rsidP="00130A96">
      <w:pPr>
        <w:pStyle w:val="Pagrindinistekstas"/>
      </w:pPr>
      <w:r w:rsidRPr="00130A96">
        <w:t>Nustačius nėštumą, dapagliflozino vartojimą reikia nutraukti.</w:t>
      </w:r>
    </w:p>
    <w:p w14:paraId="1BE3989E" w14:textId="77777777" w:rsidR="00E551D6" w:rsidRDefault="00E551D6" w:rsidP="00130A96">
      <w:pPr>
        <w:pStyle w:val="Pagrindinistekstas"/>
      </w:pPr>
    </w:p>
    <w:p w14:paraId="6D8690B8" w14:textId="5E95C0D5" w:rsidR="00C0147E" w:rsidRDefault="001175EF" w:rsidP="00130A96">
      <w:pPr>
        <w:pStyle w:val="Pagrindinistekstas"/>
        <w:rPr>
          <w:u w:val="single"/>
        </w:rPr>
      </w:pPr>
      <w:r w:rsidRPr="00130A96">
        <w:rPr>
          <w:u w:val="single"/>
        </w:rPr>
        <w:t>Žindymas</w:t>
      </w:r>
    </w:p>
    <w:p w14:paraId="656DF7F6" w14:textId="77777777" w:rsidR="007006F5" w:rsidRPr="00130A96" w:rsidRDefault="007006F5" w:rsidP="00130A96">
      <w:pPr>
        <w:pStyle w:val="Pagrindinistekstas"/>
      </w:pPr>
    </w:p>
    <w:p w14:paraId="6D8690BB" w14:textId="51F27975" w:rsidR="00C0147E" w:rsidRPr="00130A96" w:rsidRDefault="00A26EED" w:rsidP="00130A96">
      <w:pPr>
        <w:pStyle w:val="Pagrindinistekstas"/>
      </w:pPr>
      <w:r>
        <w:lastRenderedPageBreak/>
        <w:t>Nežinoma, a</w:t>
      </w:r>
      <w:r w:rsidR="001175EF" w:rsidRPr="00130A96">
        <w:t xml:space="preserve">r dapagliflozino ir (arba) jo metabolitų išsiskiria į </w:t>
      </w:r>
      <w:r w:rsidR="001351C0">
        <w:t xml:space="preserve">gydytų </w:t>
      </w:r>
      <w:r w:rsidR="001175EF" w:rsidRPr="00130A96">
        <w:t>mote</w:t>
      </w:r>
      <w:r w:rsidR="001351C0">
        <w:t>rų</w:t>
      </w:r>
      <w:r w:rsidR="001175EF" w:rsidRPr="00130A96">
        <w:t xml:space="preserve"> pieną. Turimi farmakodinamikos </w:t>
      </w:r>
      <w:r w:rsidR="000F7CCB">
        <w:t xml:space="preserve">/ </w:t>
      </w:r>
      <w:proofErr w:type="spellStart"/>
      <w:r w:rsidR="001175EF" w:rsidRPr="00130A96">
        <w:t>toksikologini</w:t>
      </w:r>
      <w:r w:rsidR="000F7CCB">
        <w:t>ai</w:t>
      </w:r>
      <w:proofErr w:type="spellEnd"/>
      <w:r w:rsidR="001175EF" w:rsidRPr="00130A96">
        <w:t xml:space="preserve"> tyrimų </w:t>
      </w:r>
      <w:r w:rsidR="000F7CCB">
        <w:t xml:space="preserve">su gyvūnais </w:t>
      </w:r>
      <w:r w:rsidR="001175EF" w:rsidRPr="00130A96">
        <w:t>duomenys rodo dapagliflozino ir (ar</w:t>
      </w:r>
      <w:r w:rsidR="00155700">
        <w:t>ba</w:t>
      </w:r>
      <w:r w:rsidR="001175EF" w:rsidRPr="00130A96">
        <w:t>) jo metabolitų išskyrimą su pienu bei farmakologinio pobūdžio poveikius žindomiems jaunikliams (žr. 5.3</w:t>
      </w:r>
      <w:r w:rsidR="00873FCC">
        <w:t> skyrių</w:t>
      </w:r>
      <w:r w:rsidR="001175EF" w:rsidRPr="00130A96">
        <w:t>).</w:t>
      </w:r>
      <w:r w:rsidR="00155700">
        <w:t xml:space="preserve"> </w:t>
      </w:r>
      <w:r w:rsidR="001175EF" w:rsidRPr="00130A96">
        <w:t xml:space="preserve">Rizikos naujagimiams </w:t>
      </w:r>
      <w:r w:rsidR="00155700">
        <w:t xml:space="preserve">/ </w:t>
      </w:r>
      <w:r w:rsidR="001175EF" w:rsidRPr="00130A96">
        <w:t xml:space="preserve">kūdikiams galimybės </w:t>
      </w:r>
      <w:r w:rsidR="00E429EF">
        <w:t>paneigti</w:t>
      </w:r>
      <w:r w:rsidR="00E429EF" w:rsidRPr="00130A96">
        <w:t xml:space="preserve"> </w:t>
      </w:r>
      <w:r w:rsidR="001175EF" w:rsidRPr="00130A96">
        <w:t>negalima. Žindymo laikotarpiu dapagliflozino vartoti negalima.</w:t>
      </w:r>
    </w:p>
    <w:p w14:paraId="6D8690BC" w14:textId="77777777" w:rsidR="00C0147E" w:rsidRPr="00130A96" w:rsidRDefault="00C0147E" w:rsidP="00130A96">
      <w:pPr>
        <w:pStyle w:val="Pagrindinistekstas"/>
      </w:pPr>
    </w:p>
    <w:p w14:paraId="6D8690BD" w14:textId="77777777" w:rsidR="00C0147E" w:rsidRPr="00130A96" w:rsidRDefault="001175EF" w:rsidP="00130A96">
      <w:pPr>
        <w:pStyle w:val="Pagrindinistekstas"/>
      </w:pPr>
      <w:r w:rsidRPr="00130A96">
        <w:rPr>
          <w:u w:val="single"/>
        </w:rPr>
        <w:t>Vaisingumas</w:t>
      </w:r>
    </w:p>
    <w:p w14:paraId="6D8690BE" w14:textId="77777777" w:rsidR="00C0147E" w:rsidRPr="00130A96" w:rsidRDefault="00C0147E" w:rsidP="00130A96">
      <w:pPr>
        <w:pStyle w:val="Pagrindinistekstas"/>
      </w:pPr>
    </w:p>
    <w:p w14:paraId="6D8690BF" w14:textId="77777777" w:rsidR="00C0147E" w:rsidRPr="00130A96" w:rsidRDefault="001175EF" w:rsidP="00130A96">
      <w:pPr>
        <w:pStyle w:val="Pagrindinistekstas"/>
      </w:pPr>
      <w:r w:rsidRPr="00130A96">
        <w:t>Dapagliflozino poveikis žmonių vaisingumui netirtas. Jokia tirta dapagliflozino dozė žiurkių patinų ir patelių vaisingumo neveikė.</w:t>
      </w:r>
    </w:p>
    <w:p w14:paraId="6D8690C0" w14:textId="77777777" w:rsidR="00C0147E" w:rsidRPr="00130A96" w:rsidRDefault="00C0147E" w:rsidP="00130A96">
      <w:pPr>
        <w:pStyle w:val="Pagrindinistekstas"/>
      </w:pPr>
    </w:p>
    <w:p w14:paraId="6D8690C1" w14:textId="77777777" w:rsidR="00C0147E" w:rsidRPr="00130A96" w:rsidRDefault="001175EF" w:rsidP="007006F5">
      <w:pPr>
        <w:pStyle w:val="Antrat2"/>
        <w:numPr>
          <w:ilvl w:val="1"/>
          <w:numId w:val="16"/>
        </w:numPr>
        <w:tabs>
          <w:tab w:val="left" w:pos="852"/>
        </w:tabs>
        <w:ind w:left="567"/>
      </w:pPr>
      <w:r w:rsidRPr="00130A96">
        <w:t>Poveikis gebėjimui vairuoti ir valdyti mechanizmus</w:t>
      </w:r>
    </w:p>
    <w:p w14:paraId="6D8690C2" w14:textId="77777777" w:rsidR="00C0147E" w:rsidRPr="00130A96" w:rsidRDefault="00C0147E" w:rsidP="00130A96">
      <w:pPr>
        <w:pStyle w:val="Pagrindinistekstas"/>
        <w:rPr>
          <w:b/>
        </w:rPr>
      </w:pPr>
    </w:p>
    <w:p w14:paraId="6D8690C3" w14:textId="5E2A5924" w:rsidR="00C0147E" w:rsidRPr="00130A96" w:rsidRDefault="00873FCC" w:rsidP="00130A96">
      <w:pPr>
        <w:pStyle w:val="Pagrindinistekstas"/>
      </w:pPr>
      <w:proofErr w:type="spellStart"/>
      <w:r>
        <w:t>Dapagliflozin</w:t>
      </w:r>
      <w:proofErr w:type="spellEnd"/>
      <w:r>
        <w:t xml:space="preserve"> Olpha</w:t>
      </w:r>
      <w:r w:rsidR="001175EF" w:rsidRPr="00130A96">
        <w:t xml:space="preserve"> gebėjimo vairuoti ir valdyti mechanizmus neveikia arba veikia nereikšmingai. Dapagliflozin</w:t>
      </w:r>
      <w:r w:rsidR="009209CC">
        <w:t>o</w:t>
      </w:r>
      <w:r w:rsidR="001175EF" w:rsidRPr="00130A96">
        <w:t xml:space="preserve"> kartu su </w:t>
      </w:r>
      <w:proofErr w:type="spellStart"/>
      <w:r w:rsidR="001175EF" w:rsidRPr="00130A96">
        <w:t>sulfonilkarbamid</w:t>
      </w:r>
      <w:r w:rsidR="00E429EF">
        <w:t>o</w:t>
      </w:r>
      <w:proofErr w:type="spellEnd"/>
      <w:r w:rsidR="00E429EF">
        <w:t xml:space="preserve"> dariniais</w:t>
      </w:r>
      <w:r w:rsidR="001175EF" w:rsidRPr="00130A96">
        <w:t xml:space="preserve"> ar insulinu vartojančius pacientus reikia įspėti apie hipoglikemijos pavojų.</w:t>
      </w:r>
    </w:p>
    <w:p w14:paraId="6D8690C4" w14:textId="77777777" w:rsidR="00C0147E" w:rsidRPr="00130A96" w:rsidRDefault="00C0147E" w:rsidP="00130A96">
      <w:pPr>
        <w:pStyle w:val="Pagrindinistekstas"/>
      </w:pPr>
    </w:p>
    <w:p w14:paraId="6D8690C5" w14:textId="77777777" w:rsidR="00C0147E" w:rsidRPr="00130A96" w:rsidRDefault="001175EF" w:rsidP="00130A96">
      <w:pPr>
        <w:pStyle w:val="Antrat2"/>
        <w:numPr>
          <w:ilvl w:val="1"/>
          <w:numId w:val="16"/>
        </w:numPr>
        <w:tabs>
          <w:tab w:val="left" w:pos="852"/>
        </w:tabs>
        <w:ind w:left="0" w:firstLine="0"/>
      </w:pPr>
      <w:r w:rsidRPr="00130A96">
        <w:t>Nepageidaujamas poveikis</w:t>
      </w:r>
    </w:p>
    <w:p w14:paraId="6D8690C6" w14:textId="77777777" w:rsidR="00C0147E" w:rsidRPr="00130A96" w:rsidRDefault="00C0147E" w:rsidP="00130A96">
      <w:pPr>
        <w:pStyle w:val="Pagrindinistekstas"/>
        <w:rPr>
          <w:b/>
        </w:rPr>
      </w:pPr>
    </w:p>
    <w:p w14:paraId="6D8690C7" w14:textId="77777777" w:rsidR="00C0147E" w:rsidRPr="00130A96" w:rsidRDefault="001175EF" w:rsidP="00130A96">
      <w:pPr>
        <w:pStyle w:val="Pagrindinistekstas"/>
      </w:pPr>
      <w:r w:rsidRPr="00130A96">
        <w:rPr>
          <w:u w:val="single"/>
        </w:rPr>
        <w:t>Saugumo duomenų santrauka</w:t>
      </w:r>
    </w:p>
    <w:p w14:paraId="6D8690C8" w14:textId="77777777" w:rsidR="00C0147E" w:rsidRPr="00130A96" w:rsidRDefault="00C0147E" w:rsidP="00130A96">
      <w:pPr>
        <w:pStyle w:val="Pagrindinistekstas"/>
      </w:pPr>
    </w:p>
    <w:p w14:paraId="6D8690C9" w14:textId="072B365D" w:rsidR="00C0147E" w:rsidRPr="00130A96" w:rsidRDefault="001175EF" w:rsidP="00130A96">
      <w:pPr>
        <w:rPr>
          <w:i/>
        </w:rPr>
      </w:pPr>
      <w:r w:rsidRPr="00130A96">
        <w:rPr>
          <w:i/>
          <w:u w:val="single"/>
        </w:rPr>
        <w:t>2</w:t>
      </w:r>
      <w:r w:rsidR="00873FCC">
        <w:rPr>
          <w:i/>
          <w:u w:val="single"/>
        </w:rPr>
        <w:t> tipo</w:t>
      </w:r>
      <w:r w:rsidRPr="00130A96">
        <w:rPr>
          <w:i/>
          <w:u w:val="single"/>
        </w:rPr>
        <w:t xml:space="preserve"> cukrinis diabetas</w:t>
      </w:r>
    </w:p>
    <w:p w14:paraId="6D8690CA" w14:textId="38D9D123" w:rsidR="00C0147E" w:rsidRPr="00130A96" w:rsidRDefault="00A13C0A" w:rsidP="00130A96">
      <w:pPr>
        <w:pStyle w:val="Pagrindinistekstas"/>
      </w:pPr>
      <w:r>
        <w:t>K</w:t>
      </w:r>
      <w:r w:rsidRPr="007C5D78">
        <w:t>linikinių tyrimų metu dapaglifloziną vartojo daugiau kaip 15 000 pacientų</w:t>
      </w:r>
      <w:r>
        <w:t xml:space="preserve">, sergančių </w:t>
      </w:r>
      <w:r w:rsidR="001175EF" w:rsidRPr="00130A96">
        <w:t>2</w:t>
      </w:r>
      <w:r w:rsidR="00873FCC">
        <w:t> tipo</w:t>
      </w:r>
      <w:r w:rsidR="001175EF" w:rsidRPr="00130A96">
        <w:t xml:space="preserve"> </w:t>
      </w:r>
      <w:r w:rsidR="00796556">
        <w:t>cukrini</w:t>
      </w:r>
      <w:r>
        <w:t>u</w:t>
      </w:r>
      <w:r w:rsidR="00796556">
        <w:t xml:space="preserve"> </w:t>
      </w:r>
      <w:r w:rsidR="001175EF" w:rsidRPr="00130A96">
        <w:t>diabet</w:t>
      </w:r>
      <w:r>
        <w:t>u</w:t>
      </w:r>
      <w:r w:rsidR="001175EF" w:rsidRPr="00130A96">
        <w:t>.</w:t>
      </w:r>
    </w:p>
    <w:p w14:paraId="6D8690CB" w14:textId="77777777" w:rsidR="00C0147E" w:rsidRPr="00130A96" w:rsidRDefault="00C0147E" w:rsidP="00130A96">
      <w:pPr>
        <w:pStyle w:val="Pagrindinistekstas"/>
      </w:pPr>
    </w:p>
    <w:p w14:paraId="6D8690CC" w14:textId="236104AE" w:rsidR="00C0147E" w:rsidRPr="00130A96" w:rsidRDefault="001175EF" w:rsidP="00130A96">
      <w:pPr>
        <w:pStyle w:val="Pagrindinistekstas"/>
      </w:pPr>
      <w:r w:rsidRPr="00130A96">
        <w:t>Pagrindinis saugumo ir toleravimo vertinimas pagrįstas iš anksto numatyta bendra analize, į kurią įtraukta 13</w:t>
      </w:r>
      <w:r w:rsidR="006E3F55">
        <w:t> </w:t>
      </w:r>
      <w:r w:rsidRPr="00130A96">
        <w:t>trumpalaikių (iki 24</w:t>
      </w:r>
      <w:r w:rsidR="006E3F55">
        <w:t> </w:t>
      </w:r>
      <w:r w:rsidRPr="00130A96">
        <w:t>savaičių) placebu kontroliuotų tyrimų (jų metu 2</w:t>
      </w:r>
      <w:r w:rsidR="006E3F55">
        <w:t> </w:t>
      </w:r>
      <w:r w:rsidRPr="00130A96">
        <w:t>360</w:t>
      </w:r>
      <w:r w:rsidR="006E3F55">
        <w:t> pacientų</w:t>
      </w:r>
      <w:r w:rsidRPr="00130A96">
        <w:t xml:space="preserve"> vartojo 10</w:t>
      </w:r>
      <w:r w:rsidR="00873FCC">
        <w:t> mg</w:t>
      </w:r>
      <w:r w:rsidRPr="00130A96">
        <w:t xml:space="preserve"> dapagliflozino ir 2</w:t>
      </w:r>
      <w:r w:rsidR="006E3F55">
        <w:t> </w:t>
      </w:r>
      <w:r w:rsidRPr="00130A96">
        <w:t>295 – placeb</w:t>
      </w:r>
      <w:r w:rsidR="006E3F55">
        <w:t>o</w:t>
      </w:r>
      <w:r w:rsidRPr="00130A96">
        <w:t>).</w:t>
      </w:r>
    </w:p>
    <w:p w14:paraId="6D8690CD" w14:textId="77777777" w:rsidR="00C0147E" w:rsidRPr="00130A96" w:rsidRDefault="00C0147E" w:rsidP="00130A96">
      <w:pPr>
        <w:pStyle w:val="Pagrindinistekstas"/>
      </w:pPr>
    </w:p>
    <w:p w14:paraId="6D8690CE" w14:textId="7A28FB9D" w:rsidR="00C0147E" w:rsidRPr="00130A96" w:rsidRDefault="001175EF" w:rsidP="00130A96">
      <w:pPr>
        <w:pStyle w:val="Pagrindinistekstas"/>
      </w:pPr>
      <w:r w:rsidRPr="00130A96">
        <w:t>Dapagliflozino poveikio 2</w:t>
      </w:r>
      <w:r w:rsidR="00873FCC">
        <w:t> tipo</w:t>
      </w:r>
      <w:r w:rsidRPr="00130A96">
        <w:t xml:space="preserve"> cukriniu diabetu sergančių pacientų kardiovaskulinėms komplikacijoms tyrimo (DECLARE) metu (žr. 5.1</w:t>
      </w:r>
      <w:r w:rsidR="00873FCC">
        <w:t> skyrių</w:t>
      </w:r>
      <w:r w:rsidRPr="00130A96">
        <w:t>) 8</w:t>
      </w:r>
      <w:r w:rsidR="00253BD7">
        <w:t> </w:t>
      </w:r>
      <w:r w:rsidRPr="00130A96">
        <w:t>574</w:t>
      </w:r>
      <w:r w:rsidR="00253BD7">
        <w:t> </w:t>
      </w:r>
      <w:r w:rsidRPr="00130A96">
        <w:t>pacientai vartojo 10</w:t>
      </w:r>
      <w:r w:rsidR="00873FCC">
        <w:t> mg</w:t>
      </w:r>
      <w:r w:rsidRPr="00130A96">
        <w:t xml:space="preserve"> dapagliflozino ir 8</w:t>
      </w:r>
      <w:r w:rsidR="00253BD7">
        <w:t> </w:t>
      </w:r>
      <w:r w:rsidRPr="00130A96">
        <w:t>569 – placeb</w:t>
      </w:r>
      <w:r w:rsidR="00253BD7">
        <w:t>o</w:t>
      </w:r>
      <w:r w:rsidRPr="00130A96">
        <w:t xml:space="preserve"> (vartojimo </w:t>
      </w:r>
      <w:r w:rsidR="00C32B4A">
        <w:t>trukmės</w:t>
      </w:r>
      <w:r w:rsidRPr="00130A96">
        <w:t xml:space="preserve"> mediana buvo 48</w:t>
      </w:r>
      <w:r w:rsidR="00253BD7">
        <w:t> </w:t>
      </w:r>
      <w:r w:rsidRPr="00130A96">
        <w:t>mėn.). Iš viso susidarė 30</w:t>
      </w:r>
      <w:r w:rsidR="00253BD7">
        <w:t> </w:t>
      </w:r>
      <w:r w:rsidRPr="00130A96">
        <w:t>623</w:t>
      </w:r>
      <w:r w:rsidR="00253BD7">
        <w:t> </w:t>
      </w:r>
      <w:r w:rsidR="007F6FD1">
        <w:t>paciento-metų dapagliflozino ekspozicijos</w:t>
      </w:r>
      <w:r w:rsidRPr="00130A96">
        <w:t>.</w:t>
      </w:r>
    </w:p>
    <w:p w14:paraId="6D8690CF" w14:textId="77777777" w:rsidR="00C0147E" w:rsidRPr="00130A96" w:rsidRDefault="00C0147E" w:rsidP="00130A96">
      <w:pPr>
        <w:pStyle w:val="Pagrindinistekstas"/>
      </w:pPr>
    </w:p>
    <w:p w14:paraId="6D8690D0" w14:textId="442BF4CF" w:rsidR="00C0147E" w:rsidRPr="00130A96" w:rsidRDefault="001175EF" w:rsidP="00130A96">
      <w:pPr>
        <w:pStyle w:val="Pagrindinistekstas"/>
      </w:pPr>
      <w:r w:rsidRPr="00130A96">
        <w:t xml:space="preserve">Nepageidaujamos reakcijos, apie kurias dažniausiai pranešta klinikinių tyrimų metu, buvo </w:t>
      </w:r>
      <w:r w:rsidR="00791D20" w:rsidRPr="00791D20">
        <w:t xml:space="preserve">lytinių organų </w:t>
      </w:r>
      <w:r w:rsidRPr="00130A96">
        <w:t>infekcijos.</w:t>
      </w:r>
    </w:p>
    <w:p w14:paraId="6D8690D1" w14:textId="77777777" w:rsidR="00C0147E" w:rsidRPr="00130A96" w:rsidRDefault="00C0147E" w:rsidP="00130A96">
      <w:pPr>
        <w:pStyle w:val="Pagrindinistekstas"/>
      </w:pPr>
    </w:p>
    <w:p w14:paraId="6D8690D2" w14:textId="77777777" w:rsidR="00C0147E" w:rsidRPr="00130A96" w:rsidRDefault="001175EF" w:rsidP="00130A96">
      <w:pPr>
        <w:rPr>
          <w:i/>
        </w:rPr>
      </w:pPr>
      <w:r w:rsidRPr="00130A96">
        <w:rPr>
          <w:i/>
          <w:u w:val="single"/>
        </w:rPr>
        <w:t>Širdies nepakankamumas</w:t>
      </w:r>
    </w:p>
    <w:p w14:paraId="6D8690D3" w14:textId="0E810CCA" w:rsidR="00C0147E" w:rsidRDefault="001175EF" w:rsidP="00130A96">
      <w:pPr>
        <w:pStyle w:val="Pagrindinistekstas"/>
      </w:pPr>
      <w:r w:rsidRPr="00130A96">
        <w:t>Dapagliflozino poveikio kardiovaskulinėms baigtims (DAPA</w:t>
      </w:r>
      <w:r w:rsidR="006F3981">
        <w:noBreakHyphen/>
      </w:r>
      <w:r w:rsidRPr="00130A96">
        <w:t>HF) tyrimo metu 2</w:t>
      </w:r>
      <w:r w:rsidR="006F3981">
        <w:t> </w:t>
      </w:r>
      <w:r w:rsidRPr="00130A96">
        <w:t>368</w:t>
      </w:r>
      <w:r w:rsidR="006F3981">
        <w:t> </w:t>
      </w:r>
      <w:r w:rsidRPr="00130A96">
        <w:t>pacientai, sirgę širdies nepakankamumu su sumažėjusia išstūmimo frakcija, vartojo 10</w:t>
      </w:r>
      <w:r w:rsidR="00873FCC">
        <w:t> mg</w:t>
      </w:r>
      <w:r w:rsidRPr="00130A96">
        <w:t xml:space="preserve"> dapagliflozino, o 2</w:t>
      </w:r>
      <w:r w:rsidR="00CC2B61">
        <w:t> </w:t>
      </w:r>
      <w:r w:rsidRPr="00130A96">
        <w:t>368 – placeb</w:t>
      </w:r>
      <w:r w:rsidR="00CC2B61">
        <w:t>o</w:t>
      </w:r>
      <w:r w:rsidRPr="00130A96">
        <w:t xml:space="preserve"> (</w:t>
      </w:r>
      <w:r w:rsidR="00C32B4A">
        <w:t>vartojimo</w:t>
      </w:r>
      <w:r w:rsidRPr="00130A96">
        <w:t xml:space="preserve"> trukmės mediana buvo 18</w:t>
      </w:r>
      <w:r w:rsidR="00CC2B61">
        <w:t> </w:t>
      </w:r>
      <w:r w:rsidRPr="00130A96">
        <w:t>mėn.). Įtraukti 2</w:t>
      </w:r>
      <w:r w:rsidR="00873FCC">
        <w:t> tipo</w:t>
      </w:r>
      <w:r w:rsidRPr="00130A96">
        <w:t xml:space="preserve"> cukriniu diabetu sirgę ir cukriniu diabetu nesirgę pacientai, kurių </w:t>
      </w:r>
      <w:proofErr w:type="spellStart"/>
      <w:r w:rsidRPr="00130A96">
        <w:t>aGFG</w:t>
      </w:r>
      <w:proofErr w:type="spellEnd"/>
      <w:r w:rsidRPr="00130A96">
        <w:t xml:space="preserve"> buvo </w:t>
      </w:r>
      <w:r w:rsidR="00873FCC">
        <w:t>≥ </w:t>
      </w:r>
      <w:r w:rsidRPr="00130A96">
        <w:t>30</w:t>
      </w:r>
      <w:r w:rsidR="00873FCC">
        <w:t> ml/</w:t>
      </w:r>
      <w:r w:rsidRPr="00130A96">
        <w:t>min./1,73 m</w:t>
      </w:r>
      <w:r w:rsidRPr="00130A96">
        <w:rPr>
          <w:vertAlign w:val="superscript"/>
        </w:rPr>
        <w:t>2</w:t>
      </w:r>
      <w:r w:rsidRPr="00130A96">
        <w:t xml:space="preserve">. Dapagliflozino poveikio širdies nepakankamumu su kairiojo skilvelio išstūmimo frakcija </w:t>
      </w:r>
      <w:r w:rsidR="00873FCC">
        <w:t>&gt; </w:t>
      </w:r>
      <w:r w:rsidRPr="00130A96">
        <w:t>40</w:t>
      </w:r>
      <w:r w:rsidR="00873FCC">
        <w:t> %</w:t>
      </w:r>
      <w:r w:rsidRPr="00130A96">
        <w:t xml:space="preserve"> sergančių pacientų kardiovaskulinėms komplikacijoms tyrimo (DELIVER) metu 3</w:t>
      </w:r>
      <w:r w:rsidR="00AA412F">
        <w:t> </w:t>
      </w:r>
      <w:r w:rsidRPr="00130A96">
        <w:t>126</w:t>
      </w:r>
      <w:r w:rsidR="00AA412F">
        <w:t> </w:t>
      </w:r>
      <w:r w:rsidRPr="00130A96">
        <w:t>pacientai vartojo 10</w:t>
      </w:r>
      <w:r w:rsidR="00873FCC">
        <w:t> mg</w:t>
      </w:r>
      <w:r w:rsidRPr="00130A96">
        <w:t xml:space="preserve"> dapagliflozino ir 3</w:t>
      </w:r>
      <w:r w:rsidR="00AA412F">
        <w:t> </w:t>
      </w:r>
      <w:r w:rsidRPr="00130A96">
        <w:t>127</w:t>
      </w:r>
      <w:r w:rsidR="00AA412F">
        <w:t> </w:t>
      </w:r>
      <w:r w:rsidRPr="00130A96">
        <w:t>pacientai – placeb</w:t>
      </w:r>
      <w:r w:rsidR="00AA412F">
        <w:t>o</w:t>
      </w:r>
      <w:r w:rsidR="00A549B7">
        <w:t xml:space="preserve"> (</w:t>
      </w:r>
      <w:r w:rsidR="00C32B4A">
        <w:t>vartojimo</w:t>
      </w:r>
      <w:r w:rsidR="00A549B7" w:rsidRPr="00130A96">
        <w:t xml:space="preserve"> trukmės mediana buvo </w:t>
      </w:r>
      <w:r w:rsidRPr="00130A96">
        <w:t>27</w:t>
      </w:r>
      <w:r w:rsidR="00A549B7">
        <w:t> </w:t>
      </w:r>
      <w:r w:rsidRPr="00130A96">
        <w:t>mėn.</w:t>
      </w:r>
      <w:r w:rsidR="00A549B7">
        <w:t>).</w:t>
      </w:r>
      <w:r w:rsidRPr="00130A96">
        <w:t xml:space="preserve"> Įtraukti pacientai, sirgę arba nesirgę 2</w:t>
      </w:r>
      <w:r w:rsidR="00873FCC">
        <w:t> tipo</w:t>
      </w:r>
      <w:r w:rsidRPr="00130A96">
        <w:t xml:space="preserve"> cukriniu diabetu, taip pat </w:t>
      </w:r>
      <w:r w:rsidR="00FF5AF0">
        <w:t>pacientai, kurių</w:t>
      </w:r>
      <w:r w:rsidRPr="00130A96">
        <w:t xml:space="preserve"> </w:t>
      </w:r>
      <w:proofErr w:type="spellStart"/>
      <w:r w:rsidRPr="00130A96">
        <w:t>aGFG</w:t>
      </w:r>
      <w:proofErr w:type="spellEnd"/>
      <w:r w:rsidRPr="00130A96">
        <w:t xml:space="preserve"> </w:t>
      </w:r>
      <w:r w:rsidR="00873FCC">
        <w:t>≥ </w:t>
      </w:r>
      <w:r w:rsidRPr="00130A96">
        <w:t>25</w:t>
      </w:r>
      <w:r w:rsidR="00873FCC">
        <w:t> ml/</w:t>
      </w:r>
      <w:r w:rsidRPr="00130A96">
        <w:t>min./1,73</w:t>
      </w:r>
      <w:r w:rsidR="00E551D6">
        <w:t> </w:t>
      </w:r>
      <w:r w:rsidRPr="00130A96">
        <w:t>m</w:t>
      </w:r>
      <w:r w:rsidRPr="00130A96">
        <w:rPr>
          <w:vertAlign w:val="superscript"/>
        </w:rPr>
        <w:t>2</w:t>
      </w:r>
      <w:r w:rsidRPr="00130A96">
        <w:t>.</w:t>
      </w:r>
    </w:p>
    <w:p w14:paraId="7B1A2FF0" w14:textId="77777777" w:rsidR="002C5659" w:rsidRPr="00130A96" w:rsidRDefault="002C5659" w:rsidP="00130A96">
      <w:pPr>
        <w:pStyle w:val="Pagrindinistekstas"/>
      </w:pPr>
    </w:p>
    <w:p w14:paraId="6D8690D4" w14:textId="6CDC9EA5" w:rsidR="00C0147E" w:rsidRDefault="001175EF" w:rsidP="00130A96">
      <w:pPr>
        <w:pStyle w:val="Pagrindinistekstas"/>
      </w:pPr>
      <w:r w:rsidRPr="00130A96">
        <w:t xml:space="preserve">Bendras dapagliflozino saugumo </w:t>
      </w:r>
      <w:r w:rsidR="009F681B">
        <w:t>profilis</w:t>
      </w:r>
      <w:r w:rsidRPr="00130A96">
        <w:t xml:space="preserve"> širdies nepakankamumu sergantiems pacientams atitiko nustatytą anksčiau.</w:t>
      </w:r>
    </w:p>
    <w:p w14:paraId="4F865C6B" w14:textId="77777777" w:rsidR="002C5659" w:rsidRPr="00130A96" w:rsidRDefault="002C5659" w:rsidP="00130A96">
      <w:pPr>
        <w:pStyle w:val="Pagrindinistekstas"/>
      </w:pPr>
    </w:p>
    <w:p w14:paraId="6D8690D5" w14:textId="77777777" w:rsidR="00C0147E" w:rsidRPr="00130A96" w:rsidRDefault="001175EF" w:rsidP="00130A96">
      <w:pPr>
        <w:rPr>
          <w:i/>
        </w:rPr>
      </w:pPr>
      <w:r w:rsidRPr="00130A96">
        <w:rPr>
          <w:i/>
          <w:u w:val="single"/>
        </w:rPr>
        <w:t>Lėtinė inkstų liga</w:t>
      </w:r>
    </w:p>
    <w:p w14:paraId="6D8690D7" w14:textId="74FC758C" w:rsidR="00C0147E" w:rsidRPr="00130A96" w:rsidRDefault="001175EF" w:rsidP="00130A96">
      <w:pPr>
        <w:pStyle w:val="Pagrindinistekstas"/>
      </w:pPr>
      <w:r w:rsidRPr="00130A96">
        <w:t>Dapagliflozino poveikio lėtine inkstų liga sergančių pacientų inkstų baigtims tyrimo (DAPA-CKD) metu 2</w:t>
      </w:r>
      <w:r w:rsidR="001A5EA3">
        <w:t> </w:t>
      </w:r>
      <w:r w:rsidRPr="00130A96">
        <w:t>149</w:t>
      </w:r>
      <w:r w:rsidR="001A5EA3">
        <w:t> </w:t>
      </w:r>
      <w:r w:rsidRPr="00130A96">
        <w:t>pacientai vartojo 10</w:t>
      </w:r>
      <w:r w:rsidR="00873FCC">
        <w:t> mg</w:t>
      </w:r>
      <w:r w:rsidRPr="00130A96">
        <w:t xml:space="preserve"> dapagliflozino ir 2</w:t>
      </w:r>
      <w:r w:rsidR="001A5EA3">
        <w:t> </w:t>
      </w:r>
      <w:r w:rsidRPr="00130A96">
        <w:t>149 – placeb</w:t>
      </w:r>
      <w:r w:rsidR="001A5EA3">
        <w:t>o</w:t>
      </w:r>
      <w:r w:rsidRPr="00130A96">
        <w:t xml:space="preserve"> (vartojimo trukmės mediana buvo 27</w:t>
      </w:r>
      <w:r w:rsidR="00C32B4A">
        <w:t> </w:t>
      </w:r>
      <w:r w:rsidRPr="00130A96">
        <w:t>mėn.). Įtraukta 2</w:t>
      </w:r>
      <w:r w:rsidR="00873FCC">
        <w:t> tipo</w:t>
      </w:r>
      <w:r w:rsidRPr="00130A96">
        <w:t xml:space="preserve"> cukriniu diabetu sirgusių ir juo nesirgusių pacientų</w:t>
      </w:r>
      <w:r w:rsidR="00706CD9">
        <w:t xml:space="preserve">, </w:t>
      </w:r>
      <w:r w:rsidRPr="00130A96">
        <w:t xml:space="preserve">Jų </w:t>
      </w:r>
      <w:proofErr w:type="spellStart"/>
      <w:r w:rsidRPr="00130A96">
        <w:t>aGFG</w:t>
      </w:r>
      <w:proofErr w:type="spellEnd"/>
      <w:r w:rsidRPr="00130A96">
        <w:t xml:space="preserve"> buvo nuo</w:t>
      </w:r>
      <w:r w:rsidR="002C5659">
        <w:t xml:space="preserve"> </w:t>
      </w:r>
      <w:r w:rsidR="00873FCC">
        <w:t>≥ </w:t>
      </w:r>
      <w:r w:rsidRPr="00130A96">
        <w:t xml:space="preserve">25 iki </w:t>
      </w:r>
      <w:r w:rsidR="00D54BC0">
        <w:t>≤ </w:t>
      </w:r>
      <w:r w:rsidRPr="00130A96">
        <w:t>75</w:t>
      </w:r>
      <w:r w:rsidR="00873FCC">
        <w:t> ml/</w:t>
      </w:r>
      <w:r w:rsidRPr="00130A96">
        <w:t>min./1,73 m</w:t>
      </w:r>
      <w:r w:rsidRPr="00130A96">
        <w:rPr>
          <w:vertAlign w:val="superscript"/>
        </w:rPr>
        <w:t>2</w:t>
      </w:r>
      <w:r w:rsidRPr="00130A96">
        <w:t xml:space="preserve">, o </w:t>
      </w:r>
      <w:proofErr w:type="spellStart"/>
      <w:r w:rsidRPr="00130A96">
        <w:t>albuminurija</w:t>
      </w:r>
      <w:proofErr w:type="spellEnd"/>
      <w:r w:rsidRPr="00130A96">
        <w:t xml:space="preserve"> (</w:t>
      </w:r>
      <w:proofErr w:type="spellStart"/>
      <w:r w:rsidRPr="00130A96">
        <w:t>albumino</w:t>
      </w:r>
      <w:proofErr w:type="spellEnd"/>
      <w:r w:rsidRPr="00130A96">
        <w:t xml:space="preserve"> ir kreatinino </w:t>
      </w:r>
      <w:r w:rsidR="006A2C2E">
        <w:t>santykis</w:t>
      </w:r>
      <w:r w:rsidR="006A2C2E" w:rsidRPr="00130A96">
        <w:t xml:space="preserve"> </w:t>
      </w:r>
      <w:r w:rsidRPr="00130A96">
        <w:t xml:space="preserve">šlapime [angl. </w:t>
      </w:r>
      <w:proofErr w:type="spellStart"/>
      <w:r w:rsidRPr="00130A96">
        <w:rPr>
          <w:i/>
        </w:rPr>
        <w:t>urine</w:t>
      </w:r>
      <w:proofErr w:type="spellEnd"/>
      <w:r w:rsidRPr="00130A96">
        <w:rPr>
          <w:i/>
        </w:rPr>
        <w:t xml:space="preserve"> </w:t>
      </w:r>
      <w:proofErr w:type="spellStart"/>
      <w:r w:rsidRPr="00130A96">
        <w:rPr>
          <w:i/>
        </w:rPr>
        <w:t>albumin</w:t>
      </w:r>
      <w:proofErr w:type="spellEnd"/>
      <w:r w:rsidRPr="00130A96">
        <w:rPr>
          <w:i/>
        </w:rPr>
        <w:t xml:space="preserve"> </w:t>
      </w:r>
      <w:proofErr w:type="spellStart"/>
      <w:r w:rsidRPr="00130A96">
        <w:rPr>
          <w:i/>
        </w:rPr>
        <w:t>creatinine</w:t>
      </w:r>
      <w:proofErr w:type="spellEnd"/>
      <w:r w:rsidRPr="00130A96">
        <w:rPr>
          <w:i/>
        </w:rPr>
        <w:t xml:space="preserve"> </w:t>
      </w:r>
      <w:proofErr w:type="spellStart"/>
      <w:r w:rsidRPr="00130A96">
        <w:rPr>
          <w:i/>
        </w:rPr>
        <w:t>ratio</w:t>
      </w:r>
      <w:proofErr w:type="spellEnd"/>
      <w:r w:rsidRPr="00130A96">
        <w:t xml:space="preserve">, </w:t>
      </w:r>
      <w:r w:rsidRPr="00706CD9">
        <w:rPr>
          <w:i/>
          <w:iCs/>
        </w:rPr>
        <w:t>UACR</w:t>
      </w:r>
      <w:r w:rsidRPr="00130A96">
        <w:t xml:space="preserve">] – nuo </w:t>
      </w:r>
      <w:r w:rsidR="00873FCC">
        <w:t>≥ </w:t>
      </w:r>
      <w:r w:rsidRPr="00130A96">
        <w:t xml:space="preserve">200 iki </w:t>
      </w:r>
      <w:r w:rsidR="00D54BC0">
        <w:t>≤ </w:t>
      </w:r>
      <w:r w:rsidRPr="00130A96">
        <w:t>5000</w:t>
      </w:r>
      <w:r w:rsidR="00873FCC">
        <w:t> mg</w:t>
      </w:r>
      <w:r w:rsidRPr="00130A96">
        <w:t xml:space="preserve">/g). Gydymas būdavo tęsiamas tol, kol </w:t>
      </w:r>
      <w:proofErr w:type="spellStart"/>
      <w:r w:rsidRPr="00130A96">
        <w:lastRenderedPageBreak/>
        <w:t>aGFG</w:t>
      </w:r>
      <w:proofErr w:type="spellEnd"/>
      <w:r w:rsidRPr="00130A96">
        <w:t xml:space="preserve"> pasiekdavo </w:t>
      </w:r>
      <w:r w:rsidR="00873FCC">
        <w:t>&lt; </w:t>
      </w:r>
      <w:r w:rsidRPr="00130A96">
        <w:t>25</w:t>
      </w:r>
      <w:r w:rsidR="00873FCC">
        <w:t> ml/</w:t>
      </w:r>
      <w:r w:rsidRPr="00130A96">
        <w:t>min./1,73 m</w:t>
      </w:r>
      <w:r w:rsidRPr="00130A96">
        <w:rPr>
          <w:vertAlign w:val="superscript"/>
        </w:rPr>
        <w:t>2</w:t>
      </w:r>
      <w:r w:rsidRPr="00130A96">
        <w:t>.</w:t>
      </w:r>
    </w:p>
    <w:p w14:paraId="6D8690D8" w14:textId="77777777" w:rsidR="00C0147E" w:rsidRPr="00130A96" w:rsidRDefault="00C0147E" w:rsidP="00130A96">
      <w:pPr>
        <w:pStyle w:val="Pagrindinistekstas"/>
      </w:pPr>
    </w:p>
    <w:p w14:paraId="6D8690D9" w14:textId="24F426EC" w:rsidR="00C0147E" w:rsidRPr="00130A96" w:rsidRDefault="001175EF" w:rsidP="00130A96">
      <w:pPr>
        <w:pStyle w:val="Pagrindinistekstas"/>
      </w:pPr>
      <w:r w:rsidRPr="00130A96">
        <w:t xml:space="preserve">Bendras dapagliflozino saugumo </w:t>
      </w:r>
      <w:r w:rsidR="009F681B">
        <w:t>profilis</w:t>
      </w:r>
      <w:r w:rsidRPr="00130A96">
        <w:t xml:space="preserve"> lėtine inkstų liga sergantiems pacientams buvo panašus į nustatytą anksčiau.</w:t>
      </w:r>
    </w:p>
    <w:p w14:paraId="511BA047" w14:textId="77777777" w:rsidR="00C0147E" w:rsidRDefault="00C0147E" w:rsidP="00130A96">
      <w:pPr>
        <w:pStyle w:val="Pagrindinistekstas"/>
      </w:pPr>
    </w:p>
    <w:p w14:paraId="6D8690DB" w14:textId="648B3FAB" w:rsidR="00C0147E" w:rsidRPr="00130A96" w:rsidRDefault="001175EF" w:rsidP="00130A96">
      <w:pPr>
        <w:pStyle w:val="Pagrindinistekstas"/>
      </w:pPr>
      <w:r w:rsidRPr="00130A96">
        <w:rPr>
          <w:u w:val="single"/>
        </w:rPr>
        <w:t>Nepageidaujamų reakcijų sąrašas lentelė</w:t>
      </w:r>
      <w:r w:rsidR="007B0B11">
        <w:rPr>
          <w:u w:val="single"/>
        </w:rPr>
        <w:t>j</w:t>
      </w:r>
      <w:r w:rsidRPr="00130A96">
        <w:rPr>
          <w:u w:val="single"/>
        </w:rPr>
        <w:t>e</w:t>
      </w:r>
    </w:p>
    <w:p w14:paraId="6D8690DD" w14:textId="143672D0" w:rsidR="00C0147E" w:rsidRPr="00130A96" w:rsidRDefault="007B0B11" w:rsidP="00130A96">
      <w:pPr>
        <w:pStyle w:val="Pagrindinistekstas"/>
      </w:pPr>
      <w:r>
        <w:t>Toliau</w:t>
      </w:r>
      <w:r w:rsidR="001175EF" w:rsidRPr="00130A96">
        <w:t xml:space="preserve"> išvardytos nepageidaujamos reakcijos nustatytos placebu kontroliuojamų klinikinių tyrimų metu ir vaistinį preparatą pateikus į rinką.</w:t>
      </w:r>
      <w:r w:rsidR="003A61C8" w:rsidRPr="003A61C8">
        <w:t xml:space="preserve"> </w:t>
      </w:r>
      <w:r w:rsidR="003A61C8">
        <w:t>Nustatyta, kad nė viena iš jų nėra susijusi su doze</w:t>
      </w:r>
      <w:r w:rsidR="001175EF" w:rsidRPr="00130A96">
        <w:t xml:space="preserve">. Nepageidaujamos reakcijos </w:t>
      </w:r>
      <w:r w:rsidR="00512486">
        <w:t>toliau</w:t>
      </w:r>
      <w:r w:rsidR="001175EF" w:rsidRPr="00130A96">
        <w:t xml:space="preserve"> sugrupuotos pagal dažnį ir organų sistemų klases. Atvejų dažnis apibūdinamas taip: labai dažnas </w:t>
      </w:r>
      <w:r w:rsidR="00873FCC">
        <w:t>≥ </w:t>
      </w:r>
      <w:r w:rsidR="001175EF" w:rsidRPr="00130A96">
        <w:t xml:space="preserve">1/10, dažnas </w:t>
      </w:r>
      <w:r w:rsidR="00873FCC">
        <w:t>≥ </w:t>
      </w:r>
      <w:r w:rsidR="001175EF" w:rsidRPr="00130A96">
        <w:t xml:space="preserve">1/100 ir </w:t>
      </w:r>
      <w:r w:rsidR="00873FCC">
        <w:t>&lt; </w:t>
      </w:r>
      <w:r w:rsidR="001175EF" w:rsidRPr="00130A96">
        <w:t xml:space="preserve">1/10, nedažnas </w:t>
      </w:r>
      <w:r w:rsidR="00873FCC">
        <w:t>≥ </w:t>
      </w:r>
      <w:r w:rsidR="001175EF" w:rsidRPr="00130A96">
        <w:t>1/1</w:t>
      </w:r>
      <w:r w:rsidR="00947C30">
        <w:t xml:space="preserve"> </w:t>
      </w:r>
      <w:r w:rsidR="001175EF" w:rsidRPr="00130A96">
        <w:t xml:space="preserve">000 ir </w:t>
      </w:r>
      <w:r w:rsidR="00873FCC">
        <w:t>&lt; </w:t>
      </w:r>
      <w:r w:rsidR="001175EF" w:rsidRPr="00130A96">
        <w:t xml:space="preserve">1/100, retas </w:t>
      </w:r>
      <w:r w:rsidR="00873FCC">
        <w:t>≥ </w:t>
      </w:r>
      <w:r w:rsidR="001175EF" w:rsidRPr="00130A96">
        <w:t>1/10</w:t>
      </w:r>
      <w:r w:rsidR="00947C30">
        <w:t xml:space="preserve"> </w:t>
      </w:r>
      <w:r w:rsidR="001175EF" w:rsidRPr="00130A96">
        <w:t>000 ir</w:t>
      </w:r>
      <w:r w:rsidR="002C5659">
        <w:t xml:space="preserve"> </w:t>
      </w:r>
      <w:r w:rsidR="00873FCC">
        <w:t>&lt; </w:t>
      </w:r>
      <w:r w:rsidR="001175EF" w:rsidRPr="00130A96">
        <w:t>1/1</w:t>
      </w:r>
      <w:r w:rsidR="00947C30">
        <w:t xml:space="preserve"> </w:t>
      </w:r>
      <w:r w:rsidR="001175EF" w:rsidRPr="00130A96">
        <w:t xml:space="preserve">000, labai retas </w:t>
      </w:r>
      <w:r w:rsidR="00873FCC">
        <w:t>&lt; </w:t>
      </w:r>
      <w:r w:rsidR="001175EF" w:rsidRPr="00130A96">
        <w:t>1/10</w:t>
      </w:r>
      <w:r w:rsidR="00947C30">
        <w:t xml:space="preserve"> </w:t>
      </w:r>
      <w:r w:rsidR="001175EF" w:rsidRPr="00130A96">
        <w:t>000 ir dažnis nežinomas (negali būti apskaičiuotas pagal turimus duomenis).</w:t>
      </w:r>
    </w:p>
    <w:p w14:paraId="6D8690DE" w14:textId="77777777" w:rsidR="00C0147E" w:rsidRPr="00130A96" w:rsidRDefault="00C0147E" w:rsidP="00130A96">
      <w:pPr>
        <w:pStyle w:val="Pagrindinistekstas"/>
      </w:pPr>
    </w:p>
    <w:p w14:paraId="6D8690DF" w14:textId="5F3CE420" w:rsidR="00C0147E" w:rsidRPr="00130A96" w:rsidRDefault="001175EF" w:rsidP="00130A96">
      <w:pPr>
        <w:pStyle w:val="Antrat2"/>
        <w:ind w:left="0"/>
      </w:pPr>
      <w:r w:rsidRPr="00130A96">
        <w:t xml:space="preserve">1 lentelė. Nepageidaujamos reakcijos placebu kontroliuojamų klinikinių tyrimų </w:t>
      </w:r>
      <w:proofErr w:type="spellStart"/>
      <w:r w:rsidRPr="00130A96">
        <w:t>metu</w:t>
      </w:r>
      <w:r w:rsidRPr="00130A96">
        <w:rPr>
          <w:vertAlign w:val="superscript"/>
        </w:rPr>
        <w:t>a</w:t>
      </w:r>
      <w:proofErr w:type="spellEnd"/>
      <w:r w:rsidRPr="00130A96">
        <w:t xml:space="preserve"> ir </w:t>
      </w:r>
      <w:r w:rsidR="00624397">
        <w:t xml:space="preserve">patirtis </w:t>
      </w:r>
      <w:r w:rsidRPr="00130A96">
        <w:t>vaistinį preparatą pateikus į rinką</w:t>
      </w:r>
    </w:p>
    <w:tbl>
      <w:tblPr>
        <w:tblW w:w="0" w:type="auto"/>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1748"/>
        <w:gridCol w:w="1899"/>
        <w:gridCol w:w="1882"/>
        <w:gridCol w:w="981"/>
        <w:gridCol w:w="1457"/>
      </w:tblGrid>
      <w:tr w:rsidR="00C0147E" w:rsidRPr="00130A96" w14:paraId="6D8690EB" w14:textId="77777777" w:rsidTr="00C610D1">
        <w:trPr>
          <w:trHeight w:val="690"/>
        </w:trPr>
        <w:tc>
          <w:tcPr>
            <w:tcW w:w="1301" w:type="dxa"/>
          </w:tcPr>
          <w:p w14:paraId="6D8690E0" w14:textId="77777777" w:rsidR="00C0147E" w:rsidRPr="00F26689" w:rsidRDefault="001175EF" w:rsidP="00130A96">
            <w:pPr>
              <w:pStyle w:val="TableParagraph"/>
              <w:jc w:val="both"/>
              <w:rPr>
                <w:b/>
                <w:sz w:val="20"/>
                <w:szCs w:val="20"/>
              </w:rPr>
            </w:pPr>
            <w:r w:rsidRPr="00F26689">
              <w:rPr>
                <w:b/>
                <w:sz w:val="20"/>
                <w:szCs w:val="20"/>
              </w:rPr>
              <w:t>Organų sistemų klasė</w:t>
            </w:r>
          </w:p>
        </w:tc>
        <w:tc>
          <w:tcPr>
            <w:tcW w:w="1748" w:type="dxa"/>
          </w:tcPr>
          <w:p w14:paraId="6D8690E2" w14:textId="77777777" w:rsidR="00C0147E" w:rsidRPr="00F26689" w:rsidRDefault="001175EF" w:rsidP="00130A96">
            <w:pPr>
              <w:pStyle w:val="TableParagraph"/>
              <w:rPr>
                <w:b/>
                <w:sz w:val="20"/>
                <w:szCs w:val="20"/>
              </w:rPr>
            </w:pPr>
            <w:r w:rsidRPr="00F26689">
              <w:rPr>
                <w:b/>
                <w:sz w:val="20"/>
                <w:szCs w:val="20"/>
              </w:rPr>
              <w:t>Labai dažnas</w:t>
            </w:r>
          </w:p>
        </w:tc>
        <w:tc>
          <w:tcPr>
            <w:tcW w:w="1899" w:type="dxa"/>
          </w:tcPr>
          <w:p w14:paraId="6D8690E4" w14:textId="70F6DA0C" w:rsidR="00C0147E" w:rsidRPr="00F26689" w:rsidRDefault="001175EF" w:rsidP="00130A96">
            <w:pPr>
              <w:pStyle w:val="TableParagraph"/>
              <w:rPr>
                <w:b/>
                <w:sz w:val="20"/>
                <w:szCs w:val="20"/>
              </w:rPr>
            </w:pPr>
            <w:r w:rsidRPr="00F26689">
              <w:rPr>
                <w:b/>
                <w:sz w:val="20"/>
                <w:szCs w:val="20"/>
              </w:rPr>
              <w:t>Dažnas</w:t>
            </w:r>
            <w:r w:rsidRPr="00F26689">
              <w:rPr>
                <w:b/>
                <w:sz w:val="20"/>
                <w:szCs w:val="20"/>
                <w:vertAlign w:val="superscript"/>
              </w:rPr>
              <w:t>*</w:t>
            </w:r>
          </w:p>
        </w:tc>
        <w:tc>
          <w:tcPr>
            <w:tcW w:w="1882" w:type="dxa"/>
          </w:tcPr>
          <w:p w14:paraId="6D8690E6" w14:textId="4917E7EF" w:rsidR="00C0147E" w:rsidRPr="00F26689" w:rsidRDefault="001175EF" w:rsidP="00130A96">
            <w:pPr>
              <w:pStyle w:val="TableParagraph"/>
              <w:rPr>
                <w:b/>
                <w:sz w:val="20"/>
                <w:szCs w:val="20"/>
              </w:rPr>
            </w:pPr>
            <w:r w:rsidRPr="00F26689">
              <w:rPr>
                <w:b/>
                <w:sz w:val="20"/>
                <w:szCs w:val="20"/>
              </w:rPr>
              <w:t>Nedažnas</w:t>
            </w:r>
            <w:r w:rsidRPr="00F26689">
              <w:rPr>
                <w:b/>
                <w:sz w:val="20"/>
                <w:szCs w:val="20"/>
                <w:vertAlign w:val="superscript"/>
              </w:rPr>
              <w:t>**</w:t>
            </w:r>
          </w:p>
        </w:tc>
        <w:tc>
          <w:tcPr>
            <w:tcW w:w="981" w:type="dxa"/>
          </w:tcPr>
          <w:p w14:paraId="6D8690E8" w14:textId="77777777" w:rsidR="00C0147E" w:rsidRPr="00F26689" w:rsidRDefault="001175EF" w:rsidP="00130A96">
            <w:pPr>
              <w:pStyle w:val="TableParagraph"/>
              <w:rPr>
                <w:b/>
                <w:sz w:val="20"/>
                <w:szCs w:val="20"/>
              </w:rPr>
            </w:pPr>
            <w:r w:rsidRPr="00F26689">
              <w:rPr>
                <w:b/>
                <w:sz w:val="20"/>
                <w:szCs w:val="20"/>
              </w:rPr>
              <w:t>Retas</w:t>
            </w:r>
          </w:p>
        </w:tc>
        <w:tc>
          <w:tcPr>
            <w:tcW w:w="1457" w:type="dxa"/>
          </w:tcPr>
          <w:p w14:paraId="6D8690EA" w14:textId="77777777" w:rsidR="00C0147E" w:rsidRPr="00F26689" w:rsidRDefault="001175EF" w:rsidP="00130A96">
            <w:pPr>
              <w:pStyle w:val="TableParagraph"/>
              <w:rPr>
                <w:b/>
                <w:sz w:val="20"/>
                <w:szCs w:val="20"/>
              </w:rPr>
            </w:pPr>
            <w:r w:rsidRPr="00F26689">
              <w:rPr>
                <w:b/>
                <w:sz w:val="20"/>
                <w:szCs w:val="20"/>
              </w:rPr>
              <w:t>Labai retas</w:t>
            </w:r>
          </w:p>
        </w:tc>
      </w:tr>
      <w:tr w:rsidR="00C0147E" w:rsidRPr="00130A96" w14:paraId="6D8690F2" w14:textId="77777777" w:rsidTr="00C610D1">
        <w:trPr>
          <w:trHeight w:val="229"/>
        </w:trPr>
        <w:tc>
          <w:tcPr>
            <w:tcW w:w="1301" w:type="dxa"/>
          </w:tcPr>
          <w:p w14:paraId="6D8690EC" w14:textId="4212295B" w:rsidR="00C0147E" w:rsidRPr="00F26689" w:rsidRDefault="001175EF" w:rsidP="00130A96">
            <w:pPr>
              <w:pStyle w:val="TableParagraph"/>
              <w:rPr>
                <w:i/>
                <w:sz w:val="20"/>
                <w:szCs w:val="20"/>
              </w:rPr>
            </w:pPr>
            <w:r w:rsidRPr="00F26689">
              <w:rPr>
                <w:i/>
                <w:sz w:val="20"/>
                <w:szCs w:val="20"/>
              </w:rPr>
              <w:t>Infekcijos ir</w:t>
            </w:r>
            <w:r w:rsidR="002C5659" w:rsidRPr="00F26689">
              <w:rPr>
                <w:i/>
                <w:sz w:val="20"/>
                <w:szCs w:val="20"/>
              </w:rPr>
              <w:t xml:space="preserve"> </w:t>
            </w:r>
            <w:proofErr w:type="spellStart"/>
            <w:r w:rsidR="002C5659" w:rsidRPr="00F26689">
              <w:rPr>
                <w:i/>
                <w:sz w:val="20"/>
                <w:szCs w:val="20"/>
              </w:rPr>
              <w:t>infestacijos</w:t>
            </w:r>
            <w:proofErr w:type="spellEnd"/>
          </w:p>
        </w:tc>
        <w:tc>
          <w:tcPr>
            <w:tcW w:w="1748" w:type="dxa"/>
          </w:tcPr>
          <w:p w14:paraId="6D8690ED" w14:textId="77777777" w:rsidR="00C0147E" w:rsidRPr="00F26689" w:rsidRDefault="00C0147E" w:rsidP="00130A96">
            <w:pPr>
              <w:pStyle w:val="TableParagraph"/>
              <w:rPr>
                <w:sz w:val="20"/>
                <w:szCs w:val="20"/>
              </w:rPr>
            </w:pPr>
          </w:p>
        </w:tc>
        <w:tc>
          <w:tcPr>
            <w:tcW w:w="1899" w:type="dxa"/>
          </w:tcPr>
          <w:p w14:paraId="64912A33" w14:textId="07DF437F" w:rsidR="002F75CF" w:rsidRPr="00F26689" w:rsidRDefault="007321B9" w:rsidP="00130A96">
            <w:pPr>
              <w:pStyle w:val="TableParagraph"/>
              <w:rPr>
                <w:sz w:val="20"/>
                <w:szCs w:val="20"/>
              </w:rPr>
            </w:pPr>
            <w:r>
              <w:rPr>
                <w:sz w:val="20"/>
                <w:szCs w:val="20"/>
              </w:rPr>
              <w:t xml:space="preserve">Makšties ir </w:t>
            </w:r>
            <w:proofErr w:type="spellStart"/>
            <w:r>
              <w:rPr>
                <w:sz w:val="20"/>
                <w:szCs w:val="20"/>
              </w:rPr>
              <w:t>vulvos</w:t>
            </w:r>
            <w:proofErr w:type="spellEnd"/>
            <w:r>
              <w:rPr>
                <w:sz w:val="20"/>
                <w:szCs w:val="20"/>
              </w:rPr>
              <w:t xml:space="preserve"> uždegimas</w:t>
            </w:r>
            <w:r w:rsidR="002F75CF" w:rsidRPr="00F26689">
              <w:rPr>
                <w:sz w:val="20"/>
                <w:szCs w:val="20"/>
              </w:rPr>
              <w:t xml:space="preserve">, balanitas ir susijusios </w:t>
            </w:r>
            <w:r w:rsidR="00791D20" w:rsidRPr="00791D20">
              <w:rPr>
                <w:sz w:val="20"/>
                <w:szCs w:val="20"/>
              </w:rPr>
              <w:t>lytinių organų</w:t>
            </w:r>
            <w:r w:rsidR="002F75CF" w:rsidRPr="00F26689">
              <w:rPr>
                <w:sz w:val="20"/>
                <w:szCs w:val="20"/>
              </w:rPr>
              <w:t xml:space="preserve"> infekcijos</w:t>
            </w:r>
            <w:r w:rsidR="002F75CF" w:rsidRPr="00F26689">
              <w:rPr>
                <w:sz w:val="20"/>
                <w:szCs w:val="20"/>
                <w:vertAlign w:val="superscript"/>
              </w:rPr>
              <w:t>*,</w:t>
            </w:r>
            <w:proofErr w:type="spellStart"/>
            <w:r w:rsidR="002F75CF" w:rsidRPr="00F26689">
              <w:rPr>
                <w:sz w:val="20"/>
                <w:szCs w:val="20"/>
                <w:vertAlign w:val="superscript"/>
              </w:rPr>
              <w:t>b,c</w:t>
            </w:r>
            <w:proofErr w:type="spellEnd"/>
            <w:r w:rsidR="002F75CF" w:rsidRPr="00F26689">
              <w:rPr>
                <w:sz w:val="20"/>
                <w:szCs w:val="20"/>
              </w:rPr>
              <w:t>,</w:t>
            </w:r>
          </w:p>
          <w:p w14:paraId="6D8690EE" w14:textId="21426406" w:rsidR="00C0147E" w:rsidRPr="00F26689" w:rsidRDefault="006577A3" w:rsidP="00130A96">
            <w:pPr>
              <w:pStyle w:val="TableParagraph"/>
              <w:rPr>
                <w:sz w:val="20"/>
                <w:szCs w:val="20"/>
              </w:rPr>
            </w:pPr>
            <w:r>
              <w:rPr>
                <w:sz w:val="20"/>
                <w:szCs w:val="20"/>
              </w:rPr>
              <w:t>Š</w:t>
            </w:r>
            <w:r w:rsidR="002F75CF" w:rsidRPr="00F26689">
              <w:rPr>
                <w:sz w:val="20"/>
                <w:szCs w:val="20"/>
              </w:rPr>
              <w:t>lapimo takų infekcija</w:t>
            </w:r>
            <w:r w:rsidR="002F75CF" w:rsidRPr="00F26689">
              <w:rPr>
                <w:sz w:val="20"/>
                <w:szCs w:val="20"/>
                <w:vertAlign w:val="superscript"/>
              </w:rPr>
              <w:t>*,</w:t>
            </w:r>
            <w:proofErr w:type="spellStart"/>
            <w:r w:rsidR="002F75CF" w:rsidRPr="00F26689">
              <w:rPr>
                <w:sz w:val="20"/>
                <w:szCs w:val="20"/>
                <w:vertAlign w:val="superscript"/>
              </w:rPr>
              <w:t>b,d</w:t>
            </w:r>
            <w:proofErr w:type="spellEnd"/>
          </w:p>
        </w:tc>
        <w:tc>
          <w:tcPr>
            <w:tcW w:w="1882" w:type="dxa"/>
          </w:tcPr>
          <w:p w14:paraId="6D8690EF" w14:textId="688FF028" w:rsidR="00C0147E" w:rsidRPr="00F26689" w:rsidRDefault="001175EF" w:rsidP="00130A96">
            <w:pPr>
              <w:pStyle w:val="TableParagraph"/>
              <w:rPr>
                <w:sz w:val="20"/>
                <w:szCs w:val="20"/>
              </w:rPr>
            </w:pPr>
            <w:r w:rsidRPr="00F26689">
              <w:rPr>
                <w:sz w:val="20"/>
                <w:szCs w:val="20"/>
              </w:rPr>
              <w:t>Grybe</w:t>
            </w:r>
            <w:r w:rsidR="006F7707">
              <w:rPr>
                <w:sz w:val="20"/>
                <w:szCs w:val="20"/>
              </w:rPr>
              <w:t>linė</w:t>
            </w:r>
            <w:r w:rsidRPr="00F26689">
              <w:rPr>
                <w:sz w:val="20"/>
                <w:szCs w:val="20"/>
              </w:rPr>
              <w:t xml:space="preserve"> infekcija</w:t>
            </w:r>
            <w:r w:rsidRPr="00F26689">
              <w:rPr>
                <w:sz w:val="20"/>
                <w:szCs w:val="20"/>
                <w:vertAlign w:val="superscript"/>
              </w:rPr>
              <w:t>**</w:t>
            </w:r>
          </w:p>
        </w:tc>
        <w:tc>
          <w:tcPr>
            <w:tcW w:w="981" w:type="dxa"/>
          </w:tcPr>
          <w:p w14:paraId="6D8690F0" w14:textId="77777777" w:rsidR="00C0147E" w:rsidRPr="00F26689" w:rsidRDefault="00C0147E" w:rsidP="00130A96">
            <w:pPr>
              <w:pStyle w:val="TableParagraph"/>
              <w:rPr>
                <w:sz w:val="20"/>
                <w:szCs w:val="20"/>
              </w:rPr>
            </w:pPr>
          </w:p>
        </w:tc>
        <w:tc>
          <w:tcPr>
            <w:tcW w:w="1457" w:type="dxa"/>
          </w:tcPr>
          <w:p w14:paraId="6D8690F1" w14:textId="3BDD8B11" w:rsidR="00C0147E" w:rsidRPr="00F26689" w:rsidRDefault="002F75CF" w:rsidP="00130A96">
            <w:pPr>
              <w:pStyle w:val="TableParagraph"/>
              <w:rPr>
                <w:sz w:val="20"/>
                <w:szCs w:val="20"/>
              </w:rPr>
            </w:pPr>
            <w:proofErr w:type="spellStart"/>
            <w:r w:rsidRPr="00F26689">
              <w:rPr>
                <w:sz w:val="20"/>
                <w:szCs w:val="20"/>
              </w:rPr>
              <w:t>Tarpvietės</w:t>
            </w:r>
            <w:proofErr w:type="spellEnd"/>
            <w:r w:rsidRPr="00F26689">
              <w:rPr>
                <w:sz w:val="20"/>
                <w:szCs w:val="20"/>
              </w:rPr>
              <w:t xml:space="preserve"> </w:t>
            </w:r>
            <w:proofErr w:type="spellStart"/>
            <w:r w:rsidRPr="00F26689">
              <w:rPr>
                <w:sz w:val="20"/>
                <w:szCs w:val="20"/>
              </w:rPr>
              <w:t>nekrozuojantis</w:t>
            </w:r>
            <w:proofErr w:type="spellEnd"/>
            <w:r w:rsidRPr="00F26689">
              <w:rPr>
                <w:sz w:val="20"/>
                <w:szCs w:val="20"/>
              </w:rPr>
              <w:t xml:space="preserve"> </w:t>
            </w:r>
            <w:proofErr w:type="spellStart"/>
            <w:r w:rsidRPr="00F26689">
              <w:rPr>
                <w:sz w:val="20"/>
                <w:szCs w:val="20"/>
              </w:rPr>
              <w:t>fascitas</w:t>
            </w:r>
            <w:proofErr w:type="spellEnd"/>
            <w:r w:rsidRPr="00F26689">
              <w:rPr>
                <w:sz w:val="20"/>
                <w:szCs w:val="20"/>
              </w:rPr>
              <w:t xml:space="preserve"> (</w:t>
            </w:r>
            <w:proofErr w:type="spellStart"/>
            <w:r w:rsidRPr="00F26689">
              <w:rPr>
                <w:i/>
                <w:iCs/>
                <w:sz w:val="20"/>
                <w:szCs w:val="20"/>
              </w:rPr>
              <w:t>Fournier</w:t>
            </w:r>
            <w:proofErr w:type="spellEnd"/>
            <w:r w:rsidRPr="00F26689">
              <w:rPr>
                <w:sz w:val="20"/>
                <w:szCs w:val="20"/>
              </w:rPr>
              <w:t xml:space="preserve"> gangrena) </w:t>
            </w:r>
            <w:proofErr w:type="spellStart"/>
            <w:r w:rsidRPr="00F26689">
              <w:rPr>
                <w:sz w:val="20"/>
                <w:szCs w:val="20"/>
                <w:vertAlign w:val="superscript"/>
              </w:rPr>
              <w:t>b,i</w:t>
            </w:r>
            <w:proofErr w:type="spellEnd"/>
          </w:p>
        </w:tc>
      </w:tr>
      <w:tr w:rsidR="00C0147E" w:rsidRPr="00130A96" w14:paraId="6D86911C" w14:textId="77777777" w:rsidTr="00C610D1">
        <w:trPr>
          <w:trHeight w:val="229"/>
        </w:trPr>
        <w:tc>
          <w:tcPr>
            <w:tcW w:w="1301" w:type="dxa"/>
          </w:tcPr>
          <w:p w14:paraId="6D869116" w14:textId="75CBFCC6" w:rsidR="00C0147E" w:rsidRPr="00F26689" w:rsidRDefault="00AB549A" w:rsidP="00130A96">
            <w:pPr>
              <w:pStyle w:val="TableParagraph"/>
              <w:rPr>
                <w:i/>
                <w:sz w:val="20"/>
                <w:szCs w:val="20"/>
              </w:rPr>
            </w:pPr>
            <w:r w:rsidRPr="00F26689">
              <w:rPr>
                <w:i/>
                <w:sz w:val="20"/>
                <w:szCs w:val="20"/>
              </w:rPr>
              <w:t>Metabolizmo ir mitybos sutrikimai</w:t>
            </w:r>
          </w:p>
        </w:tc>
        <w:tc>
          <w:tcPr>
            <w:tcW w:w="1748" w:type="dxa"/>
          </w:tcPr>
          <w:p w14:paraId="6D869117" w14:textId="1B2D1FE1" w:rsidR="00C0147E" w:rsidRPr="00F26689" w:rsidRDefault="00AB549A" w:rsidP="00130A96">
            <w:pPr>
              <w:pStyle w:val="TableParagraph"/>
              <w:rPr>
                <w:sz w:val="20"/>
                <w:szCs w:val="20"/>
              </w:rPr>
            </w:pPr>
            <w:r w:rsidRPr="00F26689">
              <w:rPr>
                <w:sz w:val="20"/>
                <w:szCs w:val="20"/>
              </w:rPr>
              <w:t xml:space="preserve">Hipoglikemija (vartojant kartu su </w:t>
            </w:r>
            <w:proofErr w:type="spellStart"/>
            <w:r w:rsidRPr="00F26689">
              <w:rPr>
                <w:sz w:val="20"/>
                <w:szCs w:val="20"/>
              </w:rPr>
              <w:t>sulfonilkarbamid</w:t>
            </w:r>
            <w:r w:rsidR="004357D5">
              <w:rPr>
                <w:sz w:val="20"/>
                <w:szCs w:val="20"/>
              </w:rPr>
              <w:t>o</w:t>
            </w:r>
            <w:proofErr w:type="spellEnd"/>
            <w:r w:rsidR="004357D5">
              <w:rPr>
                <w:sz w:val="20"/>
                <w:szCs w:val="20"/>
              </w:rPr>
              <w:t xml:space="preserve"> dariniais</w:t>
            </w:r>
            <w:r w:rsidRPr="00F26689">
              <w:rPr>
                <w:sz w:val="20"/>
                <w:szCs w:val="20"/>
              </w:rPr>
              <w:t xml:space="preserve"> ar insulinu)</w:t>
            </w:r>
            <w:r w:rsidRPr="00F26689">
              <w:rPr>
                <w:sz w:val="20"/>
                <w:szCs w:val="20"/>
                <w:vertAlign w:val="superscript"/>
              </w:rPr>
              <w:t>b</w:t>
            </w:r>
          </w:p>
        </w:tc>
        <w:tc>
          <w:tcPr>
            <w:tcW w:w="1899" w:type="dxa"/>
          </w:tcPr>
          <w:p w14:paraId="6D869118" w14:textId="77777777" w:rsidR="00C0147E" w:rsidRPr="00F26689" w:rsidRDefault="00C0147E" w:rsidP="00130A96">
            <w:pPr>
              <w:pStyle w:val="TableParagraph"/>
              <w:rPr>
                <w:sz w:val="20"/>
                <w:szCs w:val="20"/>
              </w:rPr>
            </w:pPr>
          </w:p>
        </w:tc>
        <w:tc>
          <w:tcPr>
            <w:tcW w:w="1882" w:type="dxa"/>
          </w:tcPr>
          <w:p w14:paraId="52BEF0C5" w14:textId="344F1A8A" w:rsidR="00AB549A" w:rsidRPr="00F26689" w:rsidRDefault="00AB549A" w:rsidP="00130A96">
            <w:pPr>
              <w:pStyle w:val="TableParagraph"/>
              <w:rPr>
                <w:sz w:val="20"/>
                <w:szCs w:val="20"/>
              </w:rPr>
            </w:pPr>
            <w:r w:rsidRPr="00F26689">
              <w:rPr>
                <w:sz w:val="20"/>
                <w:szCs w:val="20"/>
              </w:rPr>
              <w:t xml:space="preserve">Sumažėjęs kraujo </w:t>
            </w:r>
            <w:proofErr w:type="spellStart"/>
            <w:r w:rsidRPr="00F26689">
              <w:rPr>
                <w:sz w:val="20"/>
                <w:szCs w:val="20"/>
              </w:rPr>
              <w:t>tūris</w:t>
            </w:r>
            <w:r w:rsidRPr="00F26689">
              <w:rPr>
                <w:sz w:val="20"/>
                <w:szCs w:val="20"/>
                <w:vertAlign w:val="superscript"/>
              </w:rPr>
              <w:t>b,e</w:t>
            </w:r>
            <w:proofErr w:type="spellEnd"/>
            <w:r w:rsidRPr="00F26689">
              <w:rPr>
                <w:sz w:val="20"/>
                <w:szCs w:val="20"/>
              </w:rPr>
              <w:t>,</w:t>
            </w:r>
          </w:p>
          <w:p w14:paraId="6D869119" w14:textId="355BA2AE" w:rsidR="00C0147E" w:rsidRPr="00F26689" w:rsidRDefault="006577A3" w:rsidP="00130A96">
            <w:pPr>
              <w:pStyle w:val="TableParagraph"/>
              <w:rPr>
                <w:sz w:val="20"/>
                <w:szCs w:val="20"/>
              </w:rPr>
            </w:pPr>
            <w:r>
              <w:rPr>
                <w:sz w:val="20"/>
                <w:szCs w:val="20"/>
              </w:rPr>
              <w:t>T</w:t>
            </w:r>
            <w:r w:rsidR="00AB549A" w:rsidRPr="00F26689">
              <w:rPr>
                <w:sz w:val="20"/>
                <w:szCs w:val="20"/>
              </w:rPr>
              <w:t>roškulys</w:t>
            </w:r>
            <w:r w:rsidR="00AB549A" w:rsidRPr="00F26689">
              <w:rPr>
                <w:sz w:val="20"/>
                <w:szCs w:val="20"/>
                <w:vertAlign w:val="superscript"/>
              </w:rPr>
              <w:t>**</w:t>
            </w:r>
          </w:p>
        </w:tc>
        <w:tc>
          <w:tcPr>
            <w:tcW w:w="981" w:type="dxa"/>
          </w:tcPr>
          <w:p w14:paraId="6D86911A" w14:textId="636F1F7D" w:rsidR="00C0147E" w:rsidRPr="00F26689" w:rsidRDefault="006577A3" w:rsidP="00130A96">
            <w:pPr>
              <w:pStyle w:val="TableParagraph"/>
              <w:rPr>
                <w:sz w:val="20"/>
                <w:szCs w:val="20"/>
              </w:rPr>
            </w:pPr>
            <w:r>
              <w:rPr>
                <w:sz w:val="20"/>
                <w:szCs w:val="20"/>
              </w:rPr>
              <w:t>D</w:t>
            </w:r>
            <w:r w:rsidR="006D66AD" w:rsidRPr="00F26689">
              <w:rPr>
                <w:sz w:val="20"/>
                <w:szCs w:val="20"/>
              </w:rPr>
              <w:t xml:space="preserve">iabetinė </w:t>
            </w:r>
            <w:proofErr w:type="spellStart"/>
            <w:r w:rsidR="006D66AD" w:rsidRPr="00F26689">
              <w:rPr>
                <w:sz w:val="20"/>
                <w:szCs w:val="20"/>
              </w:rPr>
              <w:t>ketoacidozė</w:t>
            </w:r>
            <w:proofErr w:type="spellEnd"/>
            <w:r w:rsidR="006D66AD" w:rsidRPr="00F26689">
              <w:rPr>
                <w:sz w:val="20"/>
                <w:szCs w:val="20"/>
              </w:rPr>
              <w:t xml:space="preserve"> (vartojant 2</w:t>
            </w:r>
            <w:r w:rsidR="00873FCC" w:rsidRPr="00F26689">
              <w:rPr>
                <w:sz w:val="20"/>
                <w:szCs w:val="20"/>
              </w:rPr>
              <w:t> tipo</w:t>
            </w:r>
            <w:r w:rsidR="006D66AD" w:rsidRPr="00F26689">
              <w:rPr>
                <w:sz w:val="20"/>
                <w:szCs w:val="20"/>
              </w:rPr>
              <w:t xml:space="preserve"> cukriniam diabet</w:t>
            </w:r>
            <w:r w:rsidR="00DD44D8">
              <w:rPr>
                <w:sz w:val="20"/>
                <w:szCs w:val="20"/>
              </w:rPr>
              <w:t>o</w:t>
            </w:r>
            <w:r w:rsidR="006D66AD" w:rsidRPr="00F26689">
              <w:rPr>
                <w:sz w:val="20"/>
                <w:szCs w:val="20"/>
              </w:rPr>
              <w:t xml:space="preserve"> gydy</w:t>
            </w:r>
            <w:r w:rsidR="00DD44D8">
              <w:rPr>
                <w:sz w:val="20"/>
                <w:szCs w:val="20"/>
              </w:rPr>
              <w:t>mui</w:t>
            </w:r>
            <w:r w:rsidR="006D66AD" w:rsidRPr="00F26689">
              <w:rPr>
                <w:sz w:val="20"/>
                <w:szCs w:val="20"/>
              </w:rPr>
              <w:t>)</w:t>
            </w:r>
            <w:proofErr w:type="spellStart"/>
            <w:r w:rsidR="006D66AD" w:rsidRPr="00F26689">
              <w:rPr>
                <w:sz w:val="20"/>
                <w:szCs w:val="20"/>
                <w:vertAlign w:val="superscript"/>
              </w:rPr>
              <w:t>b,i,k</w:t>
            </w:r>
            <w:proofErr w:type="spellEnd"/>
          </w:p>
        </w:tc>
        <w:tc>
          <w:tcPr>
            <w:tcW w:w="1457" w:type="dxa"/>
          </w:tcPr>
          <w:p w14:paraId="6D86911B" w14:textId="77777777" w:rsidR="00C0147E" w:rsidRPr="00F26689" w:rsidRDefault="00C0147E" w:rsidP="00130A96">
            <w:pPr>
              <w:pStyle w:val="TableParagraph"/>
              <w:rPr>
                <w:sz w:val="20"/>
                <w:szCs w:val="20"/>
              </w:rPr>
            </w:pPr>
          </w:p>
        </w:tc>
      </w:tr>
      <w:tr w:rsidR="00C0147E" w:rsidRPr="00130A96" w14:paraId="6D869163" w14:textId="77777777" w:rsidTr="00C610D1">
        <w:trPr>
          <w:trHeight w:val="688"/>
        </w:trPr>
        <w:tc>
          <w:tcPr>
            <w:tcW w:w="1301" w:type="dxa"/>
          </w:tcPr>
          <w:p w14:paraId="6D86915D" w14:textId="21B797C5" w:rsidR="00C0147E" w:rsidRPr="00F26689" w:rsidRDefault="001175EF" w:rsidP="00CB107B">
            <w:pPr>
              <w:pStyle w:val="TableParagraph"/>
              <w:rPr>
                <w:i/>
                <w:sz w:val="20"/>
                <w:szCs w:val="20"/>
              </w:rPr>
            </w:pPr>
            <w:r w:rsidRPr="00F26689">
              <w:rPr>
                <w:i/>
                <w:sz w:val="20"/>
                <w:szCs w:val="20"/>
              </w:rPr>
              <w:t>Nervų sistemos</w:t>
            </w:r>
            <w:r w:rsidR="00CB107B" w:rsidRPr="00F26689">
              <w:rPr>
                <w:i/>
                <w:sz w:val="20"/>
                <w:szCs w:val="20"/>
              </w:rPr>
              <w:t xml:space="preserve"> </w:t>
            </w:r>
            <w:r w:rsidRPr="00F26689">
              <w:rPr>
                <w:i/>
                <w:sz w:val="20"/>
                <w:szCs w:val="20"/>
              </w:rPr>
              <w:t>sutrikimai</w:t>
            </w:r>
          </w:p>
        </w:tc>
        <w:tc>
          <w:tcPr>
            <w:tcW w:w="1748" w:type="dxa"/>
          </w:tcPr>
          <w:p w14:paraId="6D86915E" w14:textId="77777777" w:rsidR="00C0147E" w:rsidRPr="00F26689" w:rsidRDefault="00C0147E" w:rsidP="00130A96">
            <w:pPr>
              <w:pStyle w:val="TableParagraph"/>
              <w:rPr>
                <w:sz w:val="20"/>
                <w:szCs w:val="20"/>
              </w:rPr>
            </w:pPr>
          </w:p>
        </w:tc>
        <w:tc>
          <w:tcPr>
            <w:tcW w:w="1899" w:type="dxa"/>
          </w:tcPr>
          <w:p w14:paraId="6D86915F" w14:textId="638CFE0E" w:rsidR="00C0147E" w:rsidRPr="00F26689" w:rsidRDefault="00DD44D8" w:rsidP="00130A96">
            <w:pPr>
              <w:pStyle w:val="TableParagraph"/>
              <w:rPr>
                <w:sz w:val="20"/>
                <w:szCs w:val="20"/>
              </w:rPr>
            </w:pPr>
            <w:r>
              <w:rPr>
                <w:sz w:val="20"/>
                <w:szCs w:val="20"/>
              </w:rPr>
              <w:t>Svaigulys</w:t>
            </w:r>
          </w:p>
        </w:tc>
        <w:tc>
          <w:tcPr>
            <w:tcW w:w="1882" w:type="dxa"/>
          </w:tcPr>
          <w:p w14:paraId="6D869160" w14:textId="77777777" w:rsidR="00C0147E" w:rsidRPr="00F26689" w:rsidRDefault="00C0147E" w:rsidP="00130A96">
            <w:pPr>
              <w:pStyle w:val="TableParagraph"/>
              <w:rPr>
                <w:sz w:val="20"/>
                <w:szCs w:val="20"/>
              </w:rPr>
            </w:pPr>
          </w:p>
        </w:tc>
        <w:tc>
          <w:tcPr>
            <w:tcW w:w="981" w:type="dxa"/>
          </w:tcPr>
          <w:p w14:paraId="6D869161" w14:textId="77777777" w:rsidR="00C0147E" w:rsidRPr="00F26689" w:rsidRDefault="00C0147E" w:rsidP="00130A96">
            <w:pPr>
              <w:pStyle w:val="TableParagraph"/>
              <w:rPr>
                <w:sz w:val="20"/>
                <w:szCs w:val="20"/>
              </w:rPr>
            </w:pPr>
          </w:p>
        </w:tc>
        <w:tc>
          <w:tcPr>
            <w:tcW w:w="1457" w:type="dxa"/>
          </w:tcPr>
          <w:p w14:paraId="6D869162" w14:textId="77777777" w:rsidR="00C0147E" w:rsidRPr="00F26689" w:rsidRDefault="00C0147E" w:rsidP="00130A96">
            <w:pPr>
              <w:pStyle w:val="TableParagraph"/>
              <w:rPr>
                <w:sz w:val="20"/>
                <w:szCs w:val="20"/>
              </w:rPr>
            </w:pPr>
          </w:p>
        </w:tc>
      </w:tr>
      <w:tr w:rsidR="00C0147E" w:rsidRPr="00130A96" w14:paraId="6D86916A" w14:textId="77777777" w:rsidTr="00C610D1">
        <w:trPr>
          <w:trHeight w:val="690"/>
        </w:trPr>
        <w:tc>
          <w:tcPr>
            <w:tcW w:w="1301" w:type="dxa"/>
          </w:tcPr>
          <w:p w14:paraId="6D869164" w14:textId="77777777" w:rsidR="00C0147E" w:rsidRPr="00F26689" w:rsidRDefault="001175EF" w:rsidP="00130A96">
            <w:pPr>
              <w:pStyle w:val="TableParagraph"/>
              <w:rPr>
                <w:i/>
                <w:sz w:val="20"/>
                <w:szCs w:val="20"/>
              </w:rPr>
            </w:pPr>
            <w:r w:rsidRPr="00F26689">
              <w:rPr>
                <w:i/>
                <w:sz w:val="20"/>
                <w:szCs w:val="20"/>
              </w:rPr>
              <w:t>Virškinimo trakto sutrikimai</w:t>
            </w:r>
          </w:p>
        </w:tc>
        <w:tc>
          <w:tcPr>
            <w:tcW w:w="1748" w:type="dxa"/>
          </w:tcPr>
          <w:p w14:paraId="6D869165" w14:textId="77777777" w:rsidR="00C0147E" w:rsidRPr="00F26689" w:rsidRDefault="00C0147E" w:rsidP="00130A96">
            <w:pPr>
              <w:pStyle w:val="TableParagraph"/>
              <w:rPr>
                <w:sz w:val="20"/>
                <w:szCs w:val="20"/>
              </w:rPr>
            </w:pPr>
          </w:p>
        </w:tc>
        <w:tc>
          <w:tcPr>
            <w:tcW w:w="1899" w:type="dxa"/>
          </w:tcPr>
          <w:p w14:paraId="6D869166" w14:textId="77777777" w:rsidR="00C0147E" w:rsidRPr="00F26689" w:rsidRDefault="00C0147E" w:rsidP="00130A96">
            <w:pPr>
              <w:pStyle w:val="TableParagraph"/>
              <w:rPr>
                <w:sz w:val="20"/>
                <w:szCs w:val="20"/>
              </w:rPr>
            </w:pPr>
          </w:p>
        </w:tc>
        <w:tc>
          <w:tcPr>
            <w:tcW w:w="1882" w:type="dxa"/>
          </w:tcPr>
          <w:p w14:paraId="1AE10E39" w14:textId="32FB52ED" w:rsidR="00CB107B" w:rsidRPr="00F26689" w:rsidRDefault="001175EF" w:rsidP="00130A96">
            <w:pPr>
              <w:pStyle w:val="TableParagraph"/>
              <w:rPr>
                <w:sz w:val="20"/>
                <w:szCs w:val="20"/>
              </w:rPr>
            </w:pPr>
            <w:r w:rsidRPr="00F26689">
              <w:rPr>
                <w:sz w:val="20"/>
                <w:szCs w:val="20"/>
              </w:rPr>
              <w:t>Vidurių užkietėjimas</w:t>
            </w:r>
            <w:r w:rsidRPr="00F26689">
              <w:rPr>
                <w:sz w:val="20"/>
                <w:szCs w:val="20"/>
                <w:vertAlign w:val="superscript"/>
              </w:rPr>
              <w:t>**</w:t>
            </w:r>
            <w:r w:rsidRPr="00F26689">
              <w:rPr>
                <w:sz w:val="20"/>
                <w:szCs w:val="20"/>
              </w:rPr>
              <w:t>,</w:t>
            </w:r>
          </w:p>
          <w:p w14:paraId="6D869167" w14:textId="552D0F3E" w:rsidR="00C0147E" w:rsidRPr="00F26689" w:rsidRDefault="00473550" w:rsidP="00130A96">
            <w:pPr>
              <w:pStyle w:val="TableParagraph"/>
              <w:rPr>
                <w:sz w:val="20"/>
                <w:szCs w:val="20"/>
              </w:rPr>
            </w:pPr>
            <w:r>
              <w:rPr>
                <w:sz w:val="20"/>
                <w:szCs w:val="20"/>
              </w:rPr>
              <w:t>S</w:t>
            </w:r>
            <w:r w:rsidR="001175EF" w:rsidRPr="00F26689">
              <w:rPr>
                <w:sz w:val="20"/>
                <w:szCs w:val="20"/>
              </w:rPr>
              <w:t xml:space="preserve">ausa burna </w:t>
            </w:r>
            <w:r w:rsidR="001175EF" w:rsidRPr="00F26689">
              <w:rPr>
                <w:sz w:val="20"/>
                <w:szCs w:val="20"/>
                <w:vertAlign w:val="superscript"/>
              </w:rPr>
              <w:t>**</w:t>
            </w:r>
          </w:p>
        </w:tc>
        <w:tc>
          <w:tcPr>
            <w:tcW w:w="981" w:type="dxa"/>
          </w:tcPr>
          <w:p w14:paraId="6D869168" w14:textId="77777777" w:rsidR="00C0147E" w:rsidRPr="00F26689" w:rsidRDefault="00C0147E" w:rsidP="00130A96">
            <w:pPr>
              <w:pStyle w:val="TableParagraph"/>
              <w:rPr>
                <w:sz w:val="20"/>
                <w:szCs w:val="20"/>
              </w:rPr>
            </w:pPr>
          </w:p>
        </w:tc>
        <w:tc>
          <w:tcPr>
            <w:tcW w:w="1457" w:type="dxa"/>
          </w:tcPr>
          <w:p w14:paraId="6D869169" w14:textId="77777777" w:rsidR="00C0147E" w:rsidRPr="00F26689" w:rsidRDefault="00C0147E" w:rsidP="00130A96">
            <w:pPr>
              <w:pStyle w:val="TableParagraph"/>
              <w:rPr>
                <w:sz w:val="20"/>
                <w:szCs w:val="20"/>
              </w:rPr>
            </w:pPr>
          </w:p>
        </w:tc>
      </w:tr>
      <w:tr w:rsidR="00C0147E" w:rsidRPr="00130A96" w14:paraId="6D869172" w14:textId="77777777" w:rsidTr="00C610D1">
        <w:trPr>
          <w:trHeight w:val="918"/>
        </w:trPr>
        <w:tc>
          <w:tcPr>
            <w:tcW w:w="1301" w:type="dxa"/>
          </w:tcPr>
          <w:p w14:paraId="6D86916C" w14:textId="38CE804C" w:rsidR="00C0147E" w:rsidRPr="00F26689" w:rsidRDefault="001175EF" w:rsidP="00CB107B">
            <w:pPr>
              <w:pStyle w:val="TableParagraph"/>
              <w:rPr>
                <w:i/>
                <w:sz w:val="20"/>
                <w:szCs w:val="20"/>
              </w:rPr>
            </w:pPr>
            <w:r w:rsidRPr="00F26689">
              <w:rPr>
                <w:i/>
                <w:sz w:val="20"/>
                <w:szCs w:val="20"/>
              </w:rPr>
              <w:t>Odos ir poodinio</w:t>
            </w:r>
            <w:r w:rsidR="00CB107B" w:rsidRPr="00F26689">
              <w:rPr>
                <w:i/>
                <w:sz w:val="20"/>
                <w:szCs w:val="20"/>
              </w:rPr>
              <w:t xml:space="preserve"> </w:t>
            </w:r>
            <w:r w:rsidRPr="00F26689">
              <w:rPr>
                <w:i/>
                <w:sz w:val="20"/>
                <w:szCs w:val="20"/>
              </w:rPr>
              <w:t>audinio sutrikimai</w:t>
            </w:r>
          </w:p>
        </w:tc>
        <w:tc>
          <w:tcPr>
            <w:tcW w:w="1748" w:type="dxa"/>
          </w:tcPr>
          <w:p w14:paraId="6D86916D" w14:textId="77777777" w:rsidR="00C0147E" w:rsidRPr="00F26689" w:rsidRDefault="00C0147E" w:rsidP="00130A96">
            <w:pPr>
              <w:pStyle w:val="TableParagraph"/>
              <w:rPr>
                <w:sz w:val="20"/>
                <w:szCs w:val="20"/>
              </w:rPr>
            </w:pPr>
          </w:p>
        </w:tc>
        <w:tc>
          <w:tcPr>
            <w:tcW w:w="1899" w:type="dxa"/>
          </w:tcPr>
          <w:p w14:paraId="6D86916E" w14:textId="655EF90D" w:rsidR="00C0147E" w:rsidRPr="00F26689" w:rsidRDefault="002F0842" w:rsidP="00130A96">
            <w:pPr>
              <w:pStyle w:val="TableParagraph"/>
              <w:rPr>
                <w:sz w:val="20"/>
                <w:szCs w:val="20"/>
              </w:rPr>
            </w:pPr>
            <w:proofErr w:type="spellStart"/>
            <w:r>
              <w:rPr>
                <w:sz w:val="20"/>
                <w:szCs w:val="20"/>
              </w:rPr>
              <w:t>B</w:t>
            </w:r>
            <w:r w:rsidR="001175EF" w:rsidRPr="00F26689">
              <w:rPr>
                <w:sz w:val="20"/>
                <w:szCs w:val="20"/>
              </w:rPr>
              <w:t>ėrimas</w:t>
            </w:r>
            <w:r w:rsidR="001175EF" w:rsidRPr="00F26689">
              <w:rPr>
                <w:sz w:val="20"/>
                <w:szCs w:val="20"/>
                <w:vertAlign w:val="superscript"/>
              </w:rPr>
              <w:t>j</w:t>
            </w:r>
            <w:proofErr w:type="spellEnd"/>
          </w:p>
        </w:tc>
        <w:tc>
          <w:tcPr>
            <w:tcW w:w="1882" w:type="dxa"/>
          </w:tcPr>
          <w:p w14:paraId="6D86916F" w14:textId="77777777" w:rsidR="00C0147E" w:rsidRPr="00F26689" w:rsidRDefault="00C0147E" w:rsidP="00130A96">
            <w:pPr>
              <w:pStyle w:val="TableParagraph"/>
              <w:rPr>
                <w:sz w:val="20"/>
                <w:szCs w:val="20"/>
              </w:rPr>
            </w:pPr>
          </w:p>
        </w:tc>
        <w:tc>
          <w:tcPr>
            <w:tcW w:w="981" w:type="dxa"/>
          </w:tcPr>
          <w:p w14:paraId="6D869170" w14:textId="77777777" w:rsidR="00C0147E" w:rsidRPr="00F26689" w:rsidRDefault="00C0147E" w:rsidP="00130A96">
            <w:pPr>
              <w:pStyle w:val="TableParagraph"/>
              <w:rPr>
                <w:sz w:val="20"/>
                <w:szCs w:val="20"/>
              </w:rPr>
            </w:pPr>
          </w:p>
        </w:tc>
        <w:tc>
          <w:tcPr>
            <w:tcW w:w="1457" w:type="dxa"/>
          </w:tcPr>
          <w:p w14:paraId="6D869171" w14:textId="76046733" w:rsidR="00C0147E" w:rsidRPr="00F26689" w:rsidRDefault="002F0842" w:rsidP="00130A96">
            <w:pPr>
              <w:pStyle w:val="TableParagraph"/>
              <w:rPr>
                <w:sz w:val="20"/>
                <w:szCs w:val="20"/>
              </w:rPr>
            </w:pPr>
            <w:proofErr w:type="spellStart"/>
            <w:r>
              <w:rPr>
                <w:sz w:val="20"/>
                <w:szCs w:val="20"/>
              </w:rPr>
              <w:t>Angioneurozinė</w:t>
            </w:r>
            <w:proofErr w:type="spellEnd"/>
            <w:r>
              <w:rPr>
                <w:sz w:val="20"/>
                <w:szCs w:val="20"/>
              </w:rPr>
              <w:t xml:space="preserve"> edema</w:t>
            </w:r>
          </w:p>
        </w:tc>
      </w:tr>
      <w:tr w:rsidR="00C0147E" w:rsidRPr="00130A96" w14:paraId="6D869179" w14:textId="77777777" w:rsidTr="00C610D1">
        <w:trPr>
          <w:trHeight w:val="1151"/>
        </w:trPr>
        <w:tc>
          <w:tcPr>
            <w:tcW w:w="1301" w:type="dxa"/>
          </w:tcPr>
          <w:p w14:paraId="6D869173" w14:textId="77777777" w:rsidR="00C0147E" w:rsidRPr="00F26689" w:rsidRDefault="001175EF" w:rsidP="00130A96">
            <w:pPr>
              <w:pStyle w:val="TableParagraph"/>
              <w:rPr>
                <w:i/>
                <w:sz w:val="20"/>
                <w:szCs w:val="20"/>
              </w:rPr>
            </w:pPr>
            <w:r w:rsidRPr="00F26689">
              <w:rPr>
                <w:i/>
                <w:sz w:val="20"/>
                <w:szCs w:val="20"/>
              </w:rPr>
              <w:t>Skeleto, raumenų ir jungiamojo audinio sutrikimai</w:t>
            </w:r>
          </w:p>
        </w:tc>
        <w:tc>
          <w:tcPr>
            <w:tcW w:w="1748" w:type="dxa"/>
          </w:tcPr>
          <w:p w14:paraId="6D869174" w14:textId="77777777" w:rsidR="00C0147E" w:rsidRPr="00F26689" w:rsidRDefault="00C0147E" w:rsidP="00130A96">
            <w:pPr>
              <w:pStyle w:val="TableParagraph"/>
              <w:rPr>
                <w:sz w:val="20"/>
                <w:szCs w:val="20"/>
              </w:rPr>
            </w:pPr>
          </w:p>
        </w:tc>
        <w:tc>
          <w:tcPr>
            <w:tcW w:w="1899" w:type="dxa"/>
          </w:tcPr>
          <w:p w14:paraId="6D869175" w14:textId="21F816A0" w:rsidR="00C0147E" w:rsidRPr="00F26689" w:rsidRDefault="001175EF" w:rsidP="00130A96">
            <w:pPr>
              <w:pStyle w:val="TableParagraph"/>
              <w:rPr>
                <w:sz w:val="20"/>
                <w:szCs w:val="20"/>
              </w:rPr>
            </w:pPr>
            <w:r w:rsidRPr="00F26689">
              <w:rPr>
                <w:sz w:val="20"/>
                <w:szCs w:val="20"/>
              </w:rPr>
              <w:t>Nugaros skausmas*</w:t>
            </w:r>
          </w:p>
        </w:tc>
        <w:tc>
          <w:tcPr>
            <w:tcW w:w="1882" w:type="dxa"/>
          </w:tcPr>
          <w:p w14:paraId="6D869176" w14:textId="77777777" w:rsidR="00C0147E" w:rsidRPr="00F26689" w:rsidRDefault="00C0147E" w:rsidP="00130A96">
            <w:pPr>
              <w:pStyle w:val="TableParagraph"/>
              <w:rPr>
                <w:sz w:val="20"/>
                <w:szCs w:val="20"/>
              </w:rPr>
            </w:pPr>
          </w:p>
        </w:tc>
        <w:tc>
          <w:tcPr>
            <w:tcW w:w="981" w:type="dxa"/>
          </w:tcPr>
          <w:p w14:paraId="6D869177" w14:textId="77777777" w:rsidR="00C0147E" w:rsidRPr="00F26689" w:rsidRDefault="00C0147E" w:rsidP="00130A96">
            <w:pPr>
              <w:pStyle w:val="TableParagraph"/>
              <w:rPr>
                <w:sz w:val="20"/>
                <w:szCs w:val="20"/>
              </w:rPr>
            </w:pPr>
          </w:p>
        </w:tc>
        <w:tc>
          <w:tcPr>
            <w:tcW w:w="1457" w:type="dxa"/>
          </w:tcPr>
          <w:p w14:paraId="6D869178" w14:textId="77777777" w:rsidR="00C0147E" w:rsidRPr="00F26689" w:rsidRDefault="00C0147E" w:rsidP="00130A96">
            <w:pPr>
              <w:pStyle w:val="TableParagraph"/>
              <w:rPr>
                <w:sz w:val="20"/>
                <w:szCs w:val="20"/>
              </w:rPr>
            </w:pPr>
          </w:p>
        </w:tc>
      </w:tr>
      <w:tr w:rsidR="00C0147E" w:rsidRPr="00130A96" w14:paraId="6D869181" w14:textId="77777777" w:rsidTr="00C610D1">
        <w:trPr>
          <w:trHeight w:val="689"/>
        </w:trPr>
        <w:tc>
          <w:tcPr>
            <w:tcW w:w="1301" w:type="dxa"/>
          </w:tcPr>
          <w:p w14:paraId="6D86917B" w14:textId="3AFE5572" w:rsidR="00C0147E" w:rsidRPr="00F26689" w:rsidRDefault="001175EF" w:rsidP="00CB107B">
            <w:pPr>
              <w:pStyle w:val="TableParagraph"/>
              <w:rPr>
                <w:i/>
                <w:sz w:val="20"/>
                <w:szCs w:val="20"/>
              </w:rPr>
            </w:pPr>
            <w:r w:rsidRPr="00F26689">
              <w:rPr>
                <w:i/>
                <w:sz w:val="20"/>
                <w:szCs w:val="20"/>
              </w:rPr>
              <w:t>Inkstų ir</w:t>
            </w:r>
            <w:r w:rsidR="00CB107B" w:rsidRPr="00F26689">
              <w:rPr>
                <w:i/>
                <w:sz w:val="20"/>
                <w:szCs w:val="20"/>
              </w:rPr>
              <w:t xml:space="preserve"> </w:t>
            </w:r>
            <w:r w:rsidRPr="00F26689">
              <w:rPr>
                <w:i/>
                <w:sz w:val="20"/>
                <w:szCs w:val="20"/>
              </w:rPr>
              <w:t>šlapimo takų sutrikimai</w:t>
            </w:r>
          </w:p>
        </w:tc>
        <w:tc>
          <w:tcPr>
            <w:tcW w:w="1748" w:type="dxa"/>
          </w:tcPr>
          <w:p w14:paraId="6D86917C" w14:textId="77777777" w:rsidR="00C0147E" w:rsidRPr="00F26689" w:rsidRDefault="00C0147E" w:rsidP="00130A96">
            <w:pPr>
              <w:pStyle w:val="TableParagraph"/>
              <w:rPr>
                <w:sz w:val="20"/>
                <w:szCs w:val="20"/>
              </w:rPr>
            </w:pPr>
          </w:p>
        </w:tc>
        <w:tc>
          <w:tcPr>
            <w:tcW w:w="1899" w:type="dxa"/>
          </w:tcPr>
          <w:p w14:paraId="6D86917D" w14:textId="4588BEC8" w:rsidR="00C0147E" w:rsidRPr="00F26689" w:rsidRDefault="001175EF" w:rsidP="00130A96">
            <w:pPr>
              <w:pStyle w:val="TableParagraph"/>
              <w:rPr>
                <w:sz w:val="20"/>
                <w:szCs w:val="20"/>
              </w:rPr>
            </w:pPr>
            <w:proofErr w:type="spellStart"/>
            <w:r w:rsidRPr="00F26689">
              <w:rPr>
                <w:sz w:val="20"/>
                <w:szCs w:val="20"/>
              </w:rPr>
              <w:t>Dizurija</w:t>
            </w:r>
            <w:proofErr w:type="spellEnd"/>
            <w:r w:rsidRPr="00F26689">
              <w:rPr>
                <w:sz w:val="20"/>
                <w:szCs w:val="20"/>
              </w:rPr>
              <w:t xml:space="preserve">, </w:t>
            </w:r>
            <w:proofErr w:type="spellStart"/>
            <w:r w:rsidRPr="00F26689">
              <w:rPr>
                <w:sz w:val="20"/>
                <w:szCs w:val="20"/>
              </w:rPr>
              <w:t>poliurija</w:t>
            </w:r>
            <w:proofErr w:type="spellEnd"/>
            <w:r w:rsidRPr="00F26689">
              <w:rPr>
                <w:sz w:val="20"/>
                <w:szCs w:val="20"/>
              </w:rPr>
              <w:t>*,</w:t>
            </w:r>
            <w:r w:rsidRPr="00F26689">
              <w:rPr>
                <w:sz w:val="20"/>
                <w:szCs w:val="20"/>
                <w:vertAlign w:val="superscript"/>
              </w:rPr>
              <w:t>f</w:t>
            </w:r>
          </w:p>
        </w:tc>
        <w:tc>
          <w:tcPr>
            <w:tcW w:w="1882" w:type="dxa"/>
          </w:tcPr>
          <w:p w14:paraId="6D86917E" w14:textId="2D2CABD1" w:rsidR="00C0147E" w:rsidRPr="00F26689" w:rsidRDefault="001175EF" w:rsidP="00130A96">
            <w:pPr>
              <w:pStyle w:val="TableParagraph"/>
              <w:rPr>
                <w:sz w:val="20"/>
                <w:szCs w:val="20"/>
              </w:rPr>
            </w:pPr>
            <w:proofErr w:type="spellStart"/>
            <w:r w:rsidRPr="00F26689">
              <w:rPr>
                <w:sz w:val="20"/>
                <w:szCs w:val="20"/>
              </w:rPr>
              <w:t>N</w:t>
            </w:r>
            <w:r w:rsidR="00F75742">
              <w:rPr>
                <w:sz w:val="20"/>
                <w:szCs w:val="20"/>
              </w:rPr>
              <w:t>i</w:t>
            </w:r>
            <w:r w:rsidRPr="00F26689">
              <w:rPr>
                <w:sz w:val="20"/>
                <w:szCs w:val="20"/>
              </w:rPr>
              <w:t>kturija</w:t>
            </w:r>
            <w:proofErr w:type="spellEnd"/>
            <w:r w:rsidRPr="00F26689">
              <w:rPr>
                <w:sz w:val="20"/>
                <w:szCs w:val="20"/>
                <w:vertAlign w:val="superscript"/>
              </w:rPr>
              <w:t>**</w:t>
            </w:r>
          </w:p>
        </w:tc>
        <w:tc>
          <w:tcPr>
            <w:tcW w:w="981" w:type="dxa"/>
          </w:tcPr>
          <w:p w14:paraId="6D86917F" w14:textId="77777777" w:rsidR="00C0147E" w:rsidRPr="00F26689" w:rsidRDefault="00C0147E" w:rsidP="00130A96">
            <w:pPr>
              <w:pStyle w:val="TableParagraph"/>
              <w:rPr>
                <w:sz w:val="20"/>
                <w:szCs w:val="20"/>
              </w:rPr>
            </w:pPr>
          </w:p>
        </w:tc>
        <w:tc>
          <w:tcPr>
            <w:tcW w:w="1457" w:type="dxa"/>
          </w:tcPr>
          <w:p w14:paraId="6D869180" w14:textId="25C849CB" w:rsidR="00C0147E" w:rsidRPr="00F26689" w:rsidRDefault="009864A7" w:rsidP="00130A96">
            <w:pPr>
              <w:pStyle w:val="TableParagraph"/>
              <w:rPr>
                <w:sz w:val="20"/>
                <w:szCs w:val="20"/>
              </w:rPr>
            </w:pPr>
            <w:r>
              <w:rPr>
                <w:sz w:val="20"/>
                <w:szCs w:val="20"/>
              </w:rPr>
              <w:t xml:space="preserve">Kanalėlių ir </w:t>
            </w:r>
            <w:proofErr w:type="spellStart"/>
            <w:r>
              <w:rPr>
                <w:sz w:val="20"/>
                <w:szCs w:val="20"/>
              </w:rPr>
              <w:t>intersticinio</w:t>
            </w:r>
            <w:proofErr w:type="spellEnd"/>
            <w:r>
              <w:rPr>
                <w:sz w:val="20"/>
                <w:szCs w:val="20"/>
              </w:rPr>
              <w:t xml:space="preserve"> audinio </w:t>
            </w:r>
            <w:r w:rsidR="001175EF" w:rsidRPr="00F26689">
              <w:rPr>
                <w:sz w:val="20"/>
                <w:szCs w:val="20"/>
              </w:rPr>
              <w:t>nefritas</w:t>
            </w:r>
          </w:p>
        </w:tc>
      </w:tr>
      <w:tr w:rsidR="00C0147E" w:rsidRPr="00130A96" w14:paraId="6D869188" w14:textId="77777777" w:rsidTr="00C610D1">
        <w:trPr>
          <w:trHeight w:val="229"/>
        </w:trPr>
        <w:tc>
          <w:tcPr>
            <w:tcW w:w="1301" w:type="dxa"/>
          </w:tcPr>
          <w:p w14:paraId="6D869182" w14:textId="6F38D5F9" w:rsidR="00C0147E" w:rsidRPr="00F26689" w:rsidRDefault="00D72FB0" w:rsidP="00130A96">
            <w:pPr>
              <w:pStyle w:val="TableParagraph"/>
              <w:rPr>
                <w:i/>
                <w:sz w:val="20"/>
                <w:szCs w:val="20"/>
              </w:rPr>
            </w:pPr>
            <w:r w:rsidRPr="00F26689">
              <w:rPr>
                <w:i/>
                <w:sz w:val="20"/>
                <w:szCs w:val="20"/>
              </w:rPr>
              <w:t>Lytinės sistemos ir krūties sutrikimai</w:t>
            </w:r>
          </w:p>
        </w:tc>
        <w:tc>
          <w:tcPr>
            <w:tcW w:w="1748" w:type="dxa"/>
          </w:tcPr>
          <w:p w14:paraId="6D869183" w14:textId="77777777" w:rsidR="00C0147E" w:rsidRPr="00F26689" w:rsidRDefault="00C0147E" w:rsidP="00130A96">
            <w:pPr>
              <w:pStyle w:val="TableParagraph"/>
              <w:rPr>
                <w:sz w:val="20"/>
                <w:szCs w:val="20"/>
              </w:rPr>
            </w:pPr>
          </w:p>
        </w:tc>
        <w:tc>
          <w:tcPr>
            <w:tcW w:w="1899" w:type="dxa"/>
          </w:tcPr>
          <w:p w14:paraId="6D869184" w14:textId="77777777" w:rsidR="00C0147E" w:rsidRPr="00F26689" w:rsidRDefault="00C0147E" w:rsidP="00130A96">
            <w:pPr>
              <w:pStyle w:val="TableParagraph"/>
              <w:rPr>
                <w:sz w:val="20"/>
                <w:szCs w:val="20"/>
              </w:rPr>
            </w:pPr>
          </w:p>
        </w:tc>
        <w:tc>
          <w:tcPr>
            <w:tcW w:w="1882" w:type="dxa"/>
          </w:tcPr>
          <w:p w14:paraId="49207970" w14:textId="0FC3B48F" w:rsidR="00D72FB0" w:rsidRPr="00AE3B38" w:rsidRDefault="00D72FB0" w:rsidP="00130A96">
            <w:pPr>
              <w:pStyle w:val="TableParagraph"/>
              <w:rPr>
                <w:sz w:val="20"/>
                <w:szCs w:val="20"/>
              </w:rPr>
            </w:pPr>
            <w:proofErr w:type="spellStart"/>
            <w:r w:rsidRPr="00AE3B38">
              <w:rPr>
                <w:sz w:val="20"/>
                <w:szCs w:val="20"/>
              </w:rPr>
              <w:t>Vulvos</w:t>
            </w:r>
            <w:proofErr w:type="spellEnd"/>
            <w:r w:rsidRPr="00AE3B38">
              <w:rPr>
                <w:sz w:val="20"/>
                <w:szCs w:val="20"/>
              </w:rPr>
              <w:t xml:space="preserve"> </w:t>
            </w:r>
            <w:r w:rsidR="0020255C" w:rsidRPr="00AE3B38">
              <w:rPr>
                <w:sz w:val="20"/>
                <w:szCs w:val="20"/>
              </w:rPr>
              <w:t>niežėjimas</w:t>
            </w:r>
            <w:r w:rsidRPr="00AE3B38">
              <w:rPr>
                <w:sz w:val="20"/>
                <w:szCs w:val="20"/>
                <w:vertAlign w:val="superscript"/>
              </w:rPr>
              <w:t>**</w:t>
            </w:r>
            <w:r w:rsidRPr="00AE3B38">
              <w:rPr>
                <w:sz w:val="20"/>
                <w:szCs w:val="20"/>
              </w:rPr>
              <w:t xml:space="preserve"> ,</w:t>
            </w:r>
          </w:p>
          <w:p w14:paraId="6D869185" w14:textId="174C7838" w:rsidR="00C0147E" w:rsidRPr="00F26689" w:rsidRDefault="00791D20" w:rsidP="00130A96">
            <w:pPr>
              <w:pStyle w:val="TableParagraph"/>
              <w:rPr>
                <w:sz w:val="20"/>
                <w:szCs w:val="20"/>
              </w:rPr>
            </w:pPr>
            <w:r w:rsidRPr="00AE3B38">
              <w:rPr>
                <w:sz w:val="20"/>
                <w:szCs w:val="20"/>
              </w:rPr>
              <w:t xml:space="preserve">Lytinių organų </w:t>
            </w:r>
            <w:r w:rsidR="0020255C" w:rsidRPr="00AE3B38">
              <w:rPr>
                <w:sz w:val="20"/>
                <w:szCs w:val="20"/>
              </w:rPr>
              <w:t>niežėjimas</w:t>
            </w:r>
            <w:r w:rsidR="00D72FB0" w:rsidRPr="00AE3B38">
              <w:rPr>
                <w:sz w:val="20"/>
                <w:szCs w:val="20"/>
                <w:vertAlign w:val="superscript"/>
              </w:rPr>
              <w:t>**</w:t>
            </w:r>
          </w:p>
        </w:tc>
        <w:tc>
          <w:tcPr>
            <w:tcW w:w="981" w:type="dxa"/>
          </w:tcPr>
          <w:p w14:paraId="6D869186" w14:textId="77777777" w:rsidR="00C0147E" w:rsidRPr="00F26689" w:rsidRDefault="00C0147E" w:rsidP="00130A96">
            <w:pPr>
              <w:pStyle w:val="TableParagraph"/>
              <w:rPr>
                <w:sz w:val="20"/>
                <w:szCs w:val="20"/>
              </w:rPr>
            </w:pPr>
          </w:p>
        </w:tc>
        <w:tc>
          <w:tcPr>
            <w:tcW w:w="1457" w:type="dxa"/>
          </w:tcPr>
          <w:p w14:paraId="6D869187" w14:textId="77777777" w:rsidR="00C0147E" w:rsidRPr="00F26689" w:rsidRDefault="00C0147E" w:rsidP="00130A96">
            <w:pPr>
              <w:pStyle w:val="TableParagraph"/>
              <w:rPr>
                <w:sz w:val="20"/>
                <w:szCs w:val="20"/>
              </w:rPr>
            </w:pPr>
          </w:p>
        </w:tc>
      </w:tr>
      <w:tr w:rsidR="00C0147E" w:rsidRPr="00130A96" w14:paraId="6D8691A4" w14:textId="77777777" w:rsidTr="00864019">
        <w:trPr>
          <w:cantSplit/>
          <w:trHeight w:val="229"/>
        </w:trPr>
        <w:tc>
          <w:tcPr>
            <w:tcW w:w="1301" w:type="dxa"/>
          </w:tcPr>
          <w:p w14:paraId="6D86919E" w14:textId="77777777" w:rsidR="00C0147E" w:rsidRPr="00F26689" w:rsidRDefault="001175EF" w:rsidP="00130A96">
            <w:pPr>
              <w:pStyle w:val="TableParagraph"/>
              <w:rPr>
                <w:i/>
                <w:sz w:val="20"/>
                <w:szCs w:val="20"/>
              </w:rPr>
            </w:pPr>
            <w:r w:rsidRPr="00F26689">
              <w:rPr>
                <w:i/>
                <w:sz w:val="20"/>
                <w:szCs w:val="20"/>
              </w:rPr>
              <w:t>Tyrimai</w:t>
            </w:r>
          </w:p>
        </w:tc>
        <w:tc>
          <w:tcPr>
            <w:tcW w:w="1748" w:type="dxa"/>
          </w:tcPr>
          <w:p w14:paraId="6D86919F" w14:textId="77777777" w:rsidR="00C0147E" w:rsidRPr="00F26689" w:rsidRDefault="00C0147E" w:rsidP="00130A96">
            <w:pPr>
              <w:pStyle w:val="TableParagraph"/>
              <w:rPr>
                <w:sz w:val="20"/>
                <w:szCs w:val="20"/>
              </w:rPr>
            </w:pPr>
          </w:p>
        </w:tc>
        <w:tc>
          <w:tcPr>
            <w:tcW w:w="1899" w:type="dxa"/>
          </w:tcPr>
          <w:p w14:paraId="24AFF048" w14:textId="040FDD62" w:rsidR="00865AAC" w:rsidRPr="00F26689" w:rsidRDefault="00865AAC" w:rsidP="00130A96">
            <w:pPr>
              <w:pStyle w:val="TableParagraph"/>
              <w:rPr>
                <w:sz w:val="20"/>
                <w:szCs w:val="20"/>
              </w:rPr>
            </w:pPr>
            <w:r w:rsidRPr="00F26689">
              <w:rPr>
                <w:sz w:val="20"/>
                <w:szCs w:val="20"/>
              </w:rPr>
              <w:t xml:space="preserve">Padidėjęs </w:t>
            </w:r>
            <w:proofErr w:type="spellStart"/>
            <w:r w:rsidRPr="00F26689">
              <w:rPr>
                <w:sz w:val="20"/>
                <w:szCs w:val="20"/>
              </w:rPr>
              <w:t>hematokritas</w:t>
            </w:r>
            <w:r w:rsidRPr="00F26689">
              <w:rPr>
                <w:sz w:val="20"/>
                <w:szCs w:val="20"/>
                <w:vertAlign w:val="superscript"/>
              </w:rPr>
              <w:t>g</w:t>
            </w:r>
            <w:proofErr w:type="spellEnd"/>
            <w:r w:rsidRPr="00F26689">
              <w:rPr>
                <w:sz w:val="20"/>
                <w:szCs w:val="20"/>
              </w:rPr>
              <w:t>,</w:t>
            </w:r>
          </w:p>
          <w:p w14:paraId="7DB405A9" w14:textId="42827BBA" w:rsidR="00865AAC" w:rsidRPr="00F26689" w:rsidRDefault="00802B01" w:rsidP="00130A96">
            <w:pPr>
              <w:pStyle w:val="TableParagraph"/>
              <w:rPr>
                <w:sz w:val="20"/>
                <w:szCs w:val="20"/>
              </w:rPr>
            </w:pPr>
            <w:r>
              <w:rPr>
                <w:sz w:val="20"/>
                <w:szCs w:val="20"/>
              </w:rPr>
              <w:t>S</w:t>
            </w:r>
            <w:r w:rsidR="00865AAC" w:rsidRPr="00F26689">
              <w:rPr>
                <w:sz w:val="20"/>
                <w:szCs w:val="20"/>
              </w:rPr>
              <w:t>umažėjęs kreatinino inkstų klirensas (pradedant gydyti)</w:t>
            </w:r>
            <w:r w:rsidR="00865AAC" w:rsidRPr="00F26689">
              <w:rPr>
                <w:sz w:val="20"/>
                <w:szCs w:val="20"/>
                <w:vertAlign w:val="superscript"/>
              </w:rPr>
              <w:t>b</w:t>
            </w:r>
            <w:r w:rsidR="00865AAC" w:rsidRPr="00F26689">
              <w:rPr>
                <w:sz w:val="20"/>
                <w:szCs w:val="20"/>
              </w:rPr>
              <w:t>,</w:t>
            </w:r>
          </w:p>
          <w:p w14:paraId="6D8691A0" w14:textId="4F144D72" w:rsidR="00C0147E" w:rsidRPr="00F26689" w:rsidRDefault="00802B01" w:rsidP="00130A96">
            <w:pPr>
              <w:pStyle w:val="TableParagraph"/>
              <w:rPr>
                <w:sz w:val="20"/>
                <w:szCs w:val="20"/>
              </w:rPr>
            </w:pPr>
            <w:proofErr w:type="spellStart"/>
            <w:r>
              <w:rPr>
                <w:sz w:val="20"/>
                <w:szCs w:val="20"/>
              </w:rPr>
              <w:t>D</w:t>
            </w:r>
            <w:r w:rsidR="00865AAC" w:rsidRPr="00F26689">
              <w:rPr>
                <w:sz w:val="20"/>
                <w:szCs w:val="20"/>
              </w:rPr>
              <w:t>islipidemija</w:t>
            </w:r>
            <w:r w:rsidR="00865AAC" w:rsidRPr="00F26689">
              <w:rPr>
                <w:sz w:val="20"/>
                <w:szCs w:val="20"/>
                <w:vertAlign w:val="superscript"/>
              </w:rPr>
              <w:t>h</w:t>
            </w:r>
            <w:proofErr w:type="spellEnd"/>
          </w:p>
        </w:tc>
        <w:tc>
          <w:tcPr>
            <w:tcW w:w="1882" w:type="dxa"/>
          </w:tcPr>
          <w:p w14:paraId="3B8247F5" w14:textId="58EBE93A" w:rsidR="00C610D1" w:rsidRPr="00F26689" w:rsidRDefault="00C610D1" w:rsidP="00130A96">
            <w:pPr>
              <w:pStyle w:val="TableParagraph"/>
              <w:rPr>
                <w:sz w:val="20"/>
                <w:szCs w:val="20"/>
              </w:rPr>
            </w:pPr>
            <w:r w:rsidRPr="00F26689">
              <w:rPr>
                <w:sz w:val="20"/>
                <w:szCs w:val="20"/>
              </w:rPr>
              <w:t>Padidėjusi kreatinino koncentracija kraujyje (pradedant gydyti)</w:t>
            </w:r>
            <w:r w:rsidRPr="00F26689">
              <w:rPr>
                <w:sz w:val="20"/>
                <w:szCs w:val="20"/>
                <w:vertAlign w:val="superscript"/>
              </w:rPr>
              <w:t>**,b</w:t>
            </w:r>
            <w:r w:rsidRPr="00F26689">
              <w:rPr>
                <w:sz w:val="20"/>
                <w:szCs w:val="20"/>
              </w:rPr>
              <w:t>,</w:t>
            </w:r>
          </w:p>
          <w:p w14:paraId="235768E3" w14:textId="04AE9FA9" w:rsidR="00C610D1" w:rsidRPr="00F26689" w:rsidRDefault="00802B01" w:rsidP="00130A96">
            <w:pPr>
              <w:pStyle w:val="TableParagraph"/>
              <w:rPr>
                <w:sz w:val="20"/>
                <w:szCs w:val="20"/>
              </w:rPr>
            </w:pPr>
            <w:r>
              <w:rPr>
                <w:sz w:val="20"/>
                <w:szCs w:val="20"/>
              </w:rPr>
              <w:t>P</w:t>
            </w:r>
            <w:r w:rsidR="00C610D1" w:rsidRPr="00F26689">
              <w:rPr>
                <w:sz w:val="20"/>
                <w:szCs w:val="20"/>
              </w:rPr>
              <w:t>adidėjusi šlapalo koncentracija kraujyje</w:t>
            </w:r>
            <w:r w:rsidR="00C610D1" w:rsidRPr="00F26689">
              <w:rPr>
                <w:sz w:val="20"/>
                <w:szCs w:val="20"/>
                <w:vertAlign w:val="superscript"/>
              </w:rPr>
              <w:t>**</w:t>
            </w:r>
            <w:r w:rsidR="00C610D1" w:rsidRPr="00F26689">
              <w:rPr>
                <w:sz w:val="20"/>
                <w:szCs w:val="20"/>
              </w:rPr>
              <w:t>,</w:t>
            </w:r>
          </w:p>
          <w:p w14:paraId="6D8691A1" w14:textId="324352E6" w:rsidR="00C0147E" w:rsidRPr="00F26689" w:rsidRDefault="00802B01" w:rsidP="00130A96">
            <w:pPr>
              <w:pStyle w:val="TableParagraph"/>
              <w:rPr>
                <w:sz w:val="20"/>
                <w:szCs w:val="20"/>
              </w:rPr>
            </w:pPr>
            <w:r>
              <w:rPr>
                <w:sz w:val="20"/>
                <w:szCs w:val="20"/>
              </w:rPr>
              <w:t>S</w:t>
            </w:r>
            <w:r w:rsidR="00C610D1" w:rsidRPr="00F26689">
              <w:rPr>
                <w:sz w:val="20"/>
                <w:szCs w:val="20"/>
              </w:rPr>
              <w:t>umažėjęs svoris</w:t>
            </w:r>
            <w:r w:rsidR="00C610D1" w:rsidRPr="00F26689">
              <w:rPr>
                <w:sz w:val="20"/>
                <w:szCs w:val="20"/>
                <w:vertAlign w:val="superscript"/>
              </w:rPr>
              <w:t>**</w:t>
            </w:r>
          </w:p>
        </w:tc>
        <w:tc>
          <w:tcPr>
            <w:tcW w:w="981" w:type="dxa"/>
          </w:tcPr>
          <w:p w14:paraId="6D8691A2" w14:textId="77777777" w:rsidR="00C0147E" w:rsidRPr="00F26689" w:rsidRDefault="00C0147E" w:rsidP="00130A96">
            <w:pPr>
              <w:pStyle w:val="TableParagraph"/>
              <w:rPr>
                <w:sz w:val="20"/>
                <w:szCs w:val="20"/>
              </w:rPr>
            </w:pPr>
          </w:p>
        </w:tc>
        <w:tc>
          <w:tcPr>
            <w:tcW w:w="1457" w:type="dxa"/>
          </w:tcPr>
          <w:p w14:paraId="6D8691A3" w14:textId="77777777" w:rsidR="00C0147E" w:rsidRPr="00F26689" w:rsidRDefault="00C0147E" w:rsidP="00130A96">
            <w:pPr>
              <w:pStyle w:val="TableParagraph"/>
              <w:rPr>
                <w:sz w:val="20"/>
                <w:szCs w:val="20"/>
              </w:rPr>
            </w:pPr>
          </w:p>
        </w:tc>
      </w:tr>
    </w:tbl>
    <w:p w14:paraId="6D8691DE" w14:textId="2EAD8559" w:rsidR="00C0147E" w:rsidRPr="008D374F" w:rsidRDefault="001175EF" w:rsidP="00130A96">
      <w:pPr>
        <w:rPr>
          <w:sz w:val="20"/>
          <w:szCs w:val="20"/>
        </w:rPr>
      </w:pPr>
      <w:r w:rsidRPr="008D374F">
        <w:rPr>
          <w:sz w:val="20"/>
          <w:szCs w:val="20"/>
          <w:vertAlign w:val="superscript"/>
        </w:rPr>
        <w:lastRenderedPageBreak/>
        <w:t>a</w:t>
      </w:r>
      <w:r w:rsidRPr="008D374F">
        <w:rPr>
          <w:sz w:val="20"/>
          <w:szCs w:val="20"/>
        </w:rPr>
        <w:t xml:space="preserve"> Lentelėje pateikiami iki 24</w:t>
      </w:r>
      <w:r w:rsidR="009B3E10">
        <w:rPr>
          <w:sz w:val="20"/>
          <w:szCs w:val="20"/>
        </w:rPr>
        <w:t> </w:t>
      </w:r>
      <w:r w:rsidRPr="008D374F">
        <w:rPr>
          <w:sz w:val="20"/>
          <w:szCs w:val="20"/>
        </w:rPr>
        <w:t xml:space="preserve">savaičių trukmės (trumpalaikių) tyrimų duomenys nepriklausomai nuo neatidėliotinos pagalbos </w:t>
      </w:r>
      <w:proofErr w:type="spellStart"/>
      <w:r w:rsidRPr="008D374F">
        <w:rPr>
          <w:sz w:val="20"/>
          <w:szCs w:val="20"/>
        </w:rPr>
        <w:t>glikemijai</w:t>
      </w:r>
      <w:proofErr w:type="spellEnd"/>
      <w:r w:rsidRPr="008D374F">
        <w:rPr>
          <w:sz w:val="20"/>
          <w:szCs w:val="20"/>
        </w:rPr>
        <w:t xml:space="preserve"> koreguoti taikymo.</w:t>
      </w:r>
    </w:p>
    <w:p w14:paraId="6D8691DF" w14:textId="77777777" w:rsidR="00C0147E" w:rsidRPr="008D374F" w:rsidRDefault="001175EF" w:rsidP="00130A96">
      <w:pPr>
        <w:rPr>
          <w:sz w:val="20"/>
          <w:szCs w:val="20"/>
        </w:rPr>
      </w:pPr>
      <w:r w:rsidRPr="008D374F">
        <w:rPr>
          <w:sz w:val="20"/>
          <w:szCs w:val="20"/>
          <w:vertAlign w:val="superscript"/>
        </w:rPr>
        <w:t>b</w:t>
      </w:r>
      <w:r w:rsidRPr="008D374F">
        <w:rPr>
          <w:sz w:val="20"/>
          <w:szCs w:val="20"/>
        </w:rPr>
        <w:t xml:space="preserve"> Papildoma informacija pateikiama atitinkamoje skyriaus dalyje žemiau.</w:t>
      </w:r>
    </w:p>
    <w:p w14:paraId="6D8691E0" w14:textId="60E7D360" w:rsidR="00C0147E" w:rsidRPr="008D374F" w:rsidRDefault="001175EF" w:rsidP="00130A96">
      <w:pPr>
        <w:rPr>
          <w:sz w:val="20"/>
          <w:szCs w:val="20"/>
        </w:rPr>
      </w:pPr>
      <w:r w:rsidRPr="008D374F">
        <w:rPr>
          <w:sz w:val="20"/>
          <w:szCs w:val="20"/>
          <w:vertAlign w:val="superscript"/>
        </w:rPr>
        <w:t>c</w:t>
      </w:r>
      <w:r w:rsidRPr="008D374F">
        <w:rPr>
          <w:sz w:val="20"/>
          <w:szCs w:val="20"/>
        </w:rPr>
        <w:t xml:space="preserve"> </w:t>
      </w:r>
      <w:r w:rsidR="00034E76">
        <w:rPr>
          <w:sz w:val="20"/>
          <w:szCs w:val="20"/>
        </w:rPr>
        <w:t xml:space="preserve">Makšties ir </w:t>
      </w:r>
      <w:proofErr w:type="spellStart"/>
      <w:r w:rsidR="00034E76">
        <w:rPr>
          <w:sz w:val="20"/>
          <w:szCs w:val="20"/>
        </w:rPr>
        <w:t>vulvos</w:t>
      </w:r>
      <w:proofErr w:type="spellEnd"/>
      <w:r w:rsidR="00034E76">
        <w:rPr>
          <w:sz w:val="20"/>
          <w:szCs w:val="20"/>
        </w:rPr>
        <w:t xml:space="preserve"> </w:t>
      </w:r>
      <w:r w:rsidR="00462022">
        <w:rPr>
          <w:sz w:val="20"/>
          <w:szCs w:val="20"/>
        </w:rPr>
        <w:t>uždegimas</w:t>
      </w:r>
      <w:r w:rsidRPr="008D374F">
        <w:rPr>
          <w:sz w:val="20"/>
          <w:szCs w:val="20"/>
        </w:rPr>
        <w:t xml:space="preserve">, balanitas ir susijusios </w:t>
      </w:r>
      <w:r w:rsidR="00230177">
        <w:rPr>
          <w:sz w:val="20"/>
          <w:szCs w:val="20"/>
        </w:rPr>
        <w:t>lytinių organų</w:t>
      </w:r>
      <w:r w:rsidRPr="008D374F">
        <w:rPr>
          <w:sz w:val="20"/>
          <w:szCs w:val="20"/>
        </w:rPr>
        <w:t xml:space="preserve"> infekcijos apima, pvz., šiuos iš anksto numatytus pasirinktinius terminus: </w:t>
      </w:r>
      <w:r w:rsidR="00BC41AC">
        <w:rPr>
          <w:sz w:val="20"/>
          <w:szCs w:val="20"/>
        </w:rPr>
        <w:t xml:space="preserve">makšties ir </w:t>
      </w:r>
      <w:proofErr w:type="spellStart"/>
      <w:r w:rsidR="00BC41AC">
        <w:rPr>
          <w:sz w:val="20"/>
          <w:szCs w:val="20"/>
        </w:rPr>
        <w:t>vulvos</w:t>
      </w:r>
      <w:proofErr w:type="spellEnd"/>
      <w:r w:rsidR="00BC41AC" w:rsidRPr="008D374F">
        <w:rPr>
          <w:sz w:val="20"/>
          <w:szCs w:val="20"/>
        </w:rPr>
        <w:t xml:space="preserve"> </w:t>
      </w:r>
      <w:r w:rsidRPr="008D374F">
        <w:rPr>
          <w:sz w:val="20"/>
          <w:szCs w:val="20"/>
        </w:rPr>
        <w:t xml:space="preserve">grybelinė infekcija, makšties infekcija, balanitas, grybelinė </w:t>
      </w:r>
      <w:r w:rsidR="003C11A3">
        <w:rPr>
          <w:sz w:val="20"/>
          <w:szCs w:val="20"/>
        </w:rPr>
        <w:t>lytinių organų</w:t>
      </w:r>
      <w:r w:rsidRPr="008D374F">
        <w:rPr>
          <w:sz w:val="20"/>
          <w:szCs w:val="20"/>
        </w:rPr>
        <w:t xml:space="preserve"> infekcija, </w:t>
      </w:r>
      <w:r w:rsidR="003E05B4">
        <w:rPr>
          <w:sz w:val="20"/>
          <w:szCs w:val="20"/>
        </w:rPr>
        <w:t xml:space="preserve">makšties ir </w:t>
      </w:r>
      <w:proofErr w:type="spellStart"/>
      <w:r w:rsidR="003E05B4">
        <w:rPr>
          <w:sz w:val="20"/>
          <w:szCs w:val="20"/>
        </w:rPr>
        <w:t>vulvos</w:t>
      </w:r>
      <w:proofErr w:type="spellEnd"/>
      <w:r w:rsidR="003E05B4" w:rsidRPr="008D374F">
        <w:rPr>
          <w:sz w:val="20"/>
          <w:szCs w:val="20"/>
        </w:rPr>
        <w:t xml:space="preserve"> </w:t>
      </w:r>
      <w:proofErr w:type="spellStart"/>
      <w:r w:rsidRPr="008D374F">
        <w:rPr>
          <w:sz w:val="20"/>
          <w:szCs w:val="20"/>
        </w:rPr>
        <w:t>kandidozė</w:t>
      </w:r>
      <w:proofErr w:type="spellEnd"/>
      <w:r w:rsidRPr="008D374F">
        <w:rPr>
          <w:sz w:val="20"/>
          <w:szCs w:val="20"/>
        </w:rPr>
        <w:t xml:space="preserve">, , </w:t>
      </w:r>
      <w:proofErr w:type="spellStart"/>
      <w:r w:rsidRPr="008D374F">
        <w:rPr>
          <w:sz w:val="20"/>
          <w:szCs w:val="20"/>
        </w:rPr>
        <w:t>kandidozinis</w:t>
      </w:r>
      <w:proofErr w:type="spellEnd"/>
      <w:r w:rsidRPr="008D374F">
        <w:rPr>
          <w:sz w:val="20"/>
          <w:szCs w:val="20"/>
        </w:rPr>
        <w:t xml:space="preserve"> balanitas, </w:t>
      </w:r>
      <w:r w:rsidR="003C11A3">
        <w:rPr>
          <w:sz w:val="20"/>
          <w:szCs w:val="20"/>
        </w:rPr>
        <w:t>lytinių organų</w:t>
      </w:r>
      <w:r w:rsidR="003C11A3" w:rsidRPr="008D374F">
        <w:rPr>
          <w:sz w:val="20"/>
          <w:szCs w:val="20"/>
        </w:rPr>
        <w:t xml:space="preserve"> </w:t>
      </w:r>
      <w:proofErr w:type="spellStart"/>
      <w:r w:rsidRPr="008D374F">
        <w:rPr>
          <w:sz w:val="20"/>
          <w:szCs w:val="20"/>
        </w:rPr>
        <w:t>kandidozė</w:t>
      </w:r>
      <w:proofErr w:type="spellEnd"/>
      <w:r w:rsidRPr="008D374F">
        <w:rPr>
          <w:sz w:val="20"/>
          <w:szCs w:val="20"/>
        </w:rPr>
        <w:t xml:space="preserve">, </w:t>
      </w:r>
      <w:r w:rsidR="003C11A3">
        <w:rPr>
          <w:sz w:val="20"/>
          <w:szCs w:val="20"/>
        </w:rPr>
        <w:t>lytinių organų</w:t>
      </w:r>
      <w:r w:rsidR="003C11A3" w:rsidRPr="008D374F">
        <w:rPr>
          <w:sz w:val="20"/>
          <w:szCs w:val="20"/>
        </w:rPr>
        <w:t xml:space="preserve"> </w:t>
      </w:r>
      <w:r w:rsidRPr="008D374F">
        <w:rPr>
          <w:sz w:val="20"/>
          <w:szCs w:val="20"/>
        </w:rPr>
        <w:t xml:space="preserve">infekcija, vyrų </w:t>
      </w:r>
      <w:r w:rsidR="003C11A3">
        <w:rPr>
          <w:sz w:val="20"/>
          <w:szCs w:val="20"/>
        </w:rPr>
        <w:t>lytinių organų</w:t>
      </w:r>
      <w:r w:rsidR="003C11A3" w:rsidRPr="008D374F">
        <w:rPr>
          <w:sz w:val="20"/>
          <w:szCs w:val="20"/>
        </w:rPr>
        <w:t xml:space="preserve"> </w:t>
      </w:r>
      <w:r w:rsidRPr="008D374F">
        <w:rPr>
          <w:sz w:val="20"/>
          <w:szCs w:val="20"/>
        </w:rPr>
        <w:t xml:space="preserve">infekcijos, varpos infekcija, </w:t>
      </w:r>
      <w:proofErr w:type="spellStart"/>
      <w:r w:rsidRPr="008D374F">
        <w:rPr>
          <w:sz w:val="20"/>
          <w:szCs w:val="20"/>
        </w:rPr>
        <w:t>vulvitas</w:t>
      </w:r>
      <w:proofErr w:type="spellEnd"/>
      <w:r w:rsidRPr="008D374F">
        <w:rPr>
          <w:sz w:val="20"/>
          <w:szCs w:val="20"/>
        </w:rPr>
        <w:t xml:space="preserve">, bakterinis vaginitas, </w:t>
      </w:r>
      <w:proofErr w:type="spellStart"/>
      <w:r w:rsidRPr="008D374F">
        <w:rPr>
          <w:sz w:val="20"/>
          <w:szCs w:val="20"/>
        </w:rPr>
        <w:t>vulvos</w:t>
      </w:r>
      <w:proofErr w:type="spellEnd"/>
      <w:r w:rsidRPr="008D374F">
        <w:rPr>
          <w:sz w:val="20"/>
          <w:szCs w:val="20"/>
        </w:rPr>
        <w:t xml:space="preserve"> </w:t>
      </w:r>
      <w:proofErr w:type="spellStart"/>
      <w:r w:rsidR="001B4018">
        <w:rPr>
          <w:sz w:val="20"/>
          <w:szCs w:val="20"/>
        </w:rPr>
        <w:t>abscesas</w:t>
      </w:r>
      <w:proofErr w:type="spellEnd"/>
      <w:r w:rsidRPr="008D374F">
        <w:rPr>
          <w:sz w:val="20"/>
          <w:szCs w:val="20"/>
        </w:rPr>
        <w:t>.</w:t>
      </w:r>
    </w:p>
    <w:p w14:paraId="6D8691E1" w14:textId="03DAC43A" w:rsidR="00C0147E" w:rsidRPr="008D374F" w:rsidRDefault="001175EF" w:rsidP="00130A96">
      <w:pPr>
        <w:rPr>
          <w:sz w:val="20"/>
          <w:szCs w:val="20"/>
        </w:rPr>
      </w:pPr>
      <w:r w:rsidRPr="008D374F">
        <w:rPr>
          <w:sz w:val="20"/>
          <w:szCs w:val="20"/>
          <w:vertAlign w:val="superscript"/>
        </w:rPr>
        <w:t>d</w:t>
      </w:r>
      <w:r w:rsidRPr="008D374F">
        <w:rPr>
          <w:sz w:val="20"/>
          <w:szCs w:val="20"/>
        </w:rPr>
        <w:t xml:space="preserve"> Šlapimo takų infekcija apima šiuos pirmiausiai pasirenkamus terminus, išvardytus pagal </w:t>
      </w:r>
      <w:r w:rsidR="004E496E">
        <w:rPr>
          <w:sz w:val="20"/>
          <w:szCs w:val="20"/>
        </w:rPr>
        <w:t>pranešimų</w:t>
      </w:r>
      <w:r w:rsidRPr="008D374F">
        <w:rPr>
          <w:sz w:val="20"/>
          <w:szCs w:val="20"/>
        </w:rPr>
        <w:t xml:space="preserve"> dažnį: šlapimo takų infekcija, cistitas, </w:t>
      </w:r>
      <w:proofErr w:type="spellStart"/>
      <w:r w:rsidRPr="008D374F">
        <w:rPr>
          <w:i/>
          <w:sz w:val="20"/>
          <w:szCs w:val="20"/>
        </w:rPr>
        <w:t>Escherichia</w:t>
      </w:r>
      <w:proofErr w:type="spellEnd"/>
      <w:r w:rsidRPr="008D374F">
        <w:rPr>
          <w:i/>
          <w:sz w:val="20"/>
          <w:szCs w:val="20"/>
        </w:rPr>
        <w:t xml:space="preserve"> </w:t>
      </w:r>
      <w:r w:rsidRPr="008D374F">
        <w:rPr>
          <w:sz w:val="20"/>
          <w:szCs w:val="20"/>
        </w:rPr>
        <w:t xml:space="preserve">sukelta šlapimo takų infekcija, lytinių ir šlapimo takų infekcija, </w:t>
      </w:r>
      <w:proofErr w:type="spellStart"/>
      <w:r w:rsidRPr="008D374F">
        <w:rPr>
          <w:sz w:val="20"/>
          <w:szCs w:val="20"/>
        </w:rPr>
        <w:t>pielonefritas</w:t>
      </w:r>
      <w:proofErr w:type="spellEnd"/>
      <w:r w:rsidRPr="008D374F">
        <w:rPr>
          <w:sz w:val="20"/>
          <w:szCs w:val="20"/>
        </w:rPr>
        <w:t xml:space="preserve">, </w:t>
      </w:r>
      <w:proofErr w:type="spellStart"/>
      <w:r w:rsidRPr="008D374F">
        <w:rPr>
          <w:sz w:val="20"/>
          <w:szCs w:val="20"/>
        </w:rPr>
        <w:t>trigonitas</w:t>
      </w:r>
      <w:proofErr w:type="spellEnd"/>
      <w:r w:rsidRPr="008D374F">
        <w:rPr>
          <w:sz w:val="20"/>
          <w:szCs w:val="20"/>
        </w:rPr>
        <w:t xml:space="preserve">, </w:t>
      </w:r>
      <w:proofErr w:type="spellStart"/>
      <w:r w:rsidRPr="008D374F">
        <w:rPr>
          <w:sz w:val="20"/>
          <w:szCs w:val="20"/>
        </w:rPr>
        <w:t>uretritas</w:t>
      </w:r>
      <w:proofErr w:type="spellEnd"/>
      <w:r w:rsidRPr="008D374F">
        <w:rPr>
          <w:sz w:val="20"/>
          <w:szCs w:val="20"/>
        </w:rPr>
        <w:t>, inkstų infekcija ir prostatitas.</w:t>
      </w:r>
    </w:p>
    <w:p w14:paraId="6D8691E2" w14:textId="77777777" w:rsidR="00C0147E" w:rsidRPr="008D374F" w:rsidRDefault="001175EF" w:rsidP="00130A96">
      <w:pPr>
        <w:rPr>
          <w:sz w:val="20"/>
          <w:szCs w:val="20"/>
        </w:rPr>
      </w:pPr>
      <w:r w:rsidRPr="008D374F">
        <w:rPr>
          <w:sz w:val="20"/>
          <w:szCs w:val="20"/>
          <w:vertAlign w:val="superscript"/>
        </w:rPr>
        <w:t>e</w:t>
      </w:r>
      <w:r w:rsidRPr="008D374F">
        <w:rPr>
          <w:sz w:val="20"/>
          <w:szCs w:val="20"/>
        </w:rPr>
        <w:t xml:space="preserve"> Kraujo tūrio sumažėjimas apima, pvz. šiuos iš anksto numatytus pasirinktinius terminus: dehidratacija, </w:t>
      </w:r>
      <w:proofErr w:type="spellStart"/>
      <w:r w:rsidRPr="008D374F">
        <w:rPr>
          <w:sz w:val="20"/>
          <w:szCs w:val="20"/>
        </w:rPr>
        <w:t>hipovolemija</w:t>
      </w:r>
      <w:proofErr w:type="spellEnd"/>
      <w:r w:rsidRPr="008D374F">
        <w:rPr>
          <w:sz w:val="20"/>
          <w:szCs w:val="20"/>
        </w:rPr>
        <w:t xml:space="preserve">, </w:t>
      </w:r>
      <w:proofErr w:type="spellStart"/>
      <w:r w:rsidRPr="008D374F">
        <w:rPr>
          <w:sz w:val="20"/>
          <w:szCs w:val="20"/>
        </w:rPr>
        <w:t>hipotenzija</w:t>
      </w:r>
      <w:proofErr w:type="spellEnd"/>
      <w:r w:rsidRPr="008D374F">
        <w:rPr>
          <w:sz w:val="20"/>
          <w:szCs w:val="20"/>
        </w:rPr>
        <w:t>.</w:t>
      </w:r>
    </w:p>
    <w:p w14:paraId="6D8691E3" w14:textId="77777777" w:rsidR="00C0147E" w:rsidRPr="008D374F" w:rsidRDefault="001175EF" w:rsidP="00130A96">
      <w:pPr>
        <w:rPr>
          <w:sz w:val="20"/>
          <w:szCs w:val="20"/>
        </w:rPr>
      </w:pPr>
      <w:r w:rsidRPr="008D374F">
        <w:rPr>
          <w:sz w:val="20"/>
          <w:szCs w:val="20"/>
          <w:vertAlign w:val="superscript"/>
        </w:rPr>
        <w:t>f</w:t>
      </w:r>
      <w:r w:rsidRPr="008D374F">
        <w:rPr>
          <w:sz w:val="20"/>
          <w:szCs w:val="20"/>
        </w:rPr>
        <w:t xml:space="preserve"> </w:t>
      </w:r>
      <w:proofErr w:type="spellStart"/>
      <w:r w:rsidRPr="008D374F">
        <w:rPr>
          <w:sz w:val="20"/>
          <w:szCs w:val="20"/>
        </w:rPr>
        <w:t>Poliurija</w:t>
      </w:r>
      <w:proofErr w:type="spellEnd"/>
      <w:r w:rsidRPr="008D374F">
        <w:rPr>
          <w:sz w:val="20"/>
          <w:szCs w:val="20"/>
        </w:rPr>
        <w:t xml:space="preserve"> apima šiuos iš anksto numatytus pirmiausiai pasirenkamus terminus: </w:t>
      </w:r>
      <w:proofErr w:type="spellStart"/>
      <w:r w:rsidRPr="008D374F">
        <w:rPr>
          <w:sz w:val="20"/>
          <w:szCs w:val="20"/>
        </w:rPr>
        <w:t>polakiurija</w:t>
      </w:r>
      <w:proofErr w:type="spellEnd"/>
      <w:r w:rsidRPr="008D374F">
        <w:rPr>
          <w:sz w:val="20"/>
          <w:szCs w:val="20"/>
        </w:rPr>
        <w:t xml:space="preserve">, </w:t>
      </w:r>
      <w:proofErr w:type="spellStart"/>
      <w:r w:rsidRPr="008D374F">
        <w:rPr>
          <w:sz w:val="20"/>
          <w:szCs w:val="20"/>
        </w:rPr>
        <w:t>poliurija</w:t>
      </w:r>
      <w:proofErr w:type="spellEnd"/>
      <w:r w:rsidRPr="008D374F">
        <w:rPr>
          <w:sz w:val="20"/>
          <w:szCs w:val="20"/>
        </w:rPr>
        <w:t>, padidėjęs šlapimo išskyrimas.</w:t>
      </w:r>
    </w:p>
    <w:p w14:paraId="6D8691E4" w14:textId="1BA1C276" w:rsidR="00C0147E" w:rsidRPr="008D374F" w:rsidRDefault="001175EF" w:rsidP="00130A96">
      <w:pPr>
        <w:jc w:val="both"/>
        <w:rPr>
          <w:sz w:val="20"/>
          <w:szCs w:val="20"/>
        </w:rPr>
      </w:pPr>
      <w:r w:rsidRPr="008D374F">
        <w:rPr>
          <w:sz w:val="20"/>
          <w:szCs w:val="20"/>
          <w:vertAlign w:val="superscript"/>
        </w:rPr>
        <w:t>g</w:t>
      </w:r>
      <w:r w:rsidRPr="008D374F">
        <w:rPr>
          <w:sz w:val="20"/>
          <w:szCs w:val="20"/>
        </w:rPr>
        <w:t xml:space="preserve"> Vidutinis </w:t>
      </w:r>
      <w:proofErr w:type="spellStart"/>
      <w:r w:rsidRPr="008D374F">
        <w:rPr>
          <w:sz w:val="20"/>
          <w:szCs w:val="20"/>
        </w:rPr>
        <w:t>hematokrito</w:t>
      </w:r>
      <w:proofErr w:type="spellEnd"/>
      <w:r w:rsidRPr="008D374F">
        <w:rPr>
          <w:sz w:val="20"/>
          <w:szCs w:val="20"/>
        </w:rPr>
        <w:t xml:space="preserve"> pokytis, palyginus su buvusiu iki tyrimo, vartojus 10</w:t>
      </w:r>
      <w:r w:rsidR="00873FCC" w:rsidRPr="008D374F">
        <w:rPr>
          <w:sz w:val="20"/>
          <w:szCs w:val="20"/>
        </w:rPr>
        <w:t> mg</w:t>
      </w:r>
      <w:r w:rsidRPr="008D374F">
        <w:rPr>
          <w:sz w:val="20"/>
          <w:szCs w:val="20"/>
        </w:rPr>
        <w:t xml:space="preserve"> dapagliflozino buvo 2,30</w:t>
      </w:r>
      <w:r w:rsidR="00873FCC" w:rsidRPr="008D374F">
        <w:rPr>
          <w:sz w:val="20"/>
          <w:szCs w:val="20"/>
        </w:rPr>
        <w:t> %</w:t>
      </w:r>
      <w:r w:rsidRPr="008D374F">
        <w:rPr>
          <w:sz w:val="20"/>
          <w:szCs w:val="20"/>
        </w:rPr>
        <w:t>, vartojus placeb</w:t>
      </w:r>
      <w:r w:rsidR="00D0610C">
        <w:rPr>
          <w:sz w:val="20"/>
          <w:szCs w:val="20"/>
        </w:rPr>
        <w:t>o</w:t>
      </w:r>
      <w:r w:rsidRPr="008D374F">
        <w:rPr>
          <w:sz w:val="20"/>
          <w:szCs w:val="20"/>
        </w:rPr>
        <w:t xml:space="preserve"> –</w:t>
      </w:r>
      <w:r w:rsidR="00AE3B38">
        <w:rPr>
          <w:sz w:val="20"/>
          <w:szCs w:val="20"/>
        </w:rPr>
        <w:t xml:space="preserve"> </w:t>
      </w:r>
      <w:r w:rsidRPr="008D374F">
        <w:rPr>
          <w:sz w:val="20"/>
          <w:szCs w:val="20"/>
        </w:rPr>
        <w:t>0,33</w:t>
      </w:r>
      <w:r w:rsidR="00873FCC" w:rsidRPr="008D374F">
        <w:rPr>
          <w:sz w:val="20"/>
          <w:szCs w:val="20"/>
        </w:rPr>
        <w:t> %</w:t>
      </w:r>
      <w:r w:rsidRPr="008D374F">
        <w:rPr>
          <w:sz w:val="20"/>
          <w:szCs w:val="20"/>
        </w:rPr>
        <w:t xml:space="preserve">. </w:t>
      </w:r>
      <w:proofErr w:type="spellStart"/>
      <w:r w:rsidRPr="008D374F">
        <w:rPr>
          <w:sz w:val="20"/>
          <w:szCs w:val="20"/>
        </w:rPr>
        <w:t>Hematokrito</w:t>
      </w:r>
      <w:proofErr w:type="spellEnd"/>
      <w:r w:rsidRPr="008D374F">
        <w:rPr>
          <w:sz w:val="20"/>
          <w:szCs w:val="20"/>
        </w:rPr>
        <w:t xml:space="preserve"> rodiklis </w:t>
      </w:r>
      <w:r w:rsidR="00873FCC" w:rsidRPr="008D374F">
        <w:rPr>
          <w:sz w:val="20"/>
          <w:szCs w:val="20"/>
        </w:rPr>
        <w:t>&gt; </w:t>
      </w:r>
      <w:r w:rsidRPr="008D374F">
        <w:rPr>
          <w:sz w:val="20"/>
          <w:szCs w:val="20"/>
        </w:rPr>
        <w:t>55</w:t>
      </w:r>
      <w:r w:rsidR="00873FCC" w:rsidRPr="008D374F">
        <w:rPr>
          <w:sz w:val="20"/>
          <w:szCs w:val="20"/>
        </w:rPr>
        <w:t> %</w:t>
      </w:r>
      <w:r w:rsidRPr="008D374F">
        <w:rPr>
          <w:sz w:val="20"/>
          <w:szCs w:val="20"/>
        </w:rPr>
        <w:t xml:space="preserve"> </w:t>
      </w:r>
      <w:r w:rsidR="00346C60">
        <w:rPr>
          <w:sz w:val="20"/>
          <w:szCs w:val="20"/>
        </w:rPr>
        <w:t>stebėtos</w:t>
      </w:r>
      <w:r w:rsidRPr="008D374F">
        <w:rPr>
          <w:sz w:val="20"/>
          <w:szCs w:val="20"/>
        </w:rPr>
        <w:t xml:space="preserve"> 1,3</w:t>
      </w:r>
      <w:r w:rsidR="00873FCC" w:rsidRPr="008D374F">
        <w:rPr>
          <w:sz w:val="20"/>
          <w:szCs w:val="20"/>
        </w:rPr>
        <w:t> %</w:t>
      </w:r>
      <w:r w:rsidRPr="008D374F">
        <w:rPr>
          <w:sz w:val="20"/>
          <w:szCs w:val="20"/>
        </w:rPr>
        <w:t xml:space="preserve"> 10</w:t>
      </w:r>
      <w:r w:rsidR="00873FCC" w:rsidRPr="008D374F">
        <w:rPr>
          <w:sz w:val="20"/>
          <w:szCs w:val="20"/>
        </w:rPr>
        <w:t> mg</w:t>
      </w:r>
      <w:r w:rsidRPr="008D374F">
        <w:rPr>
          <w:sz w:val="20"/>
          <w:szCs w:val="20"/>
        </w:rPr>
        <w:t xml:space="preserve"> dapagliflozino ir 0,4</w:t>
      </w:r>
      <w:r w:rsidR="00873FCC" w:rsidRPr="008D374F">
        <w:rPr>
          <w:sz w:val="20"/>
          <w:szCs w:val="20"/>
        </w:rPr>
        <w:t> %</w:t>
      </w:r>
      <w:r w:rsidRPr="008D374F">
        <w:rPr>
          <w:sz w:val="20"/>
          <w:szCs w:val="20"/>
        </w:rPr>
        <w:t xml:space="preserve"> placebo vartojusių </w:t>
      </w:r>
      <w:r w:rsidR="00346C60">
        <w:rPr>
          <w:sz w:val="20"/>
          <w:szCs w:val="20"/>
        </w:rPr>
        <w:t>pacientų</w:t>
      </w:r>
      <w:r w:rsidRPr="008D374F">
        <w:rPr>
          <w:sz w:val="20"/>
          <w:szCs w:val="20"/>
        </w:rPr>
        <w:t>.</w:t>
      </w:r>
    </w:p>
    <w:p w14:paraId="6D8691E5" w14:textId="45735E3D" w:rsidR="00C0147E" w:rsidRPr="008D374F" w:rsidRDefault="001175EF" w:rsidP="00130A96">
      <w:pPr>
        <w:rPr>
          <w:sz w:val="20"/>
          <w:szCs w:val="20"/>
        </w:rPr>
      </w:pPr>
      <w:r w:rsidRPr="008D374F">
        <w:rPr>
          <w:sz w:val="20"/>
          <w:szCs w:val="20"/>
          <w:vertAlign w:val="superscript"/>
        </w:rPr>
        <w:t>h</w:t>
      </w:r>
      <w:r w:rsidRPr="008D374F">
        <w:rPr>
          <w:sz w:val="20"/>
          <w:szCs w:val="20"/>
        </w:rPr>
        <w:t xml:space="preserve"> Vidutinis procentinis pokytis, palyginus su rodikliais iki tyrimo, vartojus 10</w:t>
      </w:r>
      <w:r w:rsidR="00873FCC" w:rsidRPr="008D374F">
        <w:rPr>
          <w:sz w:val="20"/>
          <w:szCs w:val="20"/>
        </w:rPr>
        <w:t> mg</w:t>
      </w:r>
      <w:r w:rsidRPr="008D374F">
        <w:rPr>
          <w:sz w:val="20"/>
          <w:szCs w:val="20"/>
        </w:rPr>
        <w:t xml:space="preserve"> dapagliflozino ir placeb</w:t>
      </w:r>
      <w:r w:rsidR="000D41BC">
        <w:rPr>
          <w:sz w:val="20"/>
          <w:szCs w:val="20"/>
        </w:rPr>
        <w:t>o</w:t>
      </w:r>
      <w:r w:rsidRPr="008D374F">
        <w:rPr>
          <w:sz w:val="20"/>
          <w:szCs w:val="20"/>
        </w:rPr>
        <w:t>, buvo: bendrojo cholesterolio – atitinkamai 2,5</w:t>
      </w:r>
      <w:r w:rsidR="00873FCC" w:rsidRPr="008D374F">
        <w:rPr>
          <w:sz w:val="20"/>
          <w:szCs w:val="20"/>
        </w:rPr>
        <w:t> %</w:t>
      </w:r>
      <w:r w:rsidRPr="008D374F">
        <w:rPr>
          <w:sz w:val="20"/>
          <w:szCs w:val="20"/>
        </w:rPr>
        <w:t xml:space="preserve"> ir 0,0</w:t>
      </w:r>
      <w:r w:rsidR="00873FCC" w:rsidRPr="008D374F">
        <w:rPr>
          <w:sz w:val="20"/>
          <w:szCs w:val="20"/>
        </w:rPr>
        <w:t> %</w:t>
      </w:r>
      <w:r w:rsidRPr="008D374F">
        <w:rPr>
          <w:sz w:val="20"/>
          <w:szCs w:val="20"/>
        </w:rPr>
        <w:t>, DTL cholesterolio 6,0</w:t>
      </w:r>
      <w:r w:rsidR="00873FCC" w:rsidRPr="008D374F">
        <w:rPr>
          <w:sz w:val="20"/>
          <w:szCs w:val="20"/>
        </w:rPr>
        <w:t> %</w:t>
      </w:r>
      <w:r w:rsidRPr="008D374F">
        <w:rPr>
          <w:sz w:val="20"/>
          <w:szCs w:val="20"/>
        </w:rPr>
        <w:t xml:space="preserve"> ir 2,7</w:t>
      </w:r>
      <w:r w:rsidR="00873FCC" w:rsidRPr="008D374F">
        <w:rPr>
          <w:sz w:val="20"/>
          <w:szCs w:val="20"/>
        </w:rPr>
        <w:t> %</w:t>
      </w:r>
      <w:r w:rsidRPr="008D374F">
        <w:rPr>
          <w:sz w:val="20"/>
          <w:szCs w:val="20"/>
        </w:rPr>
        <w:t>, MTL cholesterolio 2,9</w:t>
      </w:r>
      <w:r w:rsidR="00873FCC" w:rsidRPr="008D374F">
        <w:rPr>
          <w:sz w:val="20"/>
          <w:szCs w:val="20"/>
        </w:rPr>
        <w:t> %</w:t>
      </w:r>
      <w:r w:rsidRPr="008D374F">
        <w:rPr>
          <w:sz w:val="20"/>
          <w:szCs w:val="20"/>
        </w:rPr>
        <w:t xml:space="preserve"> ir -1,0</w:t>
      </w:r>
      <w:r w:rsidR="00873FCC" w:rsidRPr="008D374F">
        <w:rPr>
          <w:sz w:val="20"/>
          <w:szCs w:val="20"/>
        </w:rPr>
        <w:t> %</w:t>
      </w:r>
      <w:r w:rsidRPr="008D374F">
        <w:rPr>
          <w:sz w:val="20"/>
          <w:szCs w:val="20"/>
        </w:rPr>
        <w:t>, trigliceridų -2,7</w:t>
      </w:r>
      <w:r w:rsidR="00873FCC" w:rsidRPr="008D374F">
        <w:rPr>
          <w:sz w:val="20"/>
          <w:szCs w:val="20"/>
        </w:rPr>
        <w:t> %</w:t>
      </w:r>
      <w:r w:rsidRPr="008D374F">
        <w:rPr>
          <w:sz w:val="20"/>
          <w:szCs w:val="20"/>
        </w:rPr>
        <w:t xml:space="preserve"> ir -0,7</w:t>
      </w:r>
      <w:r w:rsidR="00873FCC" w:rsidRPr="008D374F">
        <w:rPr>
          <w:sz w:val="20"/>
          <w:szCs w:val="20"/>
        </w:rPr>
        <w:t> %</w:t>
      </w:r>
      <w:r w:rsidRPr="008D374F">
        <w:rPr>
          <w:sz w:val="20"/>
          <w:szCs w:val="20"/>
        </w:rPr>
        <w:t>.</w:t>
      </w:r>
    </w:p>
    <w:p w14:paraId="6D8691E6" w14:textId="4D965A54" w:rsidR="00C0147E" w:rsidRPr="008D374F" w:rsidRDefault="001175EF" w:rsidP="00130A96">
      <w:pPr>
        <w:rPr>
          <w:sz w:val="20"/>
          <w:szCs w:val="20"/>
        </w:rPr>
      </w:pPr>
      <w:r w:rsidRPr="008D374F">
        <w:rPr>
          <w:sz w:val="20"/>
          <w:szCs w:val="20"/>
          <w:vertAlign w:val="superscript"/>
        </w:rPr>
        <w:t>i</w:t>
      </w:r>
      <w:r w:rsidRPr="008D374F">
        <w:rPr>
          <w:sz w:val="20"/>
          <w:szCs w:val="20"/>
        </w:rPr>
        <w:t xml:space="preserve"> Žr. 4.4</w:t>
      </w:r>
      <w:r w:rsidR="00873FCC" w:rsidRPr="008D374F">
        <w:rPr>
          <w:sz w:val="20"/>
          <w:szCs w:val="20"/>
        </w:rPr>
        <w:t> skyrių</w:t>
      </w:r>
      <w:r w:rsidRPr="008D374F">
        <w:rPr>
          <w:sz w:val="20"/>
          <w:szCs w:val="20"/>
        </w:rPr>
        <w:t>.</w:t>
      </w:r>
    </w:p>
    <w:p w14:paraId="6D8691E7" w14:textId="73D36EAC" w:rsidR="00C0147E" w:rsidRPr="008D374F" w:rsidRDefault="001175EF" w:rsidP="00130A96">
      <w:pPr>
        <w:rPr>
          <w:sz w:val="20"/>
          <w:szCs w:val="20"/>
        </w:rPr>
      </w:pPr>
      <w:r w:rsidRPr="008D374F">
        <w:rPr>
          <w:sz w:val="20"/>
          <w:szCs w:val="20"/>
          <w:vertAlign w:val="superscript"/>
        </w:rPr>
        <w:t>j</w:t>
      </w:r>
      <w:r w:rsidRPr="008D374F">
        <w:rPr>
          <w:sz w:val="20"/>
          <w:szCs w:val="20"/>
        </w:rPr>
        <w:t xml:space="preserve"> </w:t>
      </w:r>
      <w:r w:rsidR="00086B43">
        <w:rPr>
          <w:sz w:val="20"/>
          <w:szCs w:val="20"/>
        </w:rPr>
        <w:t>N</w:t>
      </w:r>
      <w:r w:rsidRPr="008D374F">
        <w:rPr>
          <w:sz w:val="20"/>
          <w:szCs w:val="20"/>
        </w:rPr>
        <w:t xml:space="preserve">epageidaujama reakcija identifikuota stebint į rinką pateikto vaistinio preparato veikimą. </w:t>
      </w:r>
      <w:r w:rsidR="00086B43">
        <w:rPr>
          <w:sz w:val="20"/>
          <w:szCs w:val="20"/>
        </w:rPr>
        <w:t>B</w:t>
      </w:r>
      <w:r w:rsidRPr="008D374F">
        <w:rPr>
          <w:sz w:val="20"/>
          <w:szCs w:val="20"/>
        </w:rPr>
        <w:t xml:space="preserve">ėrimo sąvoka apima šiuos pasirinktinius terminus, išvardytus pagal dažnį klinikinių tyrimų metu: bėrimas, išplitęs bėrimas, niežtintis bėrimas, bėrimas dėmėmis, bėrimas dėmėmis ir mazgeliais, bėrimas </w:t>
      </w:r>
      <w:proofErr w:type="spellStart"/>
      <w:r w:rsidRPr="008D374F">
        <w:rPr>
          <w:sz w:val="20"/>
          <w:szCs w:val="20"/>
        </w:rPr>
        <w:t>pūlinėliais</w:t>
      </w:r>
      <w:proofErr w:type="spellEnd"/>
      <w:r w:rsidRPr="008D374F">
        <w:rPr>
          <w:sz w:val="20"/>
          <w:szCs w:val="20"/>
        </w:rPr>
        <w:t xml:space="preserve">, bėrimas pūslelėmis ir </w:t>
      </w:r>
      <w:proofErr w:type="spellStart"/>
      <w:r w:rsidRPr="008D374F">
        <w:rPr>
          <w:sz w:val="20"/>
          <w:szCs w:val="20"/>
        </w:rPr>
        <w:t>eriteminis</w:t>
      </w:r>
      <w:proofErr w:type="spellEnd"/>
      <w:r w:rsidRPr="008D374F">
        <w:rPr>
          <w:sz w:val="20"/>
          <w:szCs w:val="20"/>
        </w:rPr>
        <w:t xml:space="preserve"> bėrimas. Aktyviai ir placebu kontroliuojamų klinikinių tyrimų metu (dapagliflozinas: N</w:t>
      </w:r>
      <w:r w:rsidR="00873FCC" w:rsidRPr="008D374F">
        <w:rPr>
          <w:sz w:val="20"/>
          <w:szCs w:val="20"/>
        </w:rPr>
        <w:t> = </w:t>
      </w:r>
      <w:r w:rsidRPr="008D374F">
        <w:rPr>
          <w:sz w:val="20"/>
          <w:szCs w:val="20"/>
        </w:rPr>
        <w:t>5</w:t>
      </w:r>
      <w:r w:rsidR="00482F1A">
        <w:rPr>
          <w:sz w:val="20"/>
          <w:szCs w:val="20"/>
        </w:rPr>
        <w:t> </w:t>
      </w:r>
      <w:r w:rsidRPr="008D374F">
        <w:rPr>
          <w:sz w:val="20"/>
          <w:szCs w:val="20"/>
        </w:rPr>
        <w:t>936, visi kontroliniai vaistiniai preparatai – N</w:t>
      </w:r>
      <w:r w:rsidR="00873FCC" w:rsidRPr="008D374F">
        <w:rPr>
          <w:sz w:val="20"/>
          <w:szCs w:val="20"/>
        </w:rPr>
        <w:t> = </w:t>
      </w:r>
      <w:r w:rsidRPr="008D374F">
        <w:rPr>
          <w:sz w:val="20"/>
          <w:szCs w:val="20"/>
        </w:rPr>
        <w:t>3</w:t>
      </w:r>
      <w:r w:rsidR="00482F1A">
        <w:rPr>
          <w:sz w:val="20"/>
          <w:szCs w:val="20"/>
        </w:rPr>
        <w:t> </w:t>
      </w:r>
      <w:r w:rsidRPr="008D374F">
        <w:rPr>
          <w:sz w:val="20"/>
          <w:szCs w:val="20"/>
        </w:rPr>
        <w:t>403) bėrimo atsiradimo dažnis vartojant dapagliflozin</w:t>
      </w:r>
      <w:r w:rsidR="00482F1A">
        <w:rPr>
          <w:sz w:val="20"/>
          <w:szCs w:val="20"/>
        </w:rPr>
        <w:t>o</w:t>
      </w:r>
      <w:r w:rsidRPr="008D374F">
        <w:rPr>
          <w:sz w:val="20"/>
          <w:szCs w:val="20"/>
        </w:rPr>
        <w:t xml:space="preserve"> ir vis</w:t>
      </w:r>
      <w:r w:rsidR="00D05C1F">
        <w:rPr>
          <w:sz w:val="20"/>
          <w:szCs w:val="20"/>
        </w:rPr>
        <w:t>ų</w:t>
      </w:r>
      <w:r w:rsidRPr="008D374F">
        <w:rPr>
          <w:sz w:val="20"/>
          <w:szCs w:val="20"/>
        </w:rPr>
        <w:t xml:space="preserve"> kontrolini</w:t>
      </w:r>
      <w:r w:rsidR="00D05C1F">
        <w:rPr>
          <w:sz w:val="20"/>
          <w:szCs w:val="20"/>
        </w:rPr>
        <w:t>ų</w:t>
      </w:r>
      <w:r w:rsidRPr="008D374F">
        <w:rPr>
          <w:sz w:val="20"/>
          <w:szCs w:val="20"/>
        </w:rPr>
        <w:t xml:space="preserve"> vaistini</w:t>
      </w:r>
      <w:r w:rsidR="00D05C1F">
        <w:rPr>
          <w:sz w:val="20"/>
          <w:szCs w:val="20"/>
        </w:rPr>
        <w:t>ų</w:t>
      </w:r>
      <w:r w:rsidRPr="008D374F">
        <w:rPr>
          <w:sz w:val="20"/>
          <w:szCs w:val="20"/>
        </w:rPr>
        <w:t xml:space="preserve"> preparat</w:t>
      </w:r>
      <w:r w:rsidR="00D05C1F">
        <w:rPr>
          <w:sz w:val="20"/>
          <w:szCs w:val="20"/>
        </w:rPr>
        <w:t>ų</w:t>
      </w:r>
      <w:r w:rsidRPr="008D374F">
        <w:rPr>
          <w:sz w:val="20"/>
          <w:szCs w:val="20"/>
        </w:rPr>
        <w:t xml:space="preserve"> buvo panašus (po 1,4</w:t>
      </w:r>
      <w:r w:rsidR="00873FCC" w:rsidRPr="008D374F">
        <w:rPr>
          <w:sz w:val="20"/>
          <w:szCs w:val="20"/>
        </w:rPr>
        <w:t> %</w:t>
      </w:r>
      <w:r w:rsidRPr="008D374F">
        <w:rPr>
          <w:sz w:val="20"/>
          <w:szCs w:val="20"/>
        </w:rPr>
        <w:t>).</w:t>
      </w:r>
    </w:p>
    <w:p w14:paraId="6D8691E8" w14:textId="1F6E719D" w:rsidR="00C0147E" w:rsidRPr="008D374F" w:rsidRDefault="001175EF" w:rsidP="00130A96">
      <w:pPr>
        <w:rPr>
          <w:sz w:val="20"/>
          <w:szCs w:val="20"/>
        </w:rPr>
      </w:pPr>
      <w:r w:rsidRPr="008D374F">
        <w:rPr>
          <w:sz w:val="20"/>
          <w:szCs w:val="20"/>
          <w:vertAlign w:val="superscript"/>
        </w:rPr>
        <w:t>k</w:t>
      </w:r>
      <w:r w:rsidRPr="008D374F">
        <w:rPr>
          <w:sz w:val="20"/>
          <w:szCs w:val="20"/>
        </w:rPr>
        <w:t xml:space="preserve"> Užfiksuota poveikio kardiovaskulinėms komplikacijoms 2</w:t>
      </w:r>
      <w:r w:rsidR="00873FCC" w:rsidRPr="008D374F">
        <w:rPr>
          <w:sz w:val="20"/>
          <w:szCs w:val="20"/>
        </w:rPr>
        <w:t> tipo</w:t>
      </w:r>
      <w:r w:rsidRPr="008D374F">
        <w:rPr>
          <w:sz w:val="20"/>
          <w:szCs w:val="20"/>
        </w:rPr>
        <w:t xml:space="preserve"> </w:t>
      </w:r>
      <w:r w:rsidR="00D05C1F">
        <w:rPr>
          <w:sz w:val="20"/>
          <w:szCs w:val="20"/>
        </w:rPr>
        <w:t xml:space="preserve">cukriniu </w:t>
      </w:r>
      <w:r w:rsidRPr="008D374F">
        <w:rPr>
          <w:sz w:val="20"/>
          <w:szCs w:val="20"/>
        </w:rPr>
        <w:t>diabetu sergantiems pacientams tyrimo (DECLARE) metu. Nurodytas dažnis per metus.</w:t>
      </w:r>
    </w:p>
    <w:p w14:paraId="6D8691E9" w14:textId="0DA384D3" w:rsidR="00C0147E" w:rsidRPr="008D374F" w:rsidRDefault="001175EF" w:rsidP="00130A96">
      <w:pPr>
        <w:rPr>
          <w:sz w:val="20"/>
          <w:szCs w:val="20"/>
        </w:rPr>
      </w:pPr>
      <w:r w:rsidRPr="008D374F">
        <w:rPr>
          <w:sz w:val="20"/>
          <w:szCs w:val="20"/>
          <w:vertAlign w:val="superscript"/>
        </w:rPr>
        <w:t>*</w:t>
      </w:r>
      <w:r w:rsidRPr="008D374F">
        <w:rPr>
          <w:sz w:val="20"/>
          <w:szCs w:val="20"/>
        </w:rPr>
        <w:t xml:space="preserve"> Pasireiškė </w:t>
      </w:r>
      <w:r w:rsidR="00873FCC" w:rsidRPr="008D374F">
        <w:rPr>
          <w:sz w:val="20"/>
          <w:szCs w:val="20"/>
        </w:rPr>
        <w:t>≥ </w:t>
      </w:r>
      <w:r w:rsidRPr="008D374F">
        <w:rPr>
          <w:sz w:val="20"/>
          <w:szCs w:val="20"/>
        </w:rPr>
        <w:t>2</w:t>
      </w:r>
      <w:r w:rsidR="00873FCC" w:rsidRPr="008D374F">
        <w:rPr>
          <w:sz w:val="20"/>
          <w:szCs w:val="20"/>
        </w:rPr>
        <w:t> %</w:t>
      </w:r>
      <w:r w:rsidRPr="008D374F">
        <w:rPr>
          <w:sz w:val="20"/>
          <w:szCs w:val="20"/>
        </w:rPr>
        <w:t xml:space="preserve"> </w:t>
      </w:r>
      <w:r w:rsidR="003E43B3">
        <w:rPr>
          <w:sz w:val="20"/>
          <w:szCs w:val="20"/>
        </w:rPr>
        <w:t>pacientų ir</w:t>
      </w:r>
      <w:r w:rsidRPr="008D374F">
        <w:rPr>
          <w:sz w:val="20"/>
          <w:szCs w:val="20"/>
        </w:rPr>
        <w:t xml:space="preserve"> </w:t>
      </w:r>
      <w:r w:rsidR="00873FCC" w:rsidRPr="008D374F">
        <w:rPr>
          <w:sz w:val="20"/>
          <w:szCs w:val="20"/>
        </w:rPr>
        <w:t>≥ </w:t>
      </w:r>
      <w:r w:rsidRPr="008D374F">
        <w:rPr>
          <w:sz w:val="20"/>
          <w:szCs w:val="20"/>
        </w:rPr>
        <w:t>1</w:t>
      </w:r>
      <w:r w:rsidR="00873FCC" w:rsidRPr="008D374F">
        <w:rPr>
          <w:sz w:val="20"/>
          <w:szCs w:val="20"/>
        </w:rPr>
        <w:t> %</w:t>
      </w:r>
      <w:r w:rsidRPr="008D374F">
        <w:rPr>
          <w:sz w:val="20"/>
          <w:szCs w:val="20"/>
        </w:rPr>
        <w:t xml:space="preserve"> </w:t>
      </w:r>
      <w:r w:rsidR="009D67D6">
        <w:rPr>
          <w:sz w:val="20"/>
          <w:szCs w:val="20"/>
        </w:rPr>
        <w:t xml:space="preserve">daugiau </w:t>
      </w:r>
      <w:r w:rsidRPr="008D374F">
        <w:rPr>
          <w:sz w:val="20"/>
          <w:szCs w:val="20"/>
        </w:rPr>
        <w:t xml:space="preserve">(bent 3 </w:t>
      </w:r>
      <w:r w:rsidR="003E43B3">
        <w:rPr>
          <w:sz w:val="20"/>
          <w:szCs w:val="20"/>
        </w:rPr>
        <w:t>pacientams</w:t>
      </w:r>
      <w:r w:rsidRPr="008D374F">
        <w:rPr>
          <w:sz w:val="20"/>
          <w:szCs w:val="20"/>
        </w:rPr>
        <w:t>) vartojant 10</w:t>
      </w:r>
      <w:r w:rsidR="00873FCC" w:rsidRPr="008D374F">
        <w:rPr>
          <w:sz w:val="20"/>
          <w:szCs w:val="20"/>
        </w:rPr>
        <w:t> mg</w:t>
      </w:r>
      <w:r w:rsidRPr="008D374F">
        <w:rPr>
          <w:sz w:val="20"/>
          <w:szCs w:val="20"/>
        </w:rPr>
        <w:t xml:space="preserve"> dapagliflozino, </w:t>
      </w:r>
      <w:r w:rsidR="00BD4AE3">
        <w:rPr>
          <w:sz w:val="20"/>
          <w:szCs w:val="20"/>
        </w:rPr>
        <w:t>palyginti su placebu</w:t>
      </w:r>
      <w:r w:rsidRPr="008D374F">
        <w:rPr>
          <w:sz w:val="20"/>
          <w:szCs w:val="20"/>
        </w:rPr>
        <w:t>.</w:t>
      </w:r>
    </w:p>
    <w:p w14:paraId="44645CF9" w14:textId="77777777" w:rsidR="009D67D6" w:rsidRPr="008D374F" w:rsidRDefault="001175EF" w:rsidP="009D67D6">
      <w:pPr>
        <w:rPr>
          <w:sz w:val="20"/>
          <w:szCs w:val="20"/>
        </w:rPr>
      </w:pPr>
      <w:r w:rsidRPr="008D374F">
        <w:rPr>
          <w:sz w:val="20"/>
          <w:szCs w:val="20"/>
          <w:vertAlign w:val="superscript"/>
        </w:rPr>
        <w:t>**</w:t>
      </w:r>
      <w:r w:rsidRPr="008D374F">
        <w:rPr>
          <w:sz w:val="20"/>
          <w:szCs w:val="20"/>
        </w:rPr>
        <w:t xml:space="preserve"> Tyrėjo nuomone, galimai susiję, tikriausiai susiję arba susiję su tiriamuoju vaistiniu preparatu. Pasireiškė</w:t>
      </w:r>
      <w:r w:rsidR="00E21441" w:rsidRPr="008D374F">
        <w:rPr>
          <w:sz w:val="20"/>
          <w:szCs w:val="20"/>
        </w:rPr>
        <w:t xml:space="preserve"> </w:t>
      </w:r>
      <w:r w:rsidR="00873FCC" w:rsidRPr="008D374F">
        <w:rPr>
          <w:sz w:val="20"/>
          <w:szCs w:val="20"/>
        </w:rPr>
        <w:t>≥ </w:t>
      </w:r>
      <w:r w:rsidRPr="008D374F">
        <w:rPr>
          <w:sz w:val="20"/>
          <w:szCs w:val="20"/>
        </w:rPr>
        <w:t>0,2</w:t>
      </w:r>
      <w:r w:rsidR="00873FCC" w:rsidRPr="008D374F">
        <w:rPr>
          <w:sz w:val="20"/>
          <w:szCs w:val="20"/>
        </w:rPr>
        <w:t> %</w:t>
      </w:r>
      <w:r w:rsidRPr="008D374F">
        <w:rPr>
          <w:sz w:val="20"/>
          <w:szCs w:val="20"/>
        </w:rPr>
        <w:t xml:space="preserve"> </w:t>
      </w:r>
      <w:r w:rsidR="00BD4AE3">
        <w:rPr>
          <w:sz w:val="20"/>
          <w:szCs w:val="20"/>
        </w:rPr>
        <w:t>pacientų</w:t>
      </w:r>
      <w:r w:rsidRPr="008D374F">
        <w:rPr>
          <w:sz w:val="20"/>
          <w:szCs w:val="20"/>
        </w:rPr>
        <w:t xml:space="preserve"> ir </w:t>
      </w:r>
      <w:r w:rsidR="00873FCC" w:rsidRPr="008D374F">
        <w:rPr>
          <w:sz w:val="20"/>
          <w:szCs w:val="20"/>
        </w:rPr>
        <w:t>≥ </w:t>
      </w:r>
      <w:r w:rsidRPr="008D374F">
        <w:rPr>
          <w:sz w:val="20"/>
          <w:szCs w:val="20"/>
        </w:rPr>
        <w:t>0,1</w:t>
      </w:r>
      <w:r w:rsidR="00873FCC" w:rsidRPr="008D374F">
        <w:rPr>
          <w:sz w:val="20"/>
          <w:szCs w:val="20"/>
        </w:rPr>
        <w:t> %</w:t>
      </w:r>
      <w:r w:rsidRPr="008D374F">
        <w:rPr>
          <w:sz w:val="20"/>
          <w:szCs w:val="20"/>
        </w:rPr>
        <w:t xml:space="preserve"> </w:t>
      </w:r>
      <w:r w:rsidR="009D67D6">
        <w:rPr>
          <w:sz w:val="20"/>
          <w:szCs w:val="20"/>
        </w:rPr>
        <w:t xml:space="preserve">daugiau </w:t>
      </w:r>
      <w:r w:rsidRPr="008D374F">
        <w:rPr>
          <w:sz w:val="20"/>
          <w:szCs w:val="20"/>
        </w:rPr>
        <w:t xml:space="preserve">(bent 3 </w:t>
      </w:r>
      <w:r w:rsidR="009D67D6">
        <w:rPr>
          <w:sz w:val="20"/>
          <w:szCs w:val="20"/>
        </w:rPr>
        <w:t>pacientams</w:t>
      </w:r>
      <w:r w:rsidRPr="008D374F">
        <w:rPr>
          <w:sz w:val="20"/>
          <w:szCs w:val="20"/>
        </w:rPr>
        <w:t>) vartojant 10</w:t>
      </w:r>
      <w:r w:rsidR="00873FCC" w:rsidRPr="008D374F">
        <w:rPr>
          <w:sz w:val="20"/>
          <w:szCs w:val="20"/>
        </w:rPr>
        <w:t> mg</w:t>
      </w:r>
      <w:r w:rsidRPr="008D374F">
        <w:rPr>
          <w:sz w:val="20"/>
          <w:szCs w:val="20"/>
        </w:rPr>
        <w:t xml:space="preserve"> dapagliflozino, </w:t>
      </w:r>
      <w:r w:rsidR="009D67D6">
        <w:rPr>
          <w:sz w:val="20"/>
          <w:szCs w:val="20"/>
        </w:rPr>
        <w:t>palyginti su placebu</w:t>
      </w:r>
      <w:r w:rsidR="009D67D6" w:rsidRPr="008D374F">
        <w:rPr>
          <w:sz w:val="20"/>
          <w:szCs w:val="20"/>
        </w:rPr>
        <w:t>.</w:t>
      </w:r>
    </w:p>
    <w:p w14:paraId="6D8691EC" w14:textId="594F98D8" w:rsidR="00C0147E" w:rsidRPr="00130A96" w:rsidRDefault="00C0147E" w:rsidP="009D67D6"/>
    <w:p w14:paraId="6D8691ED" w14:textId="77777777" w:rsidR="00C0147E" w:rsidRPr="00277CC1" w:rsidRDefault="001175EF" w:rsidP="00130A96">
      <w:pPr>
        <w:pStyle w:val="Pagrindinistekstas"/>
        <w:jc w:val="both"/>
      </w:pPr>
      <w:r w:rsidRPr="00277CC1">
        <w:rPr>
          <w:u w:val="single"/>
        </w:rPr>
        <w:t>Atrinktų nepageidaujamų reakcijų apibūdinimas</w:t>
      </w:r>
    </w:p>
    <w:p w14:paraId="6D8691EE" w14:textId="77777777" w:rsidR="00C0147E" w:rsidRPr="00277CC1" w:rsidRDefault="00C0147E" w:rsidP="00130A96">
      <w:pPr>
        <w:pStyle w:val="Pagrindinistekstas"/>
      </w:pPr>
    </w:p>
    <w:p w14:paraId="6D8691EF" w14:textId="38A5037C" w:rsidR="00C0147E" w:rsidRPr="00277CC1" w:rsidRDefault="008535AF" w:rsidP="00130A96">
      <w:pPr>
        <w:rPr>
          <w:i/>
        </w:rPr>
      </w:pPr>
      <w:r>
        <w:rPr>
          <w:i/>
          <w:u w:val="single"/>
        </w:rPr>
        <w:t xml:space="preserve">Makšties ir </w:t>
      </w:r>
      <w:proofErr w:type="spellStart"/>
      <w:r>
        <w:rPr>
          <w:i/>
          <w:u w:val="single"/>
        </w:rPr>
        <w:t>vulvos</w:t>
      </w:r>
      <w:proofErr w:type="spellEnd"/>
      <w:r>
        <w:rPr>
          <w:i/>
          <w:u w:val="single"/>
        </w:rPr>
        <w:t xml:space="preserve"> uždegimas</w:t>
      </w:r>
      <w:r w:rsidR="001175EF" w:rsidRPr="00277CC1">
        <w:rPr>
          <w:i/>
          <w:u w:val="single"/>
        </w:rPr>
        <w:t xml:space="preserve">, balanitas ir susijusios </w:t>
      </w:r>
      <w:r w:rsidR="00791D20" w:rsidRPr="00791D20">
        <w:rPr>
          <w:i/>
          <w:u w:val="single"/>
        </w:rPr>
        <w:t>lytinių organų</w:t>
      </w:r>
      <w:r w:rsidR="001175EF" w:rsidRPr="00277CC1">
        <w:rPr>
          <w:i/>
          <w:u w:val="single"/>
        </w:rPr>
        <w:t xml:space="preserve"> infekcijos</w:t>
      </w:r>
    </w:p>
    <w:p w14:paraId="1BCC75DC" w14:textId="2B558C8E" w:rsidR="00AC2DB4" w:rsidRPr="00AC2DB4" w:rsidRDefault="00AC2DB4" w:rsidP="00AC2DB4">
      <w:pPr>
        <w:pStyle w:val="Pagrindinistekstas"/>
      </w:pPr>
      <w:r w:rsidRPr="00AC2DB4">
        <w:t xml:space="preserve">Apibendrinus 13 tyrimų saugumo duomenis, nustatyta, kad </w:t>
      </w:r>
      <w:r w:rsidR="00391F3F">
        <w:t xml:space="preserve">makšties ir </w:t>
      </w:r>
      <w:proofErr w:type="spellStart"/>
      <w:r w:rsidR="00391F3F">
        <w:t>vulvos</w:t>
      </w:r>
      <w:proofErr w:type="spellEnd"/>
      <w:r w:rsidR="00391F3F">
        <w:t xml:space="preserve"> uždegimas</w:t>
      </w:r>
      <w:r w:rsidRPr="00AC2DB4">
        <w:t>, balanitas ir susijusios lytinių organų infekcijos pasireiškė 5,5 % 10 mg dapagliflozino ir 0,6 % placebo vartojusių asmenų. Dauguma šių infekcijų buvo lengvo ar vidutinio sunkumo</w:t>
      </w:r>
      <w:r w:rsidR="00861EF0">
        <w:t>;</w:t>
      </w:r>
      <w:r w:rsidR="00735F63" w:rsidRPr="00735F63">
        <w:t xml:space="preserve"> </w:t>
      </w:r>
      <w:r w:rsidR="00735F63">
        <w:t>skyrus pradinį standartinį gydymą, pacientų būklė pagerėjo, o gydymas dapagliflozinu buvo nutraukiamas retai</w:t>
      </w:r>
      <w:r w:rsidRPr="00AC2DB4">
        <w:t xml:space="preserve">. </w:t>
      </w:r>
      <w:r w:rsidR="00C23A6C">
        <w:t>Šios infekcijos</w:t>
      </w:r>
      <w:r w:rsidRPr="00AC2DB4">
        <w:t xml:space="preserve"> dažniau pasireiškė moterims (8,4 % vartojant dapagliflozino ir 1,2 % vartojant placebo)</w:t>
      </w:r>
      <w:r w:rsidR="00271092">
        <w:t>,</w:t>
      </w:r>
      <w:r w:rsidR="00271092" w:rsidRPr="00271092">
        <w:t xml:space="preserve"> </w:t>
      </w:r>
      <w:r w:rsidR="00271092">
        <w:t>o pacientams, kuriems tokių infekcijų buvę anksčiau, infekcijos atsinaujinimo tikimybė buvo didesnė</w:t>
      </w:r>
      <w:r w:rsidRPr="00AC2DB4">
        <w:t>.</w:t>
      </w:r>
    </w:p>
    <w:p w14:paraId="6D8691F1" w14:textId="77777777" w:rsidR="00C0147E" w:rsidRPr="00130A96" w:rsidRDefault="00C0147E" w:rsidP="00130A96">
      <w:pPr>
        <w:pStyle w:val="Pagrindinistekstas"/>
      </w:pPr>
    </w:p>
    <w:p w14:paraId="4DCCFABB" w14:textId="77777777" w:rsidR="00B0589E" w:rsidRPr="00B0589E" w:rsidRDefault="00B0589E" w:rsidP="00B0589E">
      <w:pPr>
        <w:pStyle w:val="Pagrindinistekstas"/>
      </w:pPr>
      <w:r w:rsidRPr="00B0589E">
        <w:t>DECLARE tyrimo metu skaičius pacientų, kuriems lytinių organų infekcija buvo sunkus nepageidaujamas reiškinys, buvo nedidelis ir subalansuotas: po 2 pacientus dapagliflozino ir placebo grupėse.</w:t>
      </w:r>
    </w:p>
    <w:p w14:paraId="6D8691F3" w14:textId="77777777" w:rsidR="00C0147E" w:rsidRPr="00130A96" w:rsidRDefault="00C0147E" w:rsidP="00130A96">
      <w:pPr>
        <w:pStyle w:val="Pagrindinistekstas"/>
      </w:pPr>
    </w:p>
    <w:p w14:paraId="1CAC3DD7" w14:textId="2966167B" w:rsidR="00773790" w:rsidRPr="00773790" w:rsidRDefault="00773790" w:rsidP="00773790">
      <w:pPr>
        <w:pStyle w:val="Pagrindinistekstas"/>
      </w:pPr>
      <w:r w:rsidRPr="00773790">
        <w:t>DAPA-HF tyrimo metu lytinių organų infekcijų kaip sunkių nepageidaujamų reiškinių dapagliflozino grupėje nepranešta, o placebo – pranešta vienam pacientui. Dėl lytinių organų infekcijų</w:t>
      </w:r>
      <w:r w:rsidR="00855FEB">
        <w:t>,</w:t>
      </w:r>
      <w:r w:rsidRPr="00773790">
        <w:t xml:space="preserve"> kaip nepageidaujamų reiškinių</w:t>
      </w:r>
      <w:r w:rsidR="00855FEB">
        <w:t>,</w:t>
      </w:r>
      <w:r w:rsidRPr="00773790">
        <w:t xml:space="preserve"> gydymą nutraukė 7 dapagliflozino grupės pacientai (0,3 %) ir </w:t>
      </w:r>
      <w:r w:rsidR="002533C9">
        <w:t>n</w:t>
      </w:r>
      <w:r w:rsidR="00855FEB">
        <w:t>ei vienas</w:t>
      </w:r>
      <w:r w:rsidRPr="00773790">
        <w:t xml:space="preserve"> placebo grupės pacient</w:t>
      </w:r>
      <w:r w:rsidR="00855FEB">
        <w:t>as</w:t>
      </w:r>
      <w:r w:rsidRPr="00773790">
        <w:t xml:space="preserve">. DELIVER tyrimo metu po vieną </w:t>
      </w:r>
      <w:r w:rsidR="00BC7D9D" w:rsidRPr="007C5D78">
        <w:t xml:space="preserve">pacientą </w:t>
      </w:r>
      <w:r w:rsidR="00BC7D9D">
        <w:t xml:space="preserve">kiekvienoje gydymo grupėje </w:t>
      </w:r>
      <w:r w:rsidRPr="00773790">
        <w:t>(&lt; 0,1 %)</w:t>
      </w:r>
      <w:r w:rsidR="008A6504" w:rsidRPr="008A6504">
        <w:t xml:space="preserve"> </w:t>
      </w:r>
      <w:r w:rsidR="008A6504">
        <w:t>pranešta apie sunkų nepageidaujamą reiškinį (lytinių organų infekciją)</w:t>
      </w:r>
      <w:r w:rsidRPr="00773790">
        <w:t>. Dėl lytinių organų infekcijų</w:t>
      </w:r>
      <w:r w:rsidR="00855FEB">
        <w:t>,</w:t>
      </w:r>
      <w:r w:rsidRPr="00773790">
        <w:t xml:space="preserve"> kaip nepageidaujamo reiškinio</w:t>
      </w:r>
      <w:r w:rsidR="00855FEB">
        <w:t>,</w:t>
      </w:r>
      <w:r w:rsidRPr="00773790">
        <w:t xml:space="preserve"> dapagliflozino vartojimą nutraukė 3 pacientai (0,1 %)</w:t>
      </w:r>
      <w:r w:rsidR="00F377EF">
        <w:t xml:space="preserve">, o </w:t>
      </w:r>
      <w:r w:rsidRPr="00773790">
        <w:t>placebo grupėje tokių atvejų nebuvo.</w:t>
      </w:r>
    </w:p>
    <w:p w14:paraId="6D8691F5" w14:textId="77777777" w:rsidR="00C0147E" w:rsidRPr="00130A96" w:rsidRDefault="00C0147E" w:rsidP="00130A96">
      <w:pPr>
        <w:pStyle w:val="Pagrindinistekstas"/>
      </w:pPr>
    </w:p>
    <w:p w14:paraId="6D8691F6" w14:textId="3D57DA3B" w:rsidR="00C0147E" w:rsidRPr="00130A96" w:rsidRDefault="001175EF" w:rsidP="00130A96">
      <w:pPr>
        <w:pStyle w:val="Pagrindinistekstas"/>
      </w:pPr>
      <w:r w:rsidRPr="00130A96">
        <w:t>DAPA-CKD tyrimo metu 3 (0,1</w:t>
      </w:r>
      <w:r w:rsidR="00873FCC">
        <w:t> %</w:t>
      </w:r>
      <w:r w:rsidRPr="00130A96">
        <w:t xml:space="preserve">) dapagliflozino grupės pacientai patyrė sunkių nepageidaujamų reiškinių – lytinių organų infekcijų, o placebo grupėje </w:t>
      </w:r>
      <w:r w:rsidR="003C4D6E">
        <w:t>tokių atvejų</w:t>
      </w:r>
      <w:r w:rsidRPr="00130A96">
        <w:t xml:space="preserve"> nebuvo. 3 (0,1</w:t>
      </w:r>
      <w:r w:rsidR="00873FCC">
        <w:t> %</w:t>
      </w:r>
      <w:r w:rsidRPr="00130A96">
        <w:t xml:space="preserve">) dapagliflozino grupės pacientai dėl nepageidaujamų reiškinių – lytinių organų infekcijų nutraukė </w:t>
      </w:r>
      <w:r w:rsidR="0035181C">
        <w:t>gydymą</w:t>
      </w:r>
      <w:r w:rsidRPr="00130A96">
        <w:t xml:space="preserve">, placebo grupėje tokių atvejų nebuvo. Sunkių nepageidaujamų reiškinių – lytinių organų infekcijų ar lytinių </w:t>
      </w:r>
      <w:r w:rsidRPr="00130A96">
        <w:lastRenderedPageBreak/>
        <w:t xml:space="preserve">organų infekcijų, dėl kurių tektų nutraukti </w:t>
      </w:r>
      <w:r w:rsidR="00E35B86">
        <w:t>gydymą</w:t>
      </w:r>
      <w:r w:rsidRPr="00130A96">
        <w:t xml:space="preserve">, </w:t>
      </w:r>
      <w:r w:rsidR="00E35B86">
        <w:t xml:space="preserve">cukriniu </w:t>
      </w:r>
      <w:r w:rsidRPr="00130A96">
        <w:t xml:space="preserve">diabetu nesirgusiems pacientams </w:t>
      </w:r>
      <w:r w:rsidR="00E35B86">
        <w:t>nepraneštą</w:t>
      </w:r>
      <w:r w:rsidRPr="00130A96">
        <w:t>.</w:t>
      </w:r>
    </w:p>
    <w:p w14:paraId="7D6EF17C" w14:textId="77777777" w:rsidR="00C0147E" w:rsidRDefault="00C0147E" w:rsidP="00130A96">
      <w:pPr>
        <w:pStyle w:val="Pagrindinistekstas"/>
      </w:pPr>
    </w:p>
    <w:p w14:paraId="6D8691F8" w14:textId="33BD42F3" w:rsidR="00C0147E" w:rsidRDefault="001175EF" w:rsidP="00130A96">
      <w:pPr>
        <w:pStyle w:val="Pagrindinistekstas"/>
      </w:pPr>
      <w:r w:rsidRPr="00130A96">
        <w:t xml:space="preserve">Gauta pranešimų apie kartu su </w:t>
      </w:r>
      <w:r w:rsidR="00DC71AA" w:rsidRPr="00DC71AA">
        <w:t xml:space="preserve">lytinių organų </w:t>
      </w:r>
      <w:r w:rsidRPr="00130A96">
        <w:t xml:space="preserve">infekcijomis nustatytus </w:t>
      </w:r>
      <w:proofErr w:type="spellStart"/>
      <w:r w:rsidRPr="00130A96">
        <w:t>fimozės</w:t>
      </w:r>
      <w:proofErr w:type="spellEnd"/>
      <w:r w:rsidRPr="00130A96">
        <w:t xml:space="preserve"> </w:t>
      </w:r>
      <w:r w:rsidR="00DC71AA">
        <w:t xml:space="preserve">/ </w:t>
      </w:r>
      <w:r w:rsidRPr="00130A96">
        <w:t xml:space="preserve">įgytos </w:t>
      </w:r>
      <w:proofErr w:type="spellStart"/>
      <w:r w:rsidRPr="00130A96">
        <w:t>fimozės</w:t>
      </w:r>
      <w:proofErr w:type="spellEnd"/>
      <w:r w:rsidRPr="00130A96">
        <w:t xml:space="preserve"> atvejus; kai kuriais atvejais buvo reikalingas apipjaustymas.</w:t>
      </w:r>
    </w:p>
    <w:p w14:paraId="4D4AD8B8" w14:textId="77777777" w:rsidR="00E21441" w:rsidRPr="00130A96" w:rsidRDefault="00E21441" w:rsidP="00130A96">
      <w:pPr>
        <w:pStyle w:val="Pagrindinistekstas"/>
      </w:pPr>
    </w:p>
    <w:p w14:paraId="6D8691F9" w14:textId="77777777" w:rsidR="00C0147E" w:rsidRPr="00130A96" w:rsidRDefault="001175EF" w:rsidP="00130A96">
      <w:pPr>
        <w:rPr>
          <w:i/>
        </w:rPr>
      </w:pPr>
      <w:proofErr w:type="spellStart"/>
      <w:r w:rsidRPr="00130A96">
        <w:rPr>
          <w:i/>
          <w:u w:val="single"/>
        </w:rPr>
        <w:t>Tarpvietės</w:t>
      </w:r>
      <w:proofErr w:type="spellEnd"/>
      <w:r w:rsidRPr="00130A96">
        <w:rPr>
          <w:i/>
          <w:u w:val="single"/>
        </w:rPr>
        <w:t xml:space="preserve"> </w:t>
      </w:r>
      <w:proofErr w:type="spellStart"/>
      <w:r w:rsidRPr="00130A96">
        <w:rPr>
          <w:i/>
          <w:u w:val="single"/>
        </w:rPr>
        <w:t>nekrozuojantis</w:t>
      </w:r>
      <w:proofErr w:type="spellEnd"/>
      <w:r w:rsidRPr="00130A96">
        <w:rPr>
          <w:i/>
          <w:u w:val="single"/>
        </w:rPr>
        <w:t xml:space="preserve"> </w:t>
      </w:r>
      <w:proofErr w:type="spellStart"/>
      <w:r w:rsidRPr="00130A96">
        <w:rPr>
          <w:i/>
          <w:u w:val="single"/>
        </w:rPr>
        <w:t>fascitas</w:t>
      </w:r>
      <w:proofErr w:type="spellEnd"/>
      <w:r w:rsidRPr="00130A96">
        <w:rPr>
          <w:i/>
          <w:u w:val="single"/>
        </w:rPr>
        <w:t xml:space="preserve"> (</w:t>
      </w:r>
      <w:proofErr w:type="spellStart"/>
      <w:r w:rsidRPr="00130A96">
        <w:rPr>
          <w:i/>
          <w:u w:val="single"/>
        </w:rPr>
        <w:t>Fournier</w:t>
      </w:r>
      <w:proofErr w:type="spellEnd"/>
      <w:r w:rsidRPr="00130A96">
        <w:rPr>
          <w:i/>
          <w:u w:val="single"/>
        </w:rPr>
        <w:t xml:space="preserve"> gangrena)</w:t>
      </w:r>
    </w:p>
    <w:p w14:paraId="683DA57E" w14:textId="6236D07B" w:rsidR="00C55708" w:rsidRPr="00C55708" w:rsidRDefault="00C55708" w:rsidP="00C55708">
      <w:pPr>
        <w:pStyle w:val="Pagrindinistekstas"/>
      </w:pPr>
      <w:r w:rsidRPr="00C55708">
        <w:t>Po SGLT2 inhibitorių, įskaitant dapaglifloziną, pateikimo į rinką</w:t>
      </w:r>
      <w:r w:rsidR="000A5BEA">
        <w:t>,</w:t>
      </w:r>
      <w:r w:rsidRPr="00C55708">
        <w:t xml:space="preserve"> gauta pranešimų apie </w:t>
      </w:r>
      <w:proofErr w:type="spellStart"/>
      <w:r w:rsidRPr="00C55708">
        <w:rPr>
          <w:i/>
          <w:iCs/>
        </w:rPr>
        <w:t>Fournier</w:t>
      </w:r>
      <w:proofErr w:type="spellEnd"/>
      <w:r w:rsidRPr="00C55708">
        <w:rPr>
          <w:i/>
          <w:iCs/>
        </w:rPr>
        <w:t xml:space="preserve"> </w:t>
      </w:r>
      <w:r w:rsidRPr="00C55708">
        <w:t>gangrenos atvejus (žr. 4.4 skyrių).</w:t>
      </w:r>
    </w:p>
    <w:p w14:paraId="1181861A" w14:textId="77777777" w:rsidR="00E21441" w:rsidRPr="00130A96" w:rsidRDefault="00E21441" w:rsidP="00130A96">
      <w:pPr>
        <w:pStyle w:val="Pagrindinistekstas"/>
      </w:pPr>
    </w:p>
    <w:p w14:paraId="6D8691FB" w14:textId="0B09F180" w:rsidR="00C0147E" w:rsidRDefault="001175EF" w:rsidP="00130A96">
      <w:pPr>
        <w:pStyle w:val="Pagrindinistekstas"/>
      </w:pPr>
      <w:r w:rsidRPr="00130A96">
        <w:t>DECLARE tyrime dalyvavo 17</w:t>
      </w:r>
      <w:r w:rsidR="0034227D">
        <w:t> </w:t>
      </w:r>
      <w:r w:rsidRPr="00130A96">
        <w:t>160</w:t>
      </w:r>
      <w:r w:rsidR="0034227D">
        <w:t> </w:t>
      </w:r>
      <w:r w:rsidRPr="00130A96">
        <w:t>pacientų, sirgusių 2</w:t>
      </w:r>
      <w:r w:rsidR="00873FCC">
        <w:t> tipo</w:t>
      </w:r>
      <w:r w:rsidRPr="00130A96">
        <w:t xml:space="preserve"> cukriniu diabetu. Ekspozicijos trukmės mediana buvo 48</w:t>
      </w:r>
      <w:r w:rsidR="0034227D">
        <w:t> </w:t>
      </w:r>
      <w:r w:rsidRPr="00130A96">
        <w:t xml:space="preserve">mėn., iš viso </w:t>
      </w:r>
      <w:r w:rsidR="00996A0F">
        <w:t>pranešta apie</w:t>
      </w:r>
      <w:r w:rsidRPr="00130A96">
        <w:t xml:space="preserve"> 6</w:t>
      </w:r>
      <w:r w:rsidR="0034227D">
        <w:t> </w:t>
      </w:r>
      <w:proofErr w:type="spellStart"/>
      <w:r w:rsidRPr="00130A96">
        <w:rPr>
          <w:i/>
        </w:rPr>
        <w:t>Fournier</w:t>
      </w:r>
      <w:proofErr w:type="spellEnd"/>
      <w:r w:rsidRPr="00130A96">
        <w:rPr>
          <w:i/>
        </w:rPr>
        <w:t xml:space="preserve"> </w:t>
      </w:r>
      <w:r w:rsidRPr="00130A96">
        <w:t>gangrenos atvej</w:t>
      </w:r>
      <w:r w:rsidR="00996A0F">
        <w:t>us</w:t>
      </w:r>
      <w:r w:rsidRPr="00130A96">
        <w:t xml:space="preserve"> (1 dapagliflozino grupėje ir 5 – placebo).</w:t>
      </w:r>
    </w:p>
    <w:p w14:paraId="4352D046" w14:textId="77777777" w:rsidR="00E21441" w:rsidRPr="00130A96" w:rsidRDefault="00E21441" w:rsidP="00130A96">
      <w:pPr>
        <w:pStyle w:val="Pagrindinistekstas"/>
      </w:pPr>
    </w:p>
    <w:p w14:paraId="6D8691FC" w14:textId="77777777" w:rsidR="00C0147E" w:rsidRPr="00130A96" w:rsidRDefault="001175EF" w:rsidP="00130A96">
      <w:pPr>
        <w:rPr>
          <w:i/>
        </w:rPr>
      </w:pPr>
      <w:r w:rsidRPr="00130A96">
        <w:rPr>
          <w:i/>
          <w:u w:val="single"/>
        </w:rPr>
        <w:t>Hipoglikemija</w:t>
      </w:r>
    </w:p>
    <w:p w14:paraId="6D8691FD" w14:textId="77777777" w:rsidR="00C0147E" w:rsidRPr="00130A96" w:rsidRDefault="001175EF" w:rsidP="00130A96">
      <w:pPr>
        <w:pStyle w:val="Pagrindinistekstas"/>
      </w:pPr>
      <w:r w:rsidRPr="00130A96">
        <w:t>Hipoglikemijos pasireiškimo dažnis priklausė nuo kitų vaistinių preparatų, vartotų cukrinio diabeto klinikinių tyrimų metu.</w:t>
      </w:r>
    </w:p>
    <w:p w14:paraId="6D8691FE" w14:textId="77777777" w:rsidR="00C0147E" w:rsidRPr="00130A96" w:rsidRDefault="00C0147E" w:rsidP="00130A96">
      <w:pPr>
        <w:pStyle w:val="Pagrindinistekstas"/>
      </w:pPr>
    </w:p>
    <w:p w14:paraId="1C09DD2B" w14:textId="799EADF9" w:rsidR="00C10487" w:rsidRPr="00C10487" w:rsidRDefault="001175EF" w:rsidP="00C10487">
      <w:pPr>
        <w:pStyle w:val="Pagrindinistekstas"/>
      </w:pPr>
      <w:r w:rsidRPr="00130A96">
        <w:t>Per 102</w:t>
      </w:r>
      <w:r w:rsidR="004D11C3">
        <w:t> </w:t>
      </w:r>
      <w:r w:rsidRPr="00130A96">
        <w:t xml:space="preserve">dapagliflozino </w:t>
      </w:r>
      <w:proofErr w:type="spellStart"/>
      <w:r w:rsidRPr="00130A96">
        <w:t>monoterapijos</w:t>
      </w:r>
      <w:proofErr w:type="spellEnd"/>
      <w:r w:rsidRPr="00130A96">
        <w:t xml:space="preserve">, papildomo </w:t>
      </w:r>
      <w:r w:rsidR="000A5BEA">
        <w:t>sudėtinio</w:t>
      </w:r>
      <w:r w:rsidR="000A5BEA" w:rsidRPr="00130A96">
        <w:t xml:space="preserve"> </w:t>
      </w:r>
      <w:r w:rsidRPr="00130A96">
        <w:t xml:space="preserve">gydymo su </w:t>
      </w:r>
      <w:proofErr w:type="spellStart"/>
      <w:r w:rsidRPr="00130A96">
        <w:t>metforminu</w:t>
      </w:r>
      <w:proofErr w:type="spellEnd"/>
      <w:r w:rsidRPr="00130A96">
        <w:t xml:space="preserve"> ir papildomo </w:t>
      </w:r>
      <w:r w:rsidR="007D6AE2">
        <w:t>sudėtinio</w:t>
      </w:r>
      <w:r w:rsidR="007D6AE2" w:rsidRPr="00130A96">
        <w:t xml:space="preserve"> </w:t>
      </w:r>
      <w:r w:rsidRPr="00130A96">
        <w:t xml:space="preserve">gydymo su </w:t>
      </w:r>
      <w:proofErr w:type="spellStart"/>
      <w:r w:rsidRPr="00130A96">
        <w:t>sitagliptinu</w:t>
      </w:r>
      <w:proofErr w:type="spellEnd"/>
      <w:r w:rsidRPr="00130A96">
        <w:t xml:space="preserve"> (kartu vartojant </w:t>
      </w:r>
      <w:proofErr w:type="spellStart"/>
      <w:r w:rsidRPr="00130A96">
        <w:t>metformino</w:t>
      </w:r>
      <w:proofErr w:type="spellEnd"/>
      <w:r w:rsidRPr="00130A96">
        <w:t xml:space="preserve"> arba jo nevartojant) gydymo savaites lengvų hipoglikemijos epizodų dažnis visų gydymo grupių, įskaitant placebo, pacientams buvo panašus (</w:t>
      </w:r>
      <w:r w:rsidR="00873FCC">
        <w:t>&lt; </w:t>
      </w:r>
      <w:r w:rsidRPr="00130A96">
        <w:t>5</w:t>
      </w:r>
      <w:r w:rsidR="00873FCC">
        <w:t> %</w:t>
      </w:r>
      <w:r w:rsidRPr="00130A96">
        <w:t xml:space="preserve">). Visų tyrimų metu sunkių hipoglikemijos reiškinių </w:t>
      </w:r>
      <w:r w:rsidR="009B6D93">
        <w:t>pasireiškė</w:t>
      </w:r>
      <w:r w:rsidRPr="00130A96">
        <w:t xml:space="preserve"> nedažnai, jų dažnis dapagliflozino ir placebo grupių pacientams buvo panašus. </w:t>
      </w:r>
      <w:r w:rsidR="00C10487" w:rsidRPr="00C10487">
        <w:t xml:space="preserve">Tyrimuose, kurių metu papildytas gydymas </w:t>
      </w:r>
      <w:proofErr w:type="spellStart"/>
      <w:r w:rsidR="00C10487" w:rsidRPr="00C10487">
        <w:t>sulfonilkarbamid</w:t>
      </w:r>
      <w:r w:rsidR="007D6AE2">
        <w:t>o</w:t>
      </w:r>
      <w:proofErr w:type="spellEnd"/>
      <w:r w:rsidR="007D6AE2">
        <w:t xml:space="preserve"> </w:t>
      </w:r>
      <w:r w:rsidR="00B9288D">
        <w:t>dariniais</w:t>
      </w:r>
      <w:r w:rsidR="00C10487" w:rsidRPr="00C10487">
        <w:t xml:space="preserve"> ir insulinu, hipoglikemija pasireiškė dažniau (žr. 4.5 skyrių).</w:t>
      </w:r>
    </w:p>
    <w:p w14:paraId="6D869200" w14:textId="41766C39" w:rsidR="00C0147E" w:rsidRPr="00130A96" w:rsidRDefault="00C0147E" w:rsidP="00130A96">
      <w:pPr>
        <w:pStyle w:val="Pagrindinistekstas"/>
      </w:pPr>
    </w:p>
    <w:p w14:paraId="6D869201" w14:textId="57851368" w:rsidR="00C0147E" w:rsidRPr="00130A96" w:rsidRDefault="001175EF" w:rsidP="00130A96">
      <w:pPr>
        <w:pStyle w:val="Pagrindinistekstas"/>
      </w:pPr>
      <w:r w:rsidRPr="00130A96">
        <w:t xml:space="preserve">Papildomo </w:t>
      </w:r>
      <w:r w:rsidR="004203B5">
        <w:t>sudėtinio</w:t>
      </w:r>
      <w:r w:rsidR="004203B5" w:rsidRPr="00130A96">
        <w:t xml:space="preserve"> </w:t>
      </w:r>
      <w:r w:rsidRPr="00130A96">
        <w:t xml:space="preserve">gydymo su </w:t>
      </w:r>
      <w:proofErr w:type="spellStart"/>
      <w:r w:rsidRPr="00130A96">
        <w:t>glimepiridu</w:t>
      </w:r>
      <w:proofErr w:type="spellEnd"/>
      <w:r w:rsidRPr="00130A96">
        <w:t xml:space="preserve"> tyrimo metu lengvų hipoglikemijos epizodų per 24 ir 48</w:t>
      </w:r>
      <w:r w:rsidR="00AD6A25">
        <w:t> </w:t>
      </w:r>
      <w:r w:rsidRPr="00130A96">
        <w:t>savaites 10</w:t>
      </w:r>
      <w:r w:rsidR="00873FCC">
        <w:t> mg</w:t>
      </w:r>
      <w:r w:rsidRPr="00130A96">
        <w:t xml:space="preserve"> dapagliflozino ir </w:t>
      </w:r>
      <w:proofErr w:type="spellStart"/>
      <w:r w:rsidRPr="00130A96">
        <w:t>glimepirido</w:t>
      </w:r>
      <w:proofErr w:type="spellEnd"/>
      <w:r w:rsidRPr="00130A96">
        <w:t xml:space="preserve"> derinio grupės pacientams pasireiškė dažniau (atitinkamai 6</w:t>
      </w:r>
      <w:r w:rsidR="00873FCC">
        <w:t> %</w:t>
      </w:r>
      <w:r w:rsidRPr="00130A96">
        <w:t xml:space="preserve"> ir 7,9</w:t>
      </w:r>
      <w:r w:rsidR="00873FCC">
        <w:t> %</w:t>
      </w:r>
      <w:r w:rsidRPr="00130A96">
        <w:t xml:space="preserve">), negu placebo ir </w:t>
      </w:r>
      <w:proofErr w:type="spellStart"/>
      <w:r w:rsidRPr="00130A96">
        <w:t>glimepirido</w:t>
      </w:r>
      <w:proofErr w:type="spellEnd"/>
      <w:r w:rsidRPr="00130A96">
        <w:t xml:space="preserve"> derinio (atitinkamai 2,1</w:t>
      </w:r>
      <w:r w:rsidR="00873FCC">
        <w:t> %</w:t>
      </w:r>
      <w:r w:rsidRPr="00130A96">
        <w:t xml:space="preserve"> ir 2,1</w:t>
      </w:r>
      <w:r w:rsidR="00873FCC">
        <w:t> %</w:t>
      </w:r>
      <w:r w:rsidRPr="00130A96">
        <w:t>).</w:t>
      </w:r>
    </w:p>
    <w:p w14:paraId="6D869202" w14:textId="77777777" w:rsidR="00C0147E" w:rsidRPr="00130A96" w:rsidRDefault="00C0147E" w:rsidP="00130A96">
      <w:pPr>
        <w:pStyle w:val="Pagrindinistekstas"/>
      </w:pPr>
    </w:p>
    <w:p w14:paraId="6D869204" w14:textId="49BE8E5B" w:rsidR="00C0147E" w:rsidRDefault="001175EF" w:rsidP="00130A96">
      <w:pPr>
        <w:pStyle w:val="Pagrindinistekstas"/>
      </w:pPr>
      <w:r w:rsidRPr="00130A96">
        <w:t>Tyrimo insulino poveikiui papildyti metu stipriai išreikštos hipoglikemijos epizodų per 24</w:t>
      </w:r>
      <w:r w:rsidR="00865BE4">
        <w:t> </w:t>
      </w:r>
      <w:r w:rsidRPr="00130A96">
        <w:t>savaites patyrė 0,5</w:t>
      </w:r>
      <w:r w:rsidR="00873FCC">
        <w:t> %</w:t>
      </w:r>
      <w:r w:rsidRPr="00130A96">
        <w:t>, o per 104</w:t>
      </w:r>
      <w:r w:rsidR="00865BE4">
        <w:t> </w:t>
      </w:r>
      <w:r w:rsidRPr="00130A96">
        <w:t>savaites – 1</w:t>
      </w:r>
      <w:r w:rsidR="00873FCC">
        <w:t> %</w:t>
      </w:r>
      <w:r w:rsidRPr="00130A96">
        <w:t xml:space="preserve"> 10</w:t>
      </w:r>
      <w:r w:rsidR="00873FCC">
        <w:t> mg</w:t>
      </w:r>
      <w:r w:rsidRPr="00130A96">
        <w:t xml:space="preserve"> dapagliflozino ir insulino derinio grupės pacientų. Be to, per 24 ir 104</w:t>
      </w:r>
      <w:r w:rsidR="00865BE4">
        <w:t> </w:t>
      </w:r>
      <w:r w:rsidRPr="00130A96">
        <w:t>savaites tokių epizodų patyrė 0,5</w:t>
      </w:r>
      <w:r w:rsidR="00873FCC">
        <w:t> %</w:t>
      </w:r>
      <w:r w:rsidRPr="00130A96">
        <w:t xml:space="preserve"> placebo ir insulino derinį vartojusių pacientų.</w:t>
      </w:r>
      <w:r w:rsidR="00E21441">
        <w:t xml:space="preserve"> </w:t>
      </w:r>
      <w:r w:rsidRPr="00130A96">
        <w:t xml:space="preserve">Lengvų hipoglikemijos epizodų per </w:t>
      </w:r>
      <w:r w:rsidRPr="00C266C6">
        <w:t>24</w:t>
      </w:r>
      <w:r w:rsidR="00C266C6">
        <w:t> </w:t>
      </w:r>
      <w:r w:rsidRPr="00C266C6">
        <w:t>savaites</w:t>
      </w:r>
      <w:r w:rsidRPr="00130A96">
        <w:t xml:space="preserve"> patyrė 40,3</w:t>
      </w:r>
      <w:r w:rsidR="00873FCC">
        <w:t> %</w:t>
      </w:r>
      <w:r w:rsidRPr="00130A96">
        <w:t>, o per 104</w:t>
      </w:r>
      <w:r w:rsidR="00C266C6">
        <w:t> </w:t>
      </w:r>
      <w:r w:rsidRPr="00130A96">
        <w:t>savaites – 53,1</w:t>
      </w:r>
      <w:r w:rsidR="00873FCC">
        <w:t> %</w:t>
      </w:r>
      <w:r w:rsidRPr="00130A96">
        <w:t xml:space="preserve"> 10</w:t>
      </w:r>
      <w:r w:rsidR="00873FCC">
        <w:t> mg</w:t>
      </w:r>
      <w:r w:rsidRPr="00130A96">
        <w:t xml:space="preserve"> dapagliflozino ir insulino derinio grupės pacientų; tokių pacientų placebo ir insulino derinio grupėje buvo atitinkamai 34,0</w:t>
      </w:r>
      <w:r w:rsidR="00873FCC">
        <w:t> %</w:t>
      </w:r>
      <w:r w:rsidRPr="00130A96">
        <w:t xml:space="preserve"> ir 41,6</w:t>
      </w:r>
      <w:r w:rsidR="00873FCC">
        <w:t> %</w:t>
      </w:r>
      <w:r w:rsidRPr="00130A96">
        <w:t>.</w:t>
      </w:r>
    </w:p>
    <w:p w14:paraId="783367CC" w14:textId="77777777" w:rsidR="00C266C6" w:rsidRPr="00130A96" w:rsidRDefault="00C266C6" w:rsidP="00130A96">
      <w:pPr>
        <w:pStyle w:val="Pagrindinistekstas"/>
      </w:pPr>
    </w:p>
    <w:p w14:paraId="6D869205" w14:textId="06A1BB0B" w:rsidR="00C0147E" w:rsidRPr="00130A96" w:rsidRDefault="001175EF" w:rsidP="00130A96">
      <w:pPr>
        <w:pStyle w:val="Pagrindinistekstas"/>
      </w:pPr>
      <w:r w:rsidRPr="00130A96">
        <w:t xml:space="preserve">Tyrimo </w:t>
      </w:r>
      <w:proofErr w:type="spellStart"/>
      <w:r w:rsidRPr="00130A96">
        <w:t>metformino</w:t>
      </w:r>
      <w:proofErr w:type="spellEnd"/>
      <w:r w:rsidRPr="00130A96">
        <w:t xml:space="preserve"> ir </w:t>
      </w:r>
      <w:proofErr w:type="spellStart"/>
      <w:r w:rsidRPr="00130A96">
        <w:t>sulfonilkarbamido</w:t>
      </w:r>
      <w:proofErr w:type="spellEnd"/>
      <w:r w:rsidRPr="00130A96">
        <w:t xml:space="preserve"> </w:t>
      </w:r>
      <w:r w:rsidR="004203B5">
        <w:t xml:space="preserve">darinių </w:t>
      </w:r>
      <w:r w:rsidRPr="00130A96">
        <w:t>poveikiui papildyti, iki 24</w:t>
      </w:r>
      <w:r w:rsidR="00C266C6">
        <w:t> </w:t>
      </w:r>
      <w:r w:rsidRPr="00130A96">
        <w:t xml:space="preserve">savaičių stipriai išreikštos hipoglikemijos epizodų </w:t>
      </w:r>
      <w:r w:rsidR="00A52865">
        <w:t>nepranešta</w:t>
      </w:r>
      <w:r w:rsidRPr="00130A96">
        <w:t>. Lengvos hipoglikemijos epizodų patyrė 12,8</w:t>
      </w:r>
      <w:r w:rsidR="00873FCC">
        <w:t> %</w:t>
      </w:r>
      <w:r w:rsidRPr="00130A96">
        <w:t xml:space="preserve"> pacientų, vartojusių dapagliflozino 10</w:t>
      </w:r>
      <w:r w:rsidR="00873FCC">
        <w:t> mg</w:t>
      </w:r>
      <w:r w:rsidRPr="00130A96">
        <w:t xml:space="preserve">, </w:t>
      </w:r>
      <w:proofErr w:type="spellStart"/>
      <w:r w:rsidRPr="00130A96">
        <w:t>metformino</w:t>
      </w:r>
      <w:proofErr w:type="spellEnd"/>
      <w:r w:rsidRPr="00130A96">
        <w:t xml:space="preserve"> ir </w:t>
      </w:r>
      <w:proofErr w:type="spellStart"/>
      <w:r w:rsidRPr="00130A96">
        <w:t>sulfonilkarbamido</w:t>
      </w:r>
      <w:proofErr w:type="spellEnd"/>
      <w:r w:rsidR="000F3C11">
        <w:t xml:space="preserve"> darinius</w:t>
      </w:r>
      <w:r w:rsidRPr="00130A96">
        <w:t>, bei 3,7</w:t>
      </w:r>
      <w:r w:rsidR="00873FCC">
        <w:t> %</w:t>
      </w:r>
      <w:r w:rsidRPr="00130A96">
        <w:t xml:space="preserve"> pacientų, vartojusių placebo, </w:t>
      </w:r>
      <w:proofErr w:type="spellStart"/>
      <w:r w:rsidRPr="00130A96">
        <w:t>metformino</w:t>
      </w:r>
      <w:proofErr w:type="spellEnd"/>
      <w:r w:rsidRPr="00130A96">
        <w:t xml:space="preserve"> ir </w:t>
      </w:r>
      <w:proofErr w:type="spellStart"/>
      <w:r w:rsidRPr="00130A96">
        <w:t>sulfonilkarbamido</w:t>
      </w:r>
      <w:proofErr w:type="spellEnd"/>
      <w:r w:rsidR="000F3C11">
        <w:t xml:space="preserve"> darinius</w:t>
      </w:r>
      <w:r w:rsidRPr="00130A96">
        <w:t>.</w:t>
      </w:r>
    </w:p>
    <w:p w14:paraId="6D869206" w14:textId="77777777" w:rsidR="00C0147E" w:rsidRPr="00130A96" w:rsidRDefault="00C0147E" w:rsidP="00130A96">
      <w:pPr>
        <w:pStyle w:val="Pagrindinistekstas"/>
      </w:pPr>
    </w:p>
    <w:p w14:paraId="58687ACD" w14:textId="77777777" w:rsidR="00193AFA" w:rsidRPr="00193AFA" w:rsidRDefault="001175EF" w:rsidP="00193AFA">
      <w:pPr>
        <w:pStyle w:val="Pagrindinistekstas"/>
      </w:pPr>
      <w:r w:rsidRPr="00130A96">
        <w:t xml:space="preserve">DECLARE tyrimo metu </w:t>
      </w:r>
      <w:r w:rsidR="00B92EFA">
        <w:t>sunkios</w:t>
      </w:r>
      <w:r w:rsidRPr="00130A96">
        <w:t xml:space="preserve"> hipoglikemijos rizikos padidėjimo vartojant dapagliflozin</w:t>
      </w:r>
      <w:r w:rsidR="00B92EFA">
        <w:t>o</w:t>
      </w:r>
      <w:r w:rsidRPr="00130A96">
        <w:t xml:space="preserve"> (palyginus su placebu) nenustatyta. </w:t>
      </w:r>
      <w:r w:rsidR="00193AFA" w:rsidRPr="00193AFA">
        <w:t>Sunkios hipoglikemijos atvejų pranešta 58 (0,7 %) dapagliflozino ir 83 (1,0 %) placebo vartojusių pacientų.</w:t>
      </w:r>
    </w:p>
    <w:p w14:paraId="6D869208" w14:textId="77777777" w:rsidR="00C0147E" w:rsidRPr="00130A96" w:rsidRDefault="00C0147E" w:rsidP="00130A96">
      <w:pPr>
        <w:pStyle w:val="Pagrindinistekstas"/>
      </w:pPr>
    </w:p>
    <w:p w14:paraId="105D086F" w14:textId="274650A1" w:rsidR="00BA10E7" w:rsidRPr="00BA10E7" w:rsidRDefault="00BA10E7" w:rsidP="00BA10E7">
      <w:pPr>
        <w:pStyle w:val="Pagrindinistekstas"/>
      </w:pPr>
      <w:r w:rsidRPr="00BA10E7">
        <w:t>DAPA</w:t>
      </w:r>
      <w:r>
        <w:noBreakHyphen/>
      </w:r>
      <w:r w:rsidRPr="00BA10E7">
        <w:t xml:space="preserve">HF tyrimo metu sunkios hipoglikemijos reiškinių pranešta 4 (0,2 %) ir dapagliflozino, ir placebo grupės pacientams. DELIVER tyrimo metu sunkios hipoglikemijos reiškinių pranešta 6 dapagliflozino grupės pacientams (0,2 %) ir 7 placebo grupės pacientams (0,2 %). </w:t>
      </w:r>
      <w:r w:rsidR="002B3795">
        <w:t xml:space="preserve">Sunkūs hipoglikemijos atvejai pasireiškė tik pacientams, sergantiems </w:t>
      </w:r>
      <w:r w:rsidRPr="00BA10E7">
        <w:t>2 tipo cukriniu diabetu.</w:t>
      </w:r>
    </w:p>
    <w:p w14:paraId="6D86920A" w14:textId="77777777" w:rsidR="00C0147E" w:rsidRPr="00130A96" w:rsidRDefault="00C0147E" w:rsidP="00130A96">
      <w:pPr>
        <w:pStyle w:val="Pagrindinistekstas"/>
      </w:pPr>
    </w:p>
    <w:p w14:paraId="6D86920B" w14:textId="17366F45" w:rsidR="00C0147E" w:rsidRDefault="001175EF" w:rsidP="00130A96">
      <w:pPr>
        <w:pStyle w:val="Pagrindinistekstas"/>
      </w:pPr>
      <w:r w:rsidRPr="00130A96">
        <w:t>DAPA</w:t>
      </w:r>
      <w:r w:rsidR="00273C4C">
        <w:noBreakHyphen/>
      </w:r>
      <w:r w:rsidRPr="00130A96">
        <w:t xml:space="preserve">CKD tyrimo metu </w:t>
      </w:r>
      <w:r w:rsidR="00273C4C">
        <w:t>sunkios</w:t>
      </w:r>
      <w:r w:rsidRPr="00130A96">
        <w:t xml:space="preserve"> hipoglikemijos atvejų </w:t>
      </w:r>
      <w:r w:rsidR="00273C4C">
        <w:t>pranešta</w:t>
      </w:r>
      <w:r w:rsidRPr="00130A96">
        <w:t xml:space="preserve"> 14 (0,7</w:t>
      </w:r>
      <w:r w:rsidR="00873FCC">
        <w:t> %</w:t>
      </w:r>
      <w:r w:rsidRPr="00130A96">
        <w:t>) dapagliflozino ir 28 (1,3</w:t>
      </w:r>
      <w:r w:rsidR="00873FCC">
        <w:t> %</w:t>
      </w:r>
      <w:r w:rsidRPr="00130A96">
        <w:t>) placebo grupės pacientams (visi jie sirgo 2</w:t>
      </w:r>
      <w:r w:rsidR="00873FCC">
        <w:t> tipo</w:t>
      </w:r>
      <w:r w:rsidRPr="00130A96">
        <w:t xml:space="preserve"> cukriniu diabetu).</w:t>
      </w:r>
    </w:p>
    <w:p w14:paraId="2584A0E1" w14:textId="77777777" w:rsidR="00EC69B5" w:rsidRPr="00130A96" w:rsidRDefault="00EC69B5" w:rsidP="00130A96">
      <w:pPr>
        <w:pStyle w:val="Pagrindinistekstas"/>
      </w:pPr>
    </w:p>
    <w:p w14:paraId="6D86920C" w14:textId="00597786" w:rsidR="00C0147E" w:rsidRPr="00130A96" w:rsidRDefault="009F4744" w:rsidP="00130A96">
      <w:pPr>
        <w:rPr>
          <w:i/>
        </w:rPr>
      </w:pPr>
      <w:r>
        <w:rPr>
          <w:i/>
          <w:u w:val="single"/>
        </w:rPr>
        <w:t>Kraujo tūrio sumažėjimas</w:t>
      </w:r>
    </w:p>
    <w:p w14:paraId="3BB14C60" w14:textId="4495C4B7" w:rsidR="008A43CD" w:rsidRPr="008A43CD" w:rsidRDefault="008A43CD" w:rsidP="008A43CD">
      <w:pPr>
        <w:pStyle w:val="Pagrindinistekstas"/>
      </w:pPr>
      <w:r w:rsidRPr="008A43CD">
        <w:t xml:space="preserve">Apibendrinus 13 tyrimų saugumo duomenis, sumažėjusiam kraujo tūriui būdingų reakcijų (dehidratacija, </w:t>
      </w:r>
      <w:proofErr w:type="spellStart"/>
      <w:r w:rsidRPr="008A43CD">
        <w:t>hipovolemija</w:t>
      </w:r>
      <w:proofErr w:type="spellEnd"/>
      <w:r w:rsidRPr="008A43CD">
        <w:t xml:space="preserve"> arba </w:t>
      </w:r>
      <w:proofErr w:type="spellStart"/>
      <w:r w:rsidRPr="008A43CD">
        <w:t>hipotenzija</w:t>
      </w:r>
      <w:proofErr w:type="spellEnd"/>
      <w:r w:rsidRPr="008A43CD">
        <w:t xml:space="preserve">) pranešta 1,1 % 10 mg dapagliflozino ir 0,7 % placebo vartojusių </w:t>
      </w:r>
      <w:r w:rsidR="00925AA8">
        <w:t>pacientų</w:t>
      </w:r>
      <w:r w:rsidRPr="008A43CD">
        <w:t xml:space="preserve">. Sunkių reakcijų pasireiškė &lt; 0,2 % </w:t>
      </w:r>
      <w:r w:rsidR="00925AA8">
        <w:t>pacientų</w:t>
      </w:r>
      <w:r w:rsidRPr="008A43CD">
        <w:t xml:space="preserve">, jų dažnis 10 mg dapagliflozino ir </w:t>
      </w:r>
      <w:r w:rsidRPr="008A43CD">
        <w:lastRenderedPageBreak/>
        <w:t>placebo vartojusiems pacientams buvo panašus (žr. 4.4 skyrių).</w:t>
      </w:r>
    </w:p>
    <w:p w14:paraId="21572926" w14:textId="77777777" w:rsidR="00C0147E" w:rsidRDefault="00C0147E" w:rsidP="00130A96">
      <w:pPr>
        <w:pStyle w:val="Pagrindinistekstas"/>
      </w:pPr>
    </w:p>
    <w:p w14:paraId="0F089680" w14:textId="4F8FEDC7" w:rsidR="007D45CA" w:rsidRPr="007D45CA" w:rsidRDefault="007D45CA" w:rsidP="007D45CA">
      <w:pPr>
        <w:pStyle w:val="Pagrindinistekstas"/>
      </w:pPr>
      <w:r w:rsidRPr="007D45CA">
        <w:t xml:space="preserve">DECLARE tyrimo metu sumažėjusiam kraujo tūriui būdingų reiškinių skaičius gydymo grupėse buvo panašus: jų patyrė atitinkamai 213 (2,5 %) dapagliflozino ir 207 (2,4 %) placebo grupės pacientai. </w:t>
      </w:r>
      <w:r w:rsidR="00747D67">
        <w:t>Apie sunkius</w:t>
      </w:r>
      <w:r w:rsidRPr="007D45CA">
        <w:t xml:space="preserve"> nepageidaujam</w:t>
      </w:r>
      <w:r w:rsidR="00747D67">
        <w:t>us</w:t>
      </w:r>
      <w:r w:rsidRPr="007D45CA">
        <w:t xml:space="preserve"> reiškini</w:t>
      </w:r>
      <w:r w:rsidR="00747D67">
        <w:t>us</w:t>
      </w:r>
      <w:r w:rsidRPr="007D45CA">
        <w:t xml:space="preserve"> </w:t>
      </w:r>
      <w:r w:rsidR="00747D67">
        <w:t xml:space="preserve">buvo </w:t>
      </w:r>
      <w:r w:rsidRPr="007D45CA">
        <w:t>pranešta atitinkamai 81 (0,9 %) ir 70 (0,8 %) dapagliflozino ir placebo grupės pacientų. Šių reiškinių skaičius gydymo grupėse ir pagal amžių, diuretikų vartojimą, kraujospūd</w:t>
      </w:r>
      <w:r w:rsidR="00AD2545">
        <w:t>žio dydį</w:t>
      </w:r>
      <w:r w:rsidRPr="007D45CA">
        <w:t xml:space="preserve"> bei </w:t>
      </w:r>
      <w:proofErr w:type="spellStart"/>
      <w:r w:rsidRPr="007D45CA">
        <w:t>angiotenziną</w:t>
      </w:r>
      <w:proofErr w:type="spellEnd"/>
      <w:r w:rsidRPr="007D45CA">
        <w:t xml:space="preserve"> konvertuojančio fermento inhibitorių (AKFI) </w:t>
      </w:r>
      <w:r w:rsidR="008A7C9F">
        <w:t>ir (</w:t>
      </w:r>
      <w:r w:rsidRPr="007D45CA">
        <w:t>ar</w:t>
      </w:r>
      <w:r w:rsidR="008A7C9F">
        <w:t>ba)</w:t>
      </w:r>
      <w:r w:rsidRPr="007D45CA">
        <w:t xml:space="preserve"> </w:t>
      </w:r>
      <w:proofErr w:type="spellStart"/>
      <w:r w:rsidRPr="007D45CA">
        <w:t>angiotenzino</w:t>
      </w:r>
      <w:proofErr w:type="spellEnd"/>
      <w:r w:rsidRPr="007D45CA">
        <w:t xml:space="preserve"> II tipo receptorių Nr. 1 blokatorių (ARB) vartojimą sudarytuose pogrupiuose buvo iš esmės panašus. Pacientams, kurių pradinis </w:t>
      </w:r>
      <w:proofErr w:type="spellStart"/>
      <w:r w:rsidRPr="007D45CA">
        <w:t>aGFG</w:t>
      </w:r>
      <w:proofErr w:type="spellEnd"/>
      <w:r w:rsidRPr="007D45CA">
        <w:t xml:space="preserve"> buvo &lt; 60 ml/min./1,73 m</w:t>
      </w:r>
      <w:r w:rsidRPr="007D45CA">
        <w:rPr>
          <w:vertAlign w:val="superscript"/>
        </w:rPr>
        <w:t>2</w:t>
      </w:r>
      <w:r w:rsidRPr="007D45CA">
        <w:t>, kraujo tūrio sumažėjimui būdingų sunkių nepageidaujamų reiškinių dapagliflozino grupėje užfiksuota 19, placebo – 13 kartų.</w:t>
      </w:r>
    </w:p>
    <w:p w14:paraId="5782769A" w14:textId="77777777" w:rsidR="007D45CA" w:rsidRPr="007D45CA" w:rsidRDefault="007D45CA" w:rsidP="007D45CA">
      <w:pPr>
        <w:pStyle w:val="Pagrindinistekstas"/>
      </w:pPr>
    </w:p>
    <w:p w14:paraId="430CE470" w14:textId="77777777" w:rsidR="007D45CA" w:rsidRPr="007D45CA" w:rsidRDefault="007D45CA" w:rsidP="007D45CA">
      <w:pPr>
        <w:pStyle w:val="Pagrindinistekstas"/>
      </w:pPr>
      <w:r w:rsidRPr="007D45CA">
        <w:t xml:space="preserve">DAPA-HF tyrimo metu kraujo tūrio sumažėjimui būdingų reiškinių nustatyta 170 (7,2 %) dapagliflozino ir 153 (6,5 %) placebo grupės pacientų. Sunkių nepageidaujamų reiškinių, būdingų kraujo tūrio sumažėjimui, mažiau nustatyta dapagliflozino grupės pacientams (23, [1,0 %]) negu placebo grupės pacientams (38, [1,6 %]). Jų skaičius buvo panašus nepriklausomai nuo sirgimo cukriniu diabetu tyrimo pradžioje ir pradinio </w:t>
      </w:r>
      <w:proofErr w:type="spellStart"/>
      <w:r w:rsidRPr="007D45CA">
        <w:t>aGFG</w:t>
      </w:r>
      <w:proofErr w:type="spellEnd"/>
      <w:r w:rsidRPr="007D45CA">
        <w:t>. DELIVER tyrimo metu sunkių reiškinių su kraujo tūrio sumažėjimo simptomais nustatyta 35 dapagliflozino grupėms pacientams (1,1 %) ir 31 placebo grupės pacientui (1 %).</w:t>
      </w:r>
    </w:p>
    <w:p w14:paraId="60A46524" w14:textId="77777777" w:rsidR="007D45CA" w:rsidRPr="007D45CA" w:rsidRDefault="007D45CA" w:rsidP="007D45CA">
      <w:pPr>
        <w:pStyle w:val="Pagrindinistekstas"/>
      </w:pPr>
    </w:p>
    <w:p w14:paraId="1DC908B9" w14:textId="77777777" w:rsidR="007D45CA" w:rsidRPr="007D45CA" w:rsidRDefault="007D45CA" w:rsidP="007D45CA">
      <w:pPr>
        <w:pStyle w:val="Pagrindinistekstas"/>
      </w:pPr>
      <w:r w:rsidRPr="007D45CA">
        <w:t>DAPA-CKD tyrimo metu kraujo tūrio sumažėjimui būdingų reiškinių nustatyta 120 (5,6 %) dapagliflozino ir 84 (3,9 %) placebo grupės pacientams. Sunkių reiškinių su kraujo tūrio sumažėjimo simptomais nustatyta 16 (0,7 %) dapagliflozino 15 (0,7 %) placebo grupės pacientų.</w:t>
      </w:r>
    </w:p>
    <w:p w14:paraId="3B5CD920" w14:textId="77777777" w:rsidR="007D45CA" w:rsidRDefault="007D45CA" w:rsidP="00130A96">
      <w:pPr>
        <w:pStyle w:val="Pagrindinistekstas"/>
      </w:pPr>
    </w:p>
    <w:p w14:paraId="6D869215" w14:textId="0A5CCE21" w:rsidR="00C0147E" w:rsidRPr="00130A96" w:rsidRDefault="001175EF" w:rsidP="00130A96">
      <w:pPr>
        <w:rPr>
          <w:i/>
        </w:rPr>
      </w:pPr>
      <w:r w:rsidRPr="00130A96">
        <w:rPr>
          <w:i/>
          <w:u w:val="single"/>
        </w:rPr>
        <w:t xml:space="preserve">Diabetinė </w:t>
      </w:r>
      <w:proofErr w:type="spellStart"/>
      <w:r w:rsidRPr="00130A96">
        <w:rPr>
          <w:i/>
          <w:u w:val="single"/>
        </w:rPr>
        <w:t>ketoacidozė</w:t>
      </w:r>
      <w:proofErr w:type="spellEnd"/>
      <w:r w:rsidRPr="00130A96">
        <w:rPr>
          <w:i/>
          <w:u w:val="single"/>
        </w:rPr>
        <w:t xml:space="preserve"> 2</w:t>
      </w:r>
      <w:r w:rsidR="00873FCC">
        <w:rPr>
          <w:i/>
          <w:u w:val="single"/>
        </w:rPr>
        <w:t> tipo</w:t>
      </w:r>
      <w:r w:rsidRPr="00130A96">
        <w:rPr>
          <w:i/>
          <w:u w:val="single"/>
        </w:rPr>
        <w:t xml:space="preserve"> cukriniu diabetu sergantiems pacientams</w:t>
      </w:r>
    </w:p>
    <w:p w14:paraId="6D6191EA" w14:textId="77777777" w:rsidR="00E41DF7" w:rsidRPr="00E41DF7" w:rsidRDefault="001175EF" w:rsidP="00E41DF7">
      <w:pPr>
        <w:pStyle w:val="Pagrindinistekstas"/>
      </w:pPr>
      <w:r w:rsidRPr="00130A96">
        <w:t>DECLARE tyrimo metu (vartojimo laikotarpio mediana buvo 48</w:t>
      </w:r>
      <w:r w:rsidR="00256C76">
        <w:t> </w:t>
      </w:r>
      <w:r w:rsidRPr="00130A96">
        <w:t xml:space="preserve">mėn.) DKA reiškinių </w:t>
      </w:r>
      <w:r w:rsidR="00256C76">
        <w:t>pranešta</w:t>
      </w:r>
      <w:r w:rsidRPr="00130A96">
        <w:t xml:space="preserve"> 27 dapagliflozino 10</w:t>
      </w:r>
      <w:r w:rsidR="00873FCC">
        <w:t> mg</w:t>
      </w:r>
      <w:r w:rsidRPr="00130A96">
        <w:t xml:space="preserve"> ir 12 placebo grupės pacientų. </w:t>
      </w:r>
      <w:r w:rsidR="00E41DF7" w:rsidRPr="00E41DF7">
        <w:t>Atsiradę reiškiniai tolygiai pasiskirstė tyrimo laikotarpiu. 22 iš 27 dapagliflozino grupės pacientų, patyrusių DKA reiškinių, tuo metu vartojo insulino. DKA pasireiškimą skatino tokie veiksniai, kokie yra tikėtini 2 cukriniu diabetu sergantiems pacientams (žr. 4.4 skyrių).</w:t>
      </w:r>
    </w:p>
    <w:p w14:paraId="6D869217" w14:textId="5327B990" w:rsidR="00C0147E" w:rsidRPr="00130A96" w:rsidRDefault="00C0147E" w:rsidP="00130A96">
      <w:pPr>
        <w:pStyle w:val="Pagrindinistekstas"/>
      </w:pPr>
    </w:p>
    <w:p w14:paraId="6D869218" w14:textId="633CD7BB" w:rsidR="00C0147E" w:rsidRPr="00130A96" w:rsidRDefault="001175EF" w:rsidP="00130A96">
      <w:pPr>
        <w:pStyle w:val="Pagrindinistekstas"/>
      </w:pPr>
      <w:r w:rsidRPr="00130A96">
        <w:t xml:space="preserve">DAPA-HF tyrimo metu DKA reiškinių </w:t>
      </w:r>
      <w:r w:rsidR="001633C5">
        <w:t>pranešta</w:t>
      </w:r>
      <w:r w:rsidRPr="00130A96">
        <w:t xml:space="preserve"> trims 2</w:t>
      </w:r>
      <w:r w:rsidR="00873FCC">
        <w:t> tipo</w:t>
      </w:r>
      <w:r w:rsidRPr="00130A96">
        <w:t xml:space="preserve"> cukriniu diabetu sirgusiems dapagliflozino grupės pacientams</w:t>
      </w:r>
      <w:r w:rsidR="001633C5">
        <w:t>, p</w:t>
      </w:r>
      <w:r w:rsidRPr="00130A96">
        <w:t xml:space="preserve">lacebo grupės pacientams jų neužfiksuota. DELIVER tyrimo metu DKA </w:t>
      </w:r>
      <w:r w:rsidR="00040E62">
        <w:t>pranešta</w:t>
      </w:r>
      <w:r w:rsidRPr="00130A96">
        <w:t xml:space="preserve"> 2 dapagliflozino grupės pacientams, sirgusiems 2</w:t>
      </w:r>
      <w:r w:rsidR="00873FCC">
        <w:t> tipo</w:t>
      </w:r>
      <w:r w:rsidRPr="00130A96">
        <w:t xml:space="preserve"> cukriniu diabetu (placebo grupėje DKA atvejų </w:t>
      </w:r>
      <w:r w:rsidR="00040E62">
        <w:t>nepranešta</w:t>
      </w:r>
      <w:r w:rsidRPr="00130A96">
        <w:t>).</w:t>
      </w:r>
    </w:p>
    <w:p w14:paraId="6D869219" w14:textId="77777777" w:rsidR="00C0147E" w:rsidRPr="00130A96" w:rsidRDefault="00C0147E" w:rsidP="00130A96">
      <w:pPr>
        <w:pStyle w:val="Pagrindinistekstas"/>
      </w:pPr>
    </w:p>
    <w:p w14:paraId="6D86921A" w14:textId="6ACA093B" w:rsidR="00C0147E" w:rsidRDefault="001175EF" w:rsidP="00130A96">
      <w:pPr>
        <w:pStyle w:val="Pagrindinistekstas"/>
      </w:pPr>
      <w:r w:rsidRPr="00130A96">
        <w:t xml:space="preserve">DAPA-CKD tyrimo metu DKA reiškinių </w:t>
      </w:r>
      <w:r w:rsidR="00040E62">
        <w:t>nepranešta</w:t>
      </w:r>
      <w:r w:rsidRPr="00130A96">
        <w:t xml:space="preserve"> nė vienam dapagliflozino grupės pacientui. 2 tokie reiškiniai </w:t>
      </w:r>
      <w:r w:rsidR="00566052">
        <w:t>pranešti</w:t>
      </w:r>
      <w:r w:rsidRPr="00130A96">
        <w:t xml:space="preserve"> 2</w:t>
      </w:r>
      <w:r w:rsidR="00873FCC">
        <w:t> tipo</w:t>
      </w:r>
      <w:r w:rsidRPr="00130A96">
        <w:t xml:space="preserve"> </w:t>
      </w:r>
      <w:r w:rsidR="00566052">
        <w:t xml:space="preserve">cukriniu </w:t>
      </w:r>
      <w:r w:rsidRPr="00130A96">
        <w:t>diabetu sirgusiems placebo grupės pacientams.</w:t>
      </w:r>
    </w:p>
    <w:p w14:paraId="5D444117" w14:textId="77777777" w:rsidR="00EC69B5" w:rsidRPr="00130A96" w:rsidRDefault="00EC69B5" w:rsidP="00130A96">
      <w:pPr>
        <w:pStyle w:val="Pagrindinistekstas"/>
      </w:pPr>
    </w:p>
    <w:p w14:paraId="6D86921B" w14:textId="77777777" w:rsidR="00C0147E" w:rsidRPr="00130A96" w:rsidRDefault="001175EF" w:rsidP="00130A96">
      <w:pPr>
        <w:rPr>
          <w:i/>
        </w:rPr>
      </w:pPr>
      <w:r w:rsidRPr="00130A96">
        <w:rPr>
          <w:i/>
          <w:u w:val="single"/>
        </w:rPr>
        <w:t>Šlapimo takų infekcijos</w:t>
      </w:r>
    </w:p>
    <w:p w14:paraId="2565F06C" w14:textId="63F19F3D" w:rsidR="00EE0923" w:rsidRPr="00EE0923" w:rsidRDefault="00EE0923" w:rsidP="00EE0923">
      <w:pPr>
        <w:pStyle w:val="Pagrindinistekstas"/>
      </w:pPr>
      <w:r w:rsidRPr="00EE0923">
        <w:t>Apibendrinus 13 tyrimų saugumo duomenis, nustatyta, kad pacientams, vartojusiems</w:t>
      </w:r>
      <w:r>
        <w:t xml:space="preserve"> </w:t>
      </w:r>
      <w:r w:rsidRPr="00EE0923">
        <w:t>10 mg dapagliflozino, šlapimo takų infekcijų pasireiškė dažniau negu vartojusiems placebo (jų dažnis buvo atitinkamai 4,7 % ir 3,5 %, žr. 4.4 skyrių). Dauguma šių infekcijų buvo lengvo ar vidutinio sunkumo</w:t>
      </w:r>
      <w:r w:rsidR="00623CC4">
        <w:t>,</w:t>
      </w:r>
      <w:r w:rsidRPr="00EE0923">
        <w:t xml:space="preserve"> </w:t>
      </w:r>
      <w:r w:rsidR="00572EAB">
        <w:t xml:space="preserve">jas patyrusiems asmenims </w:t>
      </w:r>
      <w:r w:rsidR="00F2714A">
        <w:t>buvo veiksmingas pradinis standartinis gydymo kursas</w:t>
      </w:r>
      <w:r w:rsidRPr="00EE0923">
        <w:t>,</w:t>
      </w:r>
      <w:r w:rsidR="006D1243">
        <w:t xml:space="preserve"> o</w:t>
      </w:r>
      <w:r w:rsidRPr="00EE0923">
        <w:t xml:space="preserve"> dapagliflozino vartojimą dėl jų tekdavo nutraukti retai. Tokių infekcijų dažniau pasireiškė moterims ir pacientams, kuriems anksčiau buvo pasireiškusi infekcija, buvo didesnė tikimybė, kad ji pasikartos.</w:t>
      </w:r>
    </w:p>
    <w:p w14:paraId="6D86921D" w14:textId="77777777" w:rsidR="00C0147E" w:rsidRPr="00130A96" w:rsidRDefault="00C0147E" w:rsidP="00130A96">
      <w:pPr>
        <w:pStyle w:val="Pagrindinistekstas"/>
      </w:pPr>
    </w:p>
    <w:p w14:paraId="6D86921E" w14:textId="29C99FB8" w:rsidR="00C0147E" w:rsidRPr="00130A96" w:rsidRDefault="001175EF" w:rsidP="00130A96">
      <w:pPr>
        <w:pStyle w:val="Pagrindinistekstas"/>
      </w:pPr>
      <w:r w:rsidRPr="00130A96">
        <w:t>DECLARE tyrimo metu sunkių šlapimo takų infekcijų reiškinių 10</w:t>
      </w:r>
      <w:r w:rsidR="00873FCC">
        <w:t> mg</w:t>
      </w:r>
      <w:r w:rsidRPr="00130A96">
        <w:t xml:space="preserve"> dapagliflozino vartojusiems pacientams pasireiškė rečiau negu vartojusiems placeb</w:t>
      </w:r>
      <w:r w:rsidR="006D1243">
        <w:t>o</w:t>
      </w:r>
      <w:r w:rsidRPr="00130A96">
        <w:t xml:space="preserve"> –</w:t>
      </w:r>
      <w:r w:rsidR="00AE3B38">
        <w:t xml:space="preserve"> </w:t>
      </w:r>
      <w:r w:rsidRPr="00130A96">
        <w:t>atitinkamai 79 (0,9</w:t>
      </w:r>
      <w:r w:rsidR="00873FCC">
        <w:t> %</w:t>
      </w:r>
      <w:r w:rsidRPr="00130A96">
        <w:t>) ir 109 (1,3</w:t>
      </w:r>
      <w:r w:rsidR="00873FCC">
        <w:t> %</w:t>
      </w:r>
      <w:r w:rsidRPr="00130A96">
        <w:t xml:space="preserve">) </w:t>
      </w:r>
      <w:r w:rsidR="00A856CE">
        <w:t>reiškiniai.</w:t>
      </w:r>
    </w:p>
    <w:p w14:paraId="6D86921F" w14:textId="77777777" w:rsidR="00C0147E" w:rsidRPr="00130A96" w:rsidRDefault="00C0147E" w:rsidP="00130A96">
      <w:pPr>
        <w:pStyle w:val="Pagrindinistekstas"/>
      </w:pPr>
    </w:p>
    <w:p w14:paraId="6D869221" w14:textId="79B66D5E" w:rsidR="00C0147E" w:rsidRDefault="001175EF" w:rsidP="00130A96">
      <w:pPr>
        <w:pStyle w:val="Pagrindinistekstas"/>
      </w:pPr>
      <w:r w:rsidRPr="00130A96">
        <w:t xml:space="preserve">DAPA-HF tyrimo metu </w:t>
      </w:r>
      <w:r w:rsidR="005E5056">
        <w:t xml:space="preserve">apie </w:t>
      </w:r>
      <w:r w:rsidRPr="00130A96">
        <w:t>šlapimo takų infekcij</w:t>
      </w:r>
      <w:r w:rsidR="008B044A">
        <w:t>a</w:t>
      </w:r>
      <w:r w:rsidRPr="00130A96">
        <w:t xml:space="preserve"> kaip sunk</w:t>
      </w:r>
      <w:r w:rsidR="008B044A">
        <w:t>us</w:t>
      </w:r>
      <w:r w:rsidRPr="00130A96">
        <w:t xml:space="preserve"> nepageidaujam</w:t>
      </w:r>
      <w:r w:rsidR="008B044A">
        <w:t>as</w:t>
      </w:r>
      <w:r w:rsidRPr="00130A96">
        <w:t xml:space="preserve"> reiškin</w:t>
      </w:r>
      <w:r w:rsidR="008B044A">
        <w:t>ys</w:t>
      </w:r>
      <w:r w:rsidRPr="00130A96">
        <w:t xml:space="preserve"> </w:t>
      </w:r>
      <w:r w:rsidR="005E5056">
        <w:t>pranešta</w:t>
      </w:r>
      <w:r w:rsidRPr="00130A96">
        <w:t xml:space="preserve"> 14 (0,6</w:t>
      </w:r>
      <w:r w:rsidR="00873FCC">
        <w:t> %</w:t>
      </w:r>
      <w:r w:rsidRPr="00130A96">
        <w:t>) dapagliflozino ir 17 (0,7</w:t>
      </w:r>
      <w:r w:rsidR="00873FCC">
        <w:t> %</w:t>
      </w:r>
      <w:r w:rsidRPr="00130A96">
        <w:t>) placebo grupės pacientų. Dėl šlapimo takų infekcij</w:t>
      </w:r>
      <w:r w:rsidR="005E5056">
        <w:t>os</w:t>
      </w:r>
      <w:r w:rsidRPr="00130A96">
        <w:t xml:space="preserve"> kaip</w:t>
      </w:r>
      <w:r w:rsidR="00EC69B5">
        <w:t xml:space="preserve"> </w:t>
      </w:r>
      <w:r w:rsidRPr="00130A96">
        <w:t>nepageidaujam</w:t>
      </w:r>
      <w:r w:rsidR="005E5056">
        <w:t>o</w:t>
      </w:r>
      <w:r w:rsidRPr="00130A96">
        <w:t xml:space="preserve"> reiškini</w:t>
      </w:r>
      <w:r w:rsidR="005E5056">
        <w:t>o</w:t>
      </w:r>
      <w:r w:rsidRPr="00130A96">
        <w:t xml:space="preserve"> gydymą nutraukė po 5 (0,2</w:t>
      </w:r>
      <w:r w:rsidR="00873FCC">
        <w:t> %</w:t>
      </w:r>
      <w:r w:rsidRPr="00130A96">
        <w:t>) dapagliflozino ir placebo grupių pacient</w:t>
      </w:r>
      <w:r w:rsidR="006B0AA6">
        <w:t>ai</w:t>
      </w:r>
      <w:r w:rsidRPr="00130A96">
        <w:t>. DELIVER tyrimo metu</w:t>
      </w:r>
      <w:r w:rsidR="00F91563">
        <w:t xml:space="preserve">, apie </w:t>
      </w:r>
      <w:r w:rsidRPr="00130A96">
        <w:t>šlapimo takų infekcij</w:t>
      </w:r>
      <w:r w:rsidR="00F91563">
        <w:t>ą</w:t>
      </w:r>
      <w:r w:rsidRPr="00130A96">
        <w:t xml:space="preserve"> kaip sunk</w:t>
      </w:r>
      <w:r w:rsidR="00F91563">
        <w:t>ų</w:t>
      </w:r>
      <w:r w:rsidRPr="00130A96">
        <w:t xml:space="preserve"> nepageidaujam</w:t>
      </w:r>
      <w:r w:rsidR="00F91563">
        <w:t>ą</w:t>
      </w:r>
      <w:r w:rsidRPr="00130A96">
        <w:t xml:space="preserve"> reiškin</w:t>
      </w:r>
      <w:r w:rsidR="00F91563">
        <w:t>į</w:t>
      </w:r>
      <w:r w:rsidRPr="00130A96">
        <w:t xml:space="preserve"> </w:t>
      </w:r>
      <w:r w:rsidR="00F91563">
        <w:t>pranešta</w:t>
      </w:r>
      <w:r w:rsidRPr="00130A96">
        <w:t xml:space="preserve"> 41 dapagliflozino grupės pacientui (1,3</w:t>
      </w:r>
      <w:r w:rsidR="00873FCC">
        <w:t> %</w:t>
      </w:r>
      <w:r w:rsidRPr="00130A96">
        <w:t>) ir 37 placebo grupės pacientams (1,2</w:t>
      </w:r>
      <w:r w:rsidR="00873FCC">
        <w:t> %</w:t>
      </w:r>
      <w:r w:rsidRPr="00130A96">
        <w:t>). Dėl šlapimo takų infekcij</w:t>
      </w:r>
      <w:r w:rsidR="00F91563">
        <w:t>os</w:t>
      </w:r>
      <w:r w:rsidRPr="00130A96">
        <w:t xml:space="preserve"> kaip nepageidaujam</w:t>
      </w:r>
      <w:r w:rsidR="00F91563">
        <w:t>o</w:t>
      </w:r>
      <w:r w:rsidRPr="00130A96">
        <w:t xml:space="preserve"> reiškini</w:t>
      </w:r>
      <w:r w:rsidR="00F91563">
        <w:t>o</w:t>
      </w:r>
      <w:r w:rsidRPr="00130A96">
        <w:t xml:space="preserve"> dapagliflozino vartojimą nutraukė 13 pacientų (0,4</w:t>
      </w:r>
      <w:r w:rsidR="00873FCC">
        <w:t> %</w:t>
      </w:r>
      <w:r w:rsidRPr="00130A96">
        <w:t xml:space="preserve">), o </w:t>
      </w:r>
      <w:r w:rsidRPr="00130A96">
        <w:lastRenderedPageBreak/>
        <w:t>placebo – 9 (0,3</w:t>
      </w:r>
      <w:r w:rsidR="00873FCC">
        <w:t> %</w:t>
      </w:r>
      <w:r w:rsidRPr="00130A96">
        <w:t>).</w:t>
      </w:r>
    </w:p>
    <w:p w14:paraId="6169A81A" w14:textId="77777777" w:rsidR="00EC69B5" w:rsidRPr="00130A96" w:rsidRDefault="00EC69B5" w:rsidP="00130A96">
      <w:pPr>
        <w:pStyle w:val="Pagrindinistekstas"/>
      </w:pPr>
    </w:p>
    <w:p w14:paraId="6D869224" w14:textId="748CA101" w:rsidR="00C0147E" w:rsidRPr="00130A96" w:rsidRDefault="001175EF" w:rsidP="00130A96">
      <w:pPr>
        <w:pStyle w:val="Pagrindinistekstas"/>
      </w:pPr>
      <w:r w:rsidRPr="00130A96">
        <w:t>DAPA-CKD tyrimo metu</w:t>
      </w:r>
      <w:r w:rsidR="00A4406D">
        <w:t>, apie</w:t>
      </w:r>
      <w:r w:rsidRPr="00130A96">
        <w:t xml:space="preserve"> šlapimo takų infekcij</w:t>
      </w:r>
      <w:r w:rsidR="00A4406D">
        <w:t>ą</w:t>
      </w:r>
      <w:r w:rsidRPr="00130A96">
        <w:t xml:space="preserve"> kaip sunk</w:t>
      </w:r>
      <w:r w:rsidR="00A4406D">
        <w:t>ų</w:t>
      </w:r>
      <w:r w:rsidRPr="00130A96">
        <w:t xml:space="preserve"> nepageidaujam</w:t>
      </w:r>
      <w:r w:rsidR="00A4406D">
        <w:t>ą</w:t>
      </w:r>
      <w:r w:rsidRPr="00130A96">
        <w:t xml:space="preserve"> reiškin</w:t>
      </w:r>
      <w:r w:rsidR="00A4406D">
        <w:t>į</w:t>
      </w:r>
      <w:r w:rsidRPr="00130A96">
        <w:t xml:space="preserve"> </w:t>
      </w:r>
      <w:r w:rsidR="00A4406D">
        <w:t>pranešta</w:t>
      </w:r>
      <w:r w:rsidRPr="00130A96">
        <w:t xml:space="preserve"> 29 (1,3</w:t>
      </w:r>
      <w:r w:rsidR="00873FCC">
        <w:t> %</w:t>
      </w:r>
      <w:r w:rsidRPr="00130A96">
        <w:t>) dapagliflozino ir 18 (0,8</w:t>
      </w:r>
      <w:r w:rsidR="00873FCC">
        <w:t> %</w:t>
      </w:r>
      <w:r w:rsidRPr="00130A96">
        <w:t>) placebo grupės pacientų. Dėl šlapimo takų infekcij</w:t>
      </w:r>
      <w:r w:rsidR="00A4406D">
        <w:t>os</w:t>
      </w:r>
      <w:r w:rsidRPr="00130A96">
        <w:t xml:space="preserve"> kaip</w:t>
      </w:r>
      <w:r w:rsidR="00EC69B5">
        <w:t xml:space="preserve"> </w:t>
      </w:r>
      <w:r w:rsidRPr="00130A96">
        <w:t>nepageidaujam</w:t>
      </w:r>
      <w:r w:rsidR="00A4406D">
        <w:t>o</w:t>
      </w:r>
      <w:r w:rsidRPr="00130A96">
        <w:t xml:space="preserve"> reiškini</w:t>
      </w:r>
      <w:r w:rsidR="00A4406D">
        <w:t>o</w:t>
      </w:r>
      <w:r w:rsidRPr="00130A96">
        <w:t xml:space="preserve"> gydymą nutraukė 8 (0,4</w:t>
      </w:r>
      <w:r w:rsidR="00873FCC">
        <w:t> %</w:t>
      </w:r>
      <w:r w:rsidRPr="00130A96">
        <w:t>) dapagliflozino ir 3 (0,1</w:t>
      </w:r>
      <w:r w:rsidR="00873FCC">
        <w:t> %</w:t>
      </w:r>
      <w:r w:rsidRPr="00130A96">
        <w:t>) placebo grupės pacientai. Diabetu nesirgusių pacientų, kuriems pasireiškė šlapimo takų infekcij</w:t>
      </w:r>
      <w:r w:rsidR="004060DF">
        <w:t>a</w:t>
      </w:r>
      <w:r w:rsidRPr="00130A96">
        <w:t xml:space="preserve"> kaip sunk</w:t>
      </w:r>
      <w:r w:rsidR="004060DF">
        <w:t xml:space="preserve">us </w:t>
      </w:r>
      <w:r w:rsidRPr="00130A96">
        <w:t>nepageidaujam</w:t>
      </w:r>
      <w:r w:rsidR="004060DF">
        <w:t>as</w:t>
      </w:r>
      <w:r w:rsidRPr="00130A96">
        <w:t xml:space="preserve"> reiškin</w:t>
      </w:r>
      <w:r w:rsidR="004060DF">
        <w:t>ys</w:t>
      </w:r>
      <w:r w:rsidRPr="00130A96">
        <w:t xml:space="preserve"> ar sunkių nepageidaujamų reiškinių, dėl kurių teko nutraukti tiriamojo vaistinio preparato vartojimą, abejose grupėse buvo panašiai – sunkių nepageidaujamų reiškinių patyrė atitinkamai 6 (0,9</w:t>
      </w:r>
      <w:r w:rsidR="00873FCC">
        <w:t> %</w:t>
      </w:r>
      <w:r w:rsidRPr="00130A96">
        <w:t>) ir 4 (0,6</w:t>
      </w:r>
      <w:r w:rsidR="00873FCC">
        <w:t> %</w:t>
      </w:r>
      <w:r w:rsidRPr="00130A96">
        <w:t>), o nepageidaujamų reiškinių, dėl kurių teko nutraukti tiriamojo vaistinio preparato vartojimą, – atitinkamai 1 (0,1</w:t>
      </w:r>
      <w:r w:rsidR="00873FCC">
        <w:t> %</w:t>
      </w:r>
      <w:r w:rsidRPr="00130A96">
        <w:t>) ir 0 dapagliflozino ir placebo grupių pacientų.</w:t>
      </w:r>
    </w:p>
    <w:p w14:paraId="6D869225" w14:textId="77777777" w:rsidR="00C0147E" w:rsidRPr="00130A96" w:rsidRDefault="00C0147E" w:rsidP="00130A96">
      <w:pPr>
        <w:pStyle w:val="Pagrindinistekstas"/>
      </w:pPr>
    </w:p>
    <w:p w14:paraId="6D869226" w14:textId="77777777" w:rsidR="00C0147E" w:rsidRPr="002027B5" w:rsidRDefault="001175EF" w:rsidP="00130A96">
      <w:pPr>
        <w:rPr>
          <w:i/>
        </w:rPr>
      </w:pPr>
      <w:r w:rsidRPr="002027B5">
        <w:rPr>
          <w:i/>
          <w:u w:val="single"/>
        </w:rPr>
        <w:t>Kreatinino koncentracijos padidėjimas</w:t>
      </w:r>
    </w:p>
    <w:p w14:paraId="75D41662" w14:textId="77777777" w:rsidR="002027B5" w:rsidRPr="002027B5" w:rsidRDefault="001175EF" w:rsidP="002027B5">
      <w:pPr>
        <w:pStyle w:val="Pagrindinistekstas"/>
      </w:pPr>
      <w:r w:rsidRPr="002027B5">
        <w:t xml:space="preserve">Nepageidaujamos reakcijos, susijusios su kreatinino koncentracijos padidėjimu (pvz., sumažėjęs kreatinino inkstų klirensas, </w:t>
      </w:r>
      <w:r w:rsidR="00E83992" w:rsidRPr="002027B5">
        <w:t>inkstų funkcijos sutikimas</w:t>
      </w:r>
      <w:r w:rsidRPr="002027B5">
        <w:t xml:space="preserve">, </w:t>
      </w:r>
      <w:r w:rsidR="000E1507" w:rsidRPr="002027B5">
        <w:t xml:space="preserve">padidėjusi kreatinino koncentracija kraujyje ir sumažėjęs </w:t>
      </w:r>
      <w:proofErr w:type="spellStart"/>
      <w:r w:rsidR="000E1507" w:rsidRPr="002027B5">
        <w:t>glomerulų</w:t>
      </w:r>
      <w:proofErr w:type="spellEnd"/>
      <w:r w:rsidR="000E1507" w:rsidRPr="002027B5">
        <w:t xml:space="preserve"> filtracijos greitis), buvo sugrupuotos</w:t>
      </w:r>
      <w:r w:rsidRPr="002027B5">
        <w:t xml:space="preserve">. </w:t>
      </w:r>
      <w:r w:rsidR="002027B5" w:rsidRPr="002027B5">
        <w:t xml:space="preserve">Apibendrinus 13 tyrimų saugumo duomenis, nustatyta, kad šios grupės reakcijų pasireiškė 3,2 % 10 mg dapagliflozino ir 1,8 % placebo vartojusių pacientų. Atitinkamai jų patyrė 1,3 % 10 mg dapagliflozino ir 0,8 % placebo vartojusių pacientų, kurių inkstų funkcija buvo normali arba kuriems buvo lengvas inkstų funkcijos sutrikimas (pradinis </w:t>
      </w:r>
      <w:proofErr w:type="spellStart"/>
      <w:r w:rsidR="002027B5" w:rsidRPr="002027B5">
        <w:t>aGFG</w:t>
      </w:r>
      <w:proofErr w:type="spellEnd"/>
      <w:r w:rsidR="002027B5" w:rsidRPr="002027B5">
        <w:t xml:space="preserve"> ≥ 60 ml/min./1,73 m</w:t>
      </w:r>
      <w:r w:rsidR="002027B5" w:rsidRPr="002027B5">
        <w:rPr>
          <w:vertAlign w:val="superscript"/>
        </w:rPr>
        <w:t>2</w:t>
      </w:r>
      <w:r w:rsidR="002027B5" w:rsidRPr="002027B5">
        <w:t xml:space="preserve">). Šios reakcijos buvo dažnesnės (18,5 % vartojusių 10 mg dapagliflozino ir 9,3 % vartojusių placebo) pacientams, kurių pradinis </w:t>
      </w:r>
      <w:proofErr w:type="spellStart"/>
      <w:r w:rsidR="002027B5" w:rsidRPr="002027B5">
        <w:t>aGFG</w:t>
      </w:r>
      <w:proofErr w:type="spellEnd"/>
      <w:r w:rsidR="002027B5" w:rsidRPr="002027B5">
        <w:t xml:space="preserve"> buvo nuo ≥ 30 iki &lt; 60 ml/min./1,73 m</w:t>
      </w:r>
      <w:r w:rsidR="002027B5" w:rsidRPr="002027B5">
        <w:rPr>
          <w:vertAlign w:val="superscript"/>
        </w:rPr>
        <w:t>2</w:t>
      </w:r>
      <w:r w:rsidR="002027B5" w:rsidRPr="002027B5">
        <w:t>.</w:t>
      </w:r>
    </w:p>
    <w:p w14:paraId="6D86922A" w14:textId="77777777" w:rsidR="00C0147E" w:rsidRPr="00130A96" w:rsidRDefault="00C0147E" w:rsidP="00130A96">
      <w:pPr>
        <w:pStyle w:val="Pagrindinistekstas"/>
      </w:pPr>
    </w:p>
    <w:p w14:paraId="6D86922B" w14:textId="64373418" w:rsidR="00C0147E" w:rsidRPr="00130A96" w:rsidRDefault="001175EF" w:rsidP="00130A96">
      <w:pPr>
        <w:pStyle w:val="Pagrindinistekstas"/>
      </w:pPr>
      <w:r w:rsidRPr="00130A96">
        <w:t>Tolesnis su inkstais susijusių nepageidaujamų reiškinių patyrusių pacientų vertinimas parodė, kad kreatinino koncentracijos serume, palyginus su pradine, pokytis daugumai neviršijo 44</w:t>
      </w:r>
      <w:r w:rsidR="00611CA5">
        <w:t> </w:t>
      </w:r>
      <w:r w:rsidR="008A480F">
        <w:rPr>
          <w:szCs w:val="23"/>
        </w:rPr>
        <w:t>µ</w:t>
      </w:r>
      <w:proofErr w:type="spellStart"/>
      <w:r w:rsidR="008A480F">
        <w:rPr>
          <w:szCs w:val="23"/>
        </w:rPr>
        <w:t>mol</w:t>
      </w:r>
      <w:proofErr w:type="spellEnd"/>
      <w:r w:rsidR="008A480F">
        <w:rPr>
          <w:szCs w:val="23"/>
        </w:rPr>
        <w:t>/l</w:t>
      </w:r>
      <w:r w:rsidRPr="00130A96">
        <w:t xml:space="preserve"> (</w:t>
      </w:r>
      <w:r w:rsidR="00F70382">
        <w:t>≤ </w:t>
      </w:r>
      <w:r w:rsidRPr="00130A96">
        <w:t>0,5</w:t>
      </w:r>
      <w:r w:rsidR="00873FCC">
        <w:t> mg</w:t>
      </w:r>
      <w:r w:rsidRPr="00130A96">
        <w:t xml:space="preserve">/dl). Kreatinino </w:t>
      </w:r>
      <w:r w:rsidR="00F70382">
        <w:t>koncentracijos padidėjimas</w:t>
      </w:r>
      <w:r w:rsidRPr="00130A96">
        <w:t xml:space="preserve"> nepertraukiamo gydymo metu dažniausiai </w:t>
      </w:r>
      <w:r w:rsidR="00F70382">
        <w:t>buvo</w:t>
      </w:r>
      <w:r w:rsidRPr="00130A96">
        <w:t xml:space="preserve"> trumpalaikis arba </w:t>
      </w:r>
      <w:r w:rsidR="00F70382">
        <w:t>išnykdavo</w:t>
      </w:r>
      <w:r w:rsidRPr="00130A96">
        <w:t xml:space="preserve"> nutraukus</w:t>
      </w:r>
      <w:r w:rsidR="00F70382">
        <w:t xml:space="preserve"> gydymą</w:t>
      </w:r>
      <w:r w:rsidRPr="00130A96">
        <w:t>.</w:t>
      </w:r>
    </w:p>
    <w:p w14:paraId="6D86922C" w14:textId="77777777" w:rsidR="00C0147E" w:rsidRPr="00130A96" w:rsidRDefault="00C0147E" w:rsidP="00130A96">
      <w:pPr>
        <w:pStyle w:val="Pagrindinistekstas"/>
      </w:pPr>
    </w:p>
    <w:p w14:paraId="6D86922E" w14:textId="34D67A26" w:rsidR="00C0147E" w:rsidRPr="00130A96" w:rsidRDefault="001175EF" w:rsidP="00130A96">
      <w:pPr>
        <w:pStyle w:val="Pagrindinistekstas"/>
      </w:pPr>
      <w:r w:rsidRPr="00130A96">
        <w:t xml:space="preserve">DECLARE tyrimo, kuriame dalyvavo senyvi ir </w:t>
      </w:r>
      <w:r w:rsidR="00F70382">
        <w:t xml:space="preserve">pacientai, kuriems buvo </w:t>
      </w:r>
      <w:r w:rsidR="000648F4">
        <w:t xml:space="preserve">inkstų funkcijos sutrikimas </w:t>
      </w:r>
      <w:r w:rsidRPr="00130A96">
        <w:t>(</w:t>
      </w:r>
      <w:proofErr w:type="spellStart"/>
      <w:r w:rsidRPr="00130A96">
        <w:t>aGFG</w:t>
      </w:r>
      <w:proofErr w:type="spellEnd"/>
      <w:r w:rsidR="00EC69B5">
        <w:t xml:space="preserve"> </w:t>
      </w:r>
      <w:r w:rsidR="00873FCC">
        <w:t>&lt; </w:t>
      </w:r>
      <w:r w:rsidRPr="00130A96">
        <w:t>60</w:t>
      </w:r>
      <w:r w:rsidR="00873FCC">
        <w:t> ml/</w:t>
      </w:r>
      <w:r w:rsidRPr="00130A96">
        <w:t>min./1,73 m</w:t>
      </w:r>
      <w:r w:rsidRPr="00130A96">
        <w:rPr>
          <w:vertAlign w:val="superscript"/>
        </w:rPr>
        <w:t>2</w:t>
      </w:r>
      <w:r w:rsidRPr="00130A96">
        <w:t>), metu</w:t>
      </w:r>
      <w:r w:rsidR="00D14499">
        <w:t>,</w:t>
      </w:r>
      <w:r w:rsidRPr="00130A96">
        <w:t xml:space="preserve"> </w:t>
      </w:r>
      <w:r w:rsidR="00D14499">
        <w:t>eigoje</w:t>
      </w:r>
      <w:r w:rsidRPr="00130A96">
        <w:t xml:space="preserve"> </w:t>
      </w:r>
      <w:proofErr w:type="spellStart"/>
      <w:r w:rsidRPr="00130A96">
        <w:t>aGFG</w:t>
      </w:r>
      <w:proofErr w:type="spellEnd"/>
      <w:r w:rsidRPr="00130A96">
        <w:t xml:space="preserve"> mažėjo abejose grupėse. Dapagliflozino grupės pacientų vidutinis </w:t>
      </w:r>
      <w:proofErr w:type="spellStart"/>
      <w:r w:rsidRPr="00130A96">
        <w:t>aGFG</w:t>
      </w:r>
      <w:proofErr w:type="spellEnd"/>
      <w:r w:rsidRPr="00130A96">
        <w:t xml:space="preserve"> po 1</w:t>
      </w:r>
      <w:r w:rsidR="000648F4">
        <w:t> </w:t>
      </w:r>
      <w:r w:rsidRPr="00130A96">
        <w:t>metų buvo šiek tiek mažesnis, o po 4</w:t>
      </w:r>
      <w:r w:rsidR="000648F4">
        <w:t> </w:t>
      </w:r>
      <w:r w:rsidRPr="00130A96">
        <w:t>metų – šiek tiek didesnis negu placebo.</w:t>
      </w:r>
    </w:p>
    <w:p w14:paraId="6D86922F" w14:textId="77777777" w:rsidR="00C0147E" w:rsidRPr="00130A96" w:rsidRDefault="00C0147E" w:rsidP="00130A96">
      <w:pPr>
        <w:pStyle w:val="Pagrindinistekstas"/>
      </w:pPr>
    </w:p>
    <w:p w14:paraId="6D869230" w14:textId="2D6D2953" w:rsidR="00C0147E" w:rsidRPr="00130A96" w:rsidRDefault="001175EF" w:rsidP="00130A96">
      <w:pPr>
        <w:pStyle w:val="Pagrindinistekstas"/>
      </w:pPr>
      <w:r w:rsidRPr="00130A96">
        <w:t>DAPA</w:t>
      </w:r>
      <w:r w:rsidR="003C49B3">
        <w:noBreakHyphen/>
      </w:r>
      <w:r w:rsidRPr="00130A96">
        <w:t xml:space="preserve">HF ir DELIVER tyrimų metu dapagliflozino ir placebo grupių pacientų </w:t>
      </w:r>
      <w:proofErr w:type="spellStart"/>
      <w:r w:rsidRPr="00130A96">
        <w:t>aGFG</w:t>
      </w:r>
      <w:proofErr w:type="spellEnd"/>
      <w:r w:rsidRPr="00130A96">
        <w:t xml:space="preserve"> ilgainiui mažėjo. DAPA</w:t>
      </w:r>
      <w:r w:rsidR="003949D0">
        <w:noBreakHyphen/>
      </w:r>
      <w:r w:rsidRPr="00130A96">
        <w:t xml:space="preserve">HF tyrimo metu vidutinis </w:t>
      </w:r>
      <w:proofErr w:type="spellStart"/>
      <w:r w:rsidRPr="00130A96">
        <w:t>aGFG</w:t>
      </w:r>
      <w:proofErr w:type="spellEnd"/>
      <w:r w:rsidRPr="00130A96">
        <w:t xml:space="preserve"> iš pradžių sumažėjo 4,3</w:t>
      </w:r>
      <w:r w:rsidR="00873FCC">
        <w:t> ml/</w:t>
      </w:r>
      <w:r w:rsidRPr="00130A96">
        <w:t>min./1,73 m</w:t>
      </w:r>
      <w:r w:rsidRPr="00130A96">
        <w:rPr>
          <w:vertAlign w:val="superscript"/>
        </w:rPr>
        <w:t>2</w:t>
      </w:r>
      <w:r w:rsidRPr="00130A96">
        <w:t xml:space="preserve"> dapagliflozino ir 1,1</w:t>
      </w:r>
      <w:r w:rsidR="00873FCC">
        <w:t> ml/</w:t>
      </w:r>
      <w:r w:rsidRPr="00130A96">
        <w:t>min./1,73 m</w:t>
      </w:r>
      <w:r w:rsidRPr="00130A96">
        <w:rPr>
          <w:vertAlign w:val="superscript"/>
        </w:rPr>
        <w:t>2</w:t>
      </w:r>
      <w:r w:rsidRPr="00130A96">
        <w:t xml:space="preserve"> – placebo grupės pacientams. Po 20</w:t>
      </w:r>
      <w:r w:rsidR="001E7020">
        <w:t> </w:t>
      </w:r>
      <w:r w:rsidRPr="00130A96">
        <w:t xml:space="preserve">mėn. </w:t>
      </w:r>
      <w:proofErr w:type="spellStart"/>
      <w:r w:rsidRPr="00130A96">
        <w:t>aGFG</w:t>
      </w:r>
      <w:proofErr w:type="spellEnd"/>
      <w:r w:rsidRPr="00130A96">
        <w:t>, palyginus su pradiniu, sumažėjimas abejų grupių pacientams buvo panašus (5,3</w:t>
      </w:r>
      <w:r w:rsidR="00873FCC">
        <w:t> ml/</w:t>
      </w:r>
      <w:r w:rsidRPr="00130A96">
        <w:t>min./1,73 m</w:t>
      </w:r>
      <w:r w:rsidRPr="00130A96">
        <w:rPr>
          <w:vertAlign w:val="superscript"/>
        </w:rPr>
        <w:t>2</w:t>
      </w:r>
      <w:r w:rsidRPr="00130A96">
        <w:t xml:space="preserve"> – dapagliflozino ir 4,5</w:t>
      </w:r>
      <w:r w:rsidR="00873FCC">
        <w:t> ml/</w:t>
      </w:r>
      <w:r w:rsidRPr="00130A96">
        <w:t>min./1,73 m</w:t>
      </w:r>
      <w:r w:rsidRPr="00130A96">
        <w:rPr>
          <w:vertAlign w:val="superscript"/>
        </w:rPr>
        <w:t>2</w:t>
      </w:r>
      <w:r w:rsidRPr="00130A96">
        <w:t xml:space="preserve"> – placebo). Praėjus pirmajam DELIVER tyrimo mėnesiui, dapagliflozino grupės pacientams vidutinis </w:t>
      </w:r>
      <w:proofErr w:type="spellStart"/>
      <w:r w:rsidRPr="00130A96">
        <w:t>aGFR</w:t>
      </w:r>
      <w:proofErr w:type="spellEnd"/>
      <w:r w:rsidRPr="00130A96">
        <w:t xml:space="preserve"> buvo sumažėjęs 3,7</w:t>
      </w:r>
      <w:r w:rsidR="00873FCC">
        <w:t> ml/</w:t>
      </w:r>
      <w:r w:rsidRPr="00130A96">
        <w:t>min/1,73 m</w:t>
      </w:r>
      <w:r w:rsidRPr="00130A96">
        <w:rPr>
          <w:vertAlign w:val="superscript"/>
        </w:rPr>
        <w:t>2</w:t>
      </w:r>
      <w:r w:rsidRPr="00130A96">
        <w:t>, o placebo – 0,4</w:t>
      </w:r>
      <w:r w:rsidR="00873FCC">
        <w:t> ml/</w:t>
      </w:r>
      <w:r w:rsidRPr="00130A96">
        <w:t>min/1,73 m</w:t>
      </w:r>
      <w:r w:rsidRPr="00130A96">
        <w:rPr>
          <w:vertAlign w:val="superscript"/>
        </w:rPr>
        <w:t>2</w:t>
      </w:r>
      <w:r w:rsidRPr="00130A96">
        <w:t>. Po 24</w:t>
      </w:r>
      <w:r w:rsidR="0021760A">
        <w:t> </w:t>
      </w:r>
      <w:r w:rsidRPr="00130A96">
        <w:t xml:space="preserve">mėnesių </w:t>
      </w:r>
      <w:proofErr w:type="spellStart"/>
      <w:r w:rsidRPr="00130A96">
        <w:t>aGFG</w:t>
      </w:r>
      <w:proofErr w:type="spellEnd"/>
      <w:r w:rsidRPr="00130A96">
        <w:t xml:space="preserve">, palyginus su pradiniu, pokytis buvo panašus: dapagliflozino grupės pacientams </w:t>
      </w:r>
      <w:proofErr w:type="spellStart"/>
      <w:r w:rsidRPr="00130A96">
        <w:t>aGFG</w:t>
      </w:r>
      <w:proofErr w:type="spellEnd"/>
      <w:r w:rsidRPr="00130A96">
        <w:t xml:space="preserve"> buvo sumažėjęs 4,2</w:t>
      </w:r>
      <w:r w:rsidR="00873FCC">
        <w:t> ml/</w:t>
      </w:r>
      <w:r w:rsidRPr="00130A96">
        <w:t>min/1,73 m</w:t>
      </w:r>
      <w:r w:rsidRPr="00130A96">
        <w:rPr>
          <w:vertAlign w:val="superscript"/>
        </w:rPr>
        <w:t>2</w:t>
      </w:r>
      <w:r w:rsidRPr="00130A96">
        <w:t>, o placebo – 3,2</w:t>
      </w:r>
      <w:r w:rsidR="00873FCC">
        <w:t> ml/</w:t>
      </w:r>
      <w:r w:rsidRPr="00130A96">
        <w:t>min/1,73 m</w:t>
      </w:r>
      <w:r w:rsidRPr="00130A96">
        <w:rPr>
          <w:vertAlign w:val="superscript"/>
        </w:rPr>
        <w:t>2</w:t>
      </w:r>
      <w:r w:rsidRPr="00130A96">
        <w:t>.</w:t>
      </w:r>
    </w:p>
    <w:p w14:paraId="6D869231" w14:textId="77777777" w:rsidR="00C0147E" w:rsidRPr="00130A96" w:rsidRDefault="00C0147E" w:rsidP="00130A96">
      <w:pPr>
        <w:pStyle w:val="Pagrindinistekstas"/>
      </w:pPr>
    </w:p>
    <w:p w14:paraId="509BC39B" w14:textId="0AD1B4FC" w:rsidR="00EC69B5" w:rsidRDefault="001175EF" w:rsidP="00130A96">
      <w:pPr>
        <w:pStyle w:val="Pagrindinistekstas"/>
      </w:pPr>
      <w:r w:rsidRPr="00130A96">
        <w:t>DAPA</w:t>
      </w:r>
      <w:r w:rsidR="00AD6A44">
        <w:noBreakHyphen/>
      </w:r>
      <w:r w:rsidRPr="00130A96">
        <w:t xml:space="preserve">CKD tyrimo metu dapagliflozino ir placebo grupių pacientų </w:t>
      </w:r>
      <w:proofErr w:type="spellStart"/>
      <w:r w:rsidRPr="00130A96">
        <w:t>aGFG</w:t>
      </w:r>
      <w:proofErr w:type="spellEnd"/>
      <w:r w:rsidRPr="00130A96">
        <w:t xml:space="preserve"> ilgainiui mažėjo. Pradinis (po 14</w:t>
      </w:r>
      <w:r w:rsidR="00AD6A44">
        <w:t> </w:t>
      </w:r>
      <w:r w:rsidRPr="00130A96">
        <w:t xml:space="preserve">dienų) vidutinio </w:t>
      </w:r>
      <w:proofErr w:type="spellStart"/>
      <w:r w:rsidRPr="00130A96">
        <w:t>aGFG</w:t>
      </w:r>
      <w:proofErr w:type="spellEnd"/>
      <w:r w:rsidRPr="00130A96">
        <w:t xml:space="preserve"> sumažėjimas buvo 4</w:t>
      </w:r>
      <w:r w:rsidR="00326AE2">
        <w:t>,0</w:t>
      </w:r>
      <w:r w:rsidR="00873FCC">
        <w:t> ml/</w:t>
      </w:r>
      <w:r w:rsidRPr="00130A96">
        <w:t>min./1,73 m</w:t>
      </w:r>
      <w:r w:rsidRPr="00130A96">
        <w:rPr>
          <w:vertAlign w:val="superscript"/>
        </w:rPr>
        <w:t>2</w:t>
      </w:r>
      <w:r w:rsidRPr="00130A96">
        <w:t xml:space="preserve"> dapagliflozino ir</w:t>
      </w:r>
      <w:r w:rsidR="00EC69B5">
        <w:t xml:space="preserve"> </w:t>
      </w:r>
      <w:r w:rsidRPr="00130A96">
        <w:t>0,8</w:t>
      </w:r>
      <w:r w:rsidR="00873FCC">
        <w:t> ml/</w:t>
      </w:r>
      <w:r w:rsidRPr="00130A96">
        <w:t>min./1,73 m</w:t>
      </w:r>
      <w:r w:rsidRPr="00130A96">
        <w:rPr>
          <w:vertAlign w:val="superscript"/>
        </w:rPr>
        <w:t>2</w:t>
      </w:r>
      <w:r w:rsidRPr="00130A96">
        <w:t xml:space="preserve"> – placebo grupės pacientams. Po 28</w:t>
      </w:r>
      <w:r w:rsidR="00935547">
        <w:t> </w:t>
      </w:r>
      <w:r w:rsidRPr="00130A96">
        <w:t xml:space="preserve">mėn. </w:t>
      </w:r>
      <w:proofErr w:type="spellStart"/>
      <w:r w:rsidRPr="00130A96">
        <w:t>aGFG</w:t>
      </w:r>
      <w:proofErr w:type="spellEnd"/>
      <w:r w:rsidRPr="00130A96">
        <w:t>, palyginus su pradiniu, sumažėjimas dapagliflozino grupės pacientams buvo 7,4</w:t>
      </w:r>
      <w:r w:rsidR="00873FCC">
        <w:t> ml/</w:t>
      </w:r>
      <w:r w:rsidRPr="00130A96">
        <w:t>min./1,73 m</w:t>
      </w:r>
      <w:r w:rsidRPr="00130A96">
        <w:rPr>
          <w:vertAlign w:val="superscript"/>
        </w:rPr>
        <w:t>2</w:t>
      </w:r>
      <w:r w:rsidRPr="00130A96">
        <w:t xml:space="preserve">, placebo </w:t>
      </w:r>
      <w:r w:rsidR="00326AE2">
        <w:br/>
      </w:r>
      <w:r w:rsidRPr="00130A96">
        <w:t>–</w:t>
      </w:r>
      <w:r w:rsidR="00EC69B5">
        <w:t xml:space="preserve"> </w:t>
      </w:r>
      <w:r w:rsidRPr="00130A96">
        <w:t>8,6</w:t>
      </w:r>
      <w:r w:rsidR="00873FCC">
        <w:t> ml/</w:t>
      </w:r>
      <w:r w:rsidRPr="00130A96">
        <w:t>min./1,73</w:t>
      </w:r>
      <w:r w:rsidR="00326AE2">
        <w:t> </w:t>
      </w:r>
      <w:r w:rsidRPr="00130A96">
        <w:t>m</w:t>
      </w:r>
      <w:r w:rsidRPr="00130A96">
        <w:rPr>
          <w:vertAlign w:val="superscript"/>
        </w:rPr>
        <w:t>2</w:t>
      </w:r>
      <w:r w:rsidRPr="00130A96">
        <w:t>.</w:t>
      </w:r>
    </w:p>
    <w:p w14:paraId="19B3739B" w14:textId="77777777" w:rsidR="00EC69B5" w:rsidRDefault="00EC69B5" w:rsidP="00130A96">
      <w:pPr>
        <w:pStyle w:val="Pagrindinistekstas"/>
      </w:pPr>
    </w:p>
    <w:p w14:paraId="6D869234" w14:textId="02ABF3C5" w:rsidR="00C0147E" w:rsidRDefault="001175EF" w:rsidP="00130A96">
      <w:pPr>
        <w:pStyle w:val="Pagrindinistekstas"/>
        <w:rPr>
          <w:u w:val="single"/>
        </w:rPr>
      </w:pPr>
      <w:r w:rsidRPr="00130A96">
        <w:rPr>
          <w:u w:val="single"/>
        </w:rPr>
        <w:t>Vaikų populiacija</w:t>
      </w:r>
    </w:p>
    <w:p w14:paraId="46D8A1AA" w14:textId="77777777" w:rsidR="00EC69B5" w:rsidRPr="00130A96" w:rsidRDefault="00EC69B5" w:rsidP="00130A96">
      <w:pPr>
        <w:pStyle w:val="Pagrindinistekstas"/>
      </w:pPr>
    </w:p>
    <w:p w14:paraId="6D869235" w14:textId="1B999D1D" w:rsidR="00C0147E" w:rsidRPr="00130A96" w:rsidRDefault="001175EF" w:rsidP="00130A96">
      <w:pPr>
        <w:pStyle w:val="Pagrindinistekstas"/>
      </w:pPr>
      <w:r w:rsidRPr="00130A96">
        <w:t>Dapagliflozino saugumo pobūdis, nustatytas 10</w:t>
      </w:r>
      <w:r w:rsidR="000E78E2">
        <w:t> </w:t>
      </w:r>
      <w:r w:rsidRPr="00130A96">
        <w:t>metų ir vyresnių vaikų, sergančių 2</w:t>
      </w:r>
      <w:r w:rsidR="00873FCC">
        <w:t> tipo</w:t>
      </w:r>
      <w:r w:rsidRPr="00130A96">
        <w:t xml:space="preserve"> cukriniu diabetu, klinikinio tyrimo metu (žr. 5.1</w:t>
      </w:r>
      <w:r w:rsidR="00873FCC">
        <w:t> skyrių</w:t>
      </w:r>
      <w:r w:rsidRPr="00130A96">
        <w:t xml:space="preserve">), buvo panašus </w:t>
      </w:r>
      <w:r w:rsidR="004A76CE" w:rsidRPr="004A76CE">
        <w:t>į nustatytą atliekant suaugusiųjų tyrimus</w:t>
      </w:r>
      <w:r w:rsidRPr="00130A96">
        <w:t>.</w:t>
      </w:r>
    </w:p>
    <w:p w14:paraId="6D869236" w14:textId="77777777" w:rsidR="00C0147E" w:rsidRPr="00130A96" w:rsidRDefault="00C0147E" w:rsidP="00130A96">
      <w:pPr>
        <w:pStyle w:val="Pagrindinistekstas"/>
      </w:pPr>
    </w:p>
    <w:p w14:paraId="371046C4" w14:textId="77777777" w:rsidR="00605C45" w:rsidRPr="00605C45" w:rsidRDefault="00605C45" w:rsidP="00605C45">
      <w:pPr>
        <w:rPr>
          <w:u w:val="single"/>
        </w:rPr>
      </w:pPr>
      <w:r w:rsidRPr="00605C45">
        <w:rPr>
          <w:u w:val="single"/>
        </w:rPr>
        <w:t>Pranešimas apie įtariamas nepageidaujamas reakcijas</w:t>
      </w:r>
    </w:p>
    <w:p w14:paraId="0677AAF1" w14:textId="77777777" w:rsidR="00605C45" w:rsidRPr="00605C45" w:rsidRDefault="00605C45" w:rsidP="00605C45">
      <w:pPr>
        <w:jc w:val="both"/>
        <w:rPr>
          <w:lang w:eastAsia="lt-LT"/>
        </w:rPr>
      </w:pPr>
      <w:r w:rsidRPr="00605C45">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605C45">
        <w:rPr>
          <w:lang w:eastAsia="lt-LT"/>
        </w:rPr>
        <w:lastRenderedPageBreak/>
        <w:t xml:space="preserve">užpildę ir pateikę pranešimo formą Valstybinės vaistų kontrolės tarnybos prie Lietuvos Respublikos sveikatos apsaugos ministerijos tinklalapyje </w:t>
      </w:r>
      <w:r w:rsidRPr="00605C45">
        <w:rPr>
          <w:color w:val="0000EE"/>
          <w:u w:val="single"/>
          <w:lang w:eastAsia="lt-LT"/>
        </w:rPr>
        <w:t>https://vvkt.lrv.lt/lt/</w:t>
      </w:r>
      <w:r w:rsidRPr="00605C45">
        <w:rPr>
          <w:lang w:eastAsia="lt-LT"/>
        </w:rPr>
        <w:t xml:space="preserve"> nurodytais būdais.</w:t>
      </w:r>
    </w:p>
    <w:p w14:paraId="738825F5" w14:textId="77777777" w:rsidR="00EC69B5" w:rsidRPr="00130A96" w:rsidRDefault="00EC69B5" w:rsidP="00130A96">
      <w:pPr>
        <w:pStyle w:val="Pagrindinistekstas"/>
      </w:pPr>
    </w:p>
    <w:p w14:paraId="6D86923A" w14:textId="77777777" w:rsidR="00C0147E" w:rsidRPr="00130A96" w:rsidRDefault="001175EF" w:rsidP="00605C45">
      <w:pPr>
        <w:pStyle w:val="Antrat2"/>
        <w:numPr>
          <w:ilvl w:val="1"/>
          <w:numId w:val="16"/>
        </w:numPr>
        <w:tabs>
          <w:tab w:val="left" w:pos="852"/>
        </w:tabs>
        <w:ind w:left="567"/>
      </w:pPr>
      <w:r w:rsidRPr="00130A96">
        <w:t>Perdozavimas</w:t>
      </w:r>
    </w:p>
    <w:p w14:paraId="6D86923B" w14:textId="77777777" w:rsidR="00C0147E" w:rsidRPr="00130A96" w:rsidRDefault="00C0147E" w:rsidP="00130A96">
      <w:pPr>
        <w:pStyle w:val="Pagrindinistekstas"/>
        <w:rPr>
          <w:b/>
        </w:rPr>
      </w:pPr>
    </w:p>
    <w:p w14:paraId="6D86923C" w14:textId="1272E01F" w:rsidR="00C0147E" w:rsidRDefault="001175EF" w:rsidP="00130A96">
      <w:pPr>
        <w:pStyle w:val="Pagrindinistekstas"/>
      </w:pPr>
      <w:r w:rsidRPr="00130A96">
        <w:t>Vienkartinės iki 500</w:t>
      </w:r>
      <w:r w:rsidR="00873FCC">
        <w:t> mg</w:t>
      </w:r>
      <w:r w:rsidRPr="00130A96">
        <w:t xml:space="preserve"> dapagliflozino dozės </w:t>
      </w:r>
      <w:r w:rsidR="004A1847">
        <w:t xml:space="preserve">vartojamos </w:t>
      </w:r>
      <w:r w:rsidRPr="00130A96">
        <w:t>per burną (50</w:t>
      </w:r>
      <w:r w:rsidR="00B5241C">
        <w:t> </w:t>
      </w:r>
      <w:r w:rsidRPr="00130A96">
        <w:t>kartų didesnė</w:t>
      </w:r>
      <w:r w:rsidR="00B5241C">
        <w:t>s</w:t>
      </w:r>
      <w:r w:rsidRPr="00130A96">
        <w:t xml:space="preserve"> už didžiausią rekomenduojamą žmogui) toksinio poveikio sveikiems asmenims nesukėlė.</w:t>
      </w:r>
      <w:r w:rsidR="00AE3B38">
        <w:t xml:space="preserve"> </w:t>
      </w:r>
      <w:r w:rsidR="009234FC">
        <w:t xml:space="preserve">Šių asmenų šlapime gliukozė buvo nustatoma tam tikrą laiką, kuris priklausė nuo dozės (pavartojus 500 mg dozę – mažiausiai 5 dienas), tačiau pranešimų apie dehidrataciją, </w:t>
      </w:r>
      <w:proofErr w:type="spellStart"/>
      <w:r w:rsidR="009234FC">
        <w:t>hipotenziją</w:t>
      </w:r>
      <w:proofErr w:type="spellEnd"/>
      <w:r w:rsidR="009234FC">
        <w:t xml:space="preserve"> ar elektrolitų pusiausvyros sutrikimus nebuvo, o kliniškai reikšmingo poveikio </w:t>
      </w:r>
      <w:proofErr w:type="spellStart"/>
      <w:r w:rsidR="009234FC">
        <w:t>QTc</w:t>
      </w:r>
      <w:proofErr w:type="spellEnd"/>
      <w:r w:rsidR="009234FC">
        <w:t xml:space="preserve"> intervalui nenustatyta</w:t>
      </w:r>
      <w:r w:rsidRPr="00130A96">
        <w:t>. Hipoglikemijos pasireiškimo dažnis buvo panašus kaip vartojant place</w:t>
      </w:r>
      <w:r w:rsidR="00043DAB">
        <w:t>bo</w:t>
      </w:r>
      <w:r w:rsidRPr="00130A96">
        <w:t>. Klinikinių tyrimų metu sveikiems ir 2</w:t>
      </w:r>
      <w:r w:rsidR="00873FCC">
        <w:t> tipo</w:t>
      </w:r>
      <w:r w:rsidRPr="00130A96">
        <w:t xml:space="preserve"> cukriniu diabetu sergantiems asmenims vartojus vienkartines iki 100</w:t>
      </w:r>
      <w:r w:rsidR="00873FCC">
        <w:t> mg</w:t>
      </w:r>
      <w:r w:rsidRPr="00130A96">
        <w:t xml:space="preserve"> dozes (10</w:t>
      </w:r>
      <w:r w:rsidR="00043DAB">
        <w:t> </w:t>
      </w:r>
      <w:r w:rsidRPr="00130A96">
        <w:t>kartų didesn</w:t>
      </w:r>
      <w:r w:rsidR="00043DAB">
        <w:t>ė</w:t>
      </w:r>
      <w:r w:rsidRPr="00130A96">
        <w:t xml:space="preserve"> už didžiausią rekomenduojamą žmogui), hipoglikemijos pasireiškimo dažnis buvo šiek tiek didesnis negu vartojant placeb</w:t>
      </w:r>
      <w:r w:rsidR="0038662C">
        <w:t>o</w:t>
      </w:r>
      <w:r w:rsidRPr="00130A96">
        <w:t xml:space="preserve"> ir</w:t>
      </w:r>
      <w:r w:rsidR="003D7F8B" w:rsidRPr="003D7F8B">
        <w:t xml:space="preserve"> </w:t>
      </w:r>
      <w:r w:rsidR="003D7F8B">
        <w:t>nepriklausė nuo dozės</w:t>
      </w:r>
      <w:r w:rsidRPr="00130A96">
        <w:t xml:space="preserve">. Nepageidaujamų reiškinių, įskaitant dehidrataciją ir </w:t>
      </w:r>
      <w:proofErr w:type="spellStart"/>
      <w:r w:rsidRPr="00130A96">
        <w:t>hipotenziją</w:t>
      </w:r>
      <w:proofErr w:type="spellEnd"/>
      <w:r w:rsidRPr="00130A96">
        <w:t>, dažniai buvo panašūs kaip vartojant placeb</w:t>
      </w:r>
      <w:r w:rsidR="0038662C">
        <w:t>o</w:t>
      </w:r>
      <w:r w:rsidRPr="00130A96">
        <w:t>, klini</w:t>
      </w:r>
      <w:r w:rsidR="0038662C">
        <w:t>š</w:t>
      </w:r>
      <w:r w:rsidRPr="00130A96">
        <w:t>kai reikšmingų su doze susijusių laboratorinių rodiklių (elektrolitų koncentracijos serume ir biologinių inkstų funkcijos rodiklių) pokyčių nebuvo.</w:t>
      </w:r>
    </w:p>
    <w:p w14:paraId="7B5577B6" w14:textId="77777777" w:rsidR="00605C45" w:rsidRPr="00130A96" w:rsidRDefault="00605C45" w:rsidP="00130A96">
      <w:pPr>
        <w:pStyle w:val="Pagrindinistekstas"/>
      </w:pPr>
    </w:p>
    <w:p w14:paraId="6D86923D" w14:textId="72CF7186" w:rsidR="00C0147E" w:rsidRPr="00130A96" w:rsidRDefault="001175EF" w:rsidP="00130A96">
      <w:pPr>
        <w:pStyle w:val="Pagrindinistekstas"/>
      </w:pPr>
      <w:r w:rsidRPr="00130A96">
        <w:t>Perdozav</w:t>
      </w:r>
      <w:r w:rsidR="00775DCF">
        <w:t>imo atveju</w:t>
      </w:r>
      <w:r w:rsidRPr="00130A96">
        <w:t xml:space="preserve"> reikia </w:t>
      </w:r>
      <w:r w:rsidR="00775DCF">
        <w:t>skirti</w:t>
      </w:r>
      <w:r w:rsidR="00775DCF" w:rsidRPr="00130A96">
        <w:t xml:space="preserve"> </w:t>
      </w:r>
      <w:r w:rsidRPr="00130A96">
        <w:t>atitinkamą palaikomąjį gydymą, atsižvelgiant į paciento klinikinę būklę. Dapagliflozino šalinimas hemodializės būdu netirtas.</w:t>
      </w:r>
    </w:p>
    <w:p w14:paraId="6D86923E" w14:textId="77777777" w:rsidR="00C0147E" w:rsidRPr="00130A96" w:rsidRDefault="00C0147E" w:rsidP="00130A96">
      <w:pPr>
        <w:pStyle w:val="Pagrindinistekstas"/>
      </w:pPr>
    </w:p>
    <w:p w14:paraId="6D86923F" w14:textId="77777777" w:rsidR="00C0147E" w:rsidRPr="00130A96" w:rsidRDefault="00C0147E" w:rsidP="00130A96">
      <w:pPr>
        <w:pStyle w:val="Pagrindinistekstas"/>
      </w:pPr>
    </w:p>
    <w:p w14:paraId="6D869240" w14:textId="77777777" w:rsidR="00C0147E" w:rsidRPr="00130A96" w:rsidRDefault="001175EF" w:rsidP="00605C45">
      <w:pPr>
        <w:pStyle w:val="Antrat1"/>
        <w:numPr>
          <w:ilvl w:val="0"/>
          <w:numId w:val="16"/>
        </w:numPr>
        <w:tabs>
          <w:tab w:val="left" w:pos="852"/>
        </w:tabs>
        <w:spacing w:before="0"/>
        <w:ind w:left="567"/>
      </w:pPr>
      <w:r w:rsidRPr="00130A96">
        <w:t>FARMAKOLOGINĖS SAVYBĖS</w:t>
      </w:r>
    </w:p>
    <w:p w14:paraId="6D869241" w14:textId="77777777" w:rsidR="00C0147E" w:rsidRPr="00130A96" w:rsidRDefault="00C0147E" w:rsidP="00130A96">
      <w:pPr>
        <w:pStyle w:val="Pagrindinistekstas"/>
        <w:rPr>
          <w:b/>
        </w:rPr>
      </w:pPr>
    </w:p>
    <w:p w14:paraId="6D869242" w14:textId="77777777" w:rsidR="00C0147E" w:rsidRPr="00130A96" w:rsidRDefault="001175EF" w:rsidP="00605C45">
      <w:pPr>
        <w:pStyle w:val="Antrat2"/>
        <w:numPr>
          <w:ilvl w:val="1"/>
          <w:numId w:val="16"/>
        </w:numPr>
        <w:tabs>
          <w:tab w:val="left" w:pos="852"/>
        </w:tabs>
        <w:ind w:left="567"/>
      </w:pPr>
      <w:proofErr w:type="spellStart"/>
      <w:r w:rsidRPr="00130A96">
        <w:t>Farmakodinaminės</w:t>
      </w:r>
      <w:proofErr w:type="spellEnd"/>
      <w:r w:rsidRPr="00130A96">
        <w:t xml:space="preserve"> savybės</w:t>
      </w:r>
    </w:p>
    <w:p w14:paraId="6D869243" w14:textId="77777777" w:rsidR="00C0147E" w:rsidRPr="00130A96" w:rsidRDefault="00C0147E" w:rsidP="00130A96">
      <w:pPr>
        <w:pStyle w:val="Pagrindinistekstas"/>
        <w:rPr>
          <w:b/>
        </w:rPr>
      </w:pPr>
    </w:p>
    <w:p w14:paraId="6D869244" w14:textId="135EFA5D" w:rsidR="00C0147E" w:rsidRPr="00130A96" w:rsidRDefault="001175EF" w:rsidP="00130A96">
      <w:pPr>
        <w:pStyle w:val="Pagrindinistekstas"/>
      </w:pPr>
      <w:proofErr w:type="spellStart"/>
      <w:r w:rsidRPr="00130A96">
        <w:t>Farmakoterapinė</w:t>
      </w:r>
      <w:proofErr w:type="spellEnd"/>
      <w:r w:rsidRPr="00130A96">
        <w:t xml:space="preserve"> grupė – vaist</w:t>
      </w:r>
      <w:r w:rsidR="00C16110">
        <w:t>ini</w:t>
      </w:r>
      <w:r w:rsidRPr="00130A96">
        <w:t xml:space="preserve">ai </w:t>
      </w:r>
      <w:r w:rsidR="00C16110">
        <w:t xml:space="preserve">preparatai </w:t>
      </w:r>
      <w:r w:rsidRPr="00130A96">
        <w:t>nuo cukrinio diabeto, natrio ir gliukozės vienakrypčio nešiklio 2 (SGLT2) inhibitoriai, ATC kodas – A10BK01.</w:t>
      </w:r>
    </w:p>
    <w:p w14:paraId="6D869245" w14:textId="77777777" w:rsidR="00C0147E" w:rsidRPr="00130A96" w:rsidRDefault="00C0147E" w:rsidP="00130A96">
      <w:pPr>
        <w:pStyle w:val="Pagrindinistekstas"/>
      </w:pPr>
    </w:p>
    <w:p w14:paraId="6D869246" w14:textId="77777777" w:rsidR="00C0147E" w:rsidRDefault="001175EF" w:rsidP="00130A96">
      <w:pPr>
        <w:pStyle w:val="Pagrindinistekstas"/>
        <w:rPr>
          <w:u w:val="single"/>
        </w:rPr>
      </w:pPr>
      <w:r w:rsidRPr="00130A96">
        <w:rPr>
          <w:u w:val="single"/>
        </w:rPr>
        <w:t>Veikimo mechanizmas</w:t>
      </w:r>
    </w:p>
    <w:p w14:paraId="1B42FADB" w14:textId="77777777" w:rsidR="007D2E93" w:rsidRPr="00130A96" w:rsidRDefault="007D2E93" w:rsidP="00130A96">
      <w:pPr>
        <w:pStyle w:val="Pagrindinistekstas"/>
      </w:pPr>
    </w:p>
    <w:p w14:paraId="6D869247" w14:textId="2521A323" w:rsidR="00C0147E" w:rsidRDefault="001175EF" w:rsidP="00130A96">
      <w:pPr>
        <w:pStyle w:val="Pagrindinistekstas"/>
      </w:pPr>
      <w:r w:rsidRPr="00130A96">
        <w:t>Dapagliflozinas yra labai stiprus (</w:t>
      </w:r>
      <w:proofErr w:type="spellStart"/>
      <w:r w:rsidRPr="00130A96">
        <w:t>K</w:t>
      </w:r>
      <w:r w:rsidRPr="007D2E93">
        <w:rPr>
          <w:vertAlign w:val="subscript"/>
        </w:rPr>
        <w:t>i</w:t>
      </w:r>
      <w:proofErr w:type="spellEnd"/>
      <w:r w:rsidRPr="00130A96">
        <w:t xml:space="preserve"> – 0,55</w:t>
      </w:r>
      <w:r w:rsidR="007D2E93">
        <w:t> </w:t>
      </w:r>
      <w:proofErr w:type="spellStart"/>
      <w:r w:rsidRPr="00130A96">
        <w:t>nM</w:t>
      </w:r>
      <w:proofErr w:type="spellEnd"/>
      <w:r w:rsidRPr="00130A96">
        <w:t xml:space="preserve">), selektyvus ir </w:t>
      </w:r>
      <w:r w:rsidR="006F1548">
        <w:t>gr</w:t>
      </w:r>
      <w:r w:rsidR="00FB5D17">
        <w:t>įžtamojo poveikio</w:t>
      </w:r>
      <w:r w:rsidRPr="00130A96">
        <w:t xml:space="preserve"> SGLT2 inhibitorius.</w:t>
      </w:r>
    </w:p>
    <w:p w14:paraId="5E9A4C7C" w14:textId="77777777" w:rsidR="00342963" w:rsidRPr="00130A96" w:rsidRDefault="00342963" w:rsidP="00130A96">
      <w:pPr>
        <w:pStyle w:val="Pagrindinistekstas"/>
      </w:pPr>
    </w:p>
    <w:p w14:paraId="09E0DD8E" w14:textId="255E1665" w:rsidR="00F22D22" w:rsidRDefault="001175EF" w:rsidP="00130A96">
      <w:pPr>
        <w:pStyle w:val="Pagrindinistekstas"/>
      </w:pPr>
      <w:r w:rsidRPr="00130A96">
        <w:t xml:space="preserve">Dapagliflozinui slopinant SGLT2, proksimaliniuose inkstų kanalėliuose iš </w:t>
      </w:r>
      <w:proofErr w:type="spellStart"/>
      <w:r w:rsidRPr="00130A96">
        <w:t>glomerulų</w:t>
      </w:r>
      <w:proofErr w:type="spellEnd"/>
      <w:r w:rsidRPr="00130A96">
        <w:t xml:space="preserve"> filtrato </w:t>
      </w:r>
      <w:proofErr w:type="spellStart"/>
      <w:r w:rsidRPr="00130A96">
        <w:t>reabsorbuojama</w:t>
      </w:r>
      <w:proofErr w:type="spellEnd"/>
      <w:r w:rsidRPr="00130A96">
        <w:t xml:space="preserve"> mažiau gliukozės ir kartu mažiau natrio, todėl gliukozė šalinama su šlapimu</w:t>
      </w:r>
      <w:r w:rsidR="008D1F4C">
        <w:t xml:space="preserve"> ir</w:t>
      </w:r>
      <w:r w:rsidRPr="00130A96">
        <w:t xml:space="preserve"> pasireiškia osmosinė diurezė. Dėl to veikiant dapagliflozinui daugiau natrio </w:t>
      </w:r>
      <w:r w:rsidR="00CE0744">
        <w:t>patenka į</w:t>
      </w:r>
      <w:r w:rsidRPr="00130A96">
        <w:t xml:space="preserve"> distalinius kanalėlius; tai </w:t>
      </w:r>
      <w:r w:rsidR="00A53F32">
        <w:t xml:space="preserve">sustiprina kanalėlių ir </w:t>
      </w:r>
      <w:proofErr w:type="spellStart"/>
      <w:r w:rsidR="00A53F32">
        <w:t>glomerulų</w:t>
      </w:r>
      <w:proofErr w:type="spellEnd"/>
      <w:r w:rsidR="00A53F32">
        <w:t xml:space="preserve"> grįžtamąjį ryšį bei sumažina </w:t>
      </w:r>
      <w:proofErr w:type="spellStart"/>
      <w:r w:rsidR="00A53F32">
        <w:t>intraglomerulinį</w:t>
      </w:r>
      <w:proofErr w:type="spellEnd"/>
      <w:r w:rsidR="00A53F32">
        <w:t xml:space="preserve"> spaudimą</w:t>
      </w:r>
      <w:r w:rsidRPr="00130A96">
        <w:t>.</w:t>
      </w:r>
    </w:p>
    <w:p w14:paraId="6D869248" w14:textId="27F371D1" w:rsidR="00C0147E" w:rsidRDefault="001175EF" w:rsidP="00130A96">
      <w:pPr>
        <w:pStyle w:val="Pagrindinistekstas"/>
      </w:pPr>
      <w:r w:rsidRPr="00130A96">
        <w:t xml:space="preserve">Dėl šių pokyčių ir osmosinės diurezės sumažėja skysčių perteklius, kraujospūdis, </w:t>
      </w:r>
      <w:proofErr w:type="spellStart"/>
      <w:r w:rsidRPr="00130A96">
        <w:t>prieškrūvis</w:t>
      </w:r>
      <w:proofErr w:type="spellEnd"/>
      <w:r w:rsidRPr="00130A96">
        <w:t xml:space="preserve"> ir </w:t>
      </w:r>
      <w:proofErr w:type="spellStart"/>
      <w:r w:rsidRPr="00130A96">
        <w:t>pokrūvis</w:t>
      </w:r>
      <w:proofErr w:type="spellEnd"/>
      <w:r w:rsidRPr="00130A96">
        <w:t xml:space="preserve">, o tai gali palankiai veikti širdies </w:t>
      </w:r>
      <w:proofErr w:type="spellStart"/>
      <w:r w:rsidRPr="00130A96">
        <w:t>remodeliavimo</w:t>
      </w:r>
      <w:proofErr w:type="spellEnd"/>
      <w:r w:rsidRPr="00130A96">
        <w:t xml:space="preserve"> procesą, </w:t>
      </w:r>
      <w:proofErr w:type="spellStart"/>
      <w:r w:rsidRPr="00130A96">
        <w:t>diastolinę</w:t>
      </w:r>
      <w:proofErr w:type="spellEnd"/>
      <w:r w:rsidRPr="00130A96">
        <w:t xml:space="preserve"> funkciją ir padėti išsaugoti inkstų funkciją. Palankus dapagliflozino poveikis širdies ir inkstų </w:t>
      </w:r>
      <w:r w:rsidR="009A2E44">
        <w:t>funkcijai</w:t>
      </w:r>
      <w:r w:rsidRPr="00130A96">
        <w:t xml:space="preserve"> priklauso ne vien nuo gliukozės koncentracijos kraujyje sumažėjimo. DAPA</w:t>
      </w:r>
      <w:r w:rsidR="008C2933">
        <w:noBreakHyphen/>
      </w:r>
      <w:r w:rsidRPr="00130A96">
        <w:t xml:space="preserve">HF, DELIVER ir DAPA-CKD tyrimų duomenimis, jis pasireiškia ir nesergant cukriniu diabetu. </w:t>
      </w:r>
      <w:r w:rsidR="00747C55" w:rsidRPr="00747C55">
        <w:t xml:space="preserve">Kitas poveikis yra </w:t>
      </w:r>
      <w:proofErr w:type="spellStart"/>
      <w:r w:rsidR="00747C55" w:rsidRPr="00747C55">
        <w:t>hematokrito</w:t>
      </w:r>
      <w:proofErr w:type="spellEnd"/>
      <w:r w:rsidR="00747C55" w:rsidRPr="00747C55">
        <w:t xml:space="preserve"> padidėjimas ir kūno svorio sumažėjimas</w:t>
      </w:r>
      <w:r w:rsidRPr="00130A96">
        <w:t>.</w:t>
      </w:r>
    </w:p>
    <w:p w14:paraId="0876D261" w14:textId="77777777" w:rsidR="00342963" w:rsidRPr="00130A96" w:rsidRDefault="00342963" w:rsidP="00130A96">
      <w:pPr>
        <w:pStyle w:val="Pagrindinistekstas"/>
      </w:pPr>
    </w:p>
    <w:p w14:paraId="6D869249" w14:textId="3ED49566" w:rsidR="00C0147E" w:rsidRDefault="001175EF" w:rsidP="00130A96">
      <w:pPr>
        <w:pStyle w:val="Pagrindinistekstas"/>
      </w:pPr>
      <w:r w:rsidRPr="00130A96">
        <w:t>Dapagliflozinas mažina gliukozės reabsorbciją inkstuose ir nulemia jos išskyrimą su šlapimu, todėl mažina gliukozės koncentraciją plazmoje nevalgius ir po valgio. Šis gliukozės išskyrimas (</w:t>
      </w:r>
      <w:proofErr w:type="spellStart"/>
      <w:r w:rsidRPr="00130A96">
        <w:t>gliukurezinis</w:t>
      </w:r>
      <w:proofErr w:type="spellEnd"/>
      <w:r w:rsidRPr="00130A96">
        <w:t xml:space="preserve"> poveikis) pastebimas po pirmos dozės, tęsiasi visą 24</w:t>
      </w:r>
      <w:r w:rsidR="0079362A">
        <w:t> </w:t>
      </w:r>
      <w:r w:rsidRPr="00130A96">
        <w:t xml:space="preserve">val. vartojimo intervalą ir išlieka kol taikomas gydymas. Tokiu būdu inkstų pašalinamas gliukozės kiekis priklauso nuo jos koncentracijos kraujyje ir </w:t>
      </w:r>
      <w:proofErr w:type="spellStart"/>
      <w:r w:rsidRPr="00130A96">
        <w:t>glomerulų</w:t>
      </w:r>
      <w:proofErr w:type="spellEnd"/>
      <w:r w:rsidRPr="00130A96">
        <w:t xml:space="preserve"> filtracijos greičio. Dėl to </w:t>
      </w:r>
      <w:r w:rsidR="00C853D4">
        <w:t>asmenims</w:t>
      </w:r>
      <w:r w:rsidRPr="00130A96">
        <w:t xml:space="preserve">, kurių gliukozės koncentracija </w:t>
      </w:r>
      <w:r w:rsidR="00C853D4">
        <w:t xml:space="preserve">kraujyje yra </w:t>
      </w:r>
      <w:r w:rsidRPr="00130A96">
        <w:t>normali, dapagliflozino sukeliamos hipoglikemijos tikimybė yra maža. Dapagliflozinas netrikdo normalios endogeninės gliukozės gamybos reaguojant į hipoglikemiją</w:t>
      </w:r>
      <w:r w:rsidR="00E43A8A">
        <w:t xml:space="preserve">. Dapagliflozino </w:t>
      </w:r>
      <w:r w:rsidRPr="00130A96">
        <w:t>poveikis nepriklauso nuo insulino sekrecijos ir insulino veikimo. Dapagliflozino klinikinių tyrimų metu pagerėjimas taip pat nustatytas tiriant beta ląstelių funkcijos homeostazės vertinimo modeliu (beta ląstelių HOMA).</w:t>
      </w:r>
    </w:p>
    <w:p w14:paraId="091C453F" w14:textId="77777777" w:rsidR="00342963" w:rsidRPr="00130A96" w:rsidRDefault="00342963" w:rsidP="00130A96">
      <w:pPr>
        <w:pStyle w:val="Pagrindinistekstas"/>
      </w:pPr>
    </w:p>
    <w:p w14:paraId="6D86924A" w14:textId="31552AC7" w:rsidR="00C0147E" w:rsidRPr="00130A96" w:rsidRDefault="001175EF" w:rsidP="00130A96">
      <w:pPr>
        <w:pStyle w:val="Pagrindinistekstas"/>
      </w:pPr>
      <w:r w:rsidRPr="00130A96">
        <w:lastRenderedPageBreak/>
        <w:t xml:space="preserve">SGLT2 yra selektyviai </w:t>
      </w:r>
      <w:proofErr w:type="spellStart"/>
      <w:r w:rsidR="00D01428">
        <w:t>ekspresuojamas</w:t>
      </w:r>
      <w:proofErr w:type="spellEnd"/>
      <w:r w:rsidR="00D01428" w:rsidRPr="00130A96">
        <w:t xml:space="preserve"> </w:t>
      </w:r>
      <w:r w:rsidRPr="00130A96">
        <w:t xml:space="preserve">inkstuose. Kitų gliukozės nešiklių, svarbių </w:t>
      </w:r>
      <w:r w:rsidR="00A55D06">
        <w:t>gliukozės transportui</w:t>
      </w:r>
      <w:r w:rsidRPr="00130A96">
        <w:t xml:space="preserve"> į periferinius audinius, dapagliflozinas neslopina. Jo poveikis SGLT2 </w:t>
      </w:r>
      <w:r w:rsidR="00713D82">
        <w:t>&gt; </w:t>
      </w:r>
      <w:r w:rsidRPr="00130A96">
        <w:t>1</w:t>
      </w:r>
      <w:r w:rsidR="00713D82">
        <w:t> </w:t>
      </w:r>
      <w:r w:rsidRPr="00130A96">
        <w:t>400</w:t>
      </w:r>
      <w:r w:rsidR="00713D82">
        <w:t> </w:t>
      </w:r>
      <w:r w:rsidRPr="00130A96">
        <w:t>kartų selektyvesnis už poveikį pagrindiniam gliukozės absorbcijos nešikliui žarnose – SGLT1.</w:t>
      </w:r>
    </w:p>
    <w:p w14:paraId="3BA40DD7" w14:textId="77777777" w:rsidR="00C0147E" w:rsidRDefault="00C0147E" w:rsidP="00130A96">
      <w:pPr>
        <w:pStyle w:val="Pagrindinistekstas"/>
      </w:pPr>
    </w:p>
    <w:p w14:paraId="6D86924C" w14:textId="77777777" w:rsidR="00C0147E" w:rsidRPr="00130A96" w:rsidRDefault="001175EF" w:rsidP="00130A96">
      <w:pPr>
        <w:pStyle w:val="Pagrindinistekstas"/>
      </w:pPr>
      <w:proofErr w:type="spellStart"/>
      <w:r w:rsidRPr="00130A96">
        <w:rPr>
          <w:u w:val="single"/>
        </w:rPr>
        <w:t>Farmakodinaminis</w:t>
      </w:r>
      <w:proofErr w:type="spellEnd"/>
      <w:r w:rsidRPr="00130A96">
        <w:rPr>
          <w:u w:val="single"/>
        </w:rPr>
        <w:t xml:space="preserve"> poveikis</w:t>
      </w:r>
    </w:p>
    <w:p w14:paraId="6D86924D" w14:textId="77777777" w:rsidR="00C0147E" w:rsidRPr="00130A96" w:rsidRDefault="00C0147E" w:rsidP="00130A96">
      <w:pPr>
        <w:pStyle w:val="Pagrindinistekstas"/>
      </w:pPr>
    </w:p>
    <w:p w14:paraId="6D86924E" w14:textId="22A11B71" w:rsidR="00C0147E" w:rsidRPr="00130A96" w:rsidRDefault="001175EF" w:rsidP="00130A96">
      <w:pPr>
        <w:pStyle w:val="Pagrindinistekstas"/>
      </w:pPr>
      <w:r w:rsidRPr="00130A96">
        <w:t xml:space="preserve">Padidėjęs </w:t>
      </w:r>
      <w:r w:rsidR="008173DC">
        <w:t>su šlapimu išskiriamo</w:t>
      </w:r>
      <w:r w:rsidR="00714381">
        <w:t xml:space="preserve">s </w:t>
      </w:r>
      <w:r w:rsidRPr="00130A96">
        <w:t xml:space="preserve">gliukozės kiekis </w:t>
      </w:r>
      <w:r w:rsidR="00714381">
        <w:t xml:space="preserve">nustatytas </w:t>
      </w:r>
      <w:r w:rsidRPr="00130A96">
        <w:t>sveik</w:t>
      </w:r>
      <w:r w:rsidR="001A7024">
        <w:t>iems</w:t>
      </w:r>
      <w:r w:rsidRPr="00130A96">
        <w:t xml:space="preserve"> asmen</w:t>
      </w:r>
      <w:r w:rsidR="001A7024">
        <w:t>ims</w:t>
      </w:r>
      <w:r w:rsidRPr="00130A96">
        <w:t xml:space="preserve"> ir 2</w:t>
      </w:r>
      <w:r w:rsidR="00873FCC">
        <w:t> tipo</w:t>
      </w:r>
      <w:r w:rsidRPr="00130A96">
        <w:t xml:space="preserve"> cukriniu diabetu sergan</w:t>
      </w:r>
      <w:r w:rsidR="001A7024">
        <w:t>tiems</w:t>
      </w:r>
      <w:r w:rsidRPr="00130A96">
        <w:t xml:space="preserve"> pacient</w:t>
      </w:r>
      <w:r w:rsidR="001A7024">
        <w:t>ams</w:t>
      </w:r>
      <w:r w:rsidRPr="00130A96">
        <w:t>, vartojus</w:t>
      </w:r>
      <w:r w:rsidR="001A7024">
        <w:t>iems</w:t>
      </w:r>
      <w:r w:rsidRPr="00130A96">
        <w:t xml:space="preserve"> dapagliflozin</w:t>
      </w:r>
      <w:r w:rsidR="001A7024">
        <w:t>o</w:t>
      </w:r>
      <w:r w:rsidRPr="00130A96">
        <w:t>. 2</w:t>
      </w:r>
      <w:r w:rsidR="00873FCC">
        <w:t> tipo</w:t>
      </w:r>
      <w:r w:rsidRPr="00130A96">
        <w:t xml:space="preserve"> cukriniu diabetu sergantiems asmenims 12</w:t>
      </w:r>
      <w:r w:rsidR="00F47C46">
        <w:t> </w:t>
      </w:r>
      <w:r w:rsidRPr="00130A96">
        <w:t>savaičių vartojus 10</w:t>
      </w:r>
      <w:r w:rsidR="00873FCC">
        <w:t> mg</w:t>
      </w:r>
      <w:r w:rsidRPr="00130A96">
        <w:t xml:space="preserve"> dapagliflozino per parą, su šlapimu buvo išskiriama maždaug 70</w:t>
      </w:r>
      <w:r w:rsidR="00335190">
        <w:t> </w:t>
      </w:r>
      <w:r w:rsidRPr="00130A96">
        <w:t>g gliukozės (atitinka 280</w:t>
      </w:r>
      <w:r w:rsidR="00335190">
        <w:t> </w:t>
      </w:r>
      <w:r w:rsidRPr="00130A96">
        <w:t>kcal) per parą. Įrodytas ilgalaikis (iki 2</w:t>
      </w:r>
      <w:r w:rsidR="005F0F02">
        <w:t> </w:t>
      </w:r>
      <w:r w:rsidRPr="00130A96">
        <w:t>metų) gliukozės išskyrimas su 2</w:t>
      </w:r>
      <w:r w:rsidR="00873FCC">
        <w:t> tipo</w:t>
      </w:r>
      <w:r w:rsidRPr="00130A96">
        <w:t xml:space="preserve"> cukriniu diabetu sergančių asmenų, vartojančių 10</w:t>
      </w:r>
      <w:r w:rsidR="00873FCC">
        <w:t> mg</w:t>
      </w:r>
      <w:r w:rsidRPr="00130A96">
        <w:t xml:space="preserve"> dapagliflozino per parą, šlapimu.</w:t>
      </w:r>
    </w:p>
    <w:p w14:paraId="6D86924F" w14:textId="77777777" w:rsidR="00C0147E" w:rsidRPr="00130A96" w:rsidRDefault="00C0147E" w:rsidP="00130A96">
      <w:pPr>
        <w:pStyle w:val="Pagrindinistekstas"/>
      </w:pPr>
    </w:p>
    <w:p w14:paraId="6D869251" w14:textId="258DDEBC" w:rsidR="00C0147E" w:rsidRPr="00130A96" w:rsidRDefault="00AC7CE6" w:rsidP="00130A96">
      <w:pPr>
        <w:pStyle w:val="Pagrindinistekstas"/>
      </w:pPr>
      <w:r>
        <w:t>Dėl tokio gliukozės išskyrimo su šlapimu 2 tipo cukriniu diabetu sergantiems pacientams taip pat pasireiškia osmosinė diurezė ir padidėja šlapimo tūris</w:t>
      </w:r>
      <w:r w:rsidR="001175EF" w:rsidRPr="00130A96">
        <w:t>. Po 12</w:t>
      </w:r>
      <w:r w:rsidR="0094422B">
        <w:t> </w:t>
      </w:r>
      <w:r w:rsidR="001175EF" w:rsidRPr="00130A96">
        <w:t>savaičių nustatyta, kad</w:t>
      </w:r>
      <w:r w:rsidR="00342963">
        <w:t xml:space="preserve"> </w:t>
      </w:r>
      <w:r w:rsidR="001175EF" w:rsidRPr="00130A96">
        <w:t>2</w:t>
      </w:r>
      <w:r w:rsidR="00873FCC">
        <w:t> tipo</w:t>
      </w:r>
      <w:r w:rsidR="001175EF" w:rsidRPr="00130A96">
        <w:t xml:space="preserve"> cukriniu diabetu sergančių asmenų, vartojančių 10</w:t>
      </w:r>
      <w:r w:rsidR="00873FCC">
        <w:t> mg</w:t>
      </w:r>
      <w:r w:rsidR="001175EF" w:rsidRPr="00130A96">
        <w:t xml:space="preserve"> dapagliflozino, paros šlapimo tūris tebėra padidėjęs, o tas padidėjimas sudaro apie 375</w:t>
      </w:r>
      <w:r w:rsidR="008F66F5">
        <w:t> </w:t>
      </w:r>
      <w:r w:rsidR="001175EF" w:rsidRPr="00130A96">
        <w:t xml:space="preserve">ml. Šlapimo tūrio padidėjimas buvo susijęs su nežymiu ir trumpalaikiu natrio išskyrimo su šlapimu padidėjimu, kuris </w:t>
      </w:r>
      <w:r w:rsidR="008F66F5">
        <w:t xml:space="preserve">nebuvo susijęs su natrio koncentracijos serume </w:t>
      </w:r>
      <w:r w:rsidR="00ED2E8D">
        <w:t>pokyčiais</w:t>
      </w:r>
      <w:r w:rsidR="001175EF" w:rsidRPr="00130A96">
        <w:t>.</w:t>
      </w:r>
    </w:p>
    <w:p w14:paraId="6D869252" w14:textId="77777777" w:rsidR="00C0147E" w:rsidRPr="00130A96" w:rsidRDefault="00C0147E" w:rsidP="00130A96">
      <w:pPr>
        <w:pStyle w:val="Pagrindinistekstas"/>
      </w:pPr>
    </w:p>
    <w:p w14:paraId="6D869253" w14:textId="4EA6950F" w:rsidR="00C0147E" w:rsidRDefault="00BB1863" w:rsidP="00130A96">
      <w:pPr>
        <w:pStyle w:val="Pagrindinistekstas"/>
      </w:pPr>
      <w:r>
        <w:t xml:space="preserve">Šlapimo rūgšties išskyrimas su šlapimu taip pat trumpam padidėjo (3–7 dienas) ir kartu nuolat mažėjo šlapimo rūgšties </w:t>
      </w:r>
      <w:r w:rsidR="001175EF" w:rsidRPr="00130A96">
        <w:t>koncentracija serume. Po 24</w:t>
      </w:r>
      <w:r w:rsidR="006455B3">
        <w:t> </w:t>
      </w:r>
      <w:r w:rsidR="001175EF" w:rsidRPr="00130A96">
        <w:t xml:space="preserve">savaičių šlapimo rūgšties koncentracija serume buvo sumažėjusi nuo </w:t>
      </w:r>
      <w:r w:rsidR="006455B3">
        <w:t>-</w:t>
      </w:r>
      <w:r w:rsidR="001175EF" w:rsidRPr="00130A96">
        <w:t xml:space="preserve">48,3 iki </w:t>
      </w:r>
      <w:r w:rsidR="006455B3">
        <w:t>-</w:t>
      </w:r>
      <w:r w:rsidR="001175EF" w:rsidRPr="00130A96">
        <w:t>18,3</w:t>
      </w:r>
      <w:r w:rsidR="006455B3">
        <w:t> </w:t>
      </w:r>
      <w:proofErr w:type="spellStart"/>
      <w:r w:rsidR="001175EF" w:rsidRPr="00130A96">
        <w:t>mikromolių</w:t>
      </w:r>
      <w:proofErr w:type="spellEnd"/>
      <w:r w:rsidR="006455B3">
        <w:t>/</w:t>
      </w:r>
      <w:r w:rsidR="001175EF" w:rsidRPr="00130A96">
        <w:t xml:space="preserve">l (nuo </w:t>
      </w:r>
      <w:r w:rsidR="00AB51AE">
        <w:t>-</w:t>
      </w:r>
      <w:r w:rsidR="001175EF" w:rsidRPr="00130A96">
        <w:t xml:space="preserve">0,87 iki </w:t>
      </w:r>
      <w:r w:rsidR="00AB51AE">
        <w:t>-</w:t>
      </w:r>
      <w:r w:rsidR="001175EF" w:rsidRPr="00130A96">
        <w:t>0,33</w:t>
      </w:r>
      <w:r w:rsidR="00873FCC">
        <w:t> mg</w:t>
      </w:r>
      <w:r w:rsidR="001175EF" w:rsidRPr="00130A96">
        <w:t>/dl).</w:t>
      </w:r>
    </w:p>
    <w:p w14:paraId="4ECD5140" w14:textId="77777777" w:rsidR="00342963" w:rsidRPr="00130A96" w:rsidRDefault="00342963" w:rsidP="00130A96">
      <w:pPr>
        <w:pStyle w:val="Pagrindinistekstas"/>
      </w:pPr>
    </w:p>
    <w:p w14:paraId="6D869254" w14:textId="77777777" w:rsidR="00C0147E" w:rsidRPr="00130A96" w:rsidRDefault="001175EF" w:rsidP="00130A96">
      <w:pPr>
        <w:pStyle w:val="Pagrindinistekstas"/>
      </w:pPr>
      <w:r w:rsidRPr="00130A96">
        <w:rPr>
          <w:u w:val="single"/>
        </w:rPr>
        <w:t>Klinikinis veiksmingumas ir saugumas</w:t>
      </w:r>
    </w:p>
    <w:p w14:paraId="6D869255" w14:textId="77777777" w:rsidR="00C0147E" w:rsidRPr="00130A96" w:rsidRDefault="00C0147E" w:rsidP="00130A96">
      <w:pPr>
        <w:pStyle w:val="Pagrindinistekstas"/>
      </w:pPr>
    </w:p>
    <w:p w14:paraId="6D869256" w14:textId="26D0429A" w:rsidR="00C0147E" w:rsidRPr="00130A96" w:rsidRDefault="001175EF" w:rsidP="00130A96">
      <w:pPr>
        <w:pStyle w:val="Pagrindinistekstas"/>
      </w:pPr>
      <w:r w:rsidRPr="00130A96">
        <w:rPr>
          <w:u w:val="single"/>
        </w:rPr>
        <w:t>2</w:t>
      </w:r>
      <w:r w:rsidR="00873FCC">
        <w:rPr>
          <w:u w:val="single"/>
        </w:rPr>
        <w:t> tipo</w:t>
      </w:r>
      <w:r w:rsidRPr="00130A96">
        <w:rPr>
          <w:u w:val="single"/>
        </w:rPr>
        <w:t xml:space="preserve"> cukrinis diabetas</w:t>
      </w:r>
    </w:p>
    <w:p w14:paraId="6D869257" w14:textId="77777777" w:rsidR="00C0147E" w:rsidRPr="00130A96" w:rsidRDefault="00C0147E" w:rsidP="00130A96">
      <w:pPr>
        <w:pStyle w:val="Pagrindinistekstas"/>
      </w:pPr>
    </w:p>
    <w:p w14:paraId="6D869258" w14:textId="67B13438" w:rsidR="00C0147E" w:rsidRDefault="001B071F" w:rsidP="00130A96">
      <w:pPr>
        <w:pStyle w:val="Pagrindinistekstas"/>
      </w:pPr>
      <w:proofErr w:type="spellStart"/>
      <w:r>
        <w:t>Glikemijos</w:t>
      </w:r>
      <w:proofErr w:type="spellEnd"/>
      <w:r>
        <w:t xml:space="preserve"> kontrolės gerinimas bei sergamumo širdies ir kraujagyslių bei inkstų ligomis ir mirštamumo nuo jų mažinimas yra neatsiejama 2 tipo cukrinio diabeto gydymo dalis</w:t>
      </w:r>
      <w:r w:rsidR="001175EF" w:rsidRPr="00130A96">
        <w:t>.</w:t>
      </w:r>
    </w:p>
    <w:p w14:paraId="29BFACE0" w14:textId="77777777" w:rsidR="00342963" w:rsidRPr="00130A96" w:rsidRDefault="00342963" w:rsidP="00130A96">
      <w:pPr>
        <w:pStyle w:val="Pagrindinistekstas"/>
      </w:pPr>
    </w:p>
    <w:p w14:paraId="6D869259" w14:textId="267BC22D" w:rsidR="00C0147E" w:rsidRPr="00130A96" w:rsidRDefault="001175EF" w:rsidP="00130A96">
      <w:pPr>
        <w:pStyle w:val="Pagrindinistekstas"/>
      </w:pPr>
      <w:r w:rsidRPr="00130A96">
        <w:t>Atlikta 14</w:t>
      </w:r>
      <w:r w:rsidR="006C37C1">
        <w:t> </w:t>
      </w:r>
      <w:r w:rsidRPr="00130A96">
        <w:t xml:space="preserve">dvigubai </w:t>
      </w:r>
      <w:r w:rsidR="006C37C1">
        <w:t>koduotų</w:t>
      </w:r>
      <w:r w:rsidR="00CF4177">
        <w:t>,</w:t>
      </w:r>
      <w:r w:rsidRPr="00130A96">
        <w:t xml:space="preserve"> </w:t>
      </w:r>
      <w:r w:rsidR="00CF4177">
        <w:t>atsitiktinių imčių</w:t>
      </w:r>
      <w:r w:rsidRPr="00130A96">
        <w:t xml:space="preserve"> kontroliuojamų </w:t>
      </w:r>
      <w:r w:rsidR="00A57715">
        <w:t>dapagliflozino</w:t>
      </w:r>
      <w:r w:rsidRPr="00130A96">
        <w:t xml:space="preserve"> poveikio </w:t>
      </w:r>
      <w:proofErr w:type="spellStart"/>
      <w:r w:rsidRPr="00130A96">
        <w:t>glikemijai</w:t>
      </w:r>
      <w:proofErr w:type="spellEnd"/>
      <w:r w:rsidRPr="00130A96">
        <w:t xml:space="preserve"> veiksmingumo ir saugumo klinikinių tyrimų</w:t>
      </w:r>
      <w:r w:rsidR="00A57715">
        <w:t xml:space="preserve"> su </w:t>
      </w:r>
      <w:r w:rsidRPr="00130A96">
        <w:t>7</w:t>
      </w:r>
      <w:r w:rsidR="00A57715">
        <w:t> </w:t>
      </w:r>
      <w:r w:rsidRPr="00130A96">
        <w:t xml:space="preserve">056 </w:t>
      </w:r>
      <w:r w:rsidR="00A57715">
        <w:t>2 </w:t>
      </w:r>
      <w:r w:rsidR="00873FCC">
        <w:t>tipo</w:t>
      </w:r>
      <w:r w:rsidRPr="00130A96">
        <w:t xml:space="preserve"> cukriniu diabetu </w:t>
      </w:r>
      <w:r w:rsidR="00A57715">
        <w:t>sirgusiais</w:t>
      </w:r>
      <w:r w:rsidRPr="00130A96">
        <w:t xml:space="preserve"> suaug</w:t>
      </w:r>
      <w:r w:rsidR="00A57715">
        <w:t>usiais</w:t>
      </w:r>
      <w:r w:rsidRPr="00130A96">
        <w:t xml:space="preserve"> asmen</w:t>
      </w:r>
      <w:r w:rsidR="00474F33">
        <w:t>imis</w:t>
      </w:r>
      <w:r w:rsidRPr="00130A96">
        <w:t>, iš kurių 4</w:t>
      </w:r>
      <w:r w:rsidR="00474F33">
        <w:t> </w:t>
      </w:r>
      <w:r w:rsidRPr="00130A96">
        <w:t>737 vartojo dapagliflozin</w:t>
      </w:r>
      <w:r w:rsidR="00474F33">
        <w:t>o</w:t>
      </w:r>
      <w:r w:rsidRPr="00130A96">
        <w:t>. 12</w:t>
      </w:r>
      <w:r w:rsidR="002F5CB9">
        <w:t> </w:t>
      </w:r>
      <w:r w:rsidRPr="00130A96">
        <w:t>tyrimų metu gydymas truko 24</w:t>
      </w:r>
      <w:r w:rsidR="003B51F6">
        <w:t> </w:t>
      </w:r>
      <w:r w:rsidRPr="00130A96">
        <w:t>savaites, 8</w:t>
      </w:r>
      <w:r w:rsidR="003B51F6">
        <w:t> </w:t>
      </w:r>
      <w:r w:rsidRPr="00130A96">
        <w:t>tyrimai turėjo ilgalaikę nuo 24 iki 80</w:t>
      </w:r>
      <w:r w:rsidR="003B51F6">
        <w:t> </w:t>
      </w:r>
      <w:r w:rsidRPr="00130A96">
        <w:t>savaičių trukmės tęstin</w:t>
      </w:r>
      <w:r w:rsidR="00E2096D">
        <w:t>es</w:t>
      </w:r>
      <w:r w:rsidRPr="00130A96">
        <w:t xml:space="preserve"> faz</w:t>
      </w:r>
      <w:r w:rsidR="00E2096D">
        <w:t>es</w:t>
      </w:r>
      <w:r w:rsidRPr="00130A96">
        <w:t xml:space="preserve"> (iš viso truko iki 104</w:t>
      </w:r>
      <w:r w:rsidR="003B51F6">
        <w:t> </w:t>
      </w:r>
      <w:r w:rsidRPr="00130A96">
        <w:t>savaičių), vieno tyrimo metu gydymas truko 28</w:t>
      </w:r>
      <w:r w:rsidR="00E2096D">
        <w:t> </w:t>
      </w:r>
      <w:r w:rsidRPr="00130A96">
        <w:t>savaites, vienas tyrimas truko 52</w:t>
      </w:r>
      <w:r w:rsidR="00E2096D">
        <w:t> </w:t>
      </w:r>
      <w:r w:rsidRPr="00130A96">
        <w:t>savaites ir turėjo 52 ir 104</w:t>
      </w:r>
      <w:r w:rsidR="00E2096D">
        <w:t> </w:t>
      </w:r>
      <w:r w:rsidRPr="00130A96">
        <w:t>savaičių tęstines fazes (iš viso truko 208</w:t>
      </w:r>
      <w:r w:rsidR="00E2096D">
        <w:t> </w:t>
      </w:r>
      <w:r w:rsidRPr="00130A96">
        <w:t>savaites). Tiriamieji diabetu sirgo nuo 1,4 iki 16,9</w:t>
      </w:r>
      <w:r w:rsidR="002122AD">
        <w:t> </w:t>
      </w:r>
      <w:r w:rsidRPr="00130A96">
        <w:t>metų. 50</w:t>
      </w:r>
      <w:r w:rsidR="00873FCC">
        <w:t> %</w:t>
      </w:r>
      <w:r w:rsidRPr="00130A96">
        <w:t xml:space="preserve"> tiriamųjų </w:t>
      </w:r>
      <w:r w:rsidR="002122AD">
        <w:t xml:space="preserve">buvo lengvas </w:t>
      </w:r>
      <w:r w:rsidRPr="00130A96">
        <w:t>inkstų funkcij</w:t>
      </w:r>
      <w:r w:rsidR="002122AD">
        <w:t>os sutrikimas</w:t>
      </w:r>
      <w:r w:rsidRPr="00130A96">
        <w:t>, 11</w:t>
      </w:r>
      <w:r w:rsidR="00873FCC">
        <w:t> %</w:t>
      </w:r>
      <w:r w:rsidRPr="00130A96">
        <w:t xml:space="preserve"> – </w:t>
      </w:r>
      <w:r w:rsidR="002122AD">
        <w:t xml:space="preserve">vidutinio </w:t>
      </w:r>
      <w:r w:rsidR="003642C3">
        <w:t>sunkumo</w:t>
      </w:r>
      <w:r w:rsidR="002122AD">
        <w:t xml:space="preserve"> </w:t>
      </w:r>
      <w:r w:rsidR="002122AD" w:rsidRPr="00130A96">
        <w:t>inkstų funkcij</w:t>
      </w:r>
      <w:r w:rsidR="002122AD">
        <w:t>os sutrikimas</w:t>
      </w:r>
      <w:r w:rsidRPr="00130A96">
        <w:t>. 51</w:t>
      </w:r>
      <w:r w:rsidR="00873FCC">
        <w:t> %</w:t>
      </w:r>
      <w:r w:rsidRPr="00130A96">
        <w:t xml:space="preserve"> tiriamųjų buvo vyrai, 84</w:t>
      </w:r>
      <w:r w:rsidR="00873FCC">
        <w:t> %</w:t>
      </w:r>
      <w:r w:rsidRPr="00130A96">
        <w:t xml:space="preserve"> – baltieji, 8</w:t>
      </w:r>
      <w:r w:rsidR="00873FCC">
        <w:t> %</w:t>
      </w:r>
      <w:r w:rsidRPr="00130A96">
        <w:t xml:space="preserve"> – azijiečiai, 4</w:t>
      </w:r>
      <w:r w:rsidR="00873FCC">
        <w:t> %</w:t>
      </w:r>
      <w:r w:rsidRPr="00130A96">
        <w:t xml:space="preserve"> – </w:t>
      </w:r>
      <w:r w:rsidR="00A301E5">
        <w:t>juodaodžiai</w:t>
      </w:r>
      <w:r w:rsidRPr="00130A96">
        <w:t xml:space="preserve"> ir 4</w:t>
      </w:r>
      <w:r w:rsidR="00873FCC">
        <w:t> %</w:t>
      </w:r>
      <w:r w:rsidRPr="00130A96">
        <w:t xml:space="preserve"> – kitų rasių. 81</w:t>
      </w:r>
      <w:r w:rsidR="00873FCC">
        <w:t> %</w:t>
      </w:r>
      <w:r w:rsidRPr="00130A96">
        <w:t xml:space="preserve"> dalyvavusių pacientų kūno masės indeksas buvo </w:t>
      </w:r>
      <w:r w:rsidR="00873FCC">
        <w:t>≥ </w:t>
      </w:r>
      <w:r w:rsidRPr="00130A96">
        <w:t>27. Be to, atlikti du 12</w:t>
      </w:r>
      <w:r w:rsidR="00E402D9">
        <w:t> </w:t>
      </w:r>
      <w:r w:rsidRPr="00130A96">
        <w:t>savaičių trukmės placebu kontroliuojami tyrimai, kuriuose dalyvavusiems pacientams buvo tinkamai nekontroliuojamas 2</w:t>
      </w:r>
      <w:r w:rsidR="00873FCC">
        <w:t> tipo</w:t>
      </w:r>
      <w:r w:rsidRPr="00130A96">
        <w:t xml:space="preserve"> diabetas ir hipertenzija.</w:t>
      </w:r>
    </w:p>
    <w:p w14:paraId="6D86925A" w14:textId="77777777" w:rsidR="00C0147E" w:rsidRPr="00130A96" w:rsidRDefault="00C0147E" w:rsidP="00130A96">
      <w:pPr>
        <w:pStyle w:val="Pagrindinistekstas"/>
      </w:pPr>
    </w:p>
    <w:p w14:paraId="6D86925B" w14:textId="74D4F69C" w:rsidR="00C0147E" w:rsidRPr="00130A96" w:rsidRDefault="001175EF" w:rsidP="00130A96">
      <w:pPr>
        <w:pStyle w:val="Pagrindinistekstas"/>
      </w:pPr>
      <w:r w:rsidRPr="00130A96">
        <w:t>Poveiki</w:t>
      </w:r>
      <w:r w:rsidR="007D70A6">
        <w:t>s</w:t>
      </w:r>
      <w:r w:rsidRPr="00130A96">
        <w:t xml:space="preserve"> kardiovaskulinėms komplikacijoms tyrimo (</w:t>
      </w:r>
      <w:r w:rsidRPr="00130A96">
        <w:rPr>
          <w:i/>
        </w:rPr>
        <w:t>DECLARE</w:t>
      </w:r>
      <w:r w:rsidRPr="00130A96">
        <w:t>) metu lygintas 10</w:t>
      </w:r>
      <w:r w:rsidR="00873FCC">
        <w:t> mg</w:t>
      </w:r>
      <w:r w:rsidRPr="00130A96">
        <w:t xml:space="preserve"> dapagliflozino ir placebo poveikis kardiovaskulinėms ir inkstų komplikacijoms 17</w:t>
      </w:r>
      <w:r w:rsidR="008945F8">
        <w:t> </w:t>
      </w:r>
      <w:r w:rsidRPr="00130A96">
        <w:t>160</w:t>
      </w:r>
      <w:r w:rsidR="008945F8">
        <w:t> </w:t>
      </w:r>
      <w:r w:rsidRPr="00130A96">
        <w:t>pacientų, kurie sirgo 2</w:t>
      </w:r>
      <w:r w:rsidR="00873FCC">
        <w:t> tipo</w:t>
      </w:r>
      <w:r w:rsidRPr="00130A96">
        <w:t xml:space="preserve"> cukriniu diabetu ir sirgo arba nesirgo kardiovaskulinėmis ligomis.</w:t>
      </w:r>
    </w:p>
    <w:p w14:paraId="6D86925C" w14:textId="77777777" w:rsidR="00C0147E" w:rsidRPr="00130A96" w:rsidRDefault="00C0147E" w:rsidP="00130A96">
      <w:pPr>
        <w:pStyle w:val="Pagrindinistekstas"/>
      </w:pPr>
    </w:p>
    <w:p w14:paraId="035872B7" w14:textId="77777777" w:rsidR="00730FC5" w:rsidRDefault="001175EF" w:rsidP="00130A96">
      <w:pPr>
        <w:jc w:val="both"/>
        <w:rPr>
          <w:i/>
        </w:rPr>
      </w:pPr>
      <w:proofErr w:type="spellStart"/>
      <w:r w:rsidRPr="00130A96">
        <w:rPr>
          <w:i/>
          <w:u w:val="single"/>
        </w:rPr>
        <w:t>Glikemijos</w:t>
      </w:r>
      <w:proofErr w:type="spellEnd"/>
      <w:r w:rsidRPr="00130A96">
        <w:rPr>
          <w:i/>
          <w:u w:val="single"/>
        </w:rPr>
        <w:t xml:space="preserve"> kontrolė</w:t>
      </w:r>
    </w:p>
    <w:p w14:paraId="6D86925D" w14:textId="4E4D3789" w:rsidR="00C0147E" w:rsidRPr="00130A96" w:rsidRDefault="001175EF" w:rsidP="00130A96">
      <w:pPr>
        <w:jc w:val="both"/>
        <w:rPr>
          <w:i/>
        </w:rPr>
      </w:pPr>
      <w:proofErr w:type="spellStart"/>
      <w:r w:rsidRPr="00130A96">
        <w:rPr>
          <w:i/>
        </w:rPr>
        <w:t>Monoterapija</w:t>
      </w:r>
      <w:proofErr w:type="spellEnd"/>
    </w:p>
    <w:p w14:paraId="6D86925E" w14:textId="2905BCB4" w:rsidR="00C0147E" w:rsidRDefault="001175EF" w:rsidP="00C97FA9">
      <w:pPr>
        <w:pStyle w:val="Pagrindinistekstas"/>
      </w:pPr>
      <w:r w:rsidRPr="00130A96">
        <w:t xml:space="preserve">Atliktas dvigubai </w:t>
      </w:r>
      <w:r w:rsidR="00C97FA9">
        <w:t>koduotas</w:t>
      </w:r>
      <w:r w:rsidRPr="00130A96">
        <w:t xml:space="preserve"> placebu kontroliuojamas 24</w:t>
      </w:r>
      <w:r w:rsidR="00C97FA9">
        <w:t> </w:t>
      </w:r>
      <w:r w:rsidRPr="00130A96">
        <w:t xml:space="preserve">savaičių trukmės </w:t>
      </w:r>
      <w:r w:rsidR="002C6D04">
        <w:t>dapagliflozino</w:t>
      </w:r>
      <w:r w:rsidRPr="00130A96">
        <w:t xml:space="preserve"> </w:t>
      </w:r>
      <w:proofErr w:type="spellStart"/>
      <w:r w:rsidRPr="00130A96">
        <w:t>monoterapijos</w:t>
      </w:r>
      <w:proofErr w:type="spellEnd"/>
      <w:r w:rsidRPr="00130A96">
        <w:t xml:space="preserve"> saugumo ir veiksmingumo tinkamai nekontroliuojamu 2</w:t>
      </w:r>
      <w:r w:rsidR="00873FCC">
        <w:t> tipo</w:t>
      </w:r>
      <w:r w:rsidRPr="00130A96">
        <w:t xml:space="preserve"> cukriniu diabetu sergantiems asmenims tyrimas su tęstine faze. 1</w:t>
      </w:r>
      <w:r w:rsidR="007D7159">
        <w:t> </w:t>
      </w:r>
      <w:r w:rsidRPr="00130A96">
        <w:t xml:space="preserve">kartą per parą vartotas dapagliflozinas </w:t>
      </w:r>
      <w:r w:rsidR="007C0937">
        <w:t>lėmė</w:t>
      </w:r>
      <w:r w:rsidR="007C0937" w:rsidRPr="00130A96">
        <w:t xml:space="preserve"> </w:t>
      </w:r>
      <w:r w:rsidRPr="00130A96">
        <w:t>statisti</w:t>
      </w:r>
      <w:r w:rsidR="007C0937">
        <w:t>š</w:t>
      </w:r>
      <w:r w:rsidRPr="00130A96">
        <w:t xml:space="preserve">kai reikšmingą </w:t>
      </w:r>
      <w:r w:rsidR="00B61FCD">
        <w:br/>
      </w:r>
      <w:r w:rsidRPr="00130A96">
        <w:t xml:space="preserve">(p </w:t>
      </w:r>
      <w:r w:rsidR="00873FCC">
        <w:t>&lt; </w:t>
      </w:r>
      <w:r w:rsidRPr="00130A96">
        <w:t>0,0001) HbA1c koncentracijos sumažėjimą palyginus su placebu (2</w:t>
      </w:r>
      <w:r w:rsidR="007D7159">
        <w:t> </w:t>
      </w:r>
      <w:r w:rsidRPr="00130A96">
        <w:t>lentelė).</w:t>
      </w:r>
    </w:p>
    <w:p w14:paraId="6A1C751A" w14:textId="77777777" w:rsidR="00730FC5" w:rsidRPr="00130A96" w:rsidRDefault="00730FC5" w:rsidP="00C97FA9">
      <w:pPr>
        <w:pStyle w:val="Pagrindinistekstas"/>
      </w:pPr>
    </w:p>
    <w:p w14:paraId="6D86925F" w14:textId="5A8049E0" w:rsidR="00C0147E" w:rsidRPr="00130A96" w:rsidRDefault="001175EF" w:rsidP="00C97FA9">
      <w:pPr>
        <w:pStyle w:val="Pagrindinistekstas"/>
      </w:pPr>
      <w:r w:rsidRPr="00130A96">
        <w:t>Tęstinėje fazėje HbA1c koncentracija išliko sumažėjusi ir po 102</w:t>
      </w:r>
      <w:r w:rsidR="00667D4F">
        <w:t> </w:t>
      </w:r>
      <w:r w:rsidRPr="00130A96">
        <w:t>savaičių</w:t>
      </w:r>
      <w:r w:rsidR="00667D4F">
        <w:t xml:space="preserve"> (</w:t>
      </w:r>
      <w:r w:rsidR="00C52081" w:rsidRPr="00C52081">
        <w:t>koreguotas vidutinis pokytis nuo pradinio rodmens buvo -0,61 % ir -0,17 % atitinkamai 10 mg dapagliflozino ir placebo grupių pacientams</w:t>
      </w:r>
      <w:r w:rsidR="00C52081">
        <w:t>).</w:t>
      </w:r>
    </w:p>
    <w:p w14:paraId="0D92DBEA" w14:textId="77777777" w:rsidR="00C0147E" w:rsidRDefault="00C0147E" w:rsidP="00130A96">
      <w:pPr>
        <w:pStyle w:val="Pagrindinistekstas"/>
      </w:pPr>
    </w:p>
    <w:p w14:paraId="6D869261" w14:textId="224B6D75" w:rsidR="00C0147E" w:rsidRPr="00130A96" w:rsidRDefault="00730FC5" w:rsidP="00730FC5">
      <w:pPr>
        <w:pStyle w:val="Antrat2"/>
        <w:tabs>
          <w:tab w:val="left" w:pos="450"/>
        </w:tabs>
        <w:ind w:left="0"/>
      </w:pPr>
      <w:r>
        <w:lastRenderedPageBreak/>
        <w:t>2.</w:t>
      </w:r>
      <w:r w:rsidR="00EE4A02">
        <w:t> </w:t>
      </w:r>
      <w:r w:rsidR="001175EF" w:rsidRPr="00130A96">
        <w:t xml:space="preserve">lentelė. </w:t>
      </w:r>
      <w:r w:rsidR="00AE67DC" w:rsidRPr="008903EC">
        <w:t xml:space="preserve">Dapagliflozino </w:t>
      </w:r>
      <w:proofErr w:type="spellStart"/>
      <w:r w:rsidR="00AE67DC" w:rsidRPr="008903EC">
        <w:t>monoterapijos</w:t>
      </w:r>
      <w:proofErr w:type="spellEnd"/>
      <w:r w:rsidR="00AE67DC" w:rsidRPr="008903EC">
        <w:t xml:space="preserve"> placebo kontroliuojamo tyrimo 24 savaičių rezultatai</w:t>
      </w:r>
      <w:r w:rsidR="00AE67DC" w:rsidRPr="007C5D78">
        <w:t xml:space="preserve"> </w:t>
      </w:r>
      <w:r w:rsidR="001175EF" w:rsidRPr="00130A96">
        <w:t>(</w:t>
      </w:r>
      <w:proofErr w:type="spellStart"/>
      <w:r w:rsidR="001175EF" w:rsidRPr="00130A96">
        <w:t>LOCF</w:t>
      </w:r>
      <w:r w:rsidR="001175EF" w:rsidRPr="00130A96">
        <w:rPr>
          <w:vertAlign w:val="superscript"/>
        </w:rPr>
        <w:t>a</w:t>
      </w:r>
      <w:proofErr w:type="spellEnd"/>
      <w:r w:rsidR="001175EF" w:rsidRPr="00130A96">
        <w:t>)</w:t>
      </w:r>
    </w:p>
    <w:tbl>
      <w:tblPr>
        <w:tblW w:w="0" w:type="auto"/>
        <w:tblLayout w:type="fixed"/>
        <w:tblCellMar>
          <w:left w:w="0" w:type="dxa"/>
          <w:right w:w="0" w:type="dxa"/>
        </w:tblCellMar>
        <w:tblLook w:val="01E0" w:firstRow="1" w:lastRow="1" w:firstColumn="1" w:lastColumn="1" w:noHBand="0" w:noVBand="0"/>
      </w:tblPr>
      <w:tblGrid>
        <w:gridCol w:w="4281"/>
        <w:gridCol w:w="2454"/>
        <w:gridCol w:w="1913"/>
      </w:tblGrid>
      <w:tr w:rsidR="00C0147E" w:rsidRPr="00130A96" w14:paraId="6D869264" w14:textId="77777777" w:rsidTr="00730FC5">
        <w:trPr>
          <w:trHeight w:val="232"/>
        </w:trPr>
        <w:tc>
          <w:tcPr>
            <w:tcW w:w="8648" w:type="dxa"/>
            <w:gridSpan w:val="3"/>
          </w:tcPr>
          <w:p w14:paraId="6D869263" w14:textId="77777777" w:rsidR="00C0147E" w:rsidRPr="00130A96" w:rsidRDefault="001175EF" w:rsidP="00730FC5">
            <w:pPr>
              <w:pStyle w:val="TableParagraph"/>
              <w:ind w:left="4962"/>
              <w:jc w:val="center"/>
              <w:rPr>
                <w:b/>
              </w:rPr>
            </w:pPr>
            <w:proofErr w:type="spellStart"/>
            <w:r w:rsidRPr="00130A96">
              <w:rPr>
                <w:b/>
              </w:rPr>
              <w:t>Monoterapija</w:t>
            </w:r>
            <w:proofErr w:type="spellEnd"/>
          </w:p>
        </w:tc>
      </w:tr>
      <w:tr w:rsidR="00C0147E" w:rsidRPr="00130A96" w14:paraId="6D869268" w14:textId="77777777" w:rsidTr="00AF1803">
        <w:trPr>
          <w:trHeight w:val="230"/>
        </w:trPr>
        <w:tc>
          <w:tcPr>
            <w:tcW w:w="4281" w:type="dxa"/>
            <w:tcBorders>
              <w:top w:val="single" w:sz="4" w:space="0" w:color="000000"/>
            </w:tcBorders>
          </w:tcPr>
          <w:p w14:paraId="6D869265" w14:textId="77777777" w:rsidR="00C0147E" w:rsidRPr="00130A96" w:rsidRDefault="00C0147E" w:rsidP="00730FC5">
            <w:pPr>
              <w:pStyle w:val="TableParagraph"/>
            </w:pPr>
          </w:p>
        </w:tc>
        <w:tc>
          <w:tcPr>
            <w:tcW w:w="2454" w:type="dxa"/>
            <w:tcBorders>
              <w:top w:val="single" w:sz="4" w:space="0" w:color="000000"/>
            </w:tcBorders>
          </w:tcPr>
          <w:p w14:paraId="6D869266" w14:textId="6CC280F2" w:rsidR="00C0147E" w:rsidRPr="00130A96" w:rsidRDefault="001175EF" w:rsidP="00730FC5">
            <w:pPr>
              <w:pStyle w:val="TableParagraph"/>
              <w:jc w:val="center"/>
              <w:rPr>
                <w:b/>
              </w:rPr>
            </w:pPr>
            <w:r w:rsidRPr="00130A96">
              <w:rPr>
                <w:b/>
              </w:rPr>
              <w:t>10</w:t>
            </w:r>
            <w:r w:rsidR="00873FCC">
              <w:rPr>
                <w:b/>
              </w:rPr>
              <w:t> mg</w:t>
            </w:r>
            <w:r w:rsidRPr="00130A96">
              <w:rPr>
                <w:b/>
              </w:rPr>
              <w:t xml:space="preserve"> dapagliflozino</w:t>
            </w:r>
          </w:p>
        </w:tc>
        <w:tc>
          <w:tcPr>
            <w:tcW w:w="1913" w:type="dxa"/>
            <w:tcBorders>
              <w:top w:val="single" w:sz="4" w:space="0" w:color="000000"/>
            </w:tcBorders>
          </w:tcPr>
          <w:p w14:paraId="6D869267" w14:textId="77777777" w:rsidR="00C0147E" w:rsidRPr="00130A96" w:rsidRDefault="001175EF" w:rsidP="00730FC5">
            <w:pPr>
              <w:pStyle w:val="TableParagraph"/>
              <w:jc w:val="center"/>
              <w:rPr>
                <w:b/>
              </w:rPr>
            </w:pPr>
            <w:r w:rsidRPr="00130A96">
              <w:rPr>
                <w:b/>
              </w:rPr>
              <w:t>Placebas</w:t>
            </w:r>
          </w:p>
        </w:tc>
      </w:tr>
      <w:tr w:rsidR="00C0147E" w:rsidRPr="00130A96" w14:paraId="6D86926C" w14:textId="77777777" w:rsidTr="00AF1803">
        <w:trPr>
          <w:trHeight w:val="230"/>
        </w:trPr>
        <w:tc>
          <w:tcPr>
            <w:tcW w:w="4281" w:type="dxa"/>
            <w:tcBorders>
              <w:bottom w:val="single" w:sz="4" w:space="0" w:color="000000"/>
            </w:tcBorders>
          </w:tcPr>
          <w:p w14:paraId="6D869269" w14:textId="4F471E1A" w:rsidR="00C0147E" w:rsidRPr="00130A96" w:rsidRDefault="001175EF" w:rsidP="00730FC5">
            <w:pPr>
              <w:pStyle w:val="TableParagraph"/>
              <w:rPr>
                <w:b/>
              </w:rPr>
            </w:pPr>
            <w:proofErr w:type="spellStart"/>
            <w:r w:rsidRPr="00130A96">
              <w:rPr>
                <w:b/>
              </w:rPr>
              <w:t>N</w:t>
            </w:r>
            <w:r w:rsidRPr="00730FC5">
              <w:rPr>
                <w:b/>
                <w:vertAlign w:val="superscript"/>
              </w:rPr>
              <w:t>b</w:t>
            </w:r>
            <w:proofErr w:type="spellEnd"/>
          </w:p>
        </w:tc>
        <w:tc>
          <w:tcPr>
            <w:tcW w:w="2454" w:type="dxa"/>
            <w:tcBorders>
              <w:bottom w:val="single" w:sz="4" w:space="0" w:color="000000"/>
            </w:tcBorders>
          </w:tcPr>
          <w:p w14:paraId="6D86926A" w14:textId="77777777" w:rsidR="00C0147E" w:rsidRPr="00130A96" w:rsidRDefault="001175EF" w:rsidP="00730FC5">
            <w:pPr>
              <w:pStyle w:val="TableParagraph"/>
              <w:jc w:val="center"/>
            </w:pPr>
            <w:r w:rsidRPr="00130A96">
              <w:t>70</w:t>
            </w:r>
          </w:p>
        </w:tc>
        <w:tc>
          <w:tcPr>
            <w:tcW w:w="1913" w:type="dxa"/>
            <w:tcBorders>
              <w:bottom w:val="single" w:sz="4" w:space="0" w:color="000000"/>
            </w:tcBorders>
          </w:tcPr>
          <w:p w14:paraId="6D86926B" w14:textId="77777777" w:rsidR="00C0147E" w:rsidRPr="00130A96" w:rsidRDefault="001175EF" w:rsidP="00730FC5">
            <w:pPr>
              <w:pStyle w:val="TableParagraph"/>
              <w:jc w:val="center"/>
            </w:pPr>
            <w:r w:rsidRPr="00130A96">
              <w:t>75</w:t>
            </w:r>
          </w:p>
        </w:tc>
      </w:tr>
      <w:tr w:rsidR="00C0147E" w:rsidRPr="00130A96" w14:paraId="6D869273" w14:textId="77777777" w:rsidTr="00730FC5">
        <w:trPr>
          <w:trHeight w:val="484"/>
        </w:trPr>
        <w:tc>
          <w:tcPr>
            <w:tcW w:w="4281" w:type="dxa"/>
            <w:tcBorders>
              <w:top w:val="single" w:sz="4" w:space="0" w:color="000000"/>
            </w:tcBorders>
          </w:tcPr>
          <w:p w14:paraId="6D86926D" w14:textId="68B54D3B" w:rsidR="00C0147E" w:rsidRPr="00130A96" w:rsidRDefault="001175EF" w:rsidP="00730FC5">
            <w:pPr>
              <w:pStyle w:val="TableParagraph"/>
              <w:rPr>
                <w:b/>
              </w:rPr>
            </w:pPr>
            <w:r w:rsidRPr="00130A96">
              <w:rPr>
                <w:b/>
              </w:rPr>
              <w:t>HbA1c koncentracija (</w:t>
            </w:r>
            <w:r w:rsidR="00873FCC">
              <w:rPr>
                <w:b/>
              </w:rPr>
              <w:t> %</w:t>
            </w:r>
            <w:r w:rsidRPr="00130A96">
              <w:rPr>
                <w:b/>
              </w:rPr>
              <w:t>)</w:t>
            </w:r>
          </w:p>
          <w:p w14:paraId="6D86926E" w14:textId="65B87F26" w:rsidR="00C0147E" w:rsidRPr="003047C8" w:rsidRDefault="003047C8" w:rsidP="00730FC5">
            <w:pPr>
              <w:pStyle w:val="TableParagraph"/>
              <w:rPr>
                <w:b/>
                <w:bCs/>
              </w:rPr>
            </w:pPr>
            <w:r w:rsidRPr="003047C8">
              <w:rPr>
                <w:b/>
                <w:bCs/>
              </w:rPr>
              <w:t>Pradinis rodmuo</w:t>
            </w:r>
            <w:r w:rsidR="001175EF" w:rsidRPr="003047C8">
              <w:rPr>
                <w:b/>
                <w:bCs/>
              </w:rPr>
              <w:t xml:space="preserve"> (vidurkis)</w:t>
            </w:r>
          </w:p>
        </w:tc>
        <w:tc>
          <w:tcPr>
            <w:tcW w:w="2454" w:type="dxa"/>
            <w:tcBorders>
              <w:top w:val="single" w:sz="4" w:space="0" w:color="000000"/>
            </w:tcBorders>
          </w:tcPr>
          <w:p w14:paraId="6D86926F" w14:textId="77777777" w:rsidR="00C0147E" w:rsidRPr="00130A96" w:rsidRDefault="00C0147E" w:rsidP="00730FC5">
            <w:pPr>
              <w:pStyle w:val="TableParagraph"/>
              <w:jc w:val="center"/>
              <w:rPr>
                <w:b/>
              </w:rPr>
            </w:pPr>
          </w:p>
          <w:p w14:paraId="6D869270" w14:textId="77777777" w:rsidR="00C0147E" w:rsidRPr="00130A96" w:rsidRDefault="001175EF" w:rsidP="00730FC5">
            <w:pPr>
              <w:pStyle w:val="TableParagraph"/>
              <w:jc w:val="center"/>
            </w:pPr>
            <w:r w:rsidRPr="00130A96">
              <w:t>8,01</w:t>
            </w:r>
          </w:p>
        </w:tc>
        <w:tc>
          <w:tcPr>
            <w:tcW w:w="1913" w:type="dxa"/>
            <w:tcBorders>
              <w:top w:val="single" w:sz="4" w:space="0" w:color="000000"/>
            </w:tcBorders>
          </w:tcPr>
          <w:p w14:paraId="6D869271" w14:textId="77777777" w:rsidR="00C0147E" w:rsidRPr="00130A96" w:rsidRDefault="00C0147E" w:rsidP="00730FC5">
            <w:pPr>
              <w:pStyle w:val="TableParagraph"/>
              <w:jc w:val="center"/>
              <w:rPr>
                <w:b/>
              </w:rPr>
            </w:pPr>
          </w:p>
          <w:p w14:paraId="6D869272" w14:textId="77777777" w:rsidR="00C0147E" w:rsidRPr="00130A96" w:rsidRDefault="001175EF" w:rsidP="00730FC5">
            <w:pPr>
              <w:pStyle w:val="TableParagraph"/>
              <w:jc w:val="center"/>
            </w:pPr>
            <w:r w:rsidRPr="00130A96">
              <w:t>7,79</w:t>
            </w:r>
          </w:p>
        </w:tc>
      </w:tr>
      <w:tr w:rsidR="00C0147E" w:rsidRPr="00130A96" w14:paraId="6D869277" w14:textId="77777777" w:rsidTr="00730FC5">
        <w:trPr>
          <w:trHeight w:val="229"/>
        </w:trPr>
        <w:tc>
          <w:tcPr>
            <w:tcW w:w="4281" w:type="dxa"/>
          </w:tcPr>
          <w:p w14:paraId="6D869274" w14:textId="22062EDF" w:rsidR="00C0147E" w:rsidRPr="00130A96" w:rsidRDefault="00E701DB" w:rsidP="00E701DB">
            <w:pPr>
              <w:pStyle w:val="TableParagraph"/>
              <w:ind w:left="284"/>
            </w:pPr>
            <w:r>
              <w:t>P</w:t>
            </w:r>
            <w:r w:rsidR="001175EF" w:rsidRPr="00130A96">
              <w:t xml:space="preserve">okytis palyginus su </w:t>
            </w:r>
            <w:r>
              <w:t xml:space="preserve">pradiniu </w:t>
            </w:r>
            <w:proofErr w:type="spellStart"/>
            <w:r>
              <w:t>rodmeniu</w:t>
            </w:r>
            <w:r w:rsidR="001175EF" w:rsidRPr="00130A96">
              <w:rPr>
                <w:vertAlign w:val="superscript"/>
              </w:rPr>
              <w:t>c</w:t>
            </w:r>
            <w:proofErr w:type="spellEnd"/>
          </w:p>
        </w:tc>
        <w:tc>
          <w:tcPr>
            <w:tcW w:w="2454" w:type="dxa"/>
          </w:tcPr>
          <w:p w14:paraId="6D869275" w14:textId="77777777" w:rsidR="00C0147E" w:rsidRPr="00130A96" w:rsidRDefault="001175EF" w:rsidP="00730FC5">
            <w:pPr>
              <w:pStyle w:val="TableParagraph"/>
              <w:jc w:val="center"/>
            </w:pPr>
            <w:r w:rsidRPr="00130A96">
              <w:t>-0,89</w:t>
            </w:r>
          </w:p>
        </w:tc>
        <w:tc>
          <w:tcPr>
            <w:tcW w:w="1913" w:type="dxa"/>
          </w:tcPr>
          <w:p w14:paraId="6D869276" w14:textId="77777777" w:rsidR="00C0147E" w:rsidRPr="00130A96" w:rsidRDefault="001175EF" w:rsidP="00730FC5">
            <w:pPr>
              <w:pStyle w:val="TableParagraph"/>
              <w:jc w:val="center"/>
            </w:pPr>
            <w:r w:rsidRPr="00130A96">
              <w:t>-0,23</w:t>
            </w:r>
          </w:p>
        </w:tc>
      </w:tr>
      <w:tr w:rsidR="00C0147E" w:rsidRPr="00130A96" w14:paraId="6D86927D" w14:textId="77777777" w:rsidTr="00730FC5">
        <w:trPr>
          <w:trHeight w:val="459"/>
        </w:trPr>
        <w:tc>
          <w:tcPr>
            <w:tcW w:w="4281" w:type="dxa"/>
            <w:tcBorders>
              <w:bottom w:val="single" w:sz="4" w:space="0" w:color="000000"/>
            </w:tcBorders>
          </w:tcPr>
          <w:p w14:paraId="6D869278" w14:textId="6005F955" w:rsidR="00C0147E" w:rsidRPr="00130A96" w:rsidRDefault="00E701DB" w:rsidP="00E701DB">
            <w:pPr>
              <w:pStyle w:val="TableParagraph"/>
              <w:ind w:left="284"/>
            </w:pPr>
            <w:r>
              <w:t>S</w:t>
            </w:r>
            <w:r w:rsidR="001175EF" w:rsidRPr="00130A96">
              <w:t xml:space="preserve">kirtumas nuo </w:t>
            </w:r>
            <w:proofErr w:type="spellStart"/>
            <w:r w:rsidR="001175EF" w:rsidRPr="00130A96">
              <w:t>placebo</w:t>
            </w:r>
            <w:r w:rsidR="001175EF" w:rsidRPr="00130A96">
              <w:rPr>
                <w:vertAlign w:val="superscript"/>
              </w:rPr>
              <w:t>c</w:t>
            </w:r>
            <w:proofErr w:type="spellEnd"/>
          </w:p>
          <w:p w14:paraId="6D869279" w14:textId="5B9602ED" w:rsidR="00C0147E" w:rsidRPr="00130A96" w:rsidRDefault="001175EF" w:rsidP="00E701DB">
            <w:pPr>
              <w:pStyle w:val="TableParagraph"/>
              <w:ind w:left="284"/>
            </w:pPr>
            <w:r w:rsidRPr="00130A96">
              <w:t>(95</w:t>
            </w:r>
            <w:r w:rsidR="00873FCC">
              <w:t> %</w:t>
            </w:r>
            <w:r w:rsidRPr="00130A96">
              <w:t xml:space="preserve"> PI)</w:t>
            </w:r>
          </w:p>
        </w:tc>
        <w:tc>
          <w:tcPr>
            <w:tcW w:w="2454" w:type="dxa"/>
            <w:tcBorders>
              <w:bottom w:val="single" w:sz="4" w:space="0" w:color="000000"/>
            </w:tcBorders>
          </w:tcPr>
          <w:p w14:paraId="6D86927A" w14:textId="77777777" w:rsidR="00C0147E" w:rsidRPr="00130A96" w:rsidRDefault="001175EF" w:rsidP="00730FC5">
            <w:pPr>
              <w:pStyle w:val="TableParagraph"/>
              <w:jc w:val="center"/>
            </w:pPr>
            <w:r w:rsidRPr="00130A96">
              <w:t>-0,66</w:t>
            </w:r>
            <w:r w:rsidRPr="00130A96">
              <w:rPr>
                <w:vertAlign w:val="superscript"/>
              </w:rPr>
              <w:t>*</w:t>
            </w:r>
          </w:p>
          <w:p w14:paraId="6D86927B" w14:textId="77777777" w:rsidR="00C0147E" w:rsidRPr="00130A96" w:rsidRDefault="001175EF" w:rsidP="00730FC5">
            <w:pPr>
              <w:pStyle w:val="TableParagraph"/>
              <w:jc w:val="center"/>
            </w:pPr>
            <w:r w:rsidRPr="00130A96">
              <w:t>(-0,96, -0,36)</w:t>
            </w:r>
          </w:p>
        </w:tc>
        <w:tc>
          <w:tcPr>
            <w:tcW w:w="1913" w:type="dxa"/>
            <w:tcBorders>
              <w:bottom w:val="single" w:sz="4" w:space="0" w:color="000000"/>
            </w:tcBorders>
          </w:tcPr>
          <w:p w14:paraId="6D86927C" w14:textId="77777777" w:rsidR="00C0147E" w:rsidRPr="00130A96" w:rsidRDefault="00C0147E" w:rsidP="00730FC5">
            <w:pPr>
              <w:pStyle w:val="TableParagraph"/>
              <w:jc w:val="center"/>
            </w:pPr>
          </w:p>
        </w:tc>
      </w:tr>
      <w:tr w:rsidR="00C0147E" w:rsidRPr="00130A96" w14:paraId="6D869284" w14:textId="77777777" w:rsidTr="00730FC5">
        <w:trPr>
          <w:trHeight w:val="460"/>
        </w:trPr>
        <w:tc>
          <w:tcPr>
            <w:tcW w:w="4281" w:type="dxa"/>
            <w:tcBorders>
              <w:top w:val="single" w:sz="4" w:space="0" w:color="000000"/>
              <w:bottom w:val="single" w:sz="4" w:space="0" w:color="000000"/>
            </w:tcBorders>
          </w:tcPr>
          <w:p w14:paraId="6D86927E" w14:textId="7D960A25" w:rsidR="00C0147E" w:rsidRPr="00130A96" w:rsidRDefault="001175EF" w:rsidP="00730FC5">
            <w:pPr>
              <w:pStyle w:val="TableParagraph"/>
              <w:rPr>
                <w:b/>
              </w:rPr>
            </w:pPr>
            <w:r w:rsidRPr="00130A96">
              <w:rPr>
                <w:b/>
              </w:rPr>
              <w:t xml:space="preserve">Asmenys, kurių HbA1c </w:t>
            </w:r>
            <w:r w:rsidR="00E701DB" w:rsidRPr="00E701DB">
              <w:rPr>
                <w:b/>
              </w:rPr>
              <w:t>tapo</w:t>
            </w:r>
            <w:r w:rsidRPr="00E701DB">
              <w:rPr>
                <w:b/>
              </w:rPr>
              <w:t xml:space="preserve"> </w:t>
            </w:r>
            <w:r w:rsidR="00873FCC" w:rsidRPr="00E701DB">
              <w:rPr>
                <w:b/>
              </w:rPr>
              <w:t>&lt; </w:t>
            </w:r>
            <w:r w:rsidRPr="00E701DB">
              <w:rPr>
                <w:b/>
              </w:rPr>
              <w:t>7</w:t>
            </w:r>
            <w:r w:rsidR="00873FCC" w:rsidRPr="00E701DB">
              <w:rPr>
                <w:b/>
              </w:rPr>
              <w:t> %</w:t>
            </w:r>
          </w:p>
          <w:p w14:paraId="6D86927F" w14:textId="157B67FA" w:rsidR="00C0147E" w:rsidRPr="00130A96" w:rsidRDefault="00D64F2E" w:rsidP="00D64F2E">
            <w:pPr>
              <w:pStyle w:val="TableParagraph"/>
              <w:ind w:left="284"/>
            </w:pPr>
            <w:r>
              <w:t>K</w:t>
            </w:r>
            <w:r w:rsidR="001175EF" w:rsidRPr="00130A96">
              <w:t xml:space="preserve">oreguota pagal koncentraciją </w:t>
            </w:r>
            <w:r>
              <w:t>tyrimo pradžioje</w:t>
            </w:r>
          </w:p>
        </w:tc>
        <w:tc>
          <w:tcPr>
            <w:tcW w:w="2454" w:type="dxa"/>
            <w:tcBorders>
              <w:top w:val="single" w:sz="4" w:space="0" w:color="000000"/>
              <w:bottom w:val="single" w:sz="4" w:space="0" w:color="000000"/>
            </w:tcBorders>
          </w:tcPr>
          <w:p w14:paraId="6D869280" w14:textId="77777777" w:rsidR="00C0147E" w:rsidRPr="00130A96" w:rsidRDefault="00C0147E" w:rsidP="00730FC5">
            <w:pPr>
              <w:pStyle w:val="TableParagraph"/>
              <w:jc w:val="center"/>
              <w:rPr>
                <w:b/>
              </w:rPr>
            </w:pPr>
          </w:p>
          <w:p w14:paraId="6D869281" w14:textId="4FF91A4C" w:rsidR="00C0147E" w:rsidRPr="00130A96" w:rsidRDefault="001175EF" w:rsidP="00730FC5">
            <w:pPr>
              <w:pStyle w:val="TableParagraph"/>
              <w:jc w:val="center"/>
            </w:pPr>
            <w:r w:rsidRPr="00130A96">
              <w:t>50,8</w:t>
            </w:r>
            <w:r w:rsidRPr="00130A96">
              <w:rPr>
                <w:vertAlign w:val="superscript"/>
              </w:rPr>
              <w:t>§</w:t>
            </w:r>
          </w:p>
        </w:tc>
        <w:tc>
          <w:tcPr>
            <w:tcW w:w="1913" w:type="dxa"/>
            <w:tcBorders>
              <w:top w:val="single" w:sz="4" w:space="0" w:color="000000"/>
              <w:bottom w:val="single" w:sz="4" w:space="0" w:color="000000"/>
            </w:tcBorders>
          </w:tcPr>
          <w:p w14:paraId="6D869282" w14:textId="77777777" w:rsidR="00C0147E" w:rsidRPr="00130A96" w:rsidRDefault="00C0147E" w:rsidP="00730FC5">
            <w:pPr>
              <w:pStyle w:val="TableParagraph"/>
              <w:jc w:val="center"/>
              <w:rPr>
                <w:b/>
              </w:rPr>
            </w:pPr>
          </w:p>
          <w:p w14:paraId="6D869283" w14:textId="77777777" w:rsidR="00C0147E" w:rsidRPr="00130A96" w:rsidRDefault="001175EF" w:rsidP="00730FC5">
            <w:pPr>
              <w:pStyle w:val="TableParagraph"/>
              <w:jc w:val="center"/>
            </w:pPr>
            <w:r w:rsidRPr="00130A96">
              <w:t>31,6</w:t>
            </w:r>
          </w:p>
        </w:tc>
      </w:tr>
      <w:tr w:rsidR="00C0147E" w:rsidRPr="00130A96" w14:paraId="6D86928B" w14:textId="77777777" w:rsidTr="00730FC5">
        <w:trPr>
          <w:trHeight w:val="483"/>
        </w:trPr>
        <w:tc>
          <w:tcPr>
            <w:tcW w:w="4281" w:type="dxa"/>
            <w:tcBorders>
              <w:top w:val="single" w:sz="4" w:space="0" w:color="000000"/>
            </w:tcBorders>
          </w:tcPr>
          <w:p w14:paraId="6D869285" w14:textId="77777777" w:rsidR="00C0147E" w:rsidRPr="00130A96" w:rsidRDefault="001175EF" w:rsidP="00C443AD">
            <w:pPr>
              <w:pStyle w:val="TableParagraph"/>
              <w:rPr>
                <w:b/>
              </w:rPr>
            </w:pPr>
            <w:r w:rsidRPr="00130A96">
              <w:rPr>
                <w:b/>
              </w:rPr>
              <w:t>Kūno svoris (kg)</w:t>
            </w:r>
          </w:p>
          <w:p w14:paraId="6D869286" w14:textId="0C7B2972" w:rsidR="00C0147E" w:rsidRPr="00130A96" w:rsidRDefault="00D64F2E" w:rsidP="00D64F2E">
            <w:pPr>
              <w:pStyle w:val="TableParagraph"/>
              <w:ind w:left="284"/>
            </w:pPr>
            <w:r w:rsidRPr="00D64F2E">
              <w:t>Pradinis rodmuo (vidurkis)</w:t>
            </w:r>
          </w:p>
        </w:tc>
        <w:tc>
          <w:tcPr>
            <w:tcW w:w="2454" w:type="dxa"/>
            <w:tcBorders>
              <w:top w:val="single" w:sz="4" w:space="0" w:color="000000"/>
            </w:tcBorders>
          </w:tcPr>
          <w:p w14:paraId="6D869287" w14:textId="77777777" w:rsidR="00C0147E" w:rsidRPr="00130A96" w:rsidRDefault="00C0147E" w:rsidP="00730FC5">
            <w:pPr>
              <w:pStyle w:val="TableParagraph"/>
              <w:jc w:val="center"/>
              <w:rPr>
                <w:b/>
              </w:rPr>
            </w:pPr>
          </w:p>
          <w:p w14:paraId="6D869288" w14:textId="77777777" w:rsidR="00C0147E" w:rsidRPr="00130A96" w:rsidRDefault="001175EF" w:rsidP="00730FC5">
            <w:pPr>
              <w:pStyle w:val="TableParagraph"/>
              <w:jc w:val="center"/>
            </w:pPr>
            <w:r w:rsidRPr="00130A96">
              <w:t>94,13</w:t>
            </w:r>
          </w:p>
        </w:tc>
        <w:tc>
          <w:tcPr>
            <w:tcW w:w="1913" w:type="dxa"/>
            <w:tcBorders>
              <w:top w:val="single" w:sz="4" w:space="0" w:color="000000"/>
            </w:tcBorders>
          </w:tcPr>
          <w:p w14:paraId="6D869289" w14:textId="77777777" w:rsidR="00C0147E" w:rsidRPr="00130A96" w:rsidRDefault="00C0147E" w:rsidP="00730FC5">
            <w:pPr>
              <w:pStyle w:val="TableParagraph"/>
              <w:jc w:val="center"/>
              <w:rPr>
                <w:b/>
              </w:rPr>
            </w:pPr>
          </w:p>
          <w:p w14:paraId="6D86928A" w14:textId="77777777" w:rsidR="00C0147E" w:rsidRPr="00130A96" w:rsidRDefault="001175EF" w:rsidP="00730FC5">
            <w:pPr>
              <w:pStyle w:val="TableParagraph"/>
              <w:jc w:val="center"/>
            </w:pPr>
            <w:r w:rsidRPr="00130A96">
              <w:t>88,77</w:t>
            </w:r>
          </w:p>
        </w:tc>
      </w:tr>
      <w:tr w:rsidR="00C0147E" w:rsidRPr="00130A96" w14:paraId="6D86928F" w14:textId="77777777" w:rsidTr="00730FC5">
        <w:trPr>
          <w:trHeight w:val="230"/>
        </w:trPr>
        <w:tc>
          <w:tcPr>
            <w:tcW w:w="4281" w:type="dxa"/>
          </w:tcPr>
          <w:p w14:paraId="6D86928C" w14:textId="44555DF7" w:rsidR="00C0147E" w:rsidRPr="00130A96" w:rsidRDefault="00D64F2E" w:rsidP="00D64F2E">
            <w:pPr>
              <w:pStyle w:val="TableParagraph"/>
              <w:ind w:left="284"/>
            </w:pPr>
            <w:r>
              <w:t>P</w:t>
            </w:r>
            <w:r w:rsidRPr="00130A96">
              <w:t xml:space="preserve">okytis palyginus su </w:t>
            </w:r>
            <w:r>
              <w:t xml:space="preserve">pradiniu </w:t>
            </w:r>
            <w:proofErr w:type="spellStart"/>
            <w:r>
              <w:t>rodmeniu</w:t>
            </w:r>
            <w:r w:rsidRPr="00130A96">
              <w:rPr>
                <w:vertAlign w:val="superscript"/>
              </w:rPr>
              <w:t>c</w:t>
            </w:r>
            <w:proofErr w:type="spellEnd"/>
          </w:p>
        </w:tc>
        <w:tc>
          <w:tcPr>
            <w:tcW w:w="2454" w:type="dxa"/>
          </w:tcPr>
          <w:p w14:paraId="6D86928D" w14:textId="77777777" w:rsidR="00C0147E" w:rsidRPr="00130A96" w:rsidRDefault="001175EF" w:rsidP="00730FC5">
            <w:pPr>
              <w:pStyle w:val="TableParagraph"/>
              <w:jc w:val="center"/>
            </w:pPr>
            <w:r w:rsidRPr="00130A96">
              <w:t>-3,16</w:t>
            </w:r>
          </w:p>
        </w:tc>
        <w:tc>
          <w:tcPr>
            <w:tcW w:w="1913" w:type="dxa"/>
          </w:tcPr>
          <w:p w14:paraId="6D86928E" w14:textId="77777777" w:rsidR="00C0147E" w:rsidRPr="00130A96" w:rsidRDefault="001175EF" w:rsidP="00730FC5">
            <w:pPr>
              <w:pStyle w:val="TableParagraph"/>
              <w:jc w:val="center"/>
            </w:pPr>
            <w:r w:rsidRPr="00130A96">
              <w:t>-2,19</w:t>
            </w:r>
          </w:p>
        </w:tc>
      </w:tr>
      <w:tr w:rsidR="00C0147E" w:rsidRPr="00130A96" w14:paraId="6D869295" w14:textId="77777777" w:rsidTr="00730FC5">
        <w:trPr>
          <w:trHeight w:val="459"/>
        </w:trPr>
        <w:tc>
          <w:tcPr>
            <w:tcW w:w="4281" w:type="dxa"/>
            <w:tcBorders>
              <w:bottom w:val="single" w:sz="8" w:space="0" w:color="000000"/>
            </w:tcBorders>
          </w:tcPr>
          <w:p w14:paraId="4814BC9F" w14:textId="77777777" w:rsidR="00D64F2E" w:rsidRPr="00130A96" w:rsidRDefault="00D64F2E" w:rsidP="00D64F2E">
            <w:pPr>
              <w:pStyle w:val="TableParagraph"/>
              <w:ind w:left="284"/>
            </w:pPr>
            <w:r>
              <w:t>S</w:t>
            </w:r>
            <w:r w:rsidRPr="00130A96">
              <w:t xml:space="preserve">kirtumas nuo </w:t>
            </w:r>
            <w:proofErr w:type="spellStart"/>
            <w:r w:rsidRPr="00130A96">
              <w:t>placebo</w:t>
            </w:r>
            <w:r w:rsidRPr="00130A96">
              <w:rPr>
                <w:vertAlign w:val="superscript"/>
              </w:rPr>
              <w:t>c</w:t>
            </w:r>
            <w:proofErr w:type="spellEnd"/>
          </w:p>
          <w:p w14:paraId="6D869291" w14:textId="04C794C7" w:rsidR="00C0147E" w:rsidRPr="00130A96" w:rsidRDefault="001175EF" w:rsidP="00D64F2E">
            <w:pPr>
              <w:pStyle w:val="TableParagraph"/>
              <w:ind w:left="284"/>
            </w:pPr>
            <w:r w:rsidRPr="00130A96">
              <w:t>(95</w:t>
            </w:r>
            <w:r w:rsidR="00873FCC">
              <w:t> %</w:t>
            </w:r>
            <w:r w:rsidRPr="00130A96">
              <w:t xml:space="preserve"> PI)</w:t>
            </w:r>
          </w:p>
        </w:tc>
        <w:tc>
          <w:tcPr>
            <w:tcW w:w="2454" w:type="dxa"/>
            <w:tcBorders>
              <w:bottom w:val="single" w:sz="8" w:space="0" w:color="000000"/>
            </w:tcBorders>
          </w:tcPr>
          <w:p w14:paraId="6D869292" w14:textId="77777777" w:rsidR="00C0147E" w:rsidRPr="00130A96" w:rsidRDefault="001175EF" w:rsidP="00730FC5">
            <w:pPr>
              <w:pStyle w:val="TableParagraph"/>
              <w:jc w:val="center"/>
            </w:pPr>
            <w:r w:rsidRPr="00130A96">
              <w:t>-0,97</w:t>
            </w:r>
          </w:p>
          <w:p w14:paraId="6D869293" w14:textId="77777777" w:rsidR="00C0147E" w:rsidRPr="00130A96" w:rsidRDefault="001175EF" w:rsidP="00730FC5">
            <w:pPr>
              <w:pStyle w:val="TableParagraph"/>
              <w:jc w:val="center"/>
            </w:pPr>
            <w:r w:rsidRPr="00130A96">
              <w:t>(-2,20, -0,25)</w:t>
            </w:r>
          </w:p>
        </w:tc>
        <w:tc>
          <w:tcPr>
            <w:tcW w:w="1913" w:type="dxa"/>
            <w:tcBorders>
              <w:bottom w:val="single" w:sz="8" w:space="0" w:color="000000"/>
            </w:tcBorders>
          </w:tcPr>
          <w:p w14:paraId="6D869294" w14:textId="77777777" w:rsidR="00C0147E" w:rsidRPr="00130A96" w:rsidRDefault="00C0147E" w:rsidP="00730FC5">
            <w:pPr>
              <w:pStyle w:val="TableParagraph"/>
              <w:jc w:val="center"/>
            </w:pPr>
          </w:p>
        </w:tc>
      </w:tr>
    </w:tbl>
    <w:p w14:paraId="26050F75" w14:textId="4ACBD933" w:rsidR="00E75CF6" w:rsidRPr="00121890" w:rsidRDefault="00E75CF6" w:rsidP="00E75CF6">
      <w:pPr>
        <w:pStyle w:val="TableParagraph"/>
        <w:rPr>
          <w:sz w:val="20"/>
          <w:szCs w:val="20"/>
        </w:rPr>
      </w:pPr>
      <w:r w:rsidRPr="00121890">
        <w:rPr>
          <w:sz w:val="20"/>
          <w:szCs w:val="20"/>
          <w:vertAlign w:val="superscript"/>
        </w:rPr>
        <w:t>a</w:t>
      </w:r>
      <w:r w:rsidRPr="00121890">
        <w:rPr>
          <w:sz w:val="20"/>
          <w:szCs w:val="20"/>
        </w:rPr>
        <w:t xml:space="preserve"> LOCF</w:t>
      </w:r>
      <w:r>
        <w:rPr>
          <w:sz w:val="20"/>
          <w:szCs w:val="20"/>
        </w:rPr>
        <w:t xml:space="preserve">: </w:t>
      </w:r>
      <w:r w:rsidRPr="00121890">
        <w:rPr>
          <w:sz w:val="20"/>
          <w:szCs w:val="20"/>
        </w:rPr>
        <w:t>paskutinė atlikta apžiūra (</w:t>
      </w:r>
      <w:r w:rsidR="00835FA6">
        <w:rPr>
          <w:sz w:val="20"/>
          <w:szCs w:val="20"/>
        </w:rPr>
        <w:t>prieš skubų gydymą pacientams, kuriems jo prireikė</w:t>
      </w:r>
      <w:r w:rsidRPr="00121890">
        <w:rPr>
          <w:sz w:val="20"/>
          <w:szCs w:val="20"/>
        </w:rPr>
        <w:t>).</w:t>
      </w:r>
    </w:p>
    <w:p w14:paraId="2B2ED4E5" w14:textId="79CEB859" w:rsidR="00E75CF6" w:rsidRPr="00121890" w:rsidRDefault="00E75CF6" w:rsidP="00744828">
      <w:pPr>
        <w:pStyle w:val="TableParagraph"/>
        <w:ind w:left="142" w:hanging="142"/>
        <w:rPr>
          <w:sz w:val="20"/>
          <w:szCs w:val="20"/>
        </w:rPr>
      </w:pPr>
      <w:r w:rsidRPr="00121890">
        <w:rPr>
          <w:sz w:val="20"/>
          <w:szCs w:val="20"/>
          <w:vertAlign w:val="superscript"/>
        </w:rPr>
        <w:t>b</w:t>
      </w:r>
      <w:r w:rsidRPr="00121890">
        <w:rPr>
          <w:sz w:val="20"/>
          <w:szCs w:val="20"/>
        </w:rPr>
        <w:t xml:space="preserve"> Visi atsitiktinai atrinkti asmenys, pavartoję bent vieną dozę dvigubai </w:t>
      </w:r>
      <w:r w:rsidR="00AD6095">
        <w:rPr>
          <w:sz w:val="20"/>
          <w:szCs w:val="20"/>
        </w:rPr>
        <w:t>koduoto</w:t>
      </w:r>
      <w:r w:rsidRPr="00121890">
        <w:rPr>
          <w:sz w:val="20"/>
          <w:szCs w:val="20"/>
        </w:rPr>
        <w:t xml:space="preserve"> tyrimo </w:t>
      </w:r>
      <w:r w:rsidR="00EE07A7">
        <w:rPr>
          <w:sz w:val="20"/>
          <w:szCs w:val="20"/>
        </w:rPr>
        <w:t xml:space="preserve">vaistinio preparato </w:t>
      </w:r>
      <w:r w:rsidRPr="00121890">
        <w:rPr>
          <w:sz w:val="20"/>
          <w:szCs w:val="20"/>
        </w:rPr>
        <w:t xml:space="preserve">trumpu dvigubai </w:t>
      </w:r>
      <w:r w:rsidR="00AD6095">
        <w:rPr>
          <w:sz w:val="20"/>
          <w:szCs w:val="20"/>
        </w:rPr>
        <w:t>koduotu</w:t>
      </w:r>
      <w:r w:rsidRPr="00121890">
        <w:rPr>
          <w:sz w:val="20"/>
          <w:szCs w:val="20"/>
        </w:rPr>
        <w:t xml:space="preserve"> laikotarpiu.</w:t>
      </w:r>
    </w:p>
    <w:p w14:paraId="3EAA236B" w14:textId="4DE186B1" w:rsidR="00E75CF6" w:rsidRPr="00121890" w:rsidRDefault="00E75CF6" w:rsidP="00E75CF6">
      <w:pPr>
        <w:pStyle w:val="TableParagraph"/>
        <w:rPr>
          <w:sz w:val="20"/>
          <w:szCs w:val="20"/>
        </w:rPr>
      </w:pPr>
      <w:r w:rsidRPr="00121890">
        <w:rPr>
          <w:sz w:val="20"/>
          <w:szCs w:val="20"/>
          <w:vertAlign w:val="superscript"/>
        </w:rPr>
        <w:t>c</w:t>
      </w:r>
      <w:r w:rsidRPr="00121890">
        <w:rPr>
          <w:sz w:val="20"/>
          <w:szCs w:val="20"/>
        </w:rPr>
        <w:t xml:space="preserve"> Mažiausių kvadratų vidurkis, koreguotas pagal </w:t>
      </w:r>
      <w:r w:rsidR="00A909C5">
        <w:rPr>
          <w:sz w:val="20"/>
          <w:szCs w:val="20"/>
        </w:rPr>
        <w:t>pradinį rodmenį</w:t>
      </w:r>
      <w:r w:rsidRPr="00121890">
        <w:rPr>
          <w:sz w:val="20"/>
          <w:szCs w:val="20"/>
        </w:rPr>
        <w:t>.</w:t>
      </w:r>
    </w:p>
    <w:p w14:paraId="201D8BA0" w14:textId="64EA2658" w:rsidR="00E75CF6" w:rsidRPr="00121890" w:rsidRDefault="00E75CF6" w:rsidP="00E75CF6">
      <w:pPr>
        <w:pStyle w:val="TableParagraph"/>
        <w:rPr>
          <w:sz w:val="20"/>
          <w:szCs w:val="20"/>
        </w:rPr>
      </w:pPr>
      <w:r w:rsidRPr="00121890">
        <w:rPr>
          <w:sz w:val="20"/>
          <w:szCs w:val="20"/>
          <w:vertAlign w:val="superscript"/>
        </w:rPr>
        <w:t>*</w:t>
      </w:r>
      <w:r w:rsidRPr="00121890">
        <w:rPr>
          <w:sz w:val="20"/>
          <w:szCs w:val="20"/>
        </w:rPr>
        <w:t xml:space="preserve"> p </w:t>
      </w:r>
      <w:r w:rsidR="00361A86">
        <w:rPr>
          <w:sz w:val="20"/>
          <w:szCs w:val="20"/>
        </w:rPr>
        <w:t xml:space="preserve">rodiklis </w:t>
      </w:r>
      <w:r w:rsidRPr="00121890">
        <w:rPr>
          <w:sz w:val="20"/>
          <w:szCs w:val="20"/>
        </w:rPr>
        <w:t>&lt; 0,0001 plg. su placebu.</w:t>
      </w:r>
    </w:p>
    <w:p w14:paraId="6D86929C" w14:textId="1F42578E" w:rsidR="00C0147E" w:rsidRDefault="00E75CF6" w:rsidP="00E75CF6">
      <w:pPr>
        <w:pStyle w:val="Pagrindinistekstas"/>
        <w:rPr>
          <w:sz w:val="20"/>
          <w:szCs w:val="20"/>
        </w:rPr>
      </w:pPr>
      <w:r w:rsidRPr="00121890">
        <w:rPr>
          <w:sz w:val="20"/>
          <w:szCs w:val="20"/>
          <w:vertAlign w:val="superscript"/>
        </w:rPr>
        <w:t>§</w:t>
      </w:r>
      <w:r w:rsidRPr="00121890">
        <w:rPr>
          <w:sz w:val="20"/>
          <w:szCs w:val="20"/>
        </w:rPr>
        <w:t xml:space="preserve"> Statistinis reikšmingumas nevertintas dėl antrinių vertinamosios baigties rodiklių </w:t>
      </w:r>
      <w:r w:rsidR="009973D4">
        <w:rPr>
          <w:sz w:val="20"/>
          <w:szCs w:val="20"/>
        </w:rPr>
        <w:t>nuoseklios</w:t>
      </w:r>
      <w:r w:rsidRPr="00121890">
        <w:rPr>
          <w:sz w:val="20"/>
          <w:szCs w:val="20"/>
        </w:rPr>
        <w:t xml:space="preserve"> tyrimo procedūros.</w:t>
      </w:r>
    </w:p>
    <w:p w14:paraId="308C5C2E" w14:textId="77777777" w:rsidR="00E75CF6" w:rsidRPr="00130A96" w:rsidRDefault="00E75CF6" w:rsidP="00E75CF6">
      <w:pPr>
        <w:pStyle w:val="Pagrindinistekstas"/>
        <w:rPr>
          <w:b/>
        </w:rPr>
      </w:pPr>
    </w:p>
    <w:p w14:paraId="6D86929D" w14:textId="77777777" w:rsidR="00C0147E" w:rsidRPr="00130A96" w:rsidRDefault="001175EF" w:rsidP="00130A96">
      <w:pPr>
        <w:rPr>
          <w:i/>
        </w:rPr>
      </w:pPr>
      <w:r w:rsidRPr="00130A96">
        <w:rPr>
          <w:i/>
        </w:rPr>
        <w:t>Vartojimas kitų vaistinių preparatų poveikiui papildyti</w:t>
      </w:r>
    </w:p>
    <w:p w14:paraId="0CD5CFEC" w14:textId="4DDA32DC" w:rsidR="00464341" w:rsidRPr="00464341" w:rsidRDefault="001175EF" w:rsidP="00464341">
      <w:pPr>
        <w:pStyle w:val="Pagrindinistekstas"/>
      </w:pPr>
      <w:r w:rsidRPr="00130A96">
        <w:t>Atliktas 52</w:t>
      </w:r>
      <w:r w:rsidR="00A10673">
        <w:t> </w:t>
      </w:r>
      <w:r w:rsidRPr="00130A96">
        <w:t xml:space="preserve">savaičių, aktyviai kontroliuojamas, ne </w:t>
      </w:r>
      <w:r w:rsidR="007B197C">
        <w:t xml:space="preserve">mažesnio veiksmingumo </w:t>
      </w:r>
      <w:r w:rsidRPr="00130A96">
        <w:t>tyrimas su 52 ir 104</w:t>
      </w:r>
      <w:r w:rsidR="00A10673">
        <w:t> </w:t>
      </w:r>
      <w:r w:rsidRPr="00130A96">
        <w:t xml:space="preserve">savaičių tęstinėmis fazėmis asmenims, kurių </w:t>
      </w:r>
      <w:proofErr w:type="spellStart"/>
      <w:r w:rsidRPr="00130A96">
        <w:t>glikemija</w:t>
      </w:r>
      <w:proofErr w:type="spellEnd"/>
      <w:r w:rsidRPr="00130A96">
        <w:t xml:space="preserve"> nebuvo tinkamai kontroliuojama (HbA1 </w:t>
      </w:r>
      <w:r w:rsidR="00873FCC">
        <w:t>&gt; </w:t>
      </w:r>
      <w:r w:rsidRPr="00130A96">
        <w:t>6,5</w:t>
      </w:r>
      <w:r w:rsidR="00873FCC">
        <w:t> %</w:t>
      </w:r>
      <w:r w:rsidRPr="00130A96">
        <w:t xml:space="preserve"> ir</w:t>
      </w:r>
      <w:r w:rsidR="00AA5F57">
        <w:t xml:space="preserve"> </w:t>
      </w:r>
      <w:r w:rsidR="00D54BC0">
        <w:t>≤ </w:t>
      </w:r>
      <w:r w:rsidRPr="00130A96">
        <w:t>10</w:t>
      </w:r>
      <w:r w:rsidR="00873FCC">
        <w:t> %</w:t>
      </w:r>
      <w:r w:rsidR="005511D5">
        <w:t>)</w:t>
      </w:r>
      <w:r w:rsidRPr="00130A96">
        <w:t xml:space="preserve">, </w:t>
      </w:r>
      <w:r w:rsidR="00837B7B">
        <w:t xml:space="preserve">jo metu </w:t>
      </w:r>
      <w:r w:rsidRPr="00130A96">
        <w:t xml:space="preserve">lygintas </w:t>
      </w:r>
      <w:r w:rsidR="00837B7B">
        <w:t>dapagliflozino</w:t>
      </w:r>
      <w:r w:rsidRPr="00130A96">
        <w:t xml:space="preserve"> ir </w:t>
      </w:r>
      <w:proofErr w:type="spellStart"/>
      <w:r w:rsidRPr="00130A96">
        <w:t>sulfonilkarbamido</w:t>
      </w:r>
      <w:proofErr w:type="spellEnd"/>
      <w:r w:rsidRPr="00130A96">
        <w:t xml:space="preserve"> </w:t>
      </w:r>
      <w:proofErr w:type="spellStart"/>
      <w:r w:rsidRPr="00130A96">
        <w:t>glipizido</w:t>
      </w:r>
      <w:proofErr w:type="spellEnd"/>
      <w:r w:rsidRPr="00130A96">
        <w:t xml:space="preserve"> poveikis gydymui </w:t>
      </w:r>
      <w:proofErr w:type="spellStart"/>
      <w:r w:rsidRPr="00130A96">
        <w:t>metforminu</w:t>
      </w:r>
      <w:proofErr w:type="spellEnd"/>
      <w:r w:rsidRPr="00130A96">
        <w:t xml:space="preserve"> papildyti. Nustatyta, kad 52 savaites vartojus </w:t>
      </w:r>
      <w:r w:rsidR="00713029">
        <w:t>dapagliflozino</w:t>
      </w:r>
      <w:r w:rsidRPr="00130A96">
        <w:t xml:space="preserve"> vidutinis HbA1c koncentracijos, palyginus su buvusia tyrimo</w:t>
      </w:r>
      <w:r w:rsidR="002C0944">
        <w:t xml:space="preserve"> pradžioje</w:t>
      </w:r>
      <w:r w:rsidRPr="00130A96">
        <w:t xml:space="preserve">, sumažėjimas buvo panašus kaip vartojus </w:t>
      </w:r>
      <w:proofErr w:type="spellStart"/>
      <w:r w:rsidRPr="00130A96">
        <w:t>glipizid</w:t>
      </w:r>
      <w:r w:rsidR="00713029">
        <w:t>o</w:t>
      </w:r>
      <w:proofErr w:type="spellEnd"/>
      <w:r w:rsidRPr="00130A96">
        <w:t xml:space="preserve"> – tai rodo ne </w:t>
      </w:r>
      <w:r w:rsidR="00713029">
        <w:t>mažesnį veiksmingumą</w:t>
      </w:r>
      <w:r w:rsidRPr="00130A96">
        <w:t xml:space="preserve"> (3</w:t>
      </w:r>
      <w:r w:rsidR="00713029">
        <w:t> </w:t>
      </w:r>
      <w:r w:rsidRPr="00130A96">
        <w:t xml:space="preserve">lentelė). </w:t>
      </w:r>
      <w:r w:rsidR="00464341" w:rsidRPr="00464341">
        <w:t>104-ąją</w:t>
      </w:r>
      <w:r w:rsidR="00464341">
        <w:t> </w:t>
      </w:r>
      <w:r w:rsidR="00464341" w:rsidRPr="00464341">
        <w:t xml:space="preserve">savaitę dapagliflozino vartojusių pacientų koreguotos vidutinės HbA1c koncentracijos pokytis nuo pradinio rodmens buvo -0,32 %, o vartojusių </w:t>
      </w:r>
      <w:proofErr w:type="spellStart"/>
      <w:r w:rsidR="00464341" w:rsidRPr="00464341">
        <w:t>glipizido</w:t>
      </w:r>
      <w:proofErr w:type="spellEnd"/>
      <w:r w:rsidR="00464341" w:rsidRPr="00464341">
        <w:t xml:space="preserve"> </w:t>
      </w:r>
      <w:r w:rsidR="00464341">
        <w:t>-</w:t>
      </w:r>
      <w:r w:rsidR="00464341" w:rsidRPr="00464341">
        <w:t xml:space="preserve">0,14 %. Po 208 savaičių dapagliflozino grupės pacientų koreguotos vidutinės HbA1c koncentracijos pokytis nuo pradinio rodmens buvo -0,10 %, o </w:t>
      </w:r>
      <w:proofErr w:type="spellStart"/>
      <w:r w:rsidR="00464341" w:rsidRPr="00464341">
        <w:t>glipizido</w:t>
      </w:r>
      <w:proofErr w:type="spellEnd"/>
      <w:r w:rsidR="00464341" w:rsidRPr="00464341">
        <w:t xml:space="preserve"> grupėje</w:t>
      </w:r>
      <w:r w:rsidR="002108B7">
        <w:t xml:space="preserve"> -</w:t>
      </w:r>
      <w:r w:rsidR="00464341" w:rsidRPr="00464341">
        <w:t xml:space="preserve">0,20 %. Per 52, 104 ir 208 savaites bent vienas hipoglikemijos epizodas įvyko reikšmingai mažiau dapagliflozino (atitinkamai 3,5 %, 4,3 % ir 5,0 %) negu </w:t>
      </w:r>
      <w:proofErr w:type="spellStart"/>
      <w:r w:rsidR="00464341" w:rsidRPr="00464341">
        <w:t>glipizido</w:t>
      </w:r>
      <w:proofErr w:type="spellEnd"/>
      <w:r w:rsidR="00464341" w:rsidRPr="00464341">
        <w:t xml:space="preserve"> grupės asmenų (atitinkamai 40,8 %, 47,0 % ir 50,0 %). 104-ąją ir 208-ąją</w:t>
      </w:r>
      <w:r w:rsidR="002B3C63">
        <w:t> </w:t>
      </w:r>
      <w:r w:rsidR="00464341" w:rsidRPr="00464341">
        <w:t xml:space="preserve">savaitę tyrime atitinkamai buvo likę 56,2 % ir 39,7 % dapagliflozino bei 50,0 % ir 34,6 % </w:t>
      </w:r>
      <w:proofErr w:type="spellStart"/>
      <w:r w:rsidR="00464341" w:rsidRPr="00464341">
        <w:t>glipizido</w:t>
      </w:r>
      <w:proofErr w:type="spellEnd"/>
      <w:r w:rsidR="00464341" w:rsidRPr="00464341">
        <w:t xml:space="preserve"> grupės pacientų.</w:t>
      </w:r>
    </w:p>
    <w:p w14:paraId="409EE0C0" w14:textId="77777777" w:rsidR="00464341" w:rsidRDefault="00464341" w:rsidP="00464341">
      <w:pPr>
        <w:pStyle w:val="Pagrindinistekstas"/>
      </w:pPr>
    </w:p>
    <w:p w14:paraId="6D8692A0" w14:textId="29CE99B2" w:rsidR="00C0147E" w:rsidRPr="000E7B3C" w:rsidRDefault="00AA5F57" w:rsidP="00464341">
      <w:pPr>
        <w:pStyle w:val="Pagrindinistekstas"/>
        <w:rPr>
          <w:b/>
          <w:bCs/>
        </w:rPr>
      </w:pPr>
      <w:r w:rsidRPr="000E7B3C">
        <w:rPr>
          <w:b/>
          <w:bCs/>
        </w:rPr>
        <w:t>3.</w:t>
      </w:r>
      <w:r w:rsidR="002B3C63" w:rsidRPr="000E7B3C">
        <w:rPr>
          <w:b/>
          <w:bCs/>
        </w:rPr>
        <w:t> </w:t>
      </w:r>
      <w:r w:rsidR="001175EF" w:rsidRPr="000E7B3C">
        <w:rPr>
          <w:b/>
          <w:bCs/>
        </w:rPr>
        <w:t xml:space="preserve">lentelė. </w:t>
      </w:r>
      <w:r w:rsidR="00DA7851" w:rsidRPr="008903EC">
        <w:rPr>
          <w:b/>
        </w:rPr>
        <w:t xml:space="preserve">Dapagliflozino ir </w:t>
      </w:r>
      <w:proofErr w:type="spellStart"/>
      <w:r w:rsidR="00DA7851" w:rsidRPr="008903EC">
        <w:rPr>
          <w:b/>
        </w:rPr>
        <w:t>glipizido</w:t>
      </w:r>
      <w:proofErr w:type="spellEnd"/>
      <w:r w:rsidR="00DA7851" w:rsidRPr="008903EC">
        <w:rPr>
          <w:b/>
        </w:rPr>
        <w:t xml:space="preserve">, kaip papildomo gydymo kartu su </w:t>
      </w:r>
      <w:proofErr w:type="spellStart"/>
      <w:r w:rsidR="00DA7851" w:rsidRPr="008903EC">
        <w:rPr>
          <w:b/>
        </w:rPr>
        <w:t>metforminu</w:t>
      </w:r>
      <w:proofErr w:type="spellEnd"/>
      <w:r w:rsidR="00DA7851" w:rsidRPr="008903EC">
        <w:rPr>
          <w:b/>
        </w:rPr>
        <w:t>, palyginamojo aktyviai kontroliuojamo tyrimo 52 savaičių rezultatai</w:t>
      </w:r>
      <w:r w:rsidR="00DA7851">
        <w:t xml:space="preserve"> </w:t>
      </w:r>
      <w:r w:rsidR="001175EF" w:rsidRPr="000E7B3C">
        <w:rPr>
          <w:b/>
          <w:bCs/>
        </w:rPr>
        <w:t>(</w:t>
      </w:r>
      <w:proofErr w:type="spellStart"/>
      <w:r w:rsidR="001175EF" w:rsidRPr="000E7B3C">
        <w:rPr>
          <w:b/>
          <w:bCs/>
        </w:rPr>
        <w:t>LOCF</w:t>
      </w:r>
      <w:r w:rsidR="001175EF" w:rsidRPr="000E7B3C">
        <w:rPr>
          <w:b/>
          <w:bCs/>
          <w:vertAlign w:val="superscript"/>
        </w:rPr>
        <w:t>a</w:t>
      </w:r>
      <w:proofErr w:type="spellEnd"/>
      <w:r w:rsidR="001175EF" w:rsidRPr="000E7B3C">
        <w:rPr>
          <w:b/>
          <w:bCs/>
        </w:rPr>
        <w:t xml:space="preserve">) </w:t>
      </w:r>
    </w:p>
    <w:tbl>
      <w:tblPr>
        <w:tblW w:w="0" w:type="auto"/>
        <w:tblLayout w:type="fixed"/>
        <w:tblCellMar>
          <w:left w:w="0" w:type="dxa"/>
          <w:right w:w="0" w:type="dxa"/>
        </w:tblCellMar>
        <w:tblLook w:val="01E0" w:firstRow="1" w:lastRow="1" w:firstColumn="1" w:lastColumn="1" w:noHBand="0" w:noVBand="0"/>
      </w:tblPr>
      <w:tblGrid>
        <w:gridCol w:w="4047"/>
        <w:gridCol w:w="2057"/>
        <w:gridCol w:w="1895"/>
      </w:tblGrid>
      <w:tr w:rsidR="00C0147E" w:rsidRPr="00130A96" w14:paraId="6D8692A5" w14:textId="77777777" w:rsidTr="00A071E0">
        <w:trPr>
          <w:trHeight w:val="460"/>
        </w:trPr>
        <w:tc>
          <w:tcPr>
            <w:tcW w:w="4047" w:type="dxa"/>
            <w:tcBorders>
              <w:top w:val="single" w:sz="12" w:space="0" w:color="000000"/>
              <w:bottom w:val="single" w:sz="4" w:space="0" w:color="000000"/>
            </w:tcBorders>
          </w:tcPr>
          <w:p w14:paraId="6D8692A1" w14:textId="77777777" w:rsidR="00C0147E" w:rsidRPr="00130A96" w:rsidRDefault="00C0147E" w:rsidP="00A071E0">
            <w:pPr>
              <w:pStyle w:val="TableParagraph"/>
              <w:rPr>
                <w:b/>
              </w:rPr>
            </w:pPr>
          </w:p>
          <w:p w14:paraId="6D8692A2" w14:textId="77777777" w:rsidR="00C0147E" w:rsidRPr="00130A96" w:rsidRDefault="001175EF" w:rsidP="00A071E0">
            <w:pPr>
              <w:pStyle w:val="TableParagraph"/>
              <w:rPr>
                <w:b/>
              </w:rPr>
            </w:pPr>
            <w:r w:rsidRPr="00130A96">
              <w:rPr>
                <w:b/>
              </w:rPr>
              <w:t>Rodiklis</w:t>
            </w:r>
          </w:p>
        </w:tc>
        <w:tc>
          <w:tcPr>
            <w:tcW w:w="2057" w:type="dxa"/>
            <w:tcBorders>
              <w:top w:val="single" w:sz="12" w:space="0" w:color="000000"/>
              <w:bottom w:val="single" w:sz="4" w:space="0" w:color="000000"/>
            </w:tcBorders>
          </w:tcPr>
          <w:p w14:paraId="6D8692A3" w14:textId="780A3187" w:rsidR="00C0147E" w:rsidRPr="00130A96" w:rsidRDefault="001175EF" w:rsidP="00A071E0">
            <w:pPr>
              <w:pStyle w:val="TableParagraph"/>
              <w:jc w:val="center"/>
              <w:rPr>
                <w:b/>
              </w:rPr>
            </w:pPr>
            <w:r w:rsidRPr="000E7B3C">
              <w:rPr>
                <w:b/>
              </w:rPr>
              <w:t xml:space="preserve">Dapagliflozinas </w:t>
            </w:r>
            <w:r w:rsidR="000E7B3C" w:rsidRPr="000E7B3C">
              <w:rPr>
                <w:b/>
              </w:rPr>
              <w:t>+</w:t>
            </w:r>
            <w:r w:rsidRPr="00130A96">
              <w:rPr>
                <w:b/>
              </w:rPr>
              <w:t xml:space="preserve"> </w:t>
            </w:r>
            <w:proofErr w:type="spellStart"/>
            <w:r w:rsidRPr="00130A96">
              <w:rPr>
                <w:b/>
              </w:rPr>
              <w:t>metforminas</w:t>
            </w:r>
            <w:proofErr w:type="spellEnd"/>
          </w:p>
        </w:tc>
        <w:tc>
          <w:tcPr>
            <w:tcW w:w="1895" w:type="dxa"/>
            <w:tcBorders>
              <w:top w:val="single" w:sz="12" w:space="0" w:color="000000"/>
              <w:bottom w:val="single" w:sz="4" w:space="0" w:color="000000"/>
            </w:tcBorders>
          </w:tcPr>
          <w:p w14:paraId="6D8692A4" w14:textId="4FD4345C" w:rsidR="00C0147E" w:rsidRPr="00130A96" w:rsidRDefault="001175EF" w:rsidP="00A071E0">
            <w:pPr>
              <w:pStyle w:val="TableParagraph"/>
              <w:jc w:val="center"/>
              <w:rPr>
                <w:b/>
              </w:rPr>
            </w:pPr>
            <w:proofErr w:type="spellStart"/>
            <w:r w:rsidRPr="00130A96">
              <w:rPr>
                <w:b/>
              </w:rPr>
              <w:t>Glipizidas</w:t>
            </w:r>
            <w:proofErr w:type="spellEnd"/>
            <w:r w:rsidRPr="00130A96">
              <w:rPr>
                <w:b/>
              </w:rPr>
              <w:t xml:space="preserve"> </w:t>
            </w:r>
            <w:r w:rsidR="000E7B3C">
              <w:rPr>
                <w:b/>
              </w:rPr>
              <w:t xml:space="preserve">+ </w:t>
            </w:r>
            <w:proofErr w:type="spellStart"/>
            <w:r w:rsidRPr="00130A96">
              <w:rPr>
                <w:b/>
              </w:rPr>
              <w:t>metforminas</w:t>
            </w:r>
            <w:proofErr w:type="spellEnd"/>
          </w:p>
        </w:tc>
      </w:tr>
      <w:tr w:rsidR="00C0147E" w:rsidRPr="00130A96" w14:paraId="6D8692A9" w14:textId="77777777" w:rsidTr="00A071E0">
        <w:trPr>
          <w:trHeight w:val="230"/>
        </w:trPr>
        <w:tc>
          <w:tcPr>
            <w:tcW w:w="4047" w:type="dxa"/>
            <w:tcBorders>
              <w:top w:val="single" w:sz="4" w:space="0" w:color="000000"/>
              <w:bottom w:val="single" w:sz="4" w:space="0" w:color="000000"/>
            </w:tcBorders>
          </w:tcPr>
          <w:p w14:paraId="6D8692A6" w14:textId="7FAECCBE" w:rsidR="00C0147E" w:rsidRPr="00130A96" w:rsidRDefault="001175EF" w:rsidP="00A071E0">
            <w:pPr>
              <w:pStyle w:val="TableParagraph"/>
            </w:pPr>
            <w:proofErr w:type="spellStart"/>
            <w:r w:rsidRPr="00130A96">
              <w:rPr>
                <w:b/>
              </w:rPr>
              <w:t>N</w:t>
            </w:r>
            <w:r w:rsidRPr="00A071E0">
              <w:rPr>
                <w:vertAlign w:val="superscript"/>
              </w:rPr>
              <w:t>b</w:t>
            </w:r>
            <w:proofErr w:type="spellEnd"/>
          </w:p>
        </w:tc>
        <w:tc>
          <w:tcPr>
            <w:tcW w:w="2057" w:type="dxa"/>
            <w:tcBorders>
              <w:top w:val="single" w:sz="4" w:space="0" w:color="000000"/>
              <w:bottom w:val="single" w:sz="4" w:space="0" w:color="000000"/>
            </w:tcBorders>
          </w:tcPr>
          <w:p w14:paraId="6D8692A7" w14:textId="77777777" w:rsidR="00C0147E" w:rsidRPr="00130A96" w:rsidRDefault="001175EF" w:rsidP="00A071E0">
            <w:pPr>
              <w:pStyle w:val="TableParagraph"/>
              <w:jc w:val="center"/>
            </w:pPr>
            <w:r w:rsidRPr="00130A96">
              <w:t>400</w:t>
            </w:r>
          </w:p>
        </w:tc>
        <w:tc>
          <w:tcPr>
            <w:tcW w:w="1895" w:type="dxa"/>
            <w:tcBorders>
              <w:top w:val="single" w:sz="4" w:space="0" w:color="000000"/>
              <w:bottom w:val="single" w:sz="4" w:space="0" w:color="000000"/>
            </w:tcBorders>
          </w:tcPr>
          <w:p w14:paraId="6D8692A8" w14:textId="77777777" w:rsidR="00C0147E" w:rsidRPr="00130A96" w:rsidRDefault="001175EF" w:rsidP="00A071E0">
            <w:pPr>
              <w:pStyle w:val="TableParagraph"/>
              <w:jc w:val="center"/>
            </w:pPr>
            <w:r w:rsidRPr="00130A96">
              <w:t>401</w:t>
            </w:r>
          </w:p>
        </w:tc>
      </w:tr>
      <w:tr w:rsidR="00C0147E" w:rsidRPr="00130A96" w14:paraId="6D8692B0" w14:textId="77777777" w:rsidTr="00A071E0">
        <w:trPr>
          <w:trHeight w:val="461"/>
        </w:trPr>
        <w:tc>
          <w:tcPr>
            <w:tcW w:w="4047" w:type="dxa"/>
            <w:tcBorders>
              <w:top w:val="single" w:sz="4" w:space="0" w:color="000000"/>
            </w:tcBorders>
          </w:tcPr>
          <w:p w14:paraId="6D8692AA" w14:textId="19D0B3B0" w:rsidR="00C0147E" w:rsidRPr="00130A96" w:rsidRDefault="001175EF" w:rsidP="00C443AD">
            <w:pPr>
              <w:pStyle w:val="TableParagraph"/>
              <w:rPr>
                <w:b/>
              </w:rPr>
            </w:pPr>
            <w:r w:rsidRPr="00130A96">
              <w:rPr>
                <w:b/>
              </w:rPr>
              <w:t>HbA1c koncentracija (</w:t>
            </w:r>
            <w:r w:rsidR="00873FCC">
              <w:rPr>
                <w:b/>
              </w:rPr>
              <w:t> %</w:t>
            </w:r>
            <w:r w:rsidRPr="00130A96">
              <w:rPr>
                <w:b/>
              </w:rPr>
              <w:t>)</w:t>
            </w:r>
          </w:p>
          <w:p w14:paraId="6D8692AB" w14:textId="0E6BF2EC" w:rsidR="00C0147E" w:rsidRPr="00130A96" w:rsidRDefault="00FB69EA" w:rsidP="00C443AD">
            <w:pPr>
              <w:pStyle w:val="TableParagraph"/>
              <w:tabs>
                <w:tab w:val="left" w:pos="285"/>
              </w:tabs>
              <w:ind w:left="142"/>
            </w:pPr>
            <w:r w:rsidRPr="00FB69EA">
              <w:t>Pradinis rodmuo (vidurkis)</w:t>
            </w:r>
          </w:p>
        </w:tc>
        <w:tc>
          <w:tcPr>
            <w:tcW w:w="2057" w:type="dxa"/>
            <w:tcBorders>
              <w:top w:val="single" w:sz="4" w:space="0" w:color="000000"/>
            </w:tcBorders>
          </w:tcPr>
          <w:p w14:paraId="6D8692AC" w14:textId="77777777" w:rsidR="00C0147E" w:rsidRPr="00130A96" w:rsidRDefault="00C0147E" w:rsidP="00A071E0">
            <w:pPr>
              <w:pStyle w:val="TableParagraph"/>
              <w:jc w:val="center"/>
              <w:rPr>
                <w:b/>
              </w:rPr>
            </w:pPr>
          </w:p>
          <w:p w14:paraId="6D8692AD" w14:textId="77777777" w:rsidR="00C0147E" w:rsidRPr="00130A96" w:rsidRDefault="001175EF" w:rsidP="00A071E0">
            <w:pPr>
              <w:pStyle w:val="TableParagraph"/>
              <w:jc w:val="center"/>
            </w:pPr>
            <w:r w:rsidRPr="00130A96">
              <w:t>7,69</w:t>
            </w:r>
          </w:p>
        </w:tc>
        <w:tc>
          <w:tcPr>
            <w:tcW w:w="1895" w:type="dxa"/>
            <w:tcBorders>
              <w:top w:val="single" w:sz="4" w:space="0" w:color="000000"/>
            </w:tcBorders>
          </w:tcPr>
          <w:p w14:paraId="6D8692AE" w14:textId="77777777" w:rsidR="00C0147E" w:rsidRPr="00130A96" w:rsidRDefault="00C0147E" w:rsidP="00A071E0">
            <w:pPr>
              <w:pStyle w:val="TableParagraph"/>
              <w:jc w:val="center"/>
              <w:rPr>
                <w:b/>
              </w:rPr>
            </w:pPr>
          </w:p>
          <w:p w14:paraId="6D8692AF" w14:textId="77777777" w:rsidR="00C0147E" w:rsidRPr="00130A96" w:rsidRDefault="001175EF" w:rsidP="00A071E0">
            <w:pPr>
              <w:pStyle w:val="TableParagraph"/>
              <w:jc w:val="center"/>
            </w:pPr>
            <w:r w:rsidRPr="00130A96">
              <w:t>7,74</w:t>
            </w:r>
          </w:p>
        </w:tc>
      </w:tr>
      <w:tr w:rsidR="00C0147E" w:rsidRPr="00130A96" w14:paraId="6D8692B4" w14:textId="77777777" w:rsidTr="00A071E0">
        <w:trPr>
          <w:trHeight w:val="234"/>
        </w:trPr>
        <w:tc>
          <w:tcPr>
            <w:tcW w:w="4047" w:type="dxa"/>
          </w:tcPr>
          <w:p w14:paraId="6D8692B1" w14:textId="01E83EC7" w:rsidR="00C0147E" w:rsidRPr="00130A96" w:rsidRDefault="00993158" w:rsidP="00C443AD">
            <w:pPr>
              <w:pStyle w:val="TableParagraph"/>
              <w:tabs>
                <w:tab w:val="left" w:pos="285"/>
              </w:tabs>
              <w:ind w:left="142"/>
            </w:pPr>
            <w:r w:rsidRPr="00993158">
              <w:t xml:space="preserve">Pokytis, palyginti su pradiniu </w:t>
            </w:r>
            <w:proofErr w:type="spellStart"/>
            <w:r w:rsidRPr="00993158">
              <w:t>rodmeniu</w:t>
            </w:r>
            <w:r w:rsidRPr="00993158">
              <w:rPr>
                <w:vertAlign w:val="superscript"/>
              </w:rPr>
              <w:t>c</w:t>
            </w:r>
            <w:proofErr w:type="spellEnd"/>
          </w:p>
        </w:tc>
        <w:tc>
          <w:tcPr>
            <w:tcW w:w="2057" w:type="dxa"/>
          </w:tcPr>
          <w:p w14:paraId="6D8692B2" w14:textId="77777777" w:rsidR="00C0147E" w:rsidRPr="00130A96" w:rsidRDefault="001175EF" w:rsidP="00A071E0">
            <w:pPr>
              <w:pStyle w:val="TableParagraph"/>
              <w:jc w:val="center"/>
            </w:pPr>
            <w:r w:rsidRPr="00130A96">
              <w:t>-0,52</w:t>
            </w:r>
          </w:p>
        </w:tc>
        <w:tc>
          <w:tcPr>
            <w:tcW w:w="1895" w:type="dxa"/>
          </w:tcPr>
          <w:p w14:paraId="6D8692B3" w14:textId="77777777" w:rsidR="00C0147E" w:rsidRPr="00130A96" w:rsidRDefault="001175EF" w:rsidP="00A071E0">
            <w:pPr>
              <w:pStyle w:val="TableParagraph"/>
              <w:jc w:val="center"/>
            </w:pPr>
            <w:r w:rsidRPr="00130A96">
              <w:t>-0,52</w:t>
            </w:r>
          </w:p>
        </w:tc>
      </w:tr>
      <w:tr w:rsidR="00C0147E" w:rsidRPr="00130A96" w14:paraId="6D8692BB" w14:textId="77777777" w:rsidTr="00A071E0">
        <w:trPr>
          <w:trHeight w:val="779"/>
        </w:trPr>
        <w:tc>
          <w:tcPr>
            <w:tcW w:w="4047" w:type="dxa"/>
            <w:tcBorders>
              <w:bottom w:val="single" w:sz="4" w:space="0" w:color="000000"/>
            </w:tcBorders>
          </w:tcPr>
          <w:p w14:paraId="1FE94CAD" w14:textId="7C0A4BB6" w:rsidR="00E92592" w:rsidRPr="00E92592" w:rsidRDefault="00E92592" w:rsidP="00C443AD">
            <w:pPr>
              <w:pStyle w:val="TableParagraph"/>
              <w:tabs>
                <w:tab w:val="left" w:pos="284"/>
              </w:tabs>
              <w:ind w:left="142"/>
              <w:rPr>
                <w:vertAlign w:val="superscript"/>
              </w:rPr>
            </w:pPr>
            <w:r w:rsidRPr="00E92592">
              <w:t xml:space="preserve">Skirtumas, palyginti su </w:t>
            </w:r>
            <w:proofErr w:type="spellStart"/>
            <w:r w:rsidRPr="00E92592">
              <w:t>glipizido</w:t>
            </w:r>
            <w:proofErr w:type="spellEnd"/>
            <w:r w:rsidRPr="00E92592">
              <w:t xml:space="preserve"> ir </w:t>
            </w:r>
            <w:proofErr w:type="spellStart"/>
            <w:r w:rsidRPr="00E92592">
              <w:t>metformino</w:t>
            </w:r>
            <w:proofErr w:type="spellEnd"/>
            <w:r w:rsidRPr="00E92592">
              <w:t xml:space="preserve"> derinio </w:t>
            </w:r>
            <w:proofErr w:type="spellStart"/>
            <w:r w:rsidRPr="00E92592">
              <w:t>poveikiu</w:t>
            </w:r>
            <w:r w:rsidRPr="00E92592">
              <w:rPr>
                <w:vertAlign w:val="superscript"/>
              </w:rPr>
              <w:t>c</w:t>
            </w:r>
            <w:proofErr w:type="spellEnd"/>
          </w:p>
          <w:p w14:paraId="6D8692B6" w14:textId="30DA2DBF" w:rsidR="00C0147E" w:rsidRPr="00130A96" w:rsidRDefault="001175EF" w:rsidP="00C443AD">
            <w:pPr>
              <w:pStyle w:val="TableParagraph"/>
              <w:ind w:left="142"/>
            </w:pPr>
            <w:r w:rsidRPr="00130A96">
              <w:t>(95</w:t>
            </w:r>
            <w:r w:rsidR="00873FCC">
              <w:t> %</w:t>
            </w:r>
            <w:r w:rsidRPr="00130A96">
              <w:t xml:space="preserve"> PI)</w:t>
            </w:r>
          </w:p>
        </w:tc>
        <w:tc>
          <w:tcPr>
            <w:tcW w:w="2057" w:type="dxa"/>
            <w:tcBorders>
              <w:bottom w:val="single" w:sz="4" w:space="0" w:color="000000"/>
            </w:tcBorders>
          </w:tcPr>
          <w:p w14:paraId="6D8692B7" w14:textId="77777777" w:rsidR="00C0147E" w:rsidRPr="00130A96" w:rsidRDefault="00C0147E" w:rsidP="00A071E0">
            <w:pPr>
              <w:pStyle w:val="TableParagraph"/>
              <w:jc w:val="center"/>
              <w:rPr>
                <w:b/>
              </w:rPr>
            </w:pPr>
          </w:p>
          <w:p w14:paraId="6D8692B8" w14:textId="3207926F" w:rsidR="00C0147E" w:rsidRPr="00130A96" w:rsidRDefault="001175EF" w:rsidP="00A071E0">
            <w:pPr>
              <w:pStyle w:val="TableParagraph"/>
              <w:jc w:val="center"/>
            </w:pPr>
            <w:r w:rsidRPr="00130A96">
              <w:t>0,00</w:t>
            </w:r>
            <w:r w:rsidRPr="00130A96">
              <w:rPr>
                <w:vertAlign w:val="superscript"/>
              </w:rPr>
              <w:t>d</w:t>
            </w:r>
          </w:p>
          <w:p w14:paraId="6D8692B9" w14:textId="77777777" w:rsidR="00C0147E" w:rsidRPr="00130A96" w:rsidRDefault="001175EF" w:rsidP="00A071E0">
            <w:pPr>
              <w:pStyle w:val="TableParagraph"/>
              <w:jc w:val="center"/>
            </w:pPr>
            <w:r w:rsidRPr="00130A96">
              <w:t>(-0,11, 0,11)</w:t>
            </w:r>
          </w:p>
        </w:tc>
        <w:tc>
          <w:tcPr>
            <w:tcW w:w="1895" w:type="dxa"/>
            <w:tcBorders>
              <w:bottom w:val="single" w:sz="4" w:space="0" w:color="000000"/>
            </w:tcBorders>
          </w:tcPr>
          <w:p w14:paraId="6D8692BA" w14:textId="77777777" w:rsidR="00C0147E" w:rsidRPr="00130A96" w:rsidRDefault="00C0147E" w:rsidP="00A071E0">
            <w:pPr>
              <w:pStyle w:val="TableParagraph"/>
              <w:jc w:val="center"/>
            </w:pPr>
          </w:p>
        </w:tc>
      </w:tr>
      <w:tr w:rsidR="00C0147E" w:rsidRPr="00130A96" w14:paraId="6D8692C2" w14:textId="77777777" w:rsidTr="00A071E0">
        <w:trPr>
          <w:trHeight w:val="461"/>
        </w:trPr>
        <w:tc>
          <w:tcPr>
            <w:tcW w:w="4047" w:type="dxa"/>
            <w:tcBorders>
              <w:top w:val="single" w:sz="4" w:space="0" w:color="000000"/>
            </w:tcBorders>
          </w:tcPr>
          <w:p w14:paraId="6D8692BC" w14:textId="77777777" w:rsidR="00C0147E" w:rsidRPr="00130A96" w:rsidRDefault="001175EF" w:rsidP="00C443AD">
            <w:pPr>
              <w:pStyle w:val="TableParagraph"/>
              <w:rPr>
                <w:b/>
              </w:rPr>
            </w:pPr>
            <w:r w:rsidRPr="00130A96">
              <w:rPr>
                <w:b/>
              </w:rPr>
              <w:t>Kūno svoris (kg)</w:t>
            </w:r>
          </w:p>
          <w:p w14:paraId="6D8692BD" w14:textId="6C016CC9" w:rsidR="00C0147E" w:rsidRPr="00130A96" w:rsidRDefault="00E92592" w:rsidP="00C443AD">
            <w:pPr>
              <w:pStyle w:val="TableParagraph"/>
              <w:tabs>
                <w:tab w:val="left" w:pos="284"/>
              </w:tabs>
              <w:ind w:left="142"/>
            </w:pPr>
            <w:r w:rsidRPr="00FB69EA">
              <w:t>Pradinis rodmuo (vidurkis)</w:t>
            </w:r>
          </w:p>
        </w:tc>
        <w:tc>
          <w:tcPr>
            <w:tcW w:w="2057" w:type="dxa"/>
            <w:tcBorders>
              <w:top w:val="single" w:sz="4" w:space="0" w:color="000000"/>
            </w:tcBorders>
          </w:tcPr>
          <w:p w14:paraId="6D8692BE" w14:textId="77777777" w:rsidR="00C0147E" w:rsidRPr="00130A96" w:rsidRDefault="00C0147E" w:rsidP="00A071E0">
            <w:pPr>
              <w:pStyle w:val="TableParagraph"/>
              <w:jc w:val="center"/>
              <w:rPr>
                <w:b/>
              </w:rPr>
            </w:pPr>
          </w:p>
          <w:p w14:paraId="6D8692BF" w14:textId="77777777" w:rsidR="00C0147E" w:rsidRPr="00130A96" w:rsidRDefault="001175EF" w:rsidP="00A071E0">
            <w:pPr>
              <w:pStyle w:val="TableParagraph"/>
              <w:jc w:val="center"/>
            </w:pPr>
            <w:r w:rsidRPr="00130A96">
              <w:t>88,44</w:t>
            </w:r>
          </w:p>
        </w:tc>
        <w:tc>
          <w:tcPr>
            <w:tcW w:w="1895" w:type="dxa"/>
            <w:tcBorders>
              <w:top w:val="single" w:sz="4" w:space="0" w:color="000000"/>
            </w:tcBorders>
          </w:tcPr>
          <w:p w14:paraId="6D8692C0" w14:textId="77777777" w:rsidR="00C0147E" w:rsidRPr="00130A96" w:rsidRDefault="00C0147E" w:rsidP="00A071E0">
            <w:pPr>
              <w:pStyle w:val="TableParagraph"/>
              <w:jc w:val="center"/>
              <w:rPr>
                <w:b/>
              </w:rPr>
            </w:pPr>
          </w:p>
          <w:p w14:paraId="6D8692C1" w14:textId="77777777" w:rsidR="00C0147E" w:rsidRPr="00130A96" w:rsidRDefault="001175EF" w:rsidP="00A071E0">
            <w:pPr>
              <w:pStyle w:val="TableParagraph"/>
              <w:jc w:val="center"/>
            </w:pPr>
            <w:r w:rsidRPr="00130A96">
              <w:t>87,60</w:t>
            </w:r>
          </w:p>
        </w:tc>
      </w:tr>
      <w:tr w:rsidR="00E92592" w:rsidRPr="00130A96" w14:paraId="6D8692C6" w14:textId="77777777" w:rsidTr="00A071E0">
        <w:trPr>
          <w:trHeight w:val="234"/>
        </w:trPr>
        <w:tc>
          <w:tcPr>
            <w:tcW w:w="4047" w:type="dxa"/>
          </w:tcPr>
          <w:p w14:paraId="6D8692C3" w14:textId="3CD98656" w:rsidR="00E92592" w:rsidRPr="00130A96" w:rsidRDefault="00E92592" w:rsidP="00C443AD">
            <w:pPr>
              <w:pStyle w:val="TableParagraph"/>
              <w:tabs>
                <w:tab w:val="left" w:pos="285"/>
              </w:tabs>
              <w:ind w:left="142"/>
            </w:pPr>
            <w:r w:rsidRPr="00993158">
              <w:t xml:space="preserve">Pokytis, palyginti su pradiniu </w:t>
            </w:r>
            <w:proofErr w:type="spellStart"/>
            <w:r w:rsidRPr="00993158">
              <w:t>rodmeniu</w:t>
            </w:r>
            <w:r w:rsidRPr="00993158">
              <w:rPr>
                <w:vertAlign w:val="superscript"/>
              </w:rPr>
              <w:t>c</w:t>
            </w:r>
            <w:proofErr w:type="spellEnd"/>
          </w:p>
        </w:tc>
        <w:tc>
          <w:tcPr>
            <w:tcW w:w="2057" w:type="dxa"/>
          </w:tcPr>
          <w:p w14:paraId="6D8692C4" w14:textId="77777777" w:rsidR="00E92592" w:rsidRPr="00130A96" w:rsidRDefault="00E92592" w:rsidP="00E92592">
            <w:pPr>
              <w:pStyle w:val="TableParagraph"/>
              <w:jc w:val="center"/>
            </w:pPr>
            <w:r w:rsidRPr="00130A96">
              <w:t>-3,22</w:t>
            </w:r>
          </w:p>
        </w:tc>
        <w:tc>
          <w:tcPr>
            <w:tcW w:w="1895" w:type="dxa"/>
          </w:tcPr>
          <w:p w14:paraId="6D8692C5" w14:textId="77777777" w:rsidR="00E92592" w:rsidRPr="00130A96" w:rsidRDefault="00E92592" w:rsidP="00E92592">
            <w:pPr>
              <w:pStyle w:val="TableParagraph"/>
              <w:jc w:val="center"/>
            </w:pPr>
            <w:r w:rsidRPr="00130A96">
              <w:t>1,44</w:t>
            </w:r>
          </w:p>
        </w:tc>
      </w:tr>
      <w:tr w:rsidR="00E92592" w:rsidRPr="00130A96" w14:paraId="6D8692CC" w14:textId="77777777" w:rsidTr="00A071E0">
        <w:trPr>
          <w:trHeight w:val="683"/>
        </w:trPr>
        <w:tc>
          <w:tcPr>
            <w:tcW w:w="4047" w:type="dxa"/>
            <w:tcBorders>
              <w:bottom w:val="single" w:sz="12" w:space="0" w:color="000000"/>
            </w:tcBorders>
          </w:tcPr>
          <w:p w14:paraId="1D7ABE73" w14:textId="77777777" w:rsidR="00E92592" w:rsidRPr="00E92592" w:rsidRDefault="00E92592" w:rsidP="00C443AD">
            <w:pPr>
              <w:pStyle w:val="TableParagraph"/>
              <w:tabs>
                <w:tab w:val="left" w:pos="284"/>
              </w:tabs>
              <w:ind w:left="142"/>
              <w:rPr>
                <w:vertAlign w:val="superscript"/>
              </w:rPr>
            </w:pPr>
            <w:r w:rsidRPr="00E92592">
              <w:lastRenderedPageBreak/>
              <w:t xml:space="preserve">Skirtumas, palyginti su </w:t>
            </w:r>
            <w:proofErr w:type="spellStart"/>
            <w:r w:rsidRPr="00E92592">
              <w:t>glipizido</w:t>
            </w:r>
            <w:proofErr w:type="spellEnd"/>
            <w:r w:rsidRPr="00E92592">
              <w:t xml:space="preserve"> ir </w:t>
            </w:r>
            <w:proofErr w:type="spellStart"/>
            <w:r w:rsidRPr="00E92592">
              <w:t>metformino</w:t>
            </w:r>
            <w:proofErr w:type="spellEnd"/>
            <w:r w:rsidRPr="00E92592">
              <w:t xml:space="preserve"> derinio </w:t>
            </w:r>
            <w:proofErr w:type="spellStart"/>
            <w:r w:rsidRPr="00E92592">
              <w:t>poveikiu</w:t>
            </w:r>
            <w:r w:rsidRPr="00E92592">
              <w:rPr>
                <w:vertAlign w:val="superscript"/>
              </w:rPr>
              <w:t>c</w:t>
            </w:r>
            <w:proofErr w:type="spellEnd"/>
          </w:p>
          <w:p w14:paraId="6D8692C8" w14:textId="08E91241" w:rsidR="00E92592" w:rsidRPr="00130A96" w:rsidRDefault="00E92592" w:rsidP="00C443AD">
            <w:pPr>
              <w:pStyle w:val="TableParagraph"/>
              <w:ind w:left="142"/>
            </w:pPr>
            <w:r w:rsidRPr="00130A96">
              <w:t>(95</w:t>
            </w:r>
            <w:r>
              <w:t> %</w:t>
            </w:r>
            <w:r w:rsidRPr="00130A96">
              <w:t xml:space="preserve"> PI)</w:t>
            </w:r>
          </w:p>
        </w:tc>
        <w:tc>
          <w:tcPr>
            <w:tcW w:w="2057" w:type="dxa"/>
            <w:tcBorders>
              <w:bottom w:val="single" w:sz="12" w:space="0" w:color="000000"/>
            </w:tcBorders>
          </w:tcPr>
          <w:p w14:paraId="662C88A2" w14:textId="77777777" w:rsidR="00580B74" w:rsidRDefault="00580B74" w:rsidP="00E92592">
            <w:pPr>
              <w:pStyle w:val="TableParagraph"/>
              <w:jc w:val="center"/>
            </w:pPr>
          </w:p>
          <w:p w14:paraId="6D8692C9" w14:textId="69F13935" w:rsidR="00E92592" w:rsidRPr="00130A96" w:rsidRDefault="00E92592" w:rsidP="00E92592">
            <w:pPr>
              <w:pStyle w:val="TableParagraph"/>
              <w:jc w:val="center"/>
            </w:pPr>
            <w:r w:rsidRPr="00130A96">
              <w:t>-4,65</w:t>
            </w:r>
            <w:r w:rsidRPr="00130A96">
              <w:rPr>
                <w:vertAlign w:val="superscript"/>
              </w:rPr>
              <w:t>*</w:t>
            </w:r>
          </w:p>
          <w:p w14:paraId="6D8692CA" w14:textId="77777777" w:rsidR="00E92592" w:rsidRPr="00130A96" w:rsidRDefault="00E92592" w:rsidP="00E92592">
            <w:pPr>
              <w:pStyle w:val="TableParagraph"/>
              <w:jc w:val="center"/>
            </w:pPr>
            <w:r w:rsidRPr="00130A96">
              <w:t>(-5,14, -4,17)</w:t>
            </w:r>
          </w:p>
        </w:tc>
        <w:tc>
          <w:tcPr>
            <w:tcW w:w="1895" w:type="dxa"/>
            <w:tcBorders>
              <w:bottom w:val="single" w:sz="12" w:space="0" w:color="000000"/>
            </w:tcBorders>
          </w:tcPr>
          <w:p w14:paraId="6D8692CB" w14:textId="77777777" w:rsidR="00E92592" w:rsidRPr="00130A96" w:rsidRDefault="00E92592" w:rsidP="00E92592">
            <w:pPr>
              <w:pStyle w:val="TableParagraph"/>
              <w:jc w:val="center"/>
            </w:pPr>
          </w:p>
        </w:tc>
      </w:tr>
    </w:tbl>
    <w:p w14:paraId="11C3C47D" w14:textId="7F53BECE" w:rsidR="00580B74" w:rsidRPr="000A21B5" w:rsidRDefault="00580B74" w:rsidP="00580B74">
      <w:pPr>
        <w:pStyle w:val="TableParagraph"/>
        <w:rPr>
          <w:sz w:val="20"/>
          <w:szCs w:val="20"/>
        </w:rPr>
      </w:pPr>
      <w:r w:rsidRPr="000A21B5">
        <w:rPr>
          <w:sz w:val="20"/>
          <w:szCs w:val="20"/>
          <w:vertAlign w:val="superscript"/>
        </w:rPr>
        <w:t>a</w:t>
      </w:r>
      <w:r w:rsidRPr="000A21B5">
        <w:rPr>
          <w:sz w:val="20"/>
          <w:szCs w:val="20"/>
        </w:rPr>
        <w:t xml:space="preserve"> LOCF</w:t>
      </w:r>
      <w:r w:rsidR="000A21B5">
        <w:rPr>
          <w:sz w:val="20"/>
          <w:szCs w:val="20"/>
        </w:rPr>
        <w:t xml:space="preserve">: </w:t>
      </w:r>
      <w:r w:rsidR="000A21B5" w:rsidRPr="00121890">
        <w:rPr>
          <w:sz w:val="20"/>
          <w:szCs w:val="20"/>
        </w:rPr>
        <w:t>paskutinė atlikta apžiūra</w:t>
      </w:r>
      <w:r w:rsidRPr="000A21B5">
        <w:rPr>
          <w:sz w:val="20"/>
          <w:szCs w:val="20"/>
        </w:rPr>
        <w:t>.</w:t>
      </w:r>
    </w:p>
    <w:p w14:paraId="1E55B3F9" w14:textId="77777777" w:rsidR="00580B74" w:rsidRPr="000A21B5" w:rsidRDefault="00580B74" w:rsidP="00BE5022">
      <w:pPr>
        <w:pStyle w:val="TableParagraph"/>
        <w:ind w:left="142" w:hanging="142"/>
        <w:rPr>
          <w:sz w:val="20"/>
          <w:szCs w:val="20"/>
        </w:rPr>
      </w:pPr>
      <w:r w:rsidRPr="000A21B5">
        <w:rPr>
          <w:sz w:val="20"/>
          <w:szCs w:val="20"/>
          <w:vertAlign w:val="superscript"/>
        </w:rPr>
        <w:t>b</w:t>
      </w:r>
      <w:r w:rsidRPr="000A21B5">
        <w:rPr>
          <w:sz w:val="20"/>
          <w:szCs w:val="20"/>
        </w:rPr>
        <w:t xml:space="preserve"> Atsitiktinai atrinkti ir gydyti asmenys, kuriems nurodyti veiksmingumo rodikliai tirti iki tyrimo ir bent kartą vėliau.</w:t>
      </w:r>
    </w:p>
    <w:p w14:paraId="58E612A6" w14:textId="2D382EE5" w:rsidR="00580B74" w:rsidRPr="000A21B5" w:rsidRDefault="00580B74" w:rsidP="00580B74">
      <w:pPr>
        <w:pStyle w:val="TableParagraph"/>
        <w:rPr>
          <w:sz w:val="20"/>
          <w:szCs w:val="20"/>
        </w:rPr>
      </w:pPr>
      <w:r w:rsidRPr="000A21B5">
        <w:rPr>
          <w:sz w:val="20"/>
          <w:szCs w:val="20"/>
          <w:vertAlign w:val="superscript"/>
        </w:rPr>
        <w:t>c</w:t>
      </w:r>
      <w:r w:rsidRPr="000A21B5">
        <w:rPr>
          <w:sz w:val="20"/>
          <w:szCs w:val="20"/>
        </w:rPr>
        <w:t xml:space="preserve"> Mažiausių kvadratų vidurkis, koreguotas pagal </w:t>
      </w:r>
      <w:r w:rsidR="005309FD">
        <w:rPr>
          <w:sz w:val="20"/>
          <w:szCs w:val="20"/>
        </w:rPr>
        <w:t>pradinį rodmenį</w:t>
      </w:r>
      <w:r w:rsidRPr="000A21B5">
        <w:rPr>
          <w:sz w:val="20"/>
          <w:szCs w:val="20"/>
        </w:rPr>
        <w:t>.</w:t>
      </w:r>
    </w:p>
    <w:p w14:paraId="0D66572E" w14:textId="77777777" w:rsidR="00580B74" w:rsidRPr="000A21B5" w:rsidRDefault="00580B74" w:rsidP="00580B74">
      <w:pPr>
        <w:pStyle w:val="TableParagraph"/>
        <w:rPr>
          <w:sz w:val="20"/>
          <w:szCs w:val="20"/>
        </w:rPr>
      </w:pPr>
      <w:r w:rsidRPr="000A21B5">
        <w:rPr>
          <w:sz w:val="20"/>
          <w:szCs w:val="20"/>
          <w:vertAlign w:val="superscript"/>
        </w:rPr>
        <w:t>d</w:t>
      </w:r>
      <w:r w:rsidRPr="000A21B5">
        <w:rPr>
          <w:sz w:val="20"/>
          <w:szCs w:val="20"/>
        </w:rPr>
        <w:t xml:space="preserve"> Poveikis ne prastesnis negu </w:t>
      </w:r>
      <w:proofErr w:type="spellStart"/>
      <w:r w:rsidRPr="000A21B5">
        <w:rPr>
          <w:sz w:val="20"/>
          <w:szCs w:val="20"/>
        </w:rPr>
        <w:t>glipizido</w:t>
      </w:r>
      <w:proofErr w:type="spellEnd"/>
      <w:r w:rsidRPr="000A21B5">
        <w:rPr>
          <w:sz w:val="20"/>
          <w:szCs w:val="20"/>
        </w:rPr>
        <w:t xml:space="preserve"> ir </w:t>
      </w:r>
      <w:proofErr w:type="spellStart"/>
      <w:r w:rsidRPr="000A21B5">
        <w:rPr>
          <w:sz w:val="20"/>
          <w:szCs w:val="20"/>
        </w:rPr>
        <w:t>metformino</w:t>
      </w:r>
      <w:proofErr w:type="spellEnd"/>
      <w:r w:rsidRPr="000A21B5">
        <w:rPr>
          <w:sz w:val="20"/>
          <w:szCs w:val="20"/>
        </w:rPr>
        <w:t xml:space="preserve"> derinio.</w:t>
      </w:r>
    </w:p>
    <w:p w14:paraId="09DA2B82" w14:textId="1F315817" w:rsidR="00580B74" w:rsidRPr="000A21B5" w:rsidRDefault="00580B74" w:rsidP="00580B74">
      <w:pPr>
        <w:pStyle w:val="Pagrindinistekstas"/>
        <w:rPr>
          <w:sz w:val="20"/>
          <w:szCs w:val="20"/>
        </w:rPr>
      </w:pPr>
      <w:r w:rsidRPr="000A21B5">
        <w:rPr>
          <w:sz w:val="20"/>
          <w:szCs w:val="20"/>
          <w:vertAlign w:val="superscript"/>
        </w:rPr>
        <w:t>*</w:t>
      </w:r>
      <w:r w:rsidRPr="000A21B5">
        <w:rPr>
          <w:sz w:val="20"/>
          <w:szCs w:val="20"/>
        </w:rPr>
        <w:t xml:space="preserve"> p</w:t>
      </w:r>
      <w:r w:rsidR="005309FD">
        <w:rPr>
          <w:sz w:val="20"/>
          <w:szCs w:val="20"/>
        </w:rPr>
        <w:t xml:space="preserve"> rodiklis</w:t>
      </w:r>
      <w:r w:rsidRPr="000A21B5">
        <w:rPr>
          <w:sz w:val="20"/>
          <w:szCs w:val="20"/>
        </w:rPr>
        <w:t xml:space="preserve"> &lt; 0,0001.</w:t>
      </w:r>
    </w:p>
    <w:p w14:paraId="6E37ACC2" w14:textId="77777777" w:rsidR="005309FD" w:rsidRDefault="005309FD" w:rsidP="00130A96">
      <w:pPr>
        <w:pStyle w:val="Pagrindinistekstas"/>
        <w:rPr>
          <w:sz w:val="20"/>
          <w:szCs w:val="20"/>
        </w:rPr>
      </w:pPr>
    </w:p>
    <w:p w14:paraId="6D8692DE" w14:textId="142D2508" w:rsidR="00C0147E" w:rsidRPr="005309FD" w:rsidRDefault="001175EF" w:rsidP="00130A96">
      <w:pPr>
        <w:pStyle w:val="Pagrindinistekstas"/>
      </w:pPr>
      <w:r w:rsidRPr="005309FD">
        <w:t>Dapagliflozin</w:t>
      </w:r>
      <w:r w:rsidR="00204465">
        <w:t>ą</w:t>
      </w:r>
      <w:r w:rsidRPr="005309FD">
        <w:t xml:space="preserve"> varto</w:t>
      </w:r>
      <w:r w:rsidR="00204465">
        <w:t>jant</w:t>
      </w:r>
      <w:r w:rsidRPr="005309FD">
        <w:t xml:space="preserve"> papildoma</w:t>
      </w:r>
      <w:r w:rsidR="00204465">
        <w:t>i</w:t>
      </w:r>
      <w:r w:rsidRPr="005309FD">
        <w:t xml:space="preserve"> su </w:t>
      </w:r>
      <w:proofErr w:type="spellStart"/>
      <w:r w:rsidRPr="005309FD">
        <w:t>metforminu</w:t>
      </w:r>
      <w:proofErr w:type="spellEnd"/>
      <w:r w:rsidRPr="005309FD">
        <w:t xml:space="preserve">, </w:t>
      </w:r>
      <w:proofErr w:type="spellStart"/>
      <w:r w:rsidRPr="005309FD">
        <w:t>glimepiridu</w:t>
      </w:r>
      <w:proofErr w:type="spellEnd"/>
      <w:r w:rsidRPr="005309FD">
        <w:t xml:space="preserve">, </w:t>
      </w:r>
      <w:proofErr w:type="spellStart"/>
      <w:r w:rsidRPr="005309FD">
        <w:t>metforminu</w:t>
      </w:r>
      <w:proofErr w:type="spellEnd"/>
      <w:r w:rsidRPr="005309FD">
        <w:t xml:space="preserve"> ir </w:t>
      </w:r>
      <w:proofErr w:type="spellStart"/>
      <w:r w:rsidRPr="005309FD">
        <w:t>sulfonilkarbamid</w:t>
      </w:r>
      <w:r w:rsidR="00674658">
        <w:t>o</w:t>
      </w:r>
      <w:proofErr w:type="spellEnd"/>
      <w:r w:rsidR="00674658">
        <w:t xml:space="preserve"> dariniais</w:t>
      </w:r>
      <w:r w:rsidRPr="005309FD">
        <w:t xml:space="preserve">, </w:t>
      </w:r>
      <w:proofErr w:type="spellStart"/>
      <w:r w:rsidRPr="005309FD">
        <w:t>sitagliptinu</w:t>
      </w:r>
      <w:proofErr w:type="spellEnd"/>
      <w:r w:rsidRPr="005309FD">
        <w:t xml:space="preserve"> (kartu dar vartojant </w:t>
      </w:r>
      <w:proofErr w:type="spellStart"/>
      <w:r w:rsidRPr="005309FD">
        <w:t>metformino</w:t>
      </w:r>
      <w:proofErr w:type="spellEnd"/>
      <w:r w:rsidRPr="005309FD">
        <w:t xml:space="preserve"> arba jo nevartojant) arba insulinu, </w:t>
      </w:r>
      <w:r w:rsidR="00674658">
        <w:t>lėmė</w:t>
      </w:r>
      <w:r w:rsidR="00674658" w:rsidRPr="005309FD">
        <w:t xml:space="preserve"> </w:t>
      </w:r>
      <w:r w:rsidRPr="005309FD">
        <w:t>statisti</w:t>
      </w:r>
      <w:r w:rsidR="00674658">
        <w:t>š</w:t>
      </w:r>
      <w:r w:rsidRPr="005309FD">
        <w:t xml:space="preserve">kai reikšmingą HbA1c koncentracijos po 24 savaičių sumažėjimą (palyginus su placebu, p </w:t>
      </w:r>
      <w:r w:rsidR="00873FCC" w:rsidRPr="005309FD">
        <w:t>&lt; </w:t>
      </w:r>
      <w:r w:rsidRPr="005309FD">
        <w:t>0,0001, žr. 4, 5 ir 6</w:t>
      </w:r>
      <w:r w:rsidR="00A61C47">
        <w:t> </w:t>
      </w:r>
      <w:r w:rsidRPr="005309FD">
        <w:t>lenteles).</w:t>
      </w:r>
    </w:p>
    <w:p w14:paraId="6D8692DF" w14:textId="77777777" w:rsidR="00C0147E" w:rsidRPr="00130A96" w:rsidRDefault="00C0147E" w:rsidP="00130A96">
      <w:pPr>
        <w:pStyle w:val="Pagrindinistekstas"/>
      </w:pPr>
    </w:p>
    <w:p w14:paraId="6D8692E1" w14:textId="30BBD700" w:rsidR="00C0147E" w:rsidRPr="00130A96" w:rsidRDefault="001175EF" w:rsidP="00130A96">
      <w:pPr>
        <w:pStyle w:val="Pagrindinistekstas"/>
      </w:pPr>
      <w:r w:rsidRPr="00130A96">
        <w:t xml:space="preserve">Poveikio gydymui </w:t>
      </w:r>
      <w:proofErr w:type="spellStart"/>
      <w:r w:rsidRPr="00130A96">
        <w:t>glimepiridu</w:t>
      </w:r>
      <w:proofErr w:type="spellEnd"/>
      <w:r w:rsidRPr="00130A96">
        <w:t xml:space="preserve"> ir insulinu papildyti tyrimų metu po 24</w:t>
      </w:r>
      <w:r w:rsidR="00A61C47">
        <w:t> </w:t>
      </w:r>
      <w:r w:rsidRPr="00130A96">
        <w:t xml:space="preserve">savaičių nustatytas HbA1c koncentracijos sumažėjimas </w:t>
      </w:r>
      <w:proofErr w:type="spellStart"/>
      <w:r w:rsidRPr="00130A96">
        <w:t>glimepirido</w:t>
      </w:r>
      <w:proofErr w:type="spellEnd"/>
      <w:r w:rsidRPr="00130A96">
        <w:t xml:space="preserve"> grupės pacientams buvo išlikęs ir po 48, o insulino grupės – ir po 104</w:t>
      </w:r>
      <w:r w:rsidR="00A61C47">
        <w:t> </w:t>
      </w:r>
      <w:r w:rsidRPr="00130A96">
        <w:t xml:space="preserve">savaičių. Poveikio gydymui </w:t>
      </w:r>
      <w:proofErr w:type="spellStart"/>
      <w:r w:rsidRPr="00130A96">
        <w:t>sitagliptinu</w:t>
      </w:r>
      <w:proofErr w:type="spellEnd"/>
      <w:r w:rsidRPr="00130A96">
        <w:t xml:space="preserve"> (kartu dar vartojant </w:t>
      </w:r>
      <w:proofErr w:type="spellStart"/>
      <w:r w:rsidRPr="00130A96">
        <w:t>metformino</w:t>
      </w:r>
      <w:proofErr w:type="spellEnd"/>
      <w:r w:rsidRPr="00130A96">
        <w:t xml:space="preserve"> arba jo nevartojant) papildyti tyrimo metu po 48</w:t>
      </w:r>
      <w:r w:rsidR="00AD41F0">
        <w:t> </w:t>
      </w:r>
      <w:r w:rsidRPr="00130A96">
        <w:t>savaičių 10</w:t>
      </w:r>
      <w:r w:rsidR="00873FCC">
        <w:t> mg</w:t>
      </w:r>
      <w:r w:rsidRPr="00130A96">
        <w:t xml:space="preserve"> dapagliflozino vartojusių pacientų koreguota vidutinė HbA1c koncentracija 0,30</w:t>
      </w:r>
      <w:r w:rsidR="00873FCC">
        <w:t> %</w:t>
      </w:r>
      <w:r w:rsidRPr="00130A96">
        <w:t xml:space="preserve"> buvo mažesnė, o vartojusių placeb</w:t>
      </w:r>
      <w:r w:rsidR="00164796">
        <w:t>o</w:t>
      </w:r>
      <w:r w:rsidRPr="00130A96">
        <w:t xml:space="preserve"> – 0,38</w:t>
      </w:r>
      <w:r w:rsidR="00873FCC">
        <w:t> %</w:t>
      </w:r>
      <w:r w:rsidRPr="00130A96">
        <w:t xml:space="preserve"> didesnė už pradinę.</w:t>
      </w:r>
      <w:r w:rsidR="00FF04F8">
        <w:t xml:space="preserve"> </w:t>
      </w:r>
      <w:r w:rsidRPr="00130A96">
        <w:t xml:space="preserve">Poveikio gydymui </w:t>
      </w:r>
      <w:proofErr w:type="spellStart"/>
      <w:r w:rsidRPr="00130A96">
        <w:t>metforminu</w:t>
      </w:r>
      <w:proofErr w:type="spellEnd"/>
      <w:r w:rsidRPr="00130A96">
        <w:t xml:space="preserve"> papildyti tyrimo metu HbA1c koncentracija išliko sumažėjusi ir po 102</w:t>
      </w:r>
      <w:r w:rsidR="00572430">
        <w:t> </w:t>
      </w:r>
      <w:r w:rsidRPr="00130A96">
        <w:t>savaičių (10</w:t>
      </w:r>
      <w:r w:rsidR="00873FCC">
        <w:t> mg</w:t>
      </w:r>
      <w:r w:rsidRPr="00130A96">
        <w:t xml:space="preserve"> dapagliflozino vartojusiems pacientams koreguotas vidutinis jos pokytis, palyginus su buvusia </w:t>
      </w:r>
      <w:r w:rsidR="00C9268F">
        <w:t>gydymo pradžioje</w:t>
      </w:r>
      <w:r w:rsidRPr="00130A96">
        <w:t>, buvo -0,78</w:t>
      </w:r>
      <w:r w:rsidR="00873FCC">
        <w:t> %</w:t>
      </w:r>
      <w:r w:rsidRPr="00130A96">
        <w:t>, o vartojusiems placeb</w:t>
      </w:r>
      <w:r w:rsidR="00C9268F">
        <w:t>o</w:t>
      </w:r>
      <w:r w:rsidRPr="00130A96">
        <w:t xml:space="preserve"> 0,02</w:t>
      </w:r>
      <w:r w:rsidR="00873FCC">
        <w:t> %</w:t>
      </w:r>
      <w:r w:rsidRPr="00130A96">
        <w:t>). 10</w:t>
      </w:r>
      <w:r w:rsidR="00873FCC">
        <w:t> mg</w:t>
      </w:r>
      <w:r w:rsidRPr="00130A96">
        <w:t xml:space="preserve"> dapagliflozino grupės pacientų, 104</w:t>
      </w:r>
      <w:r w:rsidR="00164796">
        <w:t> </w:t>
      </w:r>
      <w:r w:rsidRPr="00130A96">
        <w:t>savaites vartojusių insulin</w:t>
      </w:r>
      <w:r w:rsidR="00164796">
        <w:t>o</w:t>
      </w:r>
      <w:r w:rsidRPr="00130A96">
        <w:t xml:space="preserve"> kartu su geriamaisiais gliukozės koncentraciją mažinančiais vaistiniais preparatais arba be jų, koreguota vidutinė HbA1c koncentracija, palyginus su pradine, sumažėjo 0,71</w:t>
      </w:r>
      <w:r w:rsidR="00873FCC">
        <w:t> %</w:t>
      </w:r>
      <w:r w:rsidRPr="00130A96">
        <w:t>, o placebo grupės – 0,06</w:t>
      </w:r>
      <w:r w:rsidR="00873FCC">
        <w:t> %</w:t>
      </w:r>
      <w:r w:rsidRPr="00130A96">
        <w:t>. Po 48 ir 104</w:t>
      </w:r>
      <w:r w:rsidR="00270AAD">
        <w:t> </w:t>
      </w:r>
      <w:r w:rsidRPr="00130A96">
        <w:t>savaičių nustatyta, kad 10</w:t>
      </w:r>
      <w:r w:rsidR="00873FCC">
        <w:t> mg</w:t>
      </w:r>
      <w:r w:rsidRPr="00130A96">
        <w:t xml:space="preserve"> dapagliflozino vartojusiems pacientams insulino dozė, palyginus su pradine, išliko stabili (vidutiniškai 76</w:t>
      </w:r>
      <w:r w:rsidR="00270AAD">
        <w:t> </w:t>
      </w:r>
      <w:r w:rsidRPr="00130A96">
        <w:t>TV per parą). Placebo grupės pacientų vidutinė insulino paros dozė po 48</w:t>
      </w:r>
      <w:r w:rsidR="003A1E6C">
        <w:t> </w:t>
      </w:r>
      <w:r w:rsidRPr="00130A96">
        <w:t>savaičių buvo vidutiniškai 10,5</w:t>
      </w:r>
      <w:r w:rsidR="003A1E6C">
        <w:t> </w:t>
      </w:r>
      <w:r w:rsidRPr="00130A96">
        <w:t xml:space="preserve">TV, o po </w:t>
      </w:r>
      <w:r w:rsidRPr="003A1E6C">
        <w:t>104</w:t>
      </w:r>
      <w:r w:rsidR="003A1E6C">
        <w:t> </w:t>
      </w:r>
      <w:r w:rsidRPr="003A1E6C">
        <w:t>savaičių</w:t>
      </w:r>
      <w:r w:rsidRPr="00130A96">
        <w:t xml:space="preserve"> – vidutiniškai 18,3</w:t>
      </w:r>
      <w:r w:rsidR="003A1E6C">
        <w:t> </w:t>
      </w:r>
      <w:r w:rsidRPr="00130A96">
        <w:t>TV didesnė (vidutinės paros dozės vidurkis buvo atitinkamai 84</w:t>
      </w:r>
      <w:r w:rsidR="00FE1604">
        <w:t> </w:t>
      </w:r>
      <w:r w:rsidRPr="00130A96">
        <w:t>TV ir 92</w:t>
      </w:r>
      <w:r w:rsidR="00FE1604">
        <w:t> </w:t>
      </w:r>
      <w:r w:rsidRPr="00130A96">
        <w:t>TV). 104-ją</w:t>
      </w:r>
      <w:r w:rsidR="00FE1604">
        <w:t> </w:t>
      </w:r>
      <w:r w:rsidRPr="00130A96">
        <w:t>savaitę tyrime buvo likę 72,4</w:t>
      </w:r>
      <w:r w:rsidR="00873FCC">
        <w:t> %</w:t>
      </w:r>
      <w:r w:rsidRPr="00130A96">
        <w:t xml:space="preserve"> 10</w:t>
      </w:r>
      <w:r w:rsidR="00873FCC">
        <w:t> mg</w:t>
      </w:r>
      <w:r w:rsidRPr="00130A96">
        <w:t xml:space="preserve"> dapagliflozino ir 54,8</w:t>
      </w:r>
      <w:r w:rsidR="00873FCC">
        <w:t> %</w:t>
      </w:r>
      <w:r w:rsidRPr="00130A96">
        <w:t xml:space="preserve"> placebo grupės pacientų.</w:t>
      </w:r>
    </w:p>
    <w:p w14:paraId="6D8692E2" w14:textId="77777777" w:rsidR="00C0147E" w:rsidRPr="007E7DFC" w:rsidRDefault="00C0147E" w:rsidP="00130A96">
      <w:pPr>
        <w:pStyle w:val="Pagrindinistekstas"/>
        <w:rPr>
          <w:b/>
        </w:rPr>
      </w:pPr>
    </w:p>
    <w:p w14:paraId="6D8692E3" w14:textId="11DFCDED" w:rsidR="00C0147E" w:rsidRPr="00964890" w:rsidRDefault="00FF04F8" w:rsidP="007E7DFC">
      <w:pPr>
        <w:keepNext/>
        <w:adjustRightInd w:val="0"/>
      </w:pPr>
      <w:r w:rsidRPr="007E7DFC">
        <w:rPr>
          <w:b/>
        </w:rPr>
        <w:t>4.</w:t>
      </w:r>
      <w:r w:rsidR="00FE1604" w:rsidRPr="007E7DFC">
        <w:rPr>
          <w:b/>
        </w:rPr>
        <w:t> </w:t>
      </w:r>
      <w:r w:rsidR="001175EF" w:rsidRPr="007E7DFC">
        <w:rPr>
          <w:b/>
        </w:rPr>
        <w:t>lentelė. 24</w:t>
      </w:r>
      <w:r w:rsidR="00FE1604" w:rsidRPr="007E7DFC">
        <w:rPr>
          <w:b/>
        </w:rPr>
        <w:t> </w:t>
      </w:r>
      <w:r w:rsidR="001175EF" w:rsidRPr="007E7DFC">
        <w:rPr>
          <w:b/>
        </w:rPr>
        <w:t>savaičių trukmės (</w:t>
      </w:r>
      <w:proofErr w:type="spellStart"/>
      <w:r w:rsidR="001175EF" w:rsidRPr="007E7DFC">
        <w:rPr>
          <w:b/>
        </w:rPr>
        <w:t>LOCFa</w:t>
      </w:r>
      <w:proofErr w:type="spellEnd"/>
      <w:r w:rsidR="001175EF" w:rsidRPr="007E7DFC">
        <w:rPr>
          <w:b/>
        </w:rPr>
        <w:t>)</w:t>
      </w:r>
      <w:r w:rsidR="00017A2B" w:rsidRPr="007E7DFC">
        <w:rPr>
          <w:b/>
        </w:rPr>
        <w:t xml:space="preserve"> </w:t>
      </w:r>
      <w:r w:rsidR="00A9716E" w:rsidRPr="008903EC">
        <w:rPr>
          <w:b/>
        </w:rPr>
        <w:t xml:space="preserve">placebo kontroliuojamų tyrimų rezultatai, vartojant dapaglifloziną papildomai kartu su </w:t>
      </w:r>
      <w:proofErr w:type="spellStart"/>
      <w:r w:rsidR="00A9716E" w:rsidRPr="008903EC">
        <w:rPr>
          <w:b/>
        </w:rPr>
        <w:t>metforminu</w:t>
      </w:r>
      <w:proofErr w:type="spellEnd"/>
      <w:r w:rsidR="00A9716E" w:rsidRPr="008903EC">
        <w:rPr>
          <w:b/>
        </w:rPr>
        <w:t xml:space="preserve"> arba </w:t>
      </w:r>
      <w:proofErr w:type="spellStart"/>
      <w:r w:rsidR="00A9716E" w:rsidRPr="008903EC">
        <w:rPr>
          <w:b/>
        </w:rPr>
        <w:t>sitagliptinu</w:t>
      </w:r>
      <w:proofErr w:type="spellEnd"/>
      <w:r w:rsidR="00A9716E" w:rsidRPr="008903EC">
        <w:rPr>
          <w:b/>
        </w:rPr>
        <w:t xml:space="preserve"> (su </w:t>
      </w:r>
      <w:proofErr w:type="spellStart"/>
      <w:r w:rsidR="00A9716E" w:rsidRPr="008903EC">
        <w:rPr>
          <w:b/>
        </w:rPr>
        <w:t>metforminu</w:t>
      </w:r>
      <w:proofErr w:type="spellEnd"/>
      <w:r w:rsidR="00A9716E" w:rsidRPr="008903EC">
        <w:rPr>
          <w:b/>
        </w:rPr>
        <w:t xml:space="preserve"> arba be jo</w:t>
      </w:r>
      <w:r w:rsidR="00A9716E">
        <w:rPr>
          <w:b/>
        </w:rPr>
        <w:t>)</w:t>
      </w:r>
    </w:p>
    <w:tbl>
      <w:tblPr>
        <w:tblW w:w="0" w:type="auto"/>
        <w:tblLayout w:type="fixed"/>
        <w:tblCellMar>
          <w:left w:w="0" w:type="dxa"/>
          <w:right w:w="0" w:type="dxa"/>
        </w:tblCellMar>
        <w:tblLook w:val="01E0" w:firstRow="1" w:lastRow="1" w:firstColumn="1" w:lastColumn="1" w:noHBand="0" w:noVBand="0"/>
      </w:tblPr>
      <w:tblGrid>
        <w:gridCol w:w="2566"/>
        <w:gridCol w:w="1820"/>
        <w:gridCol w:w="1367"/>
        <w:gridCol w:w="1884"/>
        <w:gridCol w:w="1416"/>
      </w:tblGrid>
      <w:tr w:rsidR="00C0147E" w:rsidRPr="00130A96" w14:paraId="6D8692E5" w14:textId="77777777" w:rsidTr="00FF04F8">
        <w:trPr>
          <w:trHeight w:val="254"/>
        </w:trPr>
        <w:tc>
          <w:tcPr>
            <w:tcW w:w="9053" w:type="dxa"/>
            <w:gridSpan w:val="5"/>
            <w:tcBorders>
              <w:top w:val="single" w:sz="4" w:space="0" w:color="000000"/>
            </w:tcBorders>
          </w:tcPr>
          <w:p w14:paraId="6D8692E4" w14:textId="51EBC76D" w:rsidR="00C0147E" w:rsidRPr="00130A96" w:rsidRDefault="001175EF" w:rsidP="00FF04F8">
            <w:pPr>
              <w:pStyle w:val="TableParagraph"/>
              <w:ind w:left="1843"/>
              <w:jc w:val="center"/>
              <w:rPr>
                <w:b/>
              </w:rPr>
            </w:pPr>
            <w:r w:rsidRPr="00130A96">
              <w:rPr>
                <w:b/>
              </w:rPr>
              <w:t xml:space="preserve">Papildomas </w:t>
            </w:r>
            <w:r w:rsidR="00473DDC">
              <w:rPr>
                <w:b/>
              </w:rPr>
              <w:t>sudėtinis</w:t>
            </w:r>
            <w:r w:rsidR="00473DDC" w:rsidRPr="00130A96">
              <w:rPr>
                <w:b/>
              </w:rPr>
              <w:t xml:space="preserve"> </w:t>
            </w:r>
            <w:r w:rsidRPr="00130A96">
              <w:rPr>
                <w:b/>
              </w:rPr>
              <w:t>gydymas</w:t>
            </w:r>
          </w:p>
        </w:tc>
      </w:tr>
      <w:tr w:rsidR="00C0147E" w:rsidRPr="00130A96" w14:paraId="6D8692E9" w14:textId="77777777" w:rsidTr="00FF04F8">
        <w:trPr>
          <w:trHeight w:val="460"/>
        </w:trPr>
        <w:tc>
          <w:tcPr>
            <w:tcW w:w="2566" w:type="dxa"/>
            <w:tcBorders>
              <w:bottom w:val="single" w:sz="4" w:space="0" w:color="000000"/>
            </w:tcBorders>
          </w:tcPr>
          <w:p w14:paraId="6D8692E6" w14:textId="77777777" w:rsidR="00C0147E" w:rsidRPr="00130A96" w:rsidRDefault="00C0147E" w:rsidP="00130A96">
            <w:pPr>
              <w:pStyle w:val="TableParagraph"/>
            </w:pPr>
          </w:p>
        </w:tc>
        <w:tc>
          <w:tcPr>
            <w:tcW w:w="3187" w:type="dxa"/>
            <w:gridSpan w:val="2"/>
            <w:tcBorders>
              <w:top w:val="single" w:sz="4" w:space="0" w:color="000000"/>
              <w:bottom w:val="single" w:sz="4" w:space="0" w:color="000000"/>
            </w:tcBorders>
          </w:tcPr>
          <w:p w14:paraId="6D8692E7" w14:textId="759858FA" w:rsidR="00C0147E" w:rsidRPr="00130A96" w:rsidRDefault="001175EF" w:rsidP="00FF04F8">
            <w:pPr>
              <w:pStyle w:val="TableParagraph"/>
              <w:jc w:val="center"/>
            </w:pPr>
            <w:r w:rsidRPr="00130A96">
              <w:rPr>
                <w:b/>
              </w:rPr>
              <w:t>Su metforminu</w:t>
            </w:r>
            <w:r w:rsidRPr="00130A96">
              <w:rPr>
                <w:vertAlign w:val="superscript"/>
              </w:rPr>
              <w:t>1</w:t>
            </w:r>
          </w:p>
        </w:tc>
        <w:tc>
          <w:tcPr>
            <w:tcW w:w="3300" w:type="dxa"/>
            <w:gridSpan w:val="2"/>
            <w:tcBorders>
              <w:top w:val="single" w:sz="4" w:space="0" w:color="000000"/>
              <w:bottom w:val="single" w:sz="4" w:space="0" w:color="000000"/>
            </w:tcBorders>
          </w:tcPr>
          <w:p w14:paraId="6D8692E8" w14:textId="6E9F5690" w:rsidR="00C0147E" w:rsidRPr="00130A96" w:rsidRDefault="001175EF" w:rsidP="00FF04F8">
            <w:pPr>
              <w:pStyle w:val="TableParagraph"/>
              <w:jc w:val="center"/>
            </w:pPr>
            <w:r w:rsidRPr="00130A96">
              <w:rPr>
                <w:b/>
              </w:rPr>
              <w:t>Su DPP-4 inhibitoriumi (sitagliptinu</w:t>
            </w:r>
            <w:r w:rsidRPr="00130A96">
              <w:rPr>
                <w:vertAlign w:val="superscript"/>
              </w:rPr>
              <w:t>2</w:t>
            </w:r>
            <w:r w:rsidRPr="00130A96">
              <w:t xml:space="preserve">) </w:t>
            </w:r>
            <w:r w:rsidRPr="00130A96">
              <w:rPr>
                <w:b/>
              </w:rPr>
              <w:t>± metforminu</w:t>
            </w:r>
            <w:r w:rsidRPr="00130A96">
              <w:rPr>
                <w:vertAlign w:val="superscript"/>
              </w:rPr>
              <w:t>1</w:t>
            </w:r>
          </w:p>
        </w:tc>
      </w:tr>
      <w:tr w:rsidR="00C0147E" w:rsidRPr="00130A96" w14:paraId="6D8692EF" w14:textId="77777777" w:rsidTr="00FF04F8">
        <w:trPr>
          <w:trHeight w:val="458"/>
        </w:trPr>
        <w:tc>
          <w:tcPr>
            <w:tcW w:w="2566" w:type="dxa"/>
            <w:tcBorders>
              <w:top w:val="single" w:sz="4" w:space="0" w:color="000000"/>
              <w:bottom w:val="single" w:sz="4" w:space="0" w:color="000000"/>
            </w:tcBorders>
          </w:tcPr>
          <w:p w14:paraId="6D8692EA" w14:textId="77777777" w:rsidR="00C0147E" w:rsidRPr="00130A96" w:rsidRDefault="00C0147E" w:rsidP="00130A96">
            <w:pPr>
              <w:pStyle w:val="TableParagraph"/>
            </w:pPr>
          </w:p>
        </w:tc>
        <w:tc>
          <w:tcPr>
            <w:tcW w:w="1820" w:type="dxa"/>
            <w:tcBorders>
              <w:top w:val="single" w:sz="4" w:space="0" w:color="000000"/>
              <w:bottom w:val="single" w:sz="4" w:space="0" w:color="000000"/>
            </w:tcBorders>
          </w:tcPr>
          <w:p w14:paraId="6D8692EB" w14:textId="41103F3A" w:rsidR="00C0147E" w:rsidRPr="00130A96" w:rsidRDefault="001175EF" w:rsidP="00FF04F8">
            <w:pPr>
              <w:pStyle w:val="TableParagraph"/>
              <w:jc w:val="center"/>
              <w:rPr>
                <w:b/>
              </w:rPr>
            </w:pPr>
            <w:r w:rsidRPr="00130A96">
              <w:rPr>
                <w:b/>
              </w:rPr>
              <w:t>Dapagliflozinas 10</w:t>
            </w:r>
            <w:r w:rsidR="00873FCC">
              <w:rPr>
                <w:b/>
              </w:rPr>
              <w:t> mg</w:t>
            </w:r>
          </w:p>
        </w:tc>
        <w:tc>
          <w:tcPr>
            <w:tcW w:w="1367" w:type="dxa"/>
            <w:tcBorders>
              <w:top w:val="single" w:sz="4" w:space="0" w:color="000000"/>
              <w:bottom w:val="single" w:sz="4" w:space="0" w:color="000000"/>
            </w:tcBorders>
          </w:tcPr>
          <w:p w14:paraId="6D8692EC" w14:textId="77777777" w:rsidR="00C0147E" w:rsidRPr="00130A96" w:rsidRDefault="001175EF" w:rsidP="00FF04F8">
            <w:pPr>
              <w:pStyle w:val="TableParagraph"/>
              <w:jc w:val="center"/>
              <w:rPr>
                <w:b/>
              </w:rPr>
            </w:pPr>
            <w:r w:rsidRPr="00130A96">
              <w:rPr>
                <w:b/>
              </w:rPr>
              <w:t>Placebas</w:t>
            </w:r>
          </w:p>
        </w:tc>
        <w:tc>
          <w:tcPr>
            <w:tcW w:w="1884" w:type="dxa"/>
            <w:tcBorders>
              <w:top w:val="single" w:sz="4" w:space="0" w:color="000000"/>
              <w:bottom w:val="single" w:sz="4" w:space="0" w:color="000000"/>
            </w:tcBorders>
          </w:tcPr>
          <w:p w14:paraId="6D8692ED" w14:textId="39D1B4AC" w:rsidR="00C0147E" w:rsidRPr="00130A96" w:rsidRDefault="001175EF" w:rsidP="00FF04F8">
            <w:pPr>
              <w:pStyle w:val="TableParagraph"/>
              <w:jc w:val="center"/>
              <w:rPr>
                <w:b/>
              </w:rPr>
            </w:pPr>
            <w:r w:rsidRPr="00130A96">
              <w:rPr>
                <w:b/>
              </w:rPr>
              <w:t>Dapagliflozinas 10</w:t>
            </w:r>
            <w:r w:rsidR="00873FCC">
              <w:rPr>
                <w:b/>
              </w:rPr>
              <w:t> mg</w:t>
            </w:r>
          </w:p>
        </w:tc>
        <w:tc>
          <w:tcPr>
            <w:tcW w:w="1416" w:type="dxa"/>
            <w:tcBorders>
              <w:top w:val="single" w:sz="4" w:space="0" w:color="000000"/>
              <w:bottom w:val="single" w:sz="4" w:space="0" w:color="000000"/>
            </w:tcBorders>
          </w:tcPr>
          <w:p w14:paraId="6D8692EE" w14:textId="77777777" w:rsidR="00C0147E" w:rsidRPr="00130A96" w:rsidRDefault="001175EF" w:rsidP="00FF04F8">
            <w:pPr>
              <w:pStyle w:val="TableParagraph"/>
              <w:jc w:val="center"/>
              <w:rPr>
                <w:b/>
              </w:rPr>
            </w:pPr>
            <w:r w:rsidRPr="00130A96">
              <w:rPr>
                <w:b/>
              </w:rPr>
              <w:t>Placebas</w:t>
            </w:r>
          </w:p>
        </w:tc>
      </w:tr>
      <w:tr w:rsidR="00C0147E" w:rsidRPr="00130A96" w14:paraId="6D8692F5" w14:textId="77777777" w:rsidTr="00FF04F8">
        <w:trPr>
          <w:trHeight w:val="253"/>
        </w:trPr>
        <w:tc>
          <w:tcPr>
            <w:tcW w:w="2566" w:type="dxa"/>
            <w:tcBorders>
              <w:top w:val="single" w:sz="4" w:space="0" w:color="000000"/>
              <w:bottom w:val="single" w:sz="4" w:space="0" w:color="000000"/>
            </w:tcBorders>
          </w:tcPr>
          <w:p w14:paraId="6D8692F0" w14:textId="284DA149" w:rsidR="00C0147E" w:rsidRPr="00130A96" w:rsidRDefault="001175EF" w:rsidP="00130A96">
            <w:pPr>
              <w:pStyle w:val="TableParagraph"/>
            </w:pPr>
            <w:proofErr w:type="spellStart"/>
            <w:r w:rsidRPr="00130A96">
              <w:rPr>
                <w:b/>
              </w:rPr>
              <w:t>N</w:t>
            </w:r>
            <w:r w:rsidRPr="00FF04F8">
              <w:rPr>
                <w:vertAlign w:val="superscript"/>
              </w:rPr>
              <w:t>b</w:t>
            </w:r>
            <w:proofErr w:type="spellEnd"/>
          </w:p>
        </w:tc>
        <w:tc>
          <w:tcPr>
            <w:tcW w:w="1820" w:type="dxa"/>
            <w:tcBorders>
              <w:top w:val="single" w:sz="4" w:space="0" w:color="000000"/>
              <w:bottom w:val="single" w:sz="4" w:space="0" w:color="000000"/>
            </w:tcBorders>
          </w:tcPr>
          <w:p w14:paraId="6D8692F1" w14:textId="77777777" w:rsidR="00C0147E" w:rsidRPr="00130A96" w:rsidRDefault="001175EF" w:rsidP="00FF04F8">
            <w:pPr>
              <w:pStyle w:val="TableParagraph"/>
              <w:jc w:val="center"/>
            </w:pPr>
            <w:r w:rsidRPr="00130A96">
              <w:t>135</w:t>
            </w:r>
          </w:p>
        </w:tc>
        <w:tc>
          <w:tcPr>
            <w:tcW w:w="1367" w:type="dxa"/>
            <w:tcBorders>
              <w:top w:val="single" w:sz="4" w:space="0" w:color="000000"/>
              <w:bottom w:val="single" w:sz="4" w:space="0" w:color="000000"/>
            </w:tcBorders>
          </w:tcPr>
          <w:p w14:paraId="6D8692F2" w14:textId="77777777" w:rsidR="00C0147E" w:rsidRPr="00130A96" w:rsidRDefault="001175EF" w:rsidP="00FF04F8">
            <w:pPr>
              <w:pStyle w:val="TableParagraph"/>
              <w:jc w:val="center"/>
            </w:pPr>
            <w:r w:rsidRPr="00130A96">
              <w:t>137</w:t>
            </w:r>
          </w:p>
        </w:tc>
        <w:tc>
          <w:tcPr>
            <w:tcW w:w="1884" w:type="dxa"/>
            <w:tcBorders>
              <w:top w:val="single" w:sz="4" w:space="0" w:color="000000"/>
              <w:bottom w:val="single" w:sz="4" w:space="0" w:color="000000"/>
            </w:tcBorders>
          </w:tcPr>
          <w:p w14:paraId="6D8692F3" w14:textId="77777777" w:rsidR="00C0147E" w:rsidRPr="00130A96" w:rsidRDefault="001175EF" w:rsidP="00FF04F8">
            <w:pPr>
              <w:pStyle w:val="TableParagraph"/>
              <w:jc w:val="center"/>
            </w:pPr>
            <w:r w:rsidRPr="00130A96">
              <w:t>223</w:t>
            </w:r>
          </w:p>
        </w:tc>
        <w:tc>
          <w:tcPr>
            <w:tcW w:w="1416" w:type="dxa"/>
            <w:tcBorders>
              <w:top w:val="single" w:sz="4" w:space="0" w:color="000000"/>
              <w:bottom w:val="single" w:sz="4" w:space="0" w:color="000000"/>
            </w:tcBorders>
          </w:tcPr>
          <w:p w14:paraId="6D8692F4" w14:textId="77777777" w:rsidR="00C0147E" w:rsidRPr="00130A96" w:rsidRDefault="001175EF" w:rsidP="00FF04F8">
            <w:pPr>
              <w:pStyle w:val="TableParagraph"/>
              <w:jc w:val="center"/>
            </w:pPr>
            <w:r w:rsidRPr="00130A96">
              <w:t>224</w:t>
            </w:r>
          </w:p>
        </w:tc>
      </w:tr>
      <w:tr w:rsidR="00C0147E" w:rsidRPr="00130A96" w14:paraId="6D8692FB" w14:textId="77777777" w:rsidTr="00FF04F8">
        <w:trPr>
          <w:trHeight w:val="235"/>
        </w:trPr>
        <w:tc>
          <w:tcPr>
            <w:tcW w:w="2566" w:type="dxa"/>
            <w:tcBorders>
              <w:top w:val="single" w:sz="4" w:space="0" w:color="000000"/>
            </w:tcBorders>
          </w:tcPr>
          <w:p w14:paraId="6D8692F6" w14:textId="2D713995" w:rsidR="00C0147E" w:rsidRPr="00130A96" w:rsidRDefault="001175EF" w:rsidP="00130A96">
            <w:pPr>
              <w:pStyle w:val="TableParagraph"/>
              <w:rPr>
                <w:b/>
              </w:rPr>
            </w:pPr>
            <w:r w:rsidRPr="00130A96">
              <w:rPr>
                <w:b/>
              </w:rPr>
              <w:t>HbA1c koncentracija (</w:t>
            </w:r>
            <w:r w:rsidR="00873FCC">
              <w:rPr>
                <w:b/>
              </w:rPr>
              <w:t> %</w:t>
            </w:r>
            <w:r w:rsidRPr="00130A96">
              <w:rPr>
                <w:b/>
              </w:rPr>
              <w:t>)</w:t>
            </w:r>
          </w:p>
        </w:tc>
        <w:tc>
          <w:tcPr>
            <w:tcW w:w="1820" w:type="dxa"/>
            <w:tcBorders>
              <w:top w:val="single" w:sz="4" w:space="0" w:color="000000"/>
            </w:tcBorders>
          </w:tcPr>
          <w:p w14:paraId="6D8692F7" w14:textId="77777777" w:rsidR="00C0147E" w:rsidRPr="00130A96" w:rsidRDefault="00C0147E" w:rsidP="00FF04F8">
            <w:pPr>
              <w:pStyle w:val="TableParagraph"/>
              <w:jc w:val="center"/>
            </w:pPr>
          </w:p>
        </w:tc>
        <w:tc>
          <w:tcPr>
            <w:tcW w:w="1367" w:type="dxa"/>
            <w:tcBorders>
              <w:top w:val="single" w:sz="4" w:space="0" w:color="000000"/>
            </w:tcBorders>
          </w:tcPr>
          <w:p w14:paraId="6D8692F8" w14:textId="77777777" w:rsidR="00C0147E" w:rsidRPr="00130A96" w:rsidRDefault="00C0147E" w:rsidP="00FF04F8">
            <w:pPr>
              <w:pStyle w:val="TableParagraph"/>
              <w:jc w:val="center"/>
            </w:pPr>
          </w:p>
        </w:tc>
        <w:tc>
          <w:tcPr>
            <w:tcW w:w="1884" w:type="dxa"/>
            <w:tcBorders>
              <w:top w:val="single" w:sz="4" w:space="0" w:color="000000"/>
            </w:tcBorders>
          </w:tcPr>
          <w:p w14:paraId="6D8692F9" w14:textId="77777777" w:rsidR="00C0147E" w:rsidRPr="00130A96" w:rsidRDefault="00C0147E" w:rsidP="00FF04F8">
            <w:pPr>
              <w:pStyle w:val="TableParagraph"/>
              <w:jc w:val="center"/>
            </w:pPr>
          </w:p>
        </w:tc>
        <w:tc>
          <w:tcPr>
            <w:tcW w:w="1416" w:type="dxa"/>
            <w:tcBorders>
              <w:top w:val="single" w:sz="4" w:space="0" w:color="000000"/>
            </w:tcBorders>
          </w:tcPr>
          <w:p w14:paraId="6D8692FA" w14:textId="77777777" w:rsidR="00C0147E" w:rsidRPr="00130A96" w:rsidRDefault="00C0147E" w:rsidP="00FF04F8">
            <w:pPr>
              <w:pStyle w:val="TableParagraph"/>
              <w:jc w:val="center"/>
            </w:pPr>
          </w:p>
        </w:tc>
      </w:tr>
      <w:tr w:rsidR="00C0147E" w:rsidRPr="00130A96" w14:paraId="6D869301" w14:textId="77777777" w:rsidTr="00FF04F8">
        <w:trPr>
          <w:trHeight w:val="230"/>
        </w:trPr>
        <w:tc>
          <w:tcPr>
            <w:tcW w:w="2566" w:type="dxa"/>
          </w:tcPr>
          <w:p w14:paraId="6D8692FC" w14:textId="6236FF4B" w:rsidR="00C0147E" w:rsidRPr="00130A96" w:rsidRDefault="00536FA9" w:rsidP="00C443AD">
            <w:pPr>
              <w:pStyle w:val="TableParagraph"/>
              <w:ind w:left="142"/>
            </w:pPr>
            <w:r w:rsidRPr="00536FA9">
              <w:t>Pradinis rodmuo (vidurkis)</w:t>
            </w:r>
          </w:p>
        </w:tc>
        <w:tc>
          <w:tcPr>
            <w:tcW w:w="1820" w:type="dxa"/>
          </w:tcPr>
          <w:p w14:paraId="6D8692FD" w14:textId="77777777" w:rsidR="00C0147E" w:rsidRPr="00130A96" w:rsidRDefault="001175EF" w:rsidP="00FF04F8">
            <w:pPr>
              <w:pStyle w:val="TableParagraph"/>
              <w:jc w:val="center"/>
            </w:pPr>
            <w:r w:rsidRPr="00130A96">
              <w:t>7,92</w:t>
            </w:r>
          </w:p>
        </w:tc>
        <w:tc>
          <w:tcPr>
            <w:tcW w:w="1367" w:type="dxa"/>
          </w:tcPr>
          <w:p w14:paraId="6D8692FE" w14:textId="77777777" w:rsidR="00C0147E" w:rsidRPr="00130A96" w:rsidRDefault="001175EF" w:rsidP="00FF04F8">
            <w:pPr>
              <w:pStyle w:val="TableParagraph"/>
              <w:jc w:val="center"/>
            </w:pPr>
            <w:r w:rsidRPr="00130A96">
              <w:t>8,11</w:t>
            </w:r>
          </w:p>
        </w:tc>
        <w:tc>
          <w:tcPr>
            <w:tcW w:w="1884" w:type="dxa"/>
          </w:tcPr>
          <w:p w14:paraId="6D8692FF" w14:textId="77777777" w:rsidR="00C0147E" w:rsidRPr="00130A96" w:rsidRDefault="001175EF" w:rsidP="00FF04F8">
            <w:pPr>
              <w:pStyle w:val="TableParagraph"/>
              <w:jc w:val="center"/>
            </w:pPr>
            <w:r w:rsidRPr="00130A96">
              <w:t>7,90</w:t>
            </w:r>
          </w:p>
        </w:tc>
        <w:tc>
          <w:tcPr>
            <w:tcW w:w="1416" w:type="dxa"/>
          </w:tcPr>
          <w:p w14:paraId="6D869300" w14:textId="77777777" w:rsidR="00C0147E" w:rsidRPr="00130A96" w:rsidRDefault="001175EF" w:rsidP="00FF04F8">
            <w:pPr>
              <w:pStyle w:val="TableParagraph"/>
              <w:jc w:val="center"/>
            </w:pPr>
            <w:r w:rsidRPr="00130A96">
              <w:t>7,97</w:t>
            </w:r>
          </w:p>
        </w:tc>
      </w:tr>
      <w:tr w:rsidR="006837EB" w:rsidRPr="00130A96" w14:paraId="6D869307" w14:textId="77777777" w:rsidTr="00FF04F8">
        <w:trPr>
          <w:trHeight w:val="229"/>
        </w:trPr>
        <w:tc>
          <w:tcPr>
            <w:tcW w:w="2566" w:type="dxa"/>
          </w:tcPr>
          <w:p w14:paraId="6D869302" w14:textId="238D8850" w:rsidR="006837EB" w:rsidRPr="002B0E69" w:rsidRDefault="002B0E69" w:rsidP="00C443AD">
            <w:pPr>
              <w:pStyle w:val="TableParagraph"/>
              <w:ind w:left="142"/>
              <w:rPr>
                <w:vertAlign w:val="superscript"/>
              </w:rPr>
            </w:pPr>
            <w:r w:rsidRPr="002B0E69">
              <w:t xml:space="preserve">Pokytis, palyginti su pradiniu </w:t>
            </w:r>
            <w:proofErr w:type="spellStart"/>
            <w:r w:rsidRPr="002B0E69">
              <w:t>rodmeniu</w:t>
            </w:r>
            <w:r w:rsidRPr="002B0E69">
              <w:rPr>
                <w:vertAlign w:val="superscript"/>
              </w:rPr>
              <w:t>c</w:t>
            </w:r>
            <w:proofErr w:type="spellEnd"/>
          </w:p>
        </w:tc>
        <w:tc>
          <w:tcPr>
            <w:tcW w:w="1820" w:type="dxa"/>
          </w:tcPr>
          <w:p w14:paraId="63721367" w14:textId="77777777" w:rsidR="007E58DB" w:rsidRDefault="007E58DB" w:rsidP="006837EB">
            <w:pPr>
              <w:pStyle w:val="TableParagraph"/>
              <w:jc w:val="center"/>
            </w:pPr>
          </w:p>
          <w:p w14:paraId="6D869303" w14:textId="7B14AE5D" w:rsidR="006837EB" w:rsidRPr="00130A96" w:rsidRDefault="006837EB" w:rsidP="006837EB">
            <w:pPr>
              <w:pStyle w:val="TableParagraph"/>
              <w:jc w:val="center"/>
            </w:pPr>
            <w:r w:rsidRPr="00130A96">
              <w:t>-0,84</w:t>
            </w:r>
          </w:p>
        </w:tc>
        <w:tc>
          <w:tcPr>
            <w:tcW w:w="1367" w:type="dxa"/>
          </w:tcPr>
          <w:p w14:paraId="250F7482" w14:textId="77777777" w:rsidR="007E58DB" w:rsidRDefault="007E58DB" w:rsidP="006837EB">
            <w:pPr>
              <w:pStyle w:val="TableParagraph"/>
              <w:jc w:val="center"/>
            </w:pPr>
          </w:p>
          <w:p w14:paraId="6D869304" w14:textId="2A5F4CBB" w:rsidR="006837EB" w:rsidRPr="00130A96" w:rsidRDefault="006837EB" w:rsidP="006837EB">
            <w:pPr>
              <w:pStyle w:val="TableParagraph"/>
              <w:jc w:val="center"/>
            </w:pPr>
            <w:r w:rsidRPr="00130A96">
              <w:t>-0,30</w:t>
            </w:r>
          </w:p>
        </w:tc>
        <w:tc>
          <w:tcPr>
            <w:tcW w:w="1884" w:type="dxa"/>
          </w:tcPr>
          <w:p w14:paraId="05936A8F" w14:textId="77777777" w:rsidR="007E58DB" w:rsidRDefault="007E58DB" w:rsidP="006837EB">
            <w:pPr>
              <w:pStyle w:val="TableParagraph"/>
              <w:jc w:val="center"/>
            </w:pPr>
          </w:p>
          <w:p w14:paraId="6D869305" w14:textId="3474F2CD" w:rsidR="006837EB" w:rsidRPr="00130A96" w:rsidRDefault="006837EB" w:rsidP="006837EB">
            <w:pPr>
              <w:pStyle w:val="TableParagraph"/>
              <w:jc w:val="center"/>
            </w:pPr>
            <w:r w:rsidRPr="00130A96">
              <w:t>-0,45</w:t>
            </w:r>
          </w:p>
        </w:tc>
        <w:tc>
          <w:tcPr>
            <w:tcW w:w="1416" w:type="dxa"/>
          </w:tcPr>
          <w:p w14:paraId="13D99990" w14:textId="77777777" w:rsidR="007E58DB" w:rsidRDefault="007E58DB" w:rsidP="006837EB">
            <w:pPr>
              <w:pStyle w:val="TableParagraph"/>
              <w:jc w:val="center"/>
            </w:pPr>
          </w:p>
          <w:p w14:paraId="6D869306" w14:textId="5376E91B" w:rsidR="006837EB" w:rsidRPr="00130A96" w:rsidRDefault="006837EB" w:rsidP="006837EB">
            <w:pPr>
              <w:pStyle w:val="TableParagraph"/>
              <w:jc w:val="center"/>
            </w:pPr>
            <w:r w:rsidRPr="00130A96">
              <w:t>0,04</w:t>
            </w:r>
          </w:p>
        </w:tc>
      </w:tr>
      <w:tr w:rsidR="006837EB" w:rsidRPr="00130A96" w14:paraId="6D86930D" w14:textId="77777777" w:rsidTr="00FF04F8">
        <w:trPr>
          <w:trHeight w:val="229"/>
        </w:trPr>
        <w:tc>
          <w:tcPr>
            <w:tcW w:w="2566" w:type="dxa"/>
          </w:tcPr>
          <w:p w14:paraId="6D869308" w14:textId="4B79A97C" w:rsidR="006837EB" w:rsidRPr="00130A96" w:rsidRDefault="00F856BE" w:rsidP="00C443AD">
            <w:pPr>
              <w:pStyle w:val="TableParagraph"/>
              <w:ind w:left="142"/>
            </w:pPr>
            <w:r w:rsidRPr="00F856BE">
              <w:t>Skirtumas, palyginti su placebo poveikiu</w:t>
            </w:r>
            <w:r w:rsidR="007E58DB" w:rsidRPr="007E58DB">
              <w:rPr>
                <w:spacing w:val="-10"/>
                <w:vertAlign w:val="superscript"/>
              </w:rPr>
              <w:t xml:space="preserve"> </w:t>
            </w:r>
            <w:r w:rsidR="007E58DB" w:rsidRPr="007E58DB">
              <w:rPr>
                <w:vertAlign w:val="superscript"/>
              </w:rPr>
              <w:t>c</w:t>
            </w:r>
          </w:p>
        </w:tc>
        <w:tc>
          <w:tcPr>
            <w:tcW w:w="1820" w:type="dxa"/>
          </w:tcPr>
          <w:p w14:paraId="4B69C9F1" w14:textId="77777777" w:rsidR="007E58DB" w:rsidRDefault="007E58DB" w:rsidP="006837EB">
            <w:pPr>
              <w:pStyle w:val="TableParagraph"/>
              <w:jc w:val="center"/>
            </w:pPr>
          </w:p>
          <w:p w14:paraId="6D869309" w14:textId="5CF55925" w:rsidR="006837EB" w:rsidRPr="00130A96" w:rsidRDefault="006837EB" w:rsidP="006837EB">
            <w:pPr>
              <w:pStyle w:val="TableParagraph"/>
              <w:jc w:val="center"/>
            </w:pPr>
            <w:r w:rsidRPr="00130A96">
              <w:t>-0,54</w:t>
            </w:r>
            <w:r w:rsidRPr="00130A96">
              <w:rPr>
                <w:vertAlign w:val="superscript"/>
              </w:rPr>
              <w:t>*</w:t>
            </w:r>
          </w:p>
        </w:tc>
        <w:tc>
          <w:tcPr>
            <w:tcW w:w="1367" w:type="dxa"/>
          </w:tcPr>
          <w:p w14:paraId="6D86930A" w14:textId="06E94744" w:rsidR="006837EB" w:rsidRPr="00130A96" w:rsidRDefault="006837EB" w:rsidP="006837EB">
            <w:pPr>
              <w:pStyle w:val="TableParagraph"/>
              <w:jc w:val="center"/>
            </w:pPr>
          </w:p>
        </w:tc>
        <w:tc>
          <w:tcPr>
            <w:tcW w:w="1884" w:type="dxa"/>
          </w:tcPr>
          <w:p w14:paraId="51E82F99" w14:textId="77777777" w:rsidR="007E58DB" w:rsidRDefault="007E58DB" w:rsidP="006837EB">
            <w:pPr>
              <w:pStyle w:val="TableParagraph"/>
              <w:jc w:val="center"/>
            </w:pPr>
          </w:p>
          <w:p w14:paraId="6D86930B" w14:textId="036B9963" w:rsidR="006837EB" w:rsidRPr="00130A96" w:rsidRDefault="006837EB" w:rsidP="006837EB">
            <w:pPr>
              <w:pStyle w:val="TableParagraph"/>
              <w:jc w:val="center"/>
            </w:pPr>
            <w:r w:rsidRPr="00130A96">
              <w:t>-0,48</w:t>
            </w:r>
            <w:r w:rsidRPr="00130A96">
              <w:rPr>
                <w:vertAlign w:val="superscript"/>
              </w:rPr>
              <w:t>*</w:t>
            </w:r>
          </w:p>
        </w:tc>
        <w:tc>
          <w:tcPr>
            <w:tcW w:w="1416" w:type="dxa"/>
          </w:tcPr>
          <w:p w14:paraId="6D86930C" w14:textId="13662D57" w:rsidR="006837EB" w:rsidRPr="00130A96" w:rsidRDefault="006837EB" w:rsidP="006837EB">
            <w:pPr>
              <w:pStyle w:val="TableParagraph"/>
              <w:jc w:val="center"/>
            </w:pPr>
          </w:p>
        </w:tc>
      </w:tr>
      <w:tr w:rsidR="006837EB" w:rsidRPr="00130A96" w14:paraId="6D869313" w14:textId="77777777" w:rsidTr="00FF04F8">
        <w:trPr>
          <w:trHeight w:val="230"/>
        </w:trPr>
        <w:tc>
          <w:tcPr>
            <w:tcW w:w="2566" w:type="dxa"/>
          </w:tcPr>
          <w:p w14:paraId="6D86930E" w14:textId="63DB218F" w:rsidR="006837EB" w:rsidRPr="00130A96" w:rsidRDefault="006837EB" w:rsidP="00C443AD">
            <w:pPr>
              <w:pStyle w:val="TableParagraph"/>
              <w:ind w:left="142"/>
            </w:pPr>
            <w:r w:rsidRPr="00130A96">
              <w:t>(95</w:t>
            </w:r>
            <w:r w:rsidR="00873FCC">
              <w:t> %</w:t>
            </w:r>
            <w:r w:rsidRPr="00130A96">
              <w:t xml:space="preserve"> PI)</w:t>
            </w:r>
          </w:p>
        </w:tc>
        <w:tc>
          <w:tcPr>
            <w:tcW w:w="1820" w:type="dxa"/>
          </w:tcPr>
          <w:p w14:paraId="6D86930F" w14:textId="43337A40" w:rsidR="006837EB" w:rsidRPr="00130A96" w:rsidRDefault="006837EB" w:rsidP="006837EB">
            <w:pPr>
              <w:pStyle w:val="TableParagraph"/>
              <w:jc w:val="center"/>
            </w:pPr>
            <w:r w:rsidRPr="00130A96">
              <w:t>(-0,74, -0,34)</w:t>
            </w:r>
          </w:p>
        </w:tc>
        <w:tc>
          <w:tcPr>
            <w:tcW w:w="1367" w:type="dxa"/>
          </w:tcPr>
          <w:p w14:paraId="6D869310" w14:textId="77777777" w:rsidR="006837EB" w:rsidRPr="00130A96" w:rsidRDefault="006837EB" w:rsidP="006837EB">
            <w:pPr>
              <w:pStyle w:val="TableParagraph"/>
              <w:jc w:val="center"/>
            </w:pPr>
          </w:p>
        </w:tc>
        <w:tc>
          <w:tcPr>
            <w:tcW w:w="1884" w:type="dxa"/>
          </w:tcPr>
          <w:p w14:paraId="6D869311" w14:textId="28E5BD19" w:rsidR="006837EB" w:rsidRPr="00130A96" w:rsidRDefault="006837EB" w:rsidP="006837EB">
            <w:pPr>
              <w:pStyle w:val="TableParagraph"/>
              <w:jc w:val="center"/>
            </w:pPr>
            <w:r w:rsidRPr="00130A96">
              <w:t>(-0,62, -0,34)</w:t>
            </w:r>
          </w:p>
        </w:tc>
        <w:tc>
          <w:tcPr>
            <w:tcW w:w="1416" w:type="dxa"/>
          </w:tcPr>
          <w:p w14:paraId="6D869312" w14:textId="77777777" w:rsidR="006837EB" w:rsidRPr="00130A96" w:rsidRDefault="006837EB" w:rsidP="006837EB">
            <w:pPr>
              <w:pStyle w:val="TableParagraph"/>
              <w:jc w:val="center"/>
            </w:pPr>
          </w:p>
        </w:tc>
      </w:tr>
      <w:tr w:rsidR="006837EB" w:rsidRPr="00130A96" w14:paraId="6D869325" w14:textId="77777777" w:rsidTr="006837EB">
        <w:trPr>
          <w:trHeight w:val="921"/>
        </w:trPr>
        <w:tc>
          <w:tcPr>
            <w:tcW w:w="2566" w:type="dxa"/>
            <w:tcBorders>
              <w:top w:val="single" w:sz="4" w:space="0" w:color="000000"/>
              <w:bottom w:val="single" w:sz="4" w:space="0" w:color="000000"/>
            </w:tcBorders>
          </w:tcPr>
          <w:p w14:paraId="300A6632" w14:textId="29E81AF0" w:rsidR="006837EB" w:rsidRDefault="006837EB" w:rsidP="006837EB">
            <w:pPr>
              <w:pStyle w:val="TableParagraph"/>
              <w:rPr>
                <w:b/>
              </w:rPr>
            </w:pPr>
            <w:r w:rsidRPr="00130A96">
              <w:rPr>
                <w:b/>
              </w:rPr>
              <w:t xml:space="preserve">Asmenys, kurių HbA1c </w:t>
            </w:r>
            <w:r w:rsidR="007E58DB">
              <w:rPr>
                <w:b/>
              </w:rPr>
              <w:t>tapo</w:t>
            </w:r>
            <w:r w:rsidRPr="00130A96">
              <w:rPr>
                <w:b/>
              </w:rPr>
              <w:t xml:space="preserve"> </w:t>
            </w:r>
            <w:r w:rsidR="00873FCC">
              <w:rPr>
                <w:b/>
              </w:rPr>
              <w:t>&lt; </w:t>
            </w:r>
            <w:r w:rsidRPr="00130A96">
              <w:rPr>
                <w:b/>
              </w:rPr>
              <w:t>7</w:t>
            </w:r>
            <w:r w:rsidR="00873FCC">
              <w:rPr>
                <w:b/>
              </w:rPr>
              <w:t> %</w:t>
            </w:r>
          </w:p>
          <w:p w14:paraId="182F747D" w14:textId="77777777" w:rsidR="006837EB" w:rsidRDefault="00F251C6" w:rsidP="00C443AD">
            <w:pPr>
              <w:pStyle w:val="TableParagraph"/>
              <w:ind w:left="142"/>
            </w:pPr>
            <w:r>
              <w:t>K</w:t>
            </w:r>
            <w:r w:rsidR="006837EB" w:rsidRPr="00130A96">
              <w:t>oreguota pagal koncentraciją tyrimo</w:t>
            </w:r>
            <w:r>
              <w:t xml:space="preserve"> pradžioje</w:t>
            </w:r>
          </w:p>
          <w:p w14:paraId="6D86931A" w14:textId="240A9650" w:rsidR="00864019" w:rsidRPr="00130A96" w:rsidRDefault="00864019" w:rsidP="00C443AD">
            <w:pPr>
              <w:pStyle w:val="TableParagraph"/>
              <w:ind w:left="142"/>
            </w:pPr>
          </w:p>
        </w:tc>
        <w:tc>
          <w:tcPr>
            <w:tcW w:w="1820" w:type="dxa"/>
            <w:tcBorders>
              <w:top w:val="single" w:sz="4" w:space="0" w:color="000000"/>
              <w:bottom w:val="single" w:sz="4" w:space="0" w:color="000000"/>
            </w:tcBorders>
          </w:tcPr>
          <w:p w14:paraId="6D86931B" w14:textId="77777777" w:rsidR="006837EB" w:rsidRPr="00130A96" w:rsidRDefault="006837EB" w:rsidP="006837EB">
            <w:pPr>
              <w:pStyle w:val="TableParagraph"/>
              <w:jc w:val="center"/>
              <w:rPr>
                <w:b/>
              </w:rPr>
            </w:pPr>
          </w:p>
          <w:p w14:paraId="6D86931C" w14:textId="77777777" w:rsidR="006837EB" w:rsidRPr="00130A96" w:rsidRDefault="006837EB" w:rsidP="006837EB">
            <w:pPr>
              <w:pStyle w:val="TableParagraph"/>
              <w:jc w:val="center"/>
              <w:rPr>
                <w:b/>
              </w:rPr>
            </w:pPr>
          </w:p>
          <w:p w14:paraId="6D86931D" w14:textId="77777777" w:rsidR="006837EB" w:rsidRPr="00130A96" w:rsidRDefault="006837EB" w:rsidP="006837EB">
            <w:pPr>
              <w:pStyle w:val="TableParagraph"/>
              <w:jc w:val="center"/>
              <w:rPr>
                <w:b/>
              </w:rPr>
            </w:pPr>
          </w:p>
          <w:p w14:paraId="6D86931E" w14:textId="77777777" w:rsidR="006837EB" w:rsidRPr="00130A96" w:rsidRDefault="006837EB" w:rsidP="006837EB">
            <w:pPr>
              <w:pStyle w:val="TableParagraph"/>
              <w:jc w:val="center"/>
            </w:pPr>
            <w:r w:rsidRPr="00130A96">
              <w:t>40,6</w:t>
            </w:r>
            <w:r w:rsidRPr="00130A96">
              <w:rPr>
                <w:vertAlign w:val="superscript"/>
              </w:rPr>
              <w:t>**</w:t>
            </w:r>
          </w:p>
        </w:tc>
        <w:tc>
          <w:tcPr>
            <w:tcW w:w="1367" w:type="dxa"/>
            <w:tcBorders>
              <w:top w:val="single" w:sz="4" w:space="0" w:color="000000"/>
              <w:bottom w:val="single" w:sz="4" w:space="0" w:color="000000"/>
            </w:tcBorders>
          </w:tcPr>
          <w:p w14:paraId="6D86931F" w14:textId="77777777" w:rsidR="006837EB" w:rsidRPr="00130A96" w:rsidRDefault="006837EB" w:rsidP="006837EB">
            <w:pPr>
              <w:pStyle w:val="TableParagraph"/>
              <w:jc w:val="center"/>
              <w:rPr>
                <w:b/>
              </w:rPr>
            </w:pPr>
          </w:p>
          <w:p w14:paraId="6D869320" w14:textId="77777777" w:rsidR="006837EB" w:rsidRPr="00130A96" w:rsidRDefault="006837EB" w:rsidP="006837EB">
            <w:pPr>
              <w:pStyle w:val="TableParagraph"/>
              <w:jc w:val="center"/>
              <w:rPr>
                <w:b/>
              </w:rPr>
            </w:pPr>
          </w:p>
          <w:p w14:paraId="6D869321" w14:textId="77777777" w:rsidR="006837EB" w:rsidRPr="00130A96" w:rsidRDefault="006837EB" w:rsidP="006837EB">
            <w:pPr>
              <w:pStyle w:val="TableParagraph"/>
              <w:jc w:val="center"/>
              <w:rPr>
                <w:b/>
              </w:rPr>
            </w:pPr>
          </w:p>
          <w:p w14:paraId="6D869322" w14:textId="77777777" w:rsidR="006837EB" w:rsidRPr="00130A96" w:rsidRDefault="006837EB" w:rsidP="006837EB">
            <w:pPr>
              <w:pStyle w:val="TableParagraph"/>
              <w:jc w:val="center"/>
            </w:pPr>
            <w:r w:rsidRPr="00130A96">
              <w:t>25,9</w:t>
            </w:r>
            <w:r w:rsidRPr="00130A96">
              <w:rPr>
                <w:vertAlign w:val="superscript"/>
              </w:rPr>
              <w:t>*</w:t>
            </w:r>
          </w:p>
        </w:tc>
        <w:tc>
          <w:tcPr>
            <w:tcW w:w="1884" w:type="dxa"/>
            <w:tcBorders>
              <w:top w:val="single" w:sz="4" w:space="0" w:color="000000"/>
              <w:bottom w:val="single" w:sz="4" w:space="0" w:color="000000"/>
            </w:tcBorders>
          </w:tcPr>
          <w:p w14:paraId="6D869323" w14:textId="77777777" w:rsidR="006837EB" w:rsidRPr="00130A96" w:rsidRDefault="006837EB" w:rsidP="006837EB">
            <w:pPr>
              <w:pStyle w:val="TableParagraph"/>
              <w:jc w:val="center"/>
            </w:pPr>
          </w:p>
        </w:tc>
        <w:tc>
          <w:tcPr>
            <w:tcW w:w="1416" w:type="dxa"/>
            <w:tcBorders>
              <w:top w:val="single" w:sz="4" w:space="0" w:color="000000"/>
              <w:bottom w:val="single" w:sz="4" w:space="0" w:color="000000"/>
            </w:tcBorders>
          </w:tcPr>
          <w:p w14:paraId="6D869324" w14:textId="77777777" w:rsidR="006837EB" w:rsidRPr="00130A96" w:rsidRDefault="006837EB" w:rsidP="006837EB">
            <w:pPr>
              <w:pStyle w:val="TableParagraph"/>
              <w:jc w:val="center"/>
            </w:pPr>
          </w:p>
        </w:tc>
      </w:tr>
      <w:tr w:rsidR="006837EB" w:rsidRPr="00130A96" w14:paraId="6D86932B" w14:textId="77777777" w:rsidTr="00FF04F8">
        <w:trPr>
          <w:trHeight w:val="233"/>
        </w:trPr>
        <w:tc>
          <w:tcPr>
            <w:tcW w:w="2566" w:type="dxa"/>
            <w:tcBorders>
              <w:top w:val="single" w:sz="4" w:space="0" w:color="000000"/>
            </w:tcBorders>
          </w:tcPr>
          <w:p w14:paraId="6D869326" w14:textId="68F8A542" w:rsidR="006837EB" w:rsidRPr="00130A96" w:rsidRDefault="006837EB" w:rsidP="006837EB">
            <w:pPr>
              <w:pStyle w:val="TableParagraph"/>
              <w:rPr>
                <w:b/>
              </w:rPr>
            </w:pPr>
            <w:r w:rsidRPr="00130A96">
              <w:rPr>
                <w:b/>
              </w:rPr>
              <w:t>Kūno svoris (kg)</w:t>
            </w:r>
          </w:p>
        </w:tc>
        <w:tc>
          <w:tcPr>
            <w:tcW w:w="1820" w:type="dxa"/>
            <w:tcBorders>
              <w:top w:val="single" w:sz="4" w:space="0" w:color="000000"/>
            </w:tcBorders>
          </w:tcPr>
          <w:p w14:paraId="6D869327" w14:textId="77777777" w:rsidR="006837EB" w:rsidRPr="00130A96" w:rsidRDefault="006837EB" w:rsidP="006837EB">
            <w:pPr>
              <w:pStyle w:val="TableParagraph"/>
              <w:jc w:val="center"/>
            </w:pPr>
          </w:p>
        </w:tc>
        <w:tc>
          <w:tcPr>
            <w:tcW w:w="1367" w:type="dxa"/>
            <w:tcBorders>
              <w:top w:val="single" w:sz="4" w:space="0" w:color="000000"/>
            </w:tcBorders>
          </w:tcPr>
          <w:p w14:paraId="6D869328" w14:textId="77777777" w:rsidR="006837EB" w:rsidRPr="00130A96" w:rsidRDefault="006837EB" w:rsidP="006837EB">
            <w:pPr>
              <w:pStyle w:val="TableParagraph"/>
              <w:jc w:val="center"/>
            </w:pPr>
          </w:p>
        </w:tc>
        <w:tc>
          <w:tcPr>
            <w:tcW w:w="1884" w:type="dxa"/>
            <w:tcBorders>
              <w:top w:val="single" w:sz="4" w:space="0" w:color="000000"/>
            </w:tcBorders>
          </w:tcPr>
          <w:p w14:paraId="6D869329" w14:textId="77777777" w:rsidR="006837EB" w:rsidRPr="00130A96" w:rsidRDefault="006837EB" w:rsidP="006837EB">
            <w:pPr>
              <w:pStyle w:val="TableParagraph"/>
              <w:jc w:val="center"/>
            </w:pPr>
          </w:p>
        </w:tc>
        <w:tc>
          <w:tcPr>
            <w:tcW w:w="1416" w:type="dxa"/>
            <w:tcBorders>
              <w:top w:val="single" w:sz="4" w:space="0" w:color="000000"/>
            </w:tcBorders>
          </w:tcPr>
          <w:p w14:paraId="6D86932A" w14:textId="77777777" w:rsidR="006837EB" w:rsidRPr="00130A96" w:rsidRDefault="006837EB" w:rsidP="006837EB">
            <w:pPr>
              <w:pStyle w:val="TableParagraph"/>
              <w:jc w:val="center"/>
            </w:pPr>
          </w:p>
        </w:tc>
      </w:tr>
      <w:tr w:rsidR="00F251C6" w:rsidRPr="00130A96" w14:paraId="6D869331" w14:textId="77777777" w:rsidTr="00FF04F8">
        <w:trPr>
          <w:trHeight w:val="229"/>
        </w:trPr>
        <w:tc>
          <w:tcPr>
            <w:tcW w:w="2566" w:type="dxa"/>
          </w:tcPr>
          <w:p w14:paraId="6D86932C" w14:textId="0604413B" w:rsidR="00F251C6" w:rsidRPr="00130A96" w:rsidRDefault="00F251C6" w:rsidP="00C443AD">
            <w:pPr>
              <w:pStyle w:val="TableParagraph"/>
              <w:ind w:left="142"/>
            </w:pPr>
            <w:r w:rsidRPr="00536FA9">
              <w:t>Pradinis rodmuo (vidurkis)</w:t>
            </w:r>
          </w:p>
        </w:tc>
        <w:tc>
          <w:tcPr>
            <w:tcW w:w="1820" w:type="dxa"/>
          </w:tcPr>
          <w:p w14:paraId="6D86932D" w14:textId="77777777" w:rsidR="00F251C6" w:rsidRPr="00130A96" w:rsidRDefault="00F251C6" w:rsidP="00F251C6">
            <w:pPr>
              <w:pStyle w:val="TableParagraph"/>
              <w:jc w:val="center"/>
            </w:pPr>
            <w:r w:rsidRPr="00130A96">
              <w:t>86,28</w:t>
            </w:r>
          </w:p>
        </w:tc>
        <w:tc>
          <w:tcPr>
            <w:tcW w:w="1367" w:type="dxa"/>
          </w:tcPr>
          <w:p w14:paraId="6D86932E" w14:textId="77777777" w:rsidR="00F251C6" w:rsidRPr="00130A96" w:rsidRDefault="00F251C6" w:rsidP="00F251C6">
            <w:pPr>
              <w:pStyle w:val="TableParagraph"/>
              <w:jc w:val="center"/>
            </w:pPr>
            <w:r w:rsidRPr="00130A96">
              <w:t>87,74</w:t>
            </w:r>
          </w:p>
        </w:tc>
        <w:tc>
          <w:tcPr>
            <w:tcW w:w="1884" w:type="dxa"/>
          </w:tcPr>
          <w:p w14:paraId="6D86932F" w14:textId="77777777" w:rsidR="00F251C6" w:rsidRPr="00130A96" w:rsidRDefault="00F251C6" w:rsidP="00F251C6">
            <w:pPr>
              <w:pStyle w:val="TableParagraph"/>
              <w:jc w:val="center"/>
            </w:pPr>
            <w:r w:rsidRPr="00130A96">
              <w:t>91,02</w:t>
            </w:r>
          </w:p>
        </w:tc>
        <w:tc>
          <w:tcPr>
            <w:tcW w:w="1416" w:type="dxa"/>
          </w:tcPr>
          <w:p w14:paraId="6D869330" w14:textId="77777777" w:rsidR="00F251C6" w:rsidRPr="00130A96" w:rsidRDefault="00F251C6" w:rsidP="00F251C6">
            <w:pPr>
              <w:pStyle w:val="TableParagraph"/>
              <w:jc w:val="center"/>
            </w:pPr>
            <w:r w:rsidRPr="00130A96">
              <w:t>89,23</w:t>
            </w:r>
          </w:p>
        </w:tc>
      </w:tr>
      <w:tr w:rsidR="00F251C6" w:rsidRPr="00130A96" w14:paraId="6D869337" w14:textId="77777777" w:rsidTr="00FF04F8">
        <w:trPr>
          <w:trHeight w:val="230"/>
        </w:trPr>
        <w:tc>
          <w:tcPr>
            <w:tcW w:w="2566" w:type="dxa"/>
          </w:tcPr>
          <w:p w14:paraId="6D869332" w14:textId="7E85A1D3" w:rsidR="00F251C6" w:rsidRPr="00130A96" w:rsidRDefault="00F251C6" w:rsidP="00C443AD">
            <w:pPr>
              <w:pStyle w:val="TableParagraph"/>
              <w:ind w:left="142"/>
            </w:pPr>
            <w:r w:rsidRPr="002B0E69">
              <w:t xml:space="preserve">Pokytis, palyginti su pradiniu </w:t>
            </w:r>
            <w:proofErr w:type="spellStart"/>
            <w:r w:rsidRPr="002B0E69">
              <w:t>rodmeniu</w:t>
            </w:r>
            <w:r w:rsidRPr="002B0E69">
              <w:rPr>
                <w:vertAlign w:val="superscript"/>
              </w:rPr>
              <w:t>c</w:t>
            </w:r>
            <w:proofErr w:type="spellEnd"/>
          </w:p>
        </w:tc>
        <w:tc>
          <w:tcPr>
            <w:tcW w:w="1820" w:type="dxa"/>
          </w:tcPr>
          <w:p w14:paraId="10066AE9" w14:textId="77777777" w:rsidR="00F251C6" w:rsidRDefault="00F251C6" w:rsidP="00F251C6">
            <w:pPr>
              <w:pStyle w:val="TableParagraph"/>
              <w:jc w:val="center"/>
            </w:pPr>
          </w:p>
          <w:p w14:paraId="6D869333" w14:textId="2B5C53C5" w:rsidR="00F251C6" w:rsidRPr="00130A96" w:rsidRDefault="00F251C6" w:rsidP="00F251C6">
            <w:pPr>
              <w:pStyle w:val="TableParagraph"/>
              <w:jc w:val="center"/>
            </w:pPr>
            <w:r w:rsidRPr="00130A96">
              <w:t>-2,86</w:t>
            </w:r>
          </w:p>
        </w:tc>
        <w:tc>
          <w:tcPr>
            <w:tcW w:w="1367" w:type="dxa"/>
          </w:tcPr>
          <w:p w14:paraId="16272143" w14:textId="77777777" w:rsidR="00F251C6" w:rsidRDefault="00F251C6" w:rsidP="00F251C6">
            <w:pPr>
              <w:pStyle w:val="TableParagraph"/>
              <w:jc w:val="center"/>
            </w:pPr>
          </w:p>
          <w:p w14:paraId="6D869334" w14:textId="2CA02138" w:rsidR="00F251C6" w:rsidRPr="00130A96" w:rsidRDefault="00F251C6" w:rsidP="00F251C6">
            <w:pPr>
              <w:pStyle w:val="TableParagraph"/>
              <w:jc w:val="center"/>
            </w:pPr>
            <w:r w:rsidRPr="00130A96">
              <w:t>-0,89</w:t>
            </w:r>
          </w:p>
        </w:tc>
        <w:tc>
          <w:tcPr>
            <w:tcW w:w="1884" w:type="dxa"/>
          </w:tcPr>
          <w:p w14:paraId="3939999C" w14:textId="77777777" w:rsidR="00F251C6" w:rsidRDefault="00F251C6" w:rsidP="00F251C6">
            <w:pPr>
              <w:pStyle w:val="TableParagraph"/>
              <w:jc w:val="center"/>
            </w:pPr>
          </w:p>
          <w:p w14:paraId="6D869335" w14:textId="7633B87D" w:rsidR="00F251C6" w:rsidRPr="00130A96" w:rsidRDefault="00F251C6" w:rsidP="00F251C6">
            <w:pPr>
              <w:pStyle w:val="TableParagraph"/>
              <w:jc w:val="center"/>
            </w:pPr>
            <w:r w:rsidRPr="00130A96">
              <w:t>-2,14</w:t>
            </w:r>
          </w:p>
        </w:tc>
        <w:tc>
          <w:tcPr>
            <w:tcW w:w="1416" w:type="dxa"/>
          </w:tcPr>
          <w:p w14:paraId="126F5A6A" w14:textId="77777777" w:rsidR="00F251C6" w:rsidRDefault="00F251C6" w:rsidP="00F251C6">
            <w:pPr>
              <w:pStyle w:val="TableParagraph"/>
              <w:jc w:val="center"/>
            </w:pPr>
          </w:p>
          <w:p w14:paraId="6D869336" w14:textId="6C263FED" w:rsidR="00F251C6" w:rsidRPr="00130A96" w:rsidRDefault="00F251C6" w:rsidP="00F251C6">
            <w:pPr>
              <w:pStyle w:val="TableParagraph"/>
              <w:jc w:val="center"/>
            </w:pPr>
            <w:r w:rsidRPr="00130A96">
              <w:t>-0,26</w:t>
            </w:r>
          </w:p>
        </w:tc>
      </w:tr>
      <w:tr w:rsidR="00F251C6" w:rsidRPr="00130A96" w14:paraId="6D86933D" w14:textId="77777777" w:rsidTr="006837EB">
        <w:trPr>
          <w:trHeight w:val="354"/>
        </w:trPr>
        <w:tc>
          <w:tcPr>
            <w:tcW w:w="2566" w:type="dxa"/>
            <w:tcBorders>
              <w:bottom w:val="single" w:sz="4" w:space="0" w:color="auto"/>
            </w:tcBorders>
          </w:tcPr>
          <w:p w14:paraId="363DBAAB" w14:textId="77777777" w:rsidR="00F251C6" w:rsidRPr="00F251C6" w:rsidRDefault="00F251C6" w:rsidP="00C443AD">
            <w:pPr>
              <w:pStyle w:val="TableParagraph"/>
              <w:ind w:left="142"/>
            </w:pPr>
            <w:r w:rsidRPr="00F856BE">
              <w:lastRenderedPageBreak/>
              <w:t>Skirtumas, palyginti su placebo poveikiu</w:t>
            </w:r>
            <w:r w:rsidRPr="007E58DB">
              <w:rPr>
                <w:spacing w:val="-10"/>
                <w:vertAlign w:val="superscript"/>
              </w:rPr>
              <w:t xml:space="preserve"> </w:t>
            </w:r>
            <w:r w:rsidRPr="007E58DB">
              <w:rPr>
                <w:vertAlign w:val="superscript"/>
              </w:rPr>
              <w:t>c</w:t>
            </w:r>
          </w:p>
          <w:p w14:paraId="6D869338" w14:textId="1C3B55EE" w:rsidR="00F251C6" w:rsidRPr="00130A96" w:rsidRDefault="00F251C6" w:rsidP="00C443AD">
            <w:pPr>
              <w:pStyle w:val="TableParagraph"/>
              <w:ind w:left="142"/>
            </w:pPr>
            <w:r w:rsidRPr="00130A96">
              <w:t>(95</w:t>
            </w:r>
            <w:r>
              <w:t> %</w:t>
            </w:r>
            <w:r w:rsidRPr="00130A96">
              <w:t xml:space="preserve"> PI)</w:t>
            </w:r>
          </w:p>
        </w:tc>
        <w:tc>
          <w:tcPr>
            <w:tcW w:w="1820" w:type="dxa"/>
            <w:tcBorders>
              <w:bottom w:val="single" w:sz="4" w:space="0" w:color="auto"/>
            </w:tcBorders>
          </w:tcPr>
          <w:p w14:paraId="74D50EA7" w14:textId="77777777" w:rsidR="00F251C6" w:rsidRDefault="00F251C6" w:rsidP="00F251C6">
            <w:pPr>
              <w:pStyle w:val="TableParagraph"/>
              <w:jc w:val="center"/>
            </w:pPr>
          </w:p>
          <w:p w14:paraId="18298D47" w14:textId="614024EA" w:rsidR="00F251C6" w:rsidRDefault="00F251C6" w:rsidP="00F251C6">
            <w:pPr>
              <w:pStyle w:val="TableParagraph"/>
              <w:jc w:val="center"/>
              <w:rPr>
                <w:vertAlign w:val="superscript"/>
              </w:rPr>
            </w:pPr>
            <w:r w:rsidRPr="00130A96">
              <w:t>-1,97</w:t>
            </w:r>
            <w:r w:rsidRPr="00130A96">
              <w:rPr>
                <w:vertAlign w:val="superscript"/>
              </w:rPr>
              <w:t>*</w:t>
            </w:r>
          </w:p>
          <w:p w14:paraId="6D869339" w14:textId="0D1D9C09" w:rsidR="00F251C6" w:rsidRPr="00130A96" w:rsidRDefault="00F251C6" w:rsidP="00F251C6">
            <w:pPr>
              <w:pStyle w:val="TableParagraph"/>
              <w:jc w:val="center"/>
            </w:pPr>
            <w:r w:rsidRPr="00130A96">
              <w:t>(-2,63, -1,31)</w:t>
            </w:r>
          </w:p>
        </w:tc>
        <w:tc>
          <w:tcPr>
            <w:tcW w:w="1367" w:type="dxa"/>
            <w:tcBorders>
              <w:bottom w:val="single" w:sz="4" w:space="0" w:color="auto"/>
            </w:tcBorders>
          </w:tcPr>
          <w:p w14:paraId="6D86933A" w14:textId="5E7846C6" w:rsidR="00F251C6" w:rsidRPr="00130A96" w:rsidRDefault="00F251C6" w:rsidP="00F251C6">
            <w:pPr>
              <w:pStyle w:val="TableParagraph"/>
              <w:jc w:val="center"/>
            </w:pPr>
          </w:p>
        </w:tc>
        <w:tc>
          <w:tcPr>
            <w:tcW w:w="1884" w:type="dxa"/>
            <w:tcBorders>
              <w:bottom w:val="single" w:sz="4" w:space="0" w:color="auto"/>
            </w:tcBorders>
          </w:tcPr>
          <w:p w14:paraId="6F2B5344" w14:textId="77777777" w:rsidR="00F251C6" w:rsidRDefault="00F251C6" w:rsidP="00F251C6">
            <w:pPr>
              <w:pStyle w:val="TableParagraph"/>
              <w:jc w:val="center"/>
            </w:pPr>
          </w:p>
          <w:p w14:paraId="324A3932" w14:textId="71C6B56F" w:rsidR="00F251C6" w:rsidRDefault="00F251C6" w:rsidP="00F251C6">
            <w:pPr>
              <w:pStyle w:val="TableParagraph"/>
              <w:jc w:val="center"/>
            </w:pPr>
            <w:r w:rsidRPr="00130A96">
              <w:t>-1,89</w:t>
            </w:r>
            <w:r w:rsidRPr="0033443C">
              <w:rPr>
                <w:vertAlign w:val="superscript"/>
              </w:rPr>
              <w:t>*</w:t>
            </w:r>
          </w:p>
          <w:p w14:paraId="6D86933B" w14:textId="6481074E" w:rsidR="00F251C6" w:rsidRPr="00130A96" w:rsidRDefault="00F251C6" w:rsidP="00F251C6">
            <w:pPr>
              <w:pStyle w:val="TableParagraph"/>
              <w:jc w:val="center"/>
            </w:pPr>
            <w:r w:rsidRPr="00130A96">
              <w:t>(-2,37, -1,40)</w:t>
            </w:r>
          </w:p>
        </w:tc>
        <w:tc>
          <w:tcPr>
            <w:tcW w:w="1416" w:type="dxa"/>
            <w:tcBorders>
              <w:bottom w:val="single" w:sz="4" w:space="0" w:color="auto"/>
            </w:tcBorders>
          </w:tcPr>
          <w:p w14:paraId="6D86933C" w14:textId="0D9E1F42" w:rsidR="00F251C6" w:rsidRPr="00130A96" w:rsidRDefault="00F251C6" w:rsidP="00F251C6">
            <w:pPr>
              <w:pStyle w:val="TableParagraph"/>
              <w:jc w:val="center"/>
            </w:pPr>
          </w:p>
        </w:tc>
      </w:tr>
    </w:tbl>
    <w:p w14:paraId="54760B79" w14:textId="77777777" w:rsidR="0033443C" w:rsidRPr="0033443C" w:rsidRDefault="0033443C" w:rsidP="0033443C">
      <w:pPr>
        <w:rPr>
          <w:sz w:val="20"/>
          <w:szCs w:val="20"/>
        </w:rPr>
      </w:pPr>
      <w:r w:rsidRPr="0033443C">
        <w:rPr>
          <w:sz w:val="20"/>
          <w:szCs w:val="20"/>
          <w:vertAlign w:val="superscript"/>
        </w:rPr>
        <w:t>1</w:t>
      </w:r>
      <w:r w:rsidRPr="0033443C">
        <w:rPr>
          <w:sz w:val="20"/>
          <w:szCs w:val="20"/>
        </w:rPr>
        <w:t xml:space="preserve"> </w:t>
      </w:r>
      <w:proofErr w:type="spellStart"/>
      <w:r w:rsidRPr="0033443C">
        <w:rPr>
          <w:sz w:val="20"/>
          <w:szCs w:val="20"/>
        </w:rPr>
        <w:t>Metformino</w:t>
      </w:r>
      <w:proofErr w:type="spellEnd"/>
      <w:r w:rsidRPr="0033443C">
        <w:rPr>
          <w:sz w:val="20"/>
          <w:szCs w:val="20"/>
        </w:rPr>
        <w:t xml:space="preserve"> paros dozė ≥ 1500 mg.</w:t>
      </w:r>
    </w:p>
    <w:p w14:paraId="4FA30F67" w14:textId="77777777" w:rsidR="0033443C" w:rsidRPr="0033443C" w:rsidRDefault="0033443C" w:rsidP="0033443C">
      <w:pPr>
        <w:rPr>
          <w:sz w:val="20"/>
          <w:szCs w:val="20"/>
        </w:rPr>
      </w:pPr>
      <w:r w:rsidRPr="0033443C">
        <w:rPr>
          <w:sz w:val="20"/>
          <w:szCs w:val="20"/>
          <w:vertAlign w:val="superscript"/>
        </w:rPr>
        <w:t>2</w:t>
      </w:r>
      <w:r w:rsidRPr="0033443C">
        <w:rPr>
          <w:sz w:val="20"/>
          <w:szCs w:val="20"/>
        </w:rPr>
        <w:t xml:space="preserve"> </w:t>
      </w:r>
      <w:proofErr w:type="spellStart"/>
      <w:r w:rsidRPr="0033443C">
        <w:rPr>
          <w:sz w:val="20"/>
          <w:szCs w:val="20"/>
        </w:rPr>
        <w:t>Sitagliptino</w:t>
      </w:r>
      <w:proofErr w:type="spellEnd"/>
      <w:r w:rsidRPr="0033443C">
        <w:rPr>
          <w:sz w:val="20"/>
          <w:szCs w:val="20"/>
        </w:rPr>
        <w:t xml:space="preserve"> paros dozė – 100 mg.</w:t>
      </w:r>
    </w:p>
    <w:p w14:paraId="3D92B238" w14:textId="734A2AAA" w:rsidR="0033443C" w:rsidRPr="0033443C" w:rsidRDefault="0033443C" w:rsidP="0033443C">
      <w:pPr>
        <w:rPr>
          <w:sz w:val="20"/>
          <w:szCs w:val="20"/>
        </w:rPr>
      </w:pPr>
      <w:r w:rsidRPr="0033443C">
        <w:rPr>
          <w:sz w:val="20"/>
          <w:szCs w:val="20"/>
          <w:vertAlign w:val="superscript"/>
        </w:rPr>
        <w:t>a</w:t>
      </w:r>
      <w:r w:rsidRPr="0033443C">
        <w:rPr>
          <w:sz w:val="20"/>
          <w:szCs w:val="20"/>
        </w:rPr>
        <w:t xml:space="preserve"> LOCF</w:t>
      </w:r>
      <w:r>
        <w:rPr>
          <w:sz w:val="20"/>
          <w:szCs w:val="20"/>
        </w:rPr>
        <w:t xml:space="preserve">: </w:t>
      </w:r>
      <w:r w:rsidRPr="00121890">
        <w:rPr>
          <w:sz w:val="20"/>
          <w:szCs w:val="20"/>
        </w:rPr>
        <w:t>paskutinė atlikta apžiūra (</w:t>
      </w:r>
      <w:r>
        <w:rPr>
          <w:sz w:val="20"/>
          <w:szCs w:val="20"/>
        </w:rPr>
        <w:t>prieš skubų gydymą pacientams, kuriems jo prireikė</w:t>
      </w:r>
      <w:r w:rsidRPr="00121890">
        <w:rPr>
          <w:sz w:val="20"/>
          <w:szCs w:val="20"/>
        </w:rPr>
        <w:t>)</w:t>
      </w:r>
      <w:r w:rsidRPr="0033443C">
        <w:rPr>
          <w:sz w:val="20"/>
          <w:szCs w:val="20"/>
        </w:rPr>
        <w:t>.</w:t>
      </w:r>
    </w:p>
    <w:p w14:paraId="3FCBD2FA" w14:textId="738D42E5" w:rsidR="0033443C" w:rsidRPr="0033443C" w:rsidRDefault="0033443C" w:rsidP="00744828">
      <w:pPr>
        <w:ind w:left="142" w:hanging="142"/>
        <w:rPr>
          <w:sz w:val="20"/>
          <w:szCs w:val="20"/>
        </w:rPr>
      </w:pPr>
      <w:r w:rsidRPr="0033443C">
        <w:rPr>
          <w:sz w:val="20"/>
          <w:szCs w:val="20"/>
          <w:vertAlign w:val="superscript"/>
        </w:rPr>
        <w:t>b</w:t>
      </w:r>
      <w:r w:rsidRPr="0033443C">
        <w:rPr>
          <w:sz w:val="20"/>
          <w:szCs w:val="20"/>
        </w:rPr>
        <w:t xml:space="preserve"> </w:t>
      </w:r>
      <w:r w:rsidR="00744828" w:rsidRPr="00121890">
        <w:rPr>
          <w:sz w:val="20"/>
          <w:szCs w:val="20"/>
        </w:rPr>
        <w:t xml:space="preserve">Visi atsitiktinai atrinkti asmenys, pavartoję bent vieną dozę dvigubai </w:t>
      </w:r>
      <w:r w:rsidR="00744828">
        <w:rPr>
          <w:sz w:val="20"/>
          <w:szCs w:val="20"/>
        </w:rPr>
        <w:t>koduoto</w:t>
      </w:r>
      <w:r w:rsidR="00744828" w:rsidRPr="00121890">
        <w:rPr>
          <w:sz w:val="20"/>
          <w:szCs w:val="20"/>
        </w:rPr>
        <w:t xml:space="preserve"> t</w:t>
      </w:r>
      <w:r w:rsidR="00BE5022">
        <w:rPr>
          <w:sz w:val="20"/>
          <w:szCs w:val="20"/>
        </w:rPr>
        <w:t>iriamojo</w:t>
      </w:r>
      <w:r w:rsidR="00744828" w:rsidRPr="00121890">
        <w:rPr>
          <w:sz w:val="20"/>
          <w:szCs w:val="20"/>
        </w:rPr>
        <w:t xml:space="preserve"> </w:t>
      </w:r>
      <w:r w:rsidR="00744828">
        <w:rPr>
          <w:sz w:val="20"/>
          <w:szCs w:val="20"/>
        </w:rPr>
        <w:t xml:space="preserve">vaistinio preparato </w:t>
      </w:r>
      <w:r w:rsidR="00744828" w:rsidRPr="00121890">
        <w:rPr>
          <w:sz w:val="20"/>
          <w:szCs w:val="20"/>
        </w:rPr>
        <w:t xml:space="preserve">trumpu dvigubai </w:t>
      </w:r>
      <w:r w:rsidR="00744828">
        <w:rPr>
          <w:sz w:val="20"/>
          <w:szCs w:val="20"/>
        </w:rPr>
        <w:t>koduotu</w:t>
      </w:r>
      <w:r w:rsidR="00744828" w:rsidRPr="00121890">
        <w:rPr>
          <w:sz w:val="20"/>
          <w:szCs w:val="20"/>
        </w:rPr>
        <w:t xml:space="preserve"> laikotarpiu.</w:t>
      </w:r>
    </w:p>
    <w:p w14:paraId="0969A959" w14:textId="6E9DD90B" w:rsidR="0033443C" w:rsidRPr="0033443C" w:rsidRDefault="0033443C" w:rsidP="0033443C">
      <w:pPr>
        <w:rPr>
          <w:sz w:val="20"/>
          <w:szCs w:val="20"/>
        </w:rPr>
      </w:pPr>
      <w:r w:rsidRPr="0033443C">
        <w:rPr>
          <w:sz w:val="20"/>
          <w:szCs w:val="20"/>
          <w:vertAlign w:val="superscript"/>
        </w:rPr>
        <w:t>c</w:t>
      </w:r>
      <w:r w:rsidRPr="0033443C">
        <w:rPr>
          <w:sz w:val="20"/>
          <w:szCs w:val="20"/>
        </w:rPr>
        <w:t xml:space="preserve"> Mažiausių kvadratų vidurkis, koreguotas pagal </w:t>
      </w:r>
      <w:r w:rsidR="00CD663F">
        <w:rPr>
          <w:sz w:val="20"/>
          <w:szCs w:val="20"/>
        </w:rPr>
        <w:t>pradinį rodmenį</w:t>
      </w:r>
      <w:r w:rsidRPr="0033443C">
        <w:rPr>
          <w:sz w:val="20"/>
          <w:szCs w:val="20"/>
        </w:rPr>
        <w:t>.</w:t>
      </w:r>
    </w:p>
    <w:p w14:paraId="35927DB8" w14:textId="6D5DEAC3" w:rsidR="0033443C" w:rsidRPr="0033443C" w:rsidRDefault="0033443C" w:rsidP="0033443C">
      <w:pPr>
        <w:rPr>
          <w:sz w:val="20"/>
          <w:szCs w:val="20"/>
        </w:rPr>
      </w:pPr>
      <w:r w:rsidRPr="0033443C">
        <w:rPr>
          <w:sz w:val="20"/>
          <w:szCs w:val="20"/>
          <w:vertAlign w:val="superscript"/>
        </w:rPr>
        <w:t>*</w:t>
      </w:r>
      <w:r w:rsidRPr="0033443C">
        <w:rPr>
          <w:sz w:val="20"/>
          <w:szCs w:val="20"/>
        </w:rPr>
        <w:t xml:space="preserve"> p </w:t>
      </w:r>
      <w:r w:rsidR="00CD663F">
        <w:rPr>
          <w:sz w:val="20"/>
          <w:szCs w:val="20"/>
        </w:rPr>
        <w:t xml:space="preserve">rodiklis </w:t>
      </w:r>
      <w:r w:rsidRPr="0033443C">
        <w:rPr>
          <w:sz w:val="20"/>
          <w:szCs w:val="20"/>
        </w:rPr>
        <w:t>&lt; 0,0001 plg. su placebo ir geriamojo gliukozės koncentraciją mažinančio vaistinio preparato deriniu.</w:t>
      </w:r>
    </w:p>
    <w:p w14:paraId="4FEDD322" w14:textId="7F28AB54" w:rsidR="0033443C" w:rsidRPr="0033443C" w:rsidRDefault="0033443C" w:rsidP="0033443C">
      <w:pPr>
        <w:rPr>
          <w:sz w:val="20"/>
          <w:szCs w:val="20"/>
        </w:rPr>
      </w:pPr>
      <w:r w:rsidRPr="0033443C">
        <w:rPr>
          <w:sz w:val="20"/>
          <w:szCs w:val="20"/>
          <w:vertAlign w:val="superscript"/>
        </w:rPr>
        <w:t>**</w:t>
      </w:r>
      <w:r w:rsidRPr="0033443C">
        <w:rPr>
          <w:sz w:val="20"/>
          <w:szCs w:val="20"/>
        </w:rPr>
        <w:t xml:space="preserve"> p </w:t>
      </w:r>
      <w:r w:rsidR="00CD663F">
        <w:rPr>
          <w:sz w:val="20"/>
          <w:szCs w:val="20"/>
        </w:rPr>
        <w:t xml:space="preserve">rodiklis </w:t>
      </w:r>
      <w:r w:rsidRPr="0033443C">
        <w:rPr>
          <w:sz w:val="20"/>
          <w:szCs w:val="20"/>
        </w:rPr>
        <w:t>&lt; 0,05 plg. su placebo ir geriamojo gliukozės koncentraciją mažinančio vaistinio preparato deriniu.</w:t>
      </w:r>
    </w:p>
    <w:p w14:paraId="44D93DDC" w14:textId="77777777" w:rsidR="0033443C" w:rsidRDefault="0033443C" w:rsidP="006837EB">
      <w:pPr>
        <w:pStyle w:val="Antrat2"/>
        <w:tabs>
          <w:tab w:val="left" w:pos="450"/>
        </w:tabs>
        <w:ind w:left="0"/>
      </w:pPr>
    </w:p>
    <w:p w14:paraId="6D869352" w14:textId="5BD48639" w:rsidR="00C0147E" w:rsidRPr="00130A96" w:rsidRDefault="006837EB" w:rsidP="006837EB">
      <w:pPr>
        <w:pStyle w:val="Antrat2"/>
        <w:tabs>
          <w:tab w:val="left" w:pos="450"/>
        </w:tabs>
        <w:ind w:left="0"/>
      </w:pPr>
      <w:r>
        <w:t xml:space="preserve">5. </w:t>
      </w:r>
      <w:r w:rsidR="001175EF" w:rsidRPr="00130A96">
        <w:t>lentelė. 24</w:t>
      </w:r>
      <w:r w:rsidR="00CD663F">
        <w:t> </w:t>
      </w:r>
      <w:r w:rsidR="001175EF" w:rsidRPr="00130A96">
        <w:t>savaičių trukmės placeb</w:t>
      </w:r>
      <w:r w:rsidR="00D206CF">
        <w:t>o</w:t>
      </w:r>
      <w:r w:rsidR="001175EF" w:rsidRPr="00130A96">
        <w:t xml:space="preserve"> kontroliuojamų </w:t>
      </w:r>
      <w:r w:rsidR="00572A56" w:rsidRPr="008903EC">
        <w:t xml:space="preserve">tyrimų rezultatai, vartojant dapaglifloziną papildomai kartu su </w:t>
      </w:r>
      <w:proofErr w:type="spellStart"/>
      <w:r w:rsidR="00572A56" w:rsidRPr="008903EC">
        <w:t>sulfonilkarbamido</w:t>
      </w:r>
      <w:proofErr w:type="spellEnd"/>
      <w:r w:rsidR="00572A56" w:rsidRPr="008903EC">
        <w:t xml:space="preserve"> dariniu (</w:t>
      </w:r>
      <w:proofErr w:type="spellStart"/>
      <w:r w:rsidR="00572A56" w:rsidRPr="008903EC">
        <w:t>glimepiridu</w:t>
      </w:r>
      <w:proofErr w:type="spellEnd"/>
      <w:r w:rsidR="00572A56" w:rsidRPr="008903EC">
        <w:t xml:space="preserve">) arba </w:t>
      </w:r>
      <w:proofErr w:type="spellStart"/>
      <w:r w:rsidR="00572A56" w:rsidRPr="008903EC">
        <w:t>metforminu</w:t>
      </w:r>
      <w:proofErr w:type="spellEnd"/>
      <w:r w:rsidR="00572A56" w:rsidRPr="008903EC">
        <w:t xml:space="preserve"> ir </w:t>
      </w:r>
      <w:proofErr w:type="spellStart"/>
      <w:r w:rsidR="00572A56" w:rsidRPr="008903EC">
        <w:t>sulfonilkarbamido</w:t>
      </w:r>
      <w:proofErr w:type="spellEnd"/>
      <w:r w:rsidR="00572A56" w:rsidRPr="008903EC">
        <w:t xml:space="preserve"> dariniu</w:t>
      </w:r>
    </w:p>
    <w:tbl>
      <w:tblPr>
        <w:tblW w:w="0" w:type="auto"/>
        <w:tblLayout w:type="fixed"/>
        <w:tblCellMar>
          <w:left w:w="0" w:type="dxa"/>
          <w:right w:w="0" w:type="dxa"/>
        </w:tblCellMar>
        <w:tblLook w:val="01E0" w:firstRow="1" w:lastRow="1" w:firstColumn="1" w:lastColumn="1" w:noHBand="0" w:noVBand="0"/>
      </w:tblPr>
      <w:tblGrid>
        <w:gridCol w:w="2674"/>
        <w:gridCol w:w="1802"/>
        <w:gridCol w:w="1405"/>
        <w:gridCol w:w="1844"/>
        <w:gridCol w:w="1435"/>
      </w:tblGrid>
      <w:tr w:rsidR="00C0147E" w:rsidRPr="00130A96" w14:paraId="6D869354" w14:textId="77777777" w:rsidTr="006837EB">
        <w:trPr>
          <w:trHeight w:val="251"/>
        </w:trPr>
        <w:tc>
          <w:tcPr>
            <w:tcW w:w="9160" w:type="dxa"/>
            <w:gridSpan w:val="5"/>
            <w:tcBorders>
              <w:top w:val="single" w:sz="4" w:space="0" w:color="000000"/>
            </w:tcBorders>
          </w:tcPr>
          <w:p w14:paraId="6D869353" w14:textId="62FA178F" w:rsidR="00C0147E" w:rsidRPr="00130A96" w:rsidRDefault="001175EF" w:rsidP="006837EB">
            <w:pPr>
              <w:pStyle w:val="TableParagraph"/>
              <w:ind w:left="2268"/>
              <w:jc w:val="center"/>
              <w:rPr>
                <w:b/>
              </w:rPr>
            </w:pPr>
            <w:r w:rsidRPr="00130A96">
              <w:rPr>
                <w:b/>
              </w:rPr>
              <w:t xml:space="preserve">Papildomas </w:t>
            </w:r>
            <w:r w:rsidR="00347ABA">
              <w:rPr>
                <w:b/>
              </w:rPr>
              <w:t>sudėtinis</w:t>
            </w:r>
            <w:r w:rsidR="00347ABA" w:rsidRPr="00130A96">
              <w:rPr>
                <w:b/>
              </w:rPr>
              <w:t xml:space="preserve"> </w:t>
            </w:r>
            <w:r w:rsidRPr="00130A96">
              <w:rPr>
                <w:b/>
              </w:rPr>
              <w:t>gydymas</w:t>
            </w:r>
          </w:p>
        </w:tc>
      </w:tr>
      <w:tr w:rsidR="00C0147E" w:rsidRPr="00130A96" w14:paraId="6D869358" w14:textId="77777777" w:rsidTr="006837EB">
        <w:trPr>
          <w:trHeight w:val="506"/>
        </w:trPr>
        <w:tc>
          <w:tcPr>
            <w:tcW w:w="2674" w:type="dxa"/>
          </w:tcPr>
          <w:p w14:paraId="6D869355" w14:textId="77777777" w:rsidR="00C0147E" w:rsidRPr="00130A96" w:rsidRDefault="00C0147E" w:rsidP="00130A96">
            <w:pPr>
              <w:pStyle w:val="TableParagraph"/>
            </w:pPr>
          </w:p>
        </w:tc>
        <w:tc>
          <w:tcPr>
            <w:tcW w:w="3207" w:type="dxa"/>
            <w:gridSpan w:val="2"/>
            <w:tcBorders>
              <w:top w:val="single" w:sz="4" w:space="0" w:color="000000"/>
              <w:bottom w:val="single" w:sz="4" w:space="0" w:color="000000"/>
            </w:tcBorders>
          </w:tcPr>
          <w:p w14:paraId="6D869356" w14:textId="2F66A5B6" w:rsidR="00C0147E" w:rsidRPr="00130A96" w:rsidRDefault="001175EF" w:rsidP="006837EB">
            <w:pPr>
              <w:pStyle w:val="TableParagraph"/>
              <w:jc w:val="center"/>
              <w:rPr>
                <w:b/>
              </w:rPr>
            </w:pPr>
            <w:r w:rsidRPr="00130A96">
              <w:rPr>
                <w:b/>
              </w:rPr>
              <w:t xml:space="preserve">Su </w:t>
            </w:r>
            <w:proofErr w:type="spellStart"/>
            <w:r w:rsidRPr="00130A96">
              <w:rPr>
                <w:b/>
              </w:rPr>
              <w:t>sulfonilkarbamid</w:t>
            </w:r>
            <w:r w:rsidR="00347ABA">
              <w:rPr>
                <w:b/>
              </w:rPr>
              <w:t>o</w:t>
            </w:r>
            <w:proofErr w:type="spellEnd"/>
            <w:r w:rsidR="00347ABA">
              <w:rPr>
                <w:b/>
              </w:rPr>
              <w:t xml:space="preserve"> dariniu</w:t>
            </w:r>
            <w:r w:rsidRPr="00130A96">
              <w:rPr>
                <w:b/>
              </w:rPr>
              <w:t xml:space="preserve"> (</w:t>
            </w:r>
            <w:proofErr w:type="spellStart"/>
            <w:r w:rsidRPr="00130A96">
              <w:rPr>
                <w:b/>
              </w:rPr>
              <w:t>glimepiridu</w:t>
            </w:r>
            <w:proofErr w:type="spellEnd"/>
            <w:r w:rsidRPr="00130A96">
              <w:rPr>
                <w:b/>
              </w:rPr>
              <w:t>)</w:t>
            </w:r>
            <w:r w:rsidRPr="00130A96">
              <w:rPr>
                <w:b/>
                <w:vertAlign w:val="superscript"/>
              </w:rPr>
              <w:t>1</w:t>
            </w:r>
          </w:p>
        </w:tc>
        <w:tc>
          <w:tcPr>
            <w:tcW w:w="3279" w:type="dxa"/>
            <w:gridSpan w:val="2"/>
            <w:tcBorders>
              <w:top w:val="single" w:sz="4" w:space="0" w:color="000000"/>
              <w:bottom w:val="single" w:sz="4" w:space="0" w:color="000000"/>
            </w:tcBorders>
          </w:tcPr>
          <w:p w14:paraId="6D869357" w14:textId="0FF00C04" w:rsidR="00C0147E" w:rsidRPr="00130A96" w:rsidRDefault="001175EF" w:rsidP="006837EB">
            <w:pPr>
              <w:pStyle w:val="TableParagraph"/>
              <w:jc w:val="center"/>
              <w:rPr>
                <w:b/>
              </w:rPr>
            </w:pPr>
            <w:r w:rsidRPr="00130A96">
              <w:rPr>
                <w:b/>
              </w:rPr>
              <w:t xml:space="preserve">Su </w:t>
            </w:r>
            <w:proofErr w:type="spellStart"/>
            <w:r w:rsidRPr="00130A96">
              <w:rPr>
                <w:b/>
              </w:rPr>
              <w:t>sulfonilkarbamid</w:t>
            </w:r>
            <w:r w:rsidR="00347ABA">
              <w:rPr>
                <w:b/>
              </w:rPr>
              <w:t>o</w:t>
            </w:r>
            <w:proofErr w:type="spellEnd"/>
            <w:r w:rsidR="00347ABA">
              <w:rPr>
                <w:b/>
              </w:rPr>
              <w:t xml:space="preserve"> dariniu</w:t>
            </w:r>
            <w:r w:rsidRPr="00130A96">
              <w:rPr>
                <w:b/>
              </w:rPr>
              <w:t xml:space="preserve"> </w:t>
            </w:r>
            <w:r w:rsidR="004D372F">
              <w:rPr>
                <w:b/>
              </w:rPr>
              <w:t xml:space="preserve">+ </w:t>
            </w:r>
            <w:r w:rsidRPr="00130A96">
              <w:rPr>
                <w:b/>
              </w:rPr>
              <w:t>metforminu</w:t>
            </w:r>
            <w:r w:rsidRPr="00130A96">
              <w:rPr>
                <w:b/>
                <w:vertAlign w:val="superscript"/>
              </w:rPr>
              <w:t>2</w:t>
            </w:r>
          </w:p>
        </w:tc>
      </w:tr>
      <w:tr w:rsidR="00C0147E" w:rsidRPr="00130A96" w14:paraId="6D869360" w14:textId="77777777" w:rsidTr="006837EB">
        <w:trPr>
          <w:trHeight w:val="482"/>
        </w:trPr>
        <w:tc>
          <w:tcPr>
            <w:tcW w:w="2674" w:type="dxa"/>
            <w:tcBorders>
              <w:bottom w:val="single" w:sz="4" w:space="0" w:color="000000"/>
            </w:tcBorders>
          </w:tcPr>
          <w:p w14:paraId="6D869359" w14:textId="77777777" w:rsidR="00C0147E" w:rsidRPr="00130A96" w:rsidRDefault="00C0147E" w:rsidP="00130A96">
            <w:pPr>
              <w:pStyle w:val="TableParagraph"/>
            </w:pPr>
          </w:p>
        </w:tc>
        <w:tc>
          <w:tcPr>
            <w:tcW w:w="1802" w:type="dxa"/>
            <w:tcBorders>
              <w:top w:val="single" w:sz="4" w:space="0" w:color="000000"/>
              <w:bottom w:val="single" w:sz="4" w:space="0" w:color="000000"/>
            </w:tcBorders>
          </w:tcPr>
          <w:p w14:paraId="6D86935A" w14:textId="77777777" w:rsidR="00C0147E" w:rsidRPr="00130A96" w:rsidRDefault="001175EF" w:rsidP="006837EB">
            <w:pPr>
              <w:pStyle w:val="TableParagraph"/>
              <w:jc w:val="center"/>
              <w:rPr>
                <w:b/>
              </w:rPr>
            </w:pPr>
            <w:r w:rsidRPr="00130A96">
              <w:rPr>
                <w:b/>
              </w:rPr>
              <w:t>Dapagliflozinas</w:t>
            </w:r>
          </w:p>
          <w:p w14:paraId="6D86935B" w14:textId="7CC07922" w:rsidR="00C0147E" w:rsidRPr="00130A96" w:rsidRDefault="001175EF" w:rsidP="006837EB">
            <w:pPr>
              <w:pStyle w:val="TableParagraph"/>
              <w:jc w:val="center"/>
              <w:rPr>
                <w:b/>
              </w:rPr>
            </w:pPr>
            <w:r w:rsidRPr="00130A96">
              <w:rPr>
                <w:b/>
              </w:rPr>
              <w:t>10</w:t>
            </w:r>
            <w:r w:rsidR="00873FCC">
              <w:rPr>
                <w:b/>
              </w:rPr>
              <w:t> mg</w:t>
            </w:r>
          </w:p>
        </w:tc>
        <w:tc>
          <w:tcPr>
            <w:tcW w:w="1405" w:type="dxa"/>
            <w:tcBorders>
              <w:top w:val="single" w:sz="4" w:space="0" w:color="000000"/>
              <w:bottom w:val="single" w:sz="4" w:space="0" w:color="000000"/>
            </w:tcBorders>
          </w:tcPr>
          <w:p w14:paraId="6D86935C" w14:textId="77777777" w:rsidR="00C0147E" w:rsidRPr="00130A96" w:rsidRDefault="001175EF" w:rsidP="006837EB">
            <w:pPr>
              <w:pStyle w:val="TableParagraph"/>
              <w:jc w:val="center"/>
              <w:rPr>
                <w:b/>
              </w:rPr>
            </w:pPr>
            <w:r w:rsidRPr="00130A96">
              <w:rPr>
                <w:b/>
              </w:rPr>
              <w:t>Placebas</w:t>
            </w:r>
          </w:p>
        </w:tc>
        <w:tc>
          <w:tcPr>
            <w:tcW w:w="1844" w:type="dxa"/>
            <w:tcBorders>
              <w:top w:val="single" w:sz="4" w:space="0" w:color="000000"/>
              <w:bottom w:val="single" w:sz="4" w:space="0" w:color="000000"/>
            </w:tcBorders>
          </w:tcPr>
          <w:p w14:paraId="6D86935D" w14:textId="77777777" w:rsidR="00C0147E" w:rsidRPr="00130A96" w:rsidRDefault="001175EF" w:rsidP="006837EB">
            <w:pPr>
              <w:pStyle w:val="TableParagraph"/>
              <w:jc w:val="center"/>
              <w:rPr>
                <w:b/>
              </w:rPr>
            </w:pPr>
            <w:r w:rsidRPr="00130A96">
              <w:rPr>
                <w:b/>
              </w:rPr>
              <w:t>Dapagliflozinas</w:t>
            </w:r>
          </w:p>
          <w:p w14:paraId="6D86935E" w14:textId="70A255D2" w:rsidR="00C0147E" w:rsidRPr="00130A96" w:rsidRDefault="001175EF" w:rsidP="006837EB">
            <w:pPr>
              <w:pStyle w:val="TableParagraph"/>
              <w:jc w:val="center"/>
              <w:rPr>
                <w:b/>
              </w:rPr>
            </w:pPr>
            <w:r w:rsidRPr="00130A96">
              <w:rPr>
                <w:b/>
              </w:rPr>
              <w:t>10</w:t>
            </w:r>
            <w:r w:rsidR="00873FCC">
              <w:rPr>
                <w:b/>
              </w:rPr>
              <w:t> mg</w:t>
            </w:r>
          </w:p>
        </w:tc>
        <w:tc>
          <w:tcPr>
            <w:tcW w:w="1435" w:type="dxa"/>
            <w:tcBorders>
              <w:top w:val="single" w:sz="4" w:space="0" w:color="000000"/>
              <w:bottom w:val="single" w:sz="4" w:space="0" w:color="000000"/>
            </w:tcBorders>
          </w:tcPr>
          <w:p w14:paraId="6D86935F" w14:textId="77777777" w:rsidR="00C0147E" w:rsidRPr="00130A96" w:rsidRDefault="001175EF" w:rsidP="006837EB">
            <w:pPr>
              <w:pStyle w:val="TableParagraph"/>
              <w:jc w:val="center"/>
              <w:rPr>
                <w:b/>
              </w:rPr>
            </w:pPr>
            <w:r w:rsidRPr="00130A96">
              <w:rPr>
                <w:b/>
              </w:rPr>
              <w:t>Placebas</w:t>
            </w:r>
          </w:p>
        </w:tc>
      </w:tr>
      <w:tr w:rsidR="00C0147E" w:rsidRPr="00130A96" w14:paraId="6D869366" w14:textId="77777777" w:rsidTr="006837EB">
        <w:trPr>
          <w:trHeight w:val="251"/>
        </w:trPr>
        <w:tc>
          <w:tcPr>
            <w:tcW w:w="2674" w:type="dxa"/>
            <w:tcBorders>
              <w:top w:val="single" w:sz="4" w:space="0" w:color="000000"/>
              <w:bottom w:val="single" w:sz="4" w:space="0" w:color="000000"/>
            </w:tcBorders>
          </w:tcPr>
          <w:p w14:paraId="6D869361" w14:textId="393DA359" w:rsidR="00C0147E" w:rsidRPr="00130A96" w:rsidRDefault="001175EF" w:rsidP="00130A96">
            <w:pPr>
              <w:pStyle w:val="TableParagraph"/>
            </w:pPr>
            <w:r w:rsidRPr="00130A96">
              <w:rPr>
                <w:b/>
              </w:rPr>
              <w:t>N</w:t>
            </w:r>
            <w:r w:rsidRPr="006837EB">
              <w:rPr>
                <w:vertAlign w:val="superscript"/>
              </w:rPr>
              <w:t>a</w:t>
            </w:r>
          </w:p>
        </w:tc>
        <w:tc>
          <w:tcPr>
            <w:tcW w:w="1802" w:type="dxa"/>
            <w:tcBorders>
              <w:top w:val="single" w:sz="4" w:space="0" w:color="000000"/>
              <w:bottom w:val="single" w:sz="4" w:space="0" w:color="000000"/>
            </w:tcBorders>
          </w:tcPr>
          <w:p w14:paraId="6D869362" w14:textId="77777777" w:rsidR="00C0147E" w:rsidRPr="00130A96" w:rsidRDefault="001175EF" w:rsidP="006837EB">
            <w:pPr>
              <w:pStyle w:val="TableParagraph"/>
              <w:jc w:val="center"/>
            </w:pPr>
            <w:r w:rsidRPr="00130A96">
              <w:t>151</w:t>
            </w:r>
          </w:p>
        </w:tc>
        <w:tc>
          <w:tcPr>
            <w:tcW w:w="1405" w:type="dxa"/>
            <w:tcBorders>
              <w:top w:val="single" w:sz="4" w:space="0" w:color="000000"/>
              <w:bottom w:val="single" w:sz="4" w:space="0" w:color="000000"/>
            </w:tcBorders>
          </w:tcPr>
          <w:p w14:paraId="6D869363" w14:textId="77777777" w:rsidR="00C0147E" w:rsidRPr="00130A96" w:rsidRDefault="001175EF" w:rsidP="006837EB">
            <w:pPr>
              <w:pStyle w:val="TableParagraph"/>
              <w:jc w:val="center"/>
            </w:pPr>
            <w:r w:rsidRPr="00130A96">
              <w:t>145</w:t>
            </w:r>
          </w:p>
        </w:tc>
        <w:tc>
          <w:tcPr>
            <w:tcW w:w="1844" w:type="dxa"/>
            <w:tcBorders>
              <w:top w:val="single" w:sz="4" w:space="0" w:color="000000"/>
              <w:bottom w:val="single" w:sz="4" w:space="0" w:color="000000"/>
            </w:tcBorders>
          </w:tcPr>
          <w:p w14:paraId="6D869364" w14:textId="77777777" w:rsidR="00C0147E" w:rsidRPr="00130A96" w:rsidRDefault="001175EF" w:rsidP="006837EB">
            <w:pPr>
              <w:pStyle w:val="TableParagraph"/>
              <w:jc w:val="center"/>
            </w:pPr>
            <w:r w:rsidRPr="00130A96">
              <w:t>108</w:t>
            </w:r>
          </w:p>
        </w:tc>
        <w:tc>
          <w:tcPr>
            <w:tcW w:w="1435" w:type="dxa"/>
            <w:tcBorders>
              <w:top w:val="single" w:sz="4" w:space="0" w:color="000000"/>
              <w:bottom w:val="single" w:sz="4" w:space="0" w:color="000000"/>
            </w:tcBorders>
          </w:tcPr>
          <w:p w14:paraId="6D869365" w14:textId="77777777" w:rsidR="00C0147E" w:rsidRPr="00130A96" w:rsidRDefault="001175EF" w:rsidP="006837EB">
            <w:pPr>
              <w:pStyle w:val="TableParagraph"/>
              <w:jc w:val="center"/>
            </w:pPr>
            <w:r w:rsidRPr="00130A96">
              <w:t>108</w:t>
            </w:r>
          </w:p>
        </w:tc>
      </w:tr>
      <w:tr w:rsidR="00C0147E" w:rsidRPr="00130A96" w14:paraId="6D86937B" w14:textId="77777777" w:rsidTr="006837EB">
        <w:trPr>
          <w:trHeight w:val="1495"/>
        </w:trPr>
        <w:tc>
          <w:tcPr>
            <w:tcW w:w="2674" w:type="dxa"/>
            <w:tcBorders>
              <w:top w:val="single" w:sz="4" w:space="0" w:color="000000"/>
              <w:bottom w:val="single" w:sz="4" w:space="0" w:color="000000"/>
            </w:tcBorders>
          </w:tcPr>
          <w:p w14:paraId="6D869367" w14:textId="6150B399" w:rsidR="00C0147E" w:rsidRPr="00130A96" w:rsidRDefault="001175EF" w:rsidP="00130A96">
            <w:pPr>
              <w:pStyle w:val="TableParagraph"/>
              <w:jc w:val="center"/>
              <w:rPr>
                <w:b/>
              </w:rPr>
            </w:pPr>
            <w:r w:rsidRPr="00130A96">
              <w:rPr>
                <w:b/>
              </w:rPr>
              <w:t>HbA1c koncentracija (</w:t>
            </w:r>
            <w:r w:rsidR="00873FCC">
              <w:rPr>
                <w:b/>
              </w:rPr>
              <w:t> %</w:t>
            </w:r>
            <w:r w:rsidRPr="00130A96">
              <w:rPr>
                <w:b/>
              </w:rPr>
              <w:t xml:space="preserve">) </w:t>
            </w:r>
            <w:r w:rsidRPr="00130A96">
              <w:rPr>
                <w:b/>
                <w:vertAlign w:val="superscript"/>
              </w:rPr>
              <w:t>b</w:t>
            </w:r>
          </w:p>
          <w:p w14:paraId="7DF5356F" w14:textId="77777777" w:rsidR="004D372F" w:rsidRDefault="004D372F" w:rsidP="004D372F">
            <w:pPr>
              <w:pStyle w:val="TableParagraph"/>
              <w:tabs>
                <w:tab w:val="left" w:pos="142"/>
              </w:tabs>
              <w:ind w:left="142"/>
            </w:pPr>
            <w:r w:rsidRPr="00536FA9">
              <w:t>Pradinis rodmuo (vidurkis)</w:t>
            </w:r>
          </w:p>
          <w:p w14:paraId="491C0E62" w14:textId="7F783DC3" w:rsidR="004D372F" w:rsidRDefault="004D372F" w:rsidP="004D372F">
            <w:pPr>
              <w:pStyle w:val="TableParagraph"/>
              <w:tabs>
                <w:tab w:val="left" w:pos="270"/>
              </w:tabs>
              <w:ind w:left="142"/>
            </w:pPr>
            <w:r w:rsidRPr="002B0E69">
              <w:t xml:space="preserve">Pokytis, palyginti su pradiniu </w:t>
            </w:r>
            <w:proofErr w:type="spellStart"/>
            <w:r w:rsidRPr="002B0E69">
              <w:t>rodmeniu</w:t>
            </w:r>
            <w:r w:rsidRPr="002B0E69">
              <w:rPr>
                <w:vertAlign w:val="superscript"/>
              </w:rPr>
              <w:t>c</w:t>
            </w:r>
            <w:proofErr w:type="spellEnd"/>
          </w:p>
          <w:p w14:paraId="6E90F1AE" w14:textId="77777777" w:rsidR="004D372F" w:rsidRPr="00F251C6" w:rsidRDefault="004D372F" w:rsidP="004D372F">
            <w:pPr>
              <w:pStyle w:val="TableParagraph"/>
              <w:ind w:left="142"/>
            </w:pPr>
            <w:r w:rsidRPr="00F856BE">
              <w:t>Skirtumas, palyginti su placebo poveikiu</w:t>
            </w:r>
            <w:r w:rsidRPr="007E58DB">
              <w:rPr>
                <w:spacing w:val="-10"/>
                <w:vertAlign w:val="superscript"/>
              </w:rPr>
              <w:t xml:space="preserve"> </w:t>
            </w:r>
            <w:r w:rsidRPr="007E58DB">
              <w:rPr>
                <w:vertAlign w:val="superscript"/>
              </w:rPr>
              <w:t>c</w:t>
            </w:r>
          </w:p>
          <w:p w14:paraId="6D86936B" w14:textId="499481B1" w:rsidR="00C0147E" w:rsidRPr="00130A96" w:rsidRDefault="004D372F" w:rsidP="004D372F">
            <w:pPr>
              <w:pStyle w:val="TableParagraph"/>
              <w:ind w:left="142"/>
            </w:pPr>
            <w:r w:rsidRPr="00130A96">
              <w:t>(95</w:t>
            </w:r>
            <w:r>
              <w:t> %</w:t>
            </w:r>
            <w:r w:rsidRPr="00130A96">
              <w:t xml:space="preserve"> PI)</w:t>
            </w:r>
          </w:p>
        </w:tc>
        <w:tc>
          <w:tcPr>
            <w:tcW w:w="1802" w:type="dxa"/>
            <w:tcBorders>
              <w:top w:val="single" w:sz="4" w:space="0" w:color="000000"/>
              <w:bottom w:val="single" w:sz="4" w:space="0" w:color="000000"/>
            </w:tcBorders>
          </w:tcPr>
          <w:p w14:paraId="6D86936C" w14:textId="77777777" w:rsidR="00C0147E" w:rsidRPr="00130A96" w:rsidRDefault="00C0147E" w:rsidP="006837EB">
            <w:pPr>
              <w:pStyle w:val="TableParagraph"/>
              <w:jc w:val="center"/>
              <w:rPr>
                <w:b/>
              </w:rPr>
            </w:pPr>
          </w:p>
          <w:p w14:paraId="6D86936D" w14:textId="77777777" w:rsidR="00C0147E" w:rsidRPr="00130A96" w:rsidRDefault="001175EF" w:rsidP="006837EB">
            <w:pPr>
              <w:pStyle w:val="TableParagraph"/>
              <w:jc w:val="center"/>
            </w:pPr>
            <w:r w:rsidRPr="00130A96">
              <w:t>8,07</w:t>
            </w:r>
          </w:p>
          <w:p w14:paraId="6D86936E" w14:textId="77777777" w:rsidR="00C0147E" w:rsidRDefault="001175EF" w:rsidP="006837EB">
            <w:pPr>
              <w:pStyle w:val="TableParagraph"/>
              <w:jc w:val="center"/>
            </w:pPr>
            <w:r w:rsidRPr="00130A96">
              <w:t>-0,82</w:t>
            </w:r>
          </w:p>
          <w:p w14:paraId="33774583" w14:textId="77777777" w:rsidR="006837EB" w:rsidRPr="00130A96" w:rsidRDefault="006837EB" w:rsidP="006837EB">
            <w:pPr>
              <w:pStyle w:val="TableParagraph"/>
              <w:jc w:val="center"/>
            </w:pPr>
          </w:p>
          <w:p w14:paraId="6D86936F" w14:textId="77777777" w:rsidR="00C0147E" w:rsidRPr="00130A96" w:rsidRDefault="001175EF" w:rsidP="006837EB">
            <w:pPr>
              <w:pStyle w:val="TableParagraph"/>
              <w:jc w:val="center"/>
            </w:pPr>
            <w:r w:rsidRPr="00130A96">
              <w:t>-0,68</w:t>
            </w:r>
            <w:r w:rsidRPr="00130A96">
              <w:rPr>
                <w:vertAlign w:val="superscript"/>
              </w:rPr>
              <w:t>*</w:t>
            </w:r>
          </w:p>
          <w:p w14:paraId="52E3E8CA" w14:textId="77777777" w:rsidR="00DD09D0" w:rsidRDefault="00DD09D0" w:rsidP="006837EB">
            <w:pPr>
              <w:pStyle w:val="TableParagraph"/>
              <w:jc w:val="center"/>
            </w:pPr>
          </w:p>
          <w:p w14:paraId="6D869370" w14:textId="117F120B" w:rsidR="00C0147E" w:rsidRPr="00130A96" w:rsidRDefault="001175EF" w:rsidP="006837EB">
            <w:pPr>
              <w:pStyle w:val="TableParagraph"/>
              <w:jc w:val="center"/>
            </w:pPr>
            <w:r w:rsidRPr="00130A96">
              <w:t>(-0,86, -0,51)</w:t>
            </w:r>
          </w:p>
        </w:tc>
        <w:tc>
          <w:tcPr>
            <w:tcW w:w="1405" w:type="dxa"/>
            <w:tcBorders>
              <w:top w:val="single" w:sz="4" w:space="0" w:color="000000"/>
              <w:bottom w:val="single" w:sz="4" w:space="0" w:color="000000"/>
            </w:tcBorders>
          </w:tcPr>
          <w:p w14:paraId="6D869371" w14:textId="77777777" w:rsidR="00C0147E" w:rsidRPr="00130A96" w:rsidRDefault="00C0147E" w:rsidP="006837EB">
            <w:pPr>
              <w:pStyle w:val="TableParagraph"/>
              <w:jc w:val="center"/>
              <w:rPr>
                <w:b/>
              </w:rPr>
            </w:pPr>
          </w:p>
          <w:p w14:paraId="6D869372" w14:textId="77777777" w:rsidR="00C0147E" w:rsidRPr="00130A96" w:rsidRDefault="001175EF" w:rsidP="006837EB">
            <w:pPr>
              <w:pStyle w:val="TableParagraph"/>
              <w:jc w:val="center"/>
            </w:pPr>
            <w:r w:rsidRPr="00130A96">
              <w:t>8,15</w:t>
            </w:r>
          </w:p>
          <w:p w14:paraId="6D869373" w14:textId="77777777" w:rsidR="00C0147E" w:rsidRPr="00130A96" w:rsidRDefault="001175EF" w:rsidP="006837EB">
            <w:pPr>
              <w:pStyle w:val="TableParagraph"/>
              <w:jc w:val="center"/>
            </w:pPr>
            <w:r w:rsidRPr="00130A96">
              <w:t>-0,13</w:t>
            </w:r>
          </w:p>
        </w:tc>
        <w:tc>
          <w:tcPr>
            <w:tcW w:w="1844" w:type="dxa"/>
            <w:tcBorders>
              <w:top w:val="single" w:sz="4" w:space="0" w:color="000000"/>
              <w:bottom w:val="single" w:sz="4" w:space="0" w:color="000000"/>
            </w:tcBorders>
          </w:tcPr>
          <w:p w14:paraId="6D869374" w14:textId="77777777" w:rsidR="00C0147E" w:rsidRPr="00130A96" w:rsidRDefault="00C0147E" w:rsidP="006837EB">
            <w:pPr>
              <w:pStyle w:val="TableParagraph"/>
              <w:jc w:val="center"/>
              <w:rPr>
                <w:b/>
              </w:rPr>
            </w:pPr>
          </w:p>
          <w:p w14:paraId="6D869375" w14:textId="77777777" w:rsidR="00C0147E" w:rsidRPr="00130A96" w:rsidRDefault="001175EF" w:rsidP="006837EB">
            <w:pPr>
              <w:pStyle w:val="TableParagraph"/>
              <w:jc w:val="center"/>
            </w:pPr>
            <w:r w:rsidRPr="00130A96">
              <w:t>8,08</w:t>
            </w:r>
          </w:p>
          <w:p w14:paraId="6D869376" w14:textId="77777777" w:rsidR="00C0147E" w:rsidRDefault="001175EF" w:rsidP="006837EB">
            <w:pPr>
              <w:pStyle w:val="TableParagraph"/>
              <w:jc w:val="center"/>
            </w:pPr>
            <w:r w:rsidRPr="00130A96">
              <w:t>-0,86</w:t>
            </w:r>
          </w:p>
          <w:p w14:paraId="382CDBDE" w14:textId="77777777" w:rsidR="006837EB" w:rsidRPr="00130A96" w:rsidRDefault="006837EB" w:rsidP="006837EB">
            <w:pPr>
              <w:pStyle w:val="TableParagraph"/>
              <w:jc w:val="center"/>
            </w:pPr>
          </w:p>
          <w:p w14:paraId="4B350FC5" w14:textId="77777777" w:rsidR="006837EB" w:rsidRDefault="001175EF" w:rsidP="006837EB">
            <w:pPr>
              <w:pStyle w:val="TableParagraph"/>
              <w:jc w:val="center"/>
            </w:pPr>
            <w:r w:rsidRPr="00130A96">
              <w:t>−0,69</w:t>
            </w:r>
            <w:r w:rsidRPr="00130A96">
              <w:rPr>
                <w:vertAlign w:val="superscript"/>
              </w:rPr>
              <w:t>*</w:t>
            </w:r>
          </w:p>
          <w:p w14:paraId="3A5CF483" w14:textId="77777777" w:rsidR="00DD09D0" w:rsidRDefault="00DD09D0" w:rsidP="006837EB">
            <w:pPr>
              <w:pStyle w:val="TableParagraph"/>
              <w:jc w:val="center"/>
            </w:pPr>
          </w:p>
          <w:p w14:paraId="6D869377" w14:textId="551FA72B" w:rsidR="00C0147E" w:rsidRPr="00130A96" w:rsidRDefault="001175EF" w:rsidP="006837EB">
            <w:pPr>
              <w:pStyle w:val="TableParagraph"/>
              <w:jc w:val="center"/>
            </w:pPr>
            <w:r w:rsidRPr="00130A96">
              <w:t>(−0,89, −0,49)</w:t>
            </w:r>
          </w:p>
        </w:tc>
        <w:tc>
          <w:tcPr>
            <w:tcW w:w="1435" w:type="dxa"/>
            <w:tcBorders>
              <w:top w:val="single" w:sz="4" w:space="0" w:color="000000"/>
              <w:bottom w:val="single" w:sz="4" w:space="0" w:color="000000"/>
            </w:tcBorders>
          </w:tcPr>
          <w:p w14:paraId="6D869378" w14:textId="77777777" w:rsidR="00C0147E" w:rsidRPr="00130A96" w:rsidRDefault="00C0147E" w:rsidP="006837EB">
            <w:pPr>
              <w:pStyle w:val="TableParagraph"/>
              <w:jc w:val="center"/>
              <w:rPr>
                <w:b/>
              </w:rPr>
            </w:pPr>
          </w:p>
          <w:p w14:paraId="6D869379" w14:textId="77777777" w:rsidR="00C0147E" w:rsidRPr="00130A96" w:rsidRDefault="001175EF" w:rsidP="006837EB">
            <w:pPr>
              <w:pStyle w:val="TableParagraph"/>
              <w:jc w:val="center"/>
            </w:pPr>
            <w:r w:rsidRPr="00130A96">
              <w:t>8,24</w:t>
            </w:r>
          </w:p>
          <w:p w14:paraId="6D86937A" w14:textId="77777777" w:rsidR="00C0147E" w:rsidRPr="00130A96" w:rsidRDefault="001175EF" w:rsidP="006837EB">
            <w:pPr>
              <w:pStyle w:val="TableParagraph"/>
              <w:jc w:val="center"/>
            </w:pPr>
            <w:r w:rsidRPr="00130A96">
              <w:t>-0,17</w:t>
            </w:r>
          </w:p>
        </w:tc>
      </w:tr>
      <w:tr w:rsidR="00C0147E" w:rsidRPr="00130A96" w14:paraId="6D869388" w14:textId="77777777" w:rsidTr="006837EB">
        <w:trPr>
          <w:trHeight w:val="966"/>
        </w:trPr>
        <w:tc>
          <w:tcPr>
            <w:tcW w:w="2674" w:type="dxa"/>
            <w:tcBorders>
              <w:top w:val="single" w:sz="4" w:space="0" w:color="000000"/>
              <w:bottom w:val="single" w:sz="4" w:space="0" w:color="000000"/>
            </w:tcBorders>
          </w:tcPr>
          <w:p w14:paraId="6D86937C" w14:textId="3518330E" w:rsidR="00C0147E" w:rsidRPr="00130A96" w:rsidRDefault="001175EF" w:rsidP="006837EB">
            <w:pPr>
              <w:pStyle w:val="TableParagraph"/>
              <w:rPr>
                <w:b/>
              </w:rPr>
            </w:pPr>
            <w:r w:rsidRPr="00130A96">
              <w:rPr>
                <w:b/>
              </w:rPr>
              <w:t xml:space="preserve">Asmenys, kurių HbA1c </w:t>
            </w:r>
            <w:r w:rsidR="00E805CC">
              <w:rPr>
                <w:b/>
              </w:rPr>
              <w:t>tapo</w:t>
            </w:r>
            <w:r w:rsidRPr="00130A96">
              <w:rPr>
                <w:b/>
              </w:rPr>
              <w:t xml:space="preserve"> </w:t>
            </w:r>
            <w:r w:rsidR="00873FCC">
              <w:rPr>
                <w:b/>
              </w:rPr>
              <w:t>&lt; </w:t>
            </w:r>
            <w:r w:rsidRPr="00130A96">
              <w:rPr>
                <w:b/>
              </w:rPr>
              <w:t>7</w:t>
            </w:r>
            <w:r w:rsidR="00873FCC">
              <w:rPr>
                <w:b/>
              </w:rPr>
              <w:t> %</w:t>
            </w:r>
            <w:r w:rsidRPr="00130A96">
              <w:rPr>
                <w:b/>
              </w:rPr>
              <w:t xml:space="preserve"> (LOCF) </w:t>
            </w:r>
            <w:r w:rsidRPr="00130A96">
              <w:rPr>
                <w:b/>
                <w:vertAlign w:val="superscript"/>
              </w:rPr>
              <w:t>d</w:t>
            </w:r>
          </w:p>
          <w:p w14:paraId="6D86937D" w14:textId="256746F1" w:rsidR="00C0147E" w:rsidRPr="00130A96" w:rsidRDefault="00E805CC" w:rsidP="00C443AD">
            <w:pPr>
              <w:pStyle w:val="TableParagraph"/>
              <w:ind w:left="142"/>
            </w:pPr>
            <w:r>
              <w:t>K</w:t>
            </w:r>
            <w:r w:rsidR="001175EF" w:rsidRPr="00130A96">
              <w:t>oreguota pagal koncentraciją tyrimo</w:t>
            </w:r>
            <w:r>
              <w:t xml:space="preserve"> pradžioje</w:t>
            </w:r>
          </w:p>
        </w:tc>
        <w:tc>
          <w:tcPr>
            <w:tcW w:w="1802" w:type="dxa"/>
            <w:tcBorders>
              <w:top w:val="single" w:sz="4" w:space="0" w:color="000000"/>
              <w:bottom w:val="single" w:sz="4" w:space="0" w:color="000000"/>
            </w:tcBorders>
          </w:tcPr>
          <w:p w14:paraId="6D86937E" w14:textId="77777777" w:rsidR="00C0147E" w:rsidRPr="00130A96" w:rsidRDefault="00C0147E" w:rsidP="006837EB">
            <w:pPr>
              <w:pStyle w:val="TableParagraph"/>
              <w:jc w:val="center"/>
              <w:rPr>
                <w:b/>
              </w:rPr>
            </w:pPr>
          </w:p>
          <w:p w14:paraId="6D86937F" w14:textId="77777777" w:rsidR="00C0147E" w:rsidRPr="00130A96" w:rsidRDefault="00C0147E" w:rsidP="006837EB">
            <w:pPr>
              <w:pStyle w:val="TableParagraph"/>
              <w:jc w:val="center"/>
              <w:rPr>
                <w:b/>
              </w:rPr>
            </w:pPr>
          </w:p>
          <w:p w14:paraId="1425799F" w14:textId="77777777" w:rsidR="00E805CC" w:rsidRDefault="00E805CC" w:rsidP="006837EB">
            <w:pPr>
              <w:pStyle w:val="TableParagraph"/>
              <w:jc w:val="center"/>
            </w:pPr>
          </w:p>
          <w:p w14:paraId="6D869380" w14:textId="0619502D" w:rsidR="00C0147E" w:rsidRPr="00130A96" w:rsidRDefault="001175EF" w:rsidP="006837EB">
            <w:pPr>
              <w:pStyle w:val="TableParagraph"/>
              <w:jc w:val="center"/>
            </w:pPr>
            <w:r w:rsidRPr="00130A96">
              <w:t>31,7</w:t>
            </w:r>
            <w:r w:rsidRPr="00130A96">
              <w:rPr>
                <w:vertAlign w:val="superscript"/>
              </w:rPr>
              <w:t>*</w:t>
            </w:r>
          </w:p>
        </w:tc>
        <w:tc>
          <w:tcPr>
            <w:tcW w:w="1405" w:type="dxa"/>
            <w:tcBorders>
              <w:top w:val="single" w:sz="4" w:space="0" w:color="000000"/>
              <w:bottom w:val="single" w:sz="4" w:space="0" w:color="000000"/>
            </w:tcBorders>
          </w:tcPr>
          <w:p w14:paraId="6D869381" w14:textId="77777777" w:rsidR="00C0147E" w:rsidRPr="00130A96" w:rsidRDefault="00C0147E" w:rsidP="006837EB">
            <w:pPr>
              <w:pStyle w:val="TableParagraph"/>
              <w:jc w:val="center"/>
              <w:rPr>
                <w:b/>
              </w:rPr>
            </w:pPr>
          </w:p>
          <w:p w14:paraId="6D869382" w14:textId="77777777" w:rsidR="00C0147E" w:rsidRPr="00130A96" w:rsidRDefault="00C0147E" w:rsidP="006837EB">
            <w:pPr>
              <w:pStyle w:val="TableParagraph"/>
              <w:jc w:val="center"/>
              <w:rPr>
                <w:b/>
              </w:rPr>
            </w:pPr>
          </w:p>
          <w:p w14:paraId="286EF784" w14:textId="77777777" w:rsidR="00E805CC" w:rsidRDefault="00E805CC" w:rsidP="006837EB">
            <w:pPr>
              <w:pStyle w:val="TableParagraph"/>
              <w:jc w:val="center"/>
            </w:pPr>
          </w:p>
          <w:p w14:paraId="6D869383" w14:textId="7CB78B7B" w:rsidR="00C0147E" w:rsidRPr="00130A96" w:rsidRDefault="001175EF" w:rsidP="006837EB">
            <w:pPr>
              <w:pStyle w:val="TableParagraph"/>
              <w:jc w:val="center"/>
            </w:pPr>
            <w:r w:rsidRPr="00130A96">
              <w:t>13,0</w:t>
            </w:r>
          </w:p>
        </w:tc>
        <w:tc>
          <w:tcPr>
            <w:tcW w:w="1844" w:type="dxa"/>
            <w:tcBorders>
              <w:top w:val="single" w:sz="4" w:space="0" w:color="000000"/>
              <w:bottom w:val="single" w:sz="4" w:space="0" w:color="000000"/>
            </w:tcBorders>
          </w:tcPr>
          <w:p w14:paraId="6D869384" w14:textId="77777777" w:rsidR="00C0147E" w:rsidRDefault="00C0147E" w:rsidP="006837EB">
            <w:pPr>
              <w:pStyle w:val="TableParagraph"/>
              <w:jc w:val="center"/>
              <w:rPr>
                <w:b/>
              </w:rPr>
            </w:pPr>
          </w:p>
          <w:p w14:paraId="2F9B5755" w14:textId="77777777" w:rsidR="006837EB" w:rsidRPr="00130A96" w:rsidRDefault="006837EB" w:rsidP="006837EB">
            <w:pPr>
              <w:pStyle w:val="TableParagraph"/>
              <w:jc w:val="center"/>
              <w:rPr>
                <w:b/>
              </w:rPr>
            </w:pPr>
          </w:p>
          <w:p w14:paraId="404481FD" w14:textId="77777777" w:rsidR="00E805CC" w:rsidRDefault="00E805CC" w:rsidP="006837EB">
            <w:pPr>
              <w:pStyle w:val="TableParagraph"/>
              <w:jc w:val="center"/>
            </w:pPr>
          </w:p>
          <w:p w14:paraId="6D869385" w14:textId="441A4E8E" w:rsidR="00C0147E" w:rsidRPr="00130A96" w:rsidRDefault="001175EF" w:rsidP="006837EB">
            <w:pPr>
              <w:pStyle w:val="TableParagraph"/>
              <w:jc w:val="center"/>
            </w:pPr>
            <w:r w:rsidRPr="00130A96">
              <w:t>31,8</w:t>
            </w:r>
            <w:r w:rsidRPr="00130A96">
              <w:rPr>
                <w:vertAlign w:val="superscript"/>
              </w:rPr>
              <w:t>*</w:t>
            </w:r>
          </w:p>
        </w:tc>
        <w:tc>
          <w:tcPr>
            <w:tcW w:w="1435" w:type="dxa"/>
            <w:tcBorders>
              <w:top w:val="single" w:sz="4" w:space="0" w:color="000000"/>
              <w:bottom w:val="single" w:sz="4" w:space="0" w:color="000000"/>
            </w:tcBorders>
          </w:tcPr>
          <w:p w14:paraId="6D869386" w14:textId="77777777" w:rsidR="00C0147E" w:rsidRDefault="00C0147E" w:rsidP="006837EB">
            <w:pPr>
              <w:pStyle w:val="TableParagraph"/>
              <w:jc w:val="center"/>
              <w:rPr>
                <w:b/>
              </w:rPr>
            </w:pPr>
          </w:p>
          <w:p w14:paraId="34D3E097" w14:textId="77777777" w:rsidR="006837EB" w:rsidRPr="00130A96" w:rsidRDefault="006837EB" w:rsidP="006837EB">
            <w:pPr>
              <w:pStyle w:val="TableParagraph"/>
              <w:jc w:val="center"/>
              <w:rPr>
                <w:b/>
              </w:rPr>
            </w:pPr>
          </w:p>
          <w:p w14:paraId="4FDD1D0A" w14:textId="77777777" w:rsidR="00E805CC" w:rsidRDefault="00E805CC" w:rsidP="006837EB">
            <w:pPr>
              <w:pStyle w:val="TableParagraph"/>
              <w:jc w:val="center"/>
            </w:pPr>
          </w:p>
          <w:p w14:paraId="6D869387" w14:textId="1F3BB009" w:rsidR="00C0147E" w:rsidRPr="00130A96" w:rsidRDefault="001175EF" w:rsidP="006837EB">
            <w:pPr>
              <w:pStyle w:val="TableParagraph"/>
              <w:jc w:val="center"/>
            </w:pPr>
            <w:r w:rsidRPr="00130A96">
              <w:t>11,1</w:t>
            </w:r>
          </w:p>
        </w:tc>
      </w:tr>
      <w:tr w:rsidR="00C0147E" w:rsidRPr="00130A96" w14:paraId="6D8693A1" w14:textId="77777777" w:rsidTr="006837EB">
        <w:trPr>
          <w:trHeight w:val="1573"/>
        </w:trPr>
        <w:tc>
          <w:tcPr>
            <w:tcW w:w="2674" w:type="dxa"/>
            <w:tcBorders>
              <w:top w:val="single" w:sz="4" w:space="0" w:color="000000"/>
              <w:bottom w:val="single" w:sz="4" w:space="0" w:color="000000"/>
            </w:tcBorders>
          </w:tcPr>
          <w:p w14:paraId="6D869389" w14:textId="77777777" w:rsidR="00C0147E" w:rsidRPr="00130A96" w:rsidRDefault="001175EF" w:rsidP="006837EB">
            <w:pPr>
              <w:pStyle w:val="TableParagraph"/>
              <w:rPr>
                <w:b/>
              </w:rPr>
            </w:pPr>
            <w:r w:rsidRPr="00130A96">
              <w:rPr>
                <w:b/>
              </w:rPr>
              <w:t xml:space="preserve">Kūno svoris (kg) (LOCF) </w:t>
            </w:r>
            <w:r w:rsidRPr="006837EB">
              <w:rPr>
                <w:b/>
                <w:vertAlign w:val="superscript"/>
              </w:rPr>
              <w:t>d</w:t>
            </w:r>
          </w:p>
          <w:p w14:paraId="77AF3EC8" w14:textId="77777777" w:rsidR="00E805CC" w:rsidRDefault="00E805CC" w:rsidP="00E805CC">
            <w:pPr>
              <w:pStyle w:val="TableParagraph"/>
              <w:tabs>
                <w:tab w:val="left" w:pos="142"/>
              </w:tabs>
              <w:ind w:left="142"/>
            </w:pPr>
            <w:r w:rsidRPr="00536FA9">
              <w:t>Pradinis rodmuo (vidurkis)</w:t>
            </w:r>
          </w:p>
          <w:p w14:paraId="19086BAE" w14:textId="77777777" w:rsidR="00E805CC" w:rsidRDefault="00E805CC" w:rsidP="00E805CC">
            <w:pPr>
              <w:pStyle w:val="TableParagraph"/>
              <w:tabs>
                <w:tab w:val="left" w:pos="270"/>
              </w:tabs>
              <w:ind w:left="142"/>
            </w:pPr>
            <w:r w:rsidRPr="002B0E69">
              <w:t xml:space="preserve">Pokytis, palyginti su pradiniu </w:t>
            </w:r>
            <w:proofErr w:type="spellStart"/>
            <w:r w:rsidRPr="002B0E69">
              <w:t>rodmeniu</w:t>
            </w:r>
            <w:r w:rsidRPr="002B0E69">
              <w:rPr>
                <w:vertAlign w:val="superscript"/>
              </w:rPr>
              <w:t>c</w:t>
            </w:r>
            <w:proofErr w:type="spellEnd"/>
          </w:p>
          <w:p w14:paraId="7317B0C6" w14:textId="77777777" w:rsidR="00E805CC" w:rsidRPr="00F251C6" w:rsidRDefault="00E805CC" w:rsidP="00E805CC">
            <w:pPr>
              <w:pStyle w:val="TableParagraph"/>
              <w:ind w:left="142"/>
            </w:pPr>
            <w:r w:rsidRPr="00F856BE">
              <w:t>Skirtumas, palyginti su placebo poveikiu</w:t>
            </w:r>
            <w:r w:rsidRPr="007E58DB">
              <w:rPr>
                <w:spacing w:val="-10"/>
                <w:vertAlign w:val="superscript"/>
              </w:rPr>
              <w:t xml:space="preserve"> </w:t>
            </w:r>
            <w:r w:rsidRPr="007E58DB">
              <w:rPr>
                <w:vertAlign w:val="superscript"/>
              </w:rPr>
              <w:t>c</w:t>
            </w:r>
          </w:p>
          <w:p w14:paraId="6D86938D" w14:textId="6EE58F77" w:rsidR="00C0147E" w:rsidRPr="00130A96" w:rsidRDefault="00E805CC" w:rsidP="00E805CC">
            <w:pPr>
              <w:pStyle w:val="TableParagraph"/>
              <w:ind w:left="142"/>
            </w:pPr>
            <w:r w:rsidRPr="00130A96">
              <w:t>(95</w:t>
            </w:r>
            <w:r>
              <w:t> %</w:t>
            </w:r>
            <w:r w:rsidRPr="00130A96">
              <w:t xml:space="preserve"> PI)</w:t>
            </w:r>
          </w:p>
        </w:tc>
        <w:tc>
          <w:tcPr>
            <w:tcW w:w="1802" w:type="dxa"/>
            <w:tcBorders>
              <w:top w:val="single" w:sz="4" w:space="0" w:color="000000"/>
              <w:bottom w:val="single" w:sz="4" w:space="0" w:color="000000"/>
            </w:tcBorders>
          </w:tcPr>
          <w:p w14:paraId="6D86938E" w14:textId="77777777" w:rsidR="00C0147E" w:rsidRPr="00130A96" w:rsidRDefault="00C0147E" w:rsidP="006837EB">
            <w:pPr>
              <w:pStyle w:val="TableParagraph"/>
              <w:jc w:val="center"/>
              <w:rPr>
                <w:b/>
              </w:rPr>
            </w:pPr>
          </w:p>
          <w:p w14:paraId="6D86938F" w14:textId="77777777" w:rsidR="00C0147E" w:rsidRPr="00130A96" w:rsidRDefault="00C0147E" w:rsidP="006837EB">
            <w:pPr>
              <w:pStyle w:val="TableParagraph"/>
              <w:jc w:val="center"/>
              <w:rPr>
                <w:b/>
              </w:rPr>
            </w:pPr>
          </w:p>
          <w:p w14:paraId="6D869390" w14:textId="77777777" w:rsidR="00C0147E" w:rsidRPr="00130A96" w:rsidRDefault="001175EF" w:rsidP="006837EB">
            <w:pPr>
              <w:pStyle w:val="TableParagraph"/>
              <w:jc w:val="center"/>
            </w:pPr>
            <w:r w:rsidRPr="00130A96">
              <w:t>80,56</w:t>
            </w:r>
          </w:p>
          <w:p w14:paraId="6D869391" w14:textId="77777777" w:rsidR="00C0147E" w:rsidRPr="00130A96" w:rsidRDefault="001175EF" w:rsidP="006837EB">
            <w:pPr>
              <w:pStyle w:val="TableParagraph"/>
              <w:jc w:val="center"/>
            </w:pPr>
            <w:r w:rsidRPr="00130A96">
              <w:t>-2,26</w:t>
            </w:r>
          </w:p>
          <w:p w14:paraId="553137E8" w14:textId="77777777" w:rsidR="00C77CB8" w:rsidRDefault="00C77CB8" w:rsidP="006837EB">
            <w:pPr>
              <w:pStyle w:val="TableParagraph"/>
              <w:jc w:val="center"/>
            </w:pPr>
          </w:p>
          <w:p w14:paraId="6D869392" w14:textId="63E4A23F" w:rsidR="00C0147E" w:rsidRPr="00130A96" w:rsidRDefault="001175EF" w:rsidP="006837EB">
            <w:pPr>
              <w:pStyle w:val="TableParagraph"/>
              <w:jc w:val="center"/>
            </w:pPr>
            <w:r w:rsidRPr="00130A96">
              <w:t>-1,54*</w:t>
            </w:r>
          </w:p>
          <w:p w14:paraId="6D869393" w14:textId="77777777" w:rsidR="00C0147E" w:rsidRPr="00130A96" w:rsidRDefault="001175EF" w:rsidP="006837EB">
            <w:pPr>
              <w:pStyle w:val="TableParagraph"/>
              <w:jc w:val="center"/>
            </w:pPr>
            <w:r w:rsidRPr="00130A96">
              <w:t>(-2,17, -0,92)</w:t>
            </w:r>
          </w:p>
        </w:tc>
        <w:tc>
          <w:tcPr>
            <w:tcW w:w="1405" w:type="dxa"/>
            <w:tcBorders>
              <w:top w:val="single" w:sz="4" w:space="0" w:color="000000"/>
              <w:bottom w:val="single" w:sz="4" w:space="0" w:color="000000"/>
            </w:tcBorders>
          </w:tcPr>
          <w:p w14:paraId="6D869394" w14:textId="77777777" w:rsidR="00C0147E" w:rsidRPr="00130A96" w:rsidRDefault="00C0147E" w:rsidP="006837EB">
            <w:pPr>
              <w:pStyle w:val="TableParagraph"/>
              <w:jc w:val="center"/>
              <w:rPr>
                <w:b/>
              </w:rPr>
            </w:pPr>
          </w:p>
          <w:p w14:paraId="6D869395" w14:textId="77777777" w:rsidR="00C0147E" w:rsidRPr="00130A96" w:rsidRDefault="00C0147E" w:rsidP="006837EB">
            <w:pPr>
              <w:pStyle w:val="TableParagraph"/>
              <w:jc w:val="center"/>
              <w:rPr>
                <w:b/>
              </w:rPr>
            </w:pPr>
          </w:p>
          <w:p w14:paraId="6D869396" w14:textId="77777777" w:rsidR="00C0147E" w:rsidRPr="00130A96" w:rsidRDefault="001175EF" w:rsidP="006837EB">
            <w:pPr>
              <w:pStyle w:val="TableParagraph"/>
              <w:jc w:val="center"/>
            </w:pPr>
            <w:r w:rsidRPr="00130A96">
              <w:t>80,94</w:t>
            </w:r>
          </w:p>
          <w:p w14:paraId="6D869397" w14:textId="77777777" w:rsidR="00C0147E" w:rsidRPr="00130A96" w:rsidRDefault="001175EF" w:rsidP="006837EB">
            <w:pPr>
              <w:pStyle w:val="TableParagraph"/>
              <w:jc w:val="center"/>
            </w:pPr>
            <w:r w:rsidRPr="00130A96">
              <w:t>-0,72</w:t>
            </w:r>
          </w:p>
        </w:tc>
        <w:tc>
          <w:tcPr>
            <w:tcW w:w="1844" w:type="dxa"/>
            <w:tcBorders>
              <w:top w:val="single" w:sz="4" w:space="0" w:color="000000"/>
              <w:bottom w:val="single" w:sz="4" w:space="0" w:color="000000"/>
            </w:tcBorders>
          </w:tcPr>
          <w:p w14:paraId="6D869398" w14:textId="77777777" w:rsidR="00C0147E" w:rsidRPr="00130A96" w:rsidRDefault="00C0147E" w:rsidP="006837EB">
            <w:pPr>
              <w:pStyle w:val="TableParagraph"/>
              <w:jc w:val="center"/>
              <w:rPr>
                <w:b/>
              </w:rPr>
            </w:pPr>
          </w:p>
          <w:p w14:paraId="6D869399" w14:textId="77777777" w:rsidR="00C0147E" w:rsidRPr="00130A96" w:rsidRDefault="00C0147E" w:rsidP="006837EB">
            <w:pPr>
              <w:pStyle w:val="TableParagraph"/>
              <w:jc w:val="center"/>
              <w:rPr>
                <w:b/>
              </w:rPr>
            </w:pPr>
          </w:p>
          <w:p w14:paraId="6D86939A" w14:textId="77777777" w:rsidR="00C0147E" w:rsidRPr="00130A96" w:rsidRDefault="001175EF" w:rsidP="006837EB">
            <w:pPr>
              <w:pStyle w:val="TableParagraph"/>
              <w:jc w:val="center"/>
            </w:pPr>
            <w:r w:rsidRPr="00130A96">
              <w:t>88,57</w:t>
            </w:r>
          </w:p>
          <w:p w14:paraId="6D86939B" w14:textId="77777777" w:rsidR="00C0147E" w:rsidRPr="00130A96" w:rsidRDefault="001175EF" w:rsidP="006837EB">
            <w:pPr>
              <w:pStyle w:val="TableParagraph"/>
              <w:jc w:val="center"/>
            </w:pPr>
            <w:r w:rsidRPr="00130A96">
              <w:t>-2,65</w:t>
            </w:r>
          </w:p>
          <w:p w14:paraId="50B798EC" w14:textId="77777777" w:rsidR="00C77CB8" w:rsidRDefault="00C77CB8" w:rsidP="006837EB">
            <w:pPr>
              <w:pStyle w:val="TableParagraph"/>
              <w:jc w:val="center"/>
            </w:pPr>
          </w:p>
          <w:p w14:paraId="5F4544BC" w14:textId="5C3AA422" w:rsidR="006837EB" w:rsidRDefault="001175EF" w:rsidP="006837EB">
            <w:pPr>
              <w:pStyle w:val="TableParagraph"/>
              <w:jc w:val="center"/>
            </w:pPr>
            <w:r w:rsidRPr="00130A96">
              <w:t>−2,07*</w:t>
            </w:r>
          </w:p>
          <w:p w14:paraId="6D86939C" w14:textId="40E65485" w:rsidR="00C0147E" w:rsidRPr="00130A96" w:rsidRDefault="001175EF" w:rsidP="006837EB">
            <w:pPr>
              <w:pStyle w:val="TableParagraph"/>
              <w:jc w:val="center"/>
            </w:pPr>
            <w:r w:rsidRPr="00130A96">
              <w:t>(−2,79, −1,35)</w:t>
            </w:r>
          </w:p>
        </w:tc>
        <w:tc>
          <w:tcPr>
            <w:tcW w:w="1435" w:type="dxa"/>
            <w:tcBorders>
              <w:top w:val="single" w:sz="4" w:space="0" w:color="000000"/>
              <w:bottom w:val="single" w:sz="4" w:space="0" w:color="000000"/>
            </w:tcBorders>
          </w:tcPr>
          <w:p w14:paraId="6D86939D" w14:textId="77777777" w:rsidR="00C0147E" w:rsidRPr="00130A96" w:rsidRDefault="00C0147E" w:rsidP="006837EB">
            <w:pPr>
              <w:pStyle w:val="TableParagraph"/>
              <w:jc w:val="center"/>
              <w:rPr>
                <w:b/>
              </w:rPr>
            </w:pPr>
          </w:p>
          <w:p w14:paraId="6D86939E" w14:textId="77777777" w:rsidR="00C0147E" w:rsidRPr="00130A96" w:rsidRDefault="00C0147E" w:rsidP="006837EB">
            <w:pPr>
              <w:pStyle w:val="TableParagraph"/>
              <w:jc w:val="center"/>
              <w:rPr>
                <w:b/>
              </w:rPr>
            </w:pPr>
          </w:p>
          <w:p w14:paraId="6D86939F" w14:textId="77777777" w:rsidR="00C0147E" w:rsidRPr="00130A96" w:rsidRDefault="001175EF" w:rsidP="006837EB">
            <w:pPr>
              <w:pStyle w:val="TableParagraph"/>
              <w:jc w:val="center"/>
            </w:pPr>
            <w:r w:rsidRPr="00130A96">
              <w:t>90,07</w:t>
            </w:r>
          </w:p>
          <w:p w14:paraId="6D8693A0" w14:textId="77777777" w:rsidR="00C0147E" w:rsidRPr="00130A96" w:rsidRDefault="001175EF" w:rsidP="006837EB">
            <w:pPr>
              <w:pStyle w:val="TableParagraph"/>
              <w:jc w:val="center"/>
            </w:pPr>
            <w:r w:rsidRPr="00130A96">
              <w:t>-0,58</w:t>
            </w:r>
          </w:p>
        </w:tc>
      </w:tr>
    </w:tbl>
    <w:p w14:paraId="6D8693A2" w14:textId="449B278F" w:rsidR="00C0147E" w:rsidRPr="00C77CB8" w:rsidRDefault="001175EF" w:rsidP="00130A96">
      <w:pPr>
        <w:rPr>
          <w:sz w:val="20"/>
          <w:szCs w:val="20"/>
        </w:rPr>
      </w:pPr>
      <w:r w:rsidRPr="00C77CB8">
        <w:rPr>
          <w:sz w:val="20"/>
          <w:szCs w:val="20"/>
          <w:vertAlign w:val="superscript"/>
        </w:rPr>
        <w:t>1</w:t>
      </w:r>
      <w:r w:rsidRPr="00C77CB8">
        <w:rPr>
          <w:sz w:val="20"/>
          <w:szCs w:val="20"/>
        </w:rPr>
        <w:t xml:space="preserve"> </w:t>
      </w:r>
      <w:proofErr w:type="spellStart"/>
      <w:r w:rsidRPr="00C77CB8">
        <w:rPr>
          <w:sz w:val="20"/>
          <w:szCs w:val="20"/>
        </w:rPr>
        <w:t>Glimepirido</w:t>
      </w:r>
      <w:proofErr w:type="spellEnd"/>
      <w:r w:rsidRPr="00C77CB8">
        <w:rPr>
          <w:sz w:val="20"/>
          <w:szCs w:val="20"/>
        </w:rPr>
        <w:t xml:space="preserve"> paros dozė – 4</w:t>
      </w:r>
      <w:r w:rsidR="00873FCC" w:rsidRPr="00C77CB8">
        <w:rPr>
          <w:sz w:val="20"/>
          <w:szCs w:val="20"/>
        </w:rPr>
        <w:t> mg</w:t>
      </w:r>
      <w:r w:rsidRPr="00C77CB8">
        <w:rPr>
          <w:sz w:val="20"/>
          <w:szCs w:val="20"/>
        </w:rPr>
        <w:t>.</w:t>
      </w:r>
    </w:p>
    <w:p w14:paraId="6D8693A3" w14:textId="4AE24CE2" w:rsidR="00C0147E" w:rsidRPr="00C77CB8" w:rsidRDefault="001175EF" w:rsidP="00BE5022">
      <w:pPr>
        <w:ind w:left="142" w:hanging="142"/>
        <w:rPr>
          <w:sz w:val="20"/>
          <w:szCs w:val="20"/>
        </w:rPr>
      </w:pPr>
      <w:r w:rsidRPr="00C77CB8">
        <w:rPr>
          <w:sz w:val="20"/>
          <w:szCs w:val="20"/>
          <w:vertAlign w:val="superscript"/>
        </w:rPr>
        <w:t>2</w:t>
      </w:r>
      <w:r w:rsidRPr="00C77CB8">
        <w:rPr>
          <w:sz w:val="20"/>
          <w:szCs w:val="20"/>
        </w:rPr>
        <w:t xml:space="preserve"> </w:t>
      </w:r>
      <w:proofErr w:type="spellStart"/>
      <w:r w:rsidRPr="00C77CB8">
        <w:rPr>
          <w:sz w:val="20"/>
          <w:szCs w:val="20"/>
        </w:rPr>
        <w:t>Metformino</w:t>
      </w:r>
      <w:proofErr w:type="spellEnd"/>
      <w:r w:rsidRPr="00C77CB8">
        <w:rPr>
          <w:sz w:val="20"/>
          <w:szCs w:val="20"/>
        </w:rPr>
        <w:t xml:space="preserve"> (greito ir pailginto atpalaidavimo farmacinių formų) </w:t>
      </w:r>
      <w:r w:rsidR="00873FCC" w:rsidRPr="00C77CB8">
        <w:rPr>
          <w:sz w:val="20"/>
          <w:szCs w:val="20"/>
        </w:rPr>
        <w:t>≥ </w:t>
      </w:r>
      <w:r w:rsidRPr="00C77CB8">
        <w:rPr>
          <w:sz w:val="20"/>
          <w:szCs w:val="20"/>
        </w:rPr>
        <w:t>1500</w:t>
      </w:r>
      <w:r w:rsidR="00873FCC" w:rsidRPr="00C77CB8">
        <w:rPr>
          <w:sz w:val="20"/>
          <w:szCs w:val="20"/>
        </w:rPr>
        <w:t> mg</w:t>
      </w:r>
      <w:r w:rsidRPr="00C77CB8">
        <w:rPr>
          <w:sz w:val="20"/>
          <w:szCs w:val="20"/>
        </w:rPr>
        <w:t xml:space="preserve"> per parą ir kartu didžiausia toleruojama </w:t>
      </w:r>
      <w:proofErr w:type="spellStart"/>
      <w:r w:rsidRPr="00C77CB8">
        <w:rPr>
          <w:sz w:val="20"/>
          <w:szCs w:val="20"/>
        </w:rPr>
        <w:t>sulfonilkarbamido</w:t>
      </w:r>
      <w:proofErr w:type="spellEnd"/>
      <w:r w:rsidR="00B10049">
        <w:rPr>
          <w:sz w:val="20"/>
          <w:szCs w:val="20"/>
        </w:rPr>
        <w:t xml:space="preserve"> darinio</w:t>
      </w:r>
      <w:r w:rsidRPr="00C77CB8">
        <w:rPr>
          <w:sz w:val="20"/>
          <w:szCs w:val="20"/>
        </w:rPr>
        <w:t xml:space="preserve"> dozė, sudaranti bent pusę didžiausios leistinos</w:t>
      </w:r>
      <w:r w:rsidR="000E0643">
        <w:rPr>
          <w:sz w:val="20"/>
          <w:szCs w:val="20"/>
        </w:rPr>
        <w:t xml:space="preserve"> dozės</w:t>
      </w:r>
      <w:r w:rsidRPr="00C77CB8">
        <w:rPr>
          <w:sz w:val="20"/>
          <w:szCs w:val="20"/>
        </w:rPr>
        <w:t>, bent 8</w:t>
      </w:r>
      <w:r w:rsidR="000E0643">
        <w:rPr>
          <w:sz w:val="20"/>
          <w:szCs w:val="20"/>
        </w:rPr>
        <w:t> </w:t>
      </w:r>
      <w:r w:rsidRPr="00C77CB8">
        <w:rPr>
          <w:sz w:val="20"/>
          <w:szCs w:val="20"/>
        </w:rPr>
        <w:t>savaites iki įtraukimo į tyrimą.</w:t>
      </w:r>
    </w:p>
    <w:p w14:paraId="6D8693A4" w14:textId="7C171972" w:rsidR="00C0147E" w:rsidRPr="00C77CB8" w:rsidRDefault="001175EF" w:rsidP="00BE5022">
      <w:pPr>
        <w:pStyle w:val="TableParagraph"/>
        <w:ind w:left="142" w:hanging="142"/>
        <w:rPr>
          <w:sz w:val="20"/>
          <w:szCs w:val="20"/>
        </w:rPr>
      </w:pPr>
      <w:r w:rsidRPr="00C77CB8">
        <w:rPr>
          <w:sz w:val="20"/>
          <w:szCs w:val="20"/>
          <w:vertAlign w:val="superscript"/>
        </w:rPr>
        <w:t>a</w:t>
      </w:r>
      <w:r w:rsidRPr="00C77CB8">
        <w:rPr>
          <w:sz w:val="20"/>
          <w:szCs w:val="20"/>
        </w:rPr>
        <w:t xml:space="preserve"> Atsitiktinės atrankos būdu parinkti ir gydyti asmenys, kuriems veiksmingumas tirtas iki tyrimo ir bent kartą vėliau.</w:t>
      </w:r>
      <w:r w:rsidR="009C1BA6">
        <w:rPr>
          <w:sz w:val="20"/>
          <w:szCs w:val="20"/>
        </w:rPr>
        <w:t xml:space="preserve"> </w:t>
      </w:r>
    </w:p>
    <w:p w14:paraId="6D8693A5" w14:textId="77777777" w:rsidR="00C0147E" w:rsidRPr="00C77CB8" w:rsidRDefault="001175EF" w:rsidP="00013D56">
      <w:pPr>
        <w:ind w:left="142" w:hanging="142"/>
        <w:rPr>
          <w:sz w:val="20"/>
          <w:szCs w:val="20"/>
        </w:rPr>
      </w:pPr>
      <w:r w:rsidRPr="00C77CB8">
        <w:rPr>
          <w:sz w:val="20"/>
          <w:szCs w:val="20"/>
          <w:vertAlign w:val="superscript"/>
        </w:rPr>
        <w:t>b</w:t>
      </w:r>
      <w:r w:rsidRPr="00C77CB8">
        <w:rPr>
          <w:sz w:val="20"/>
          <w:szCs w:val="20"/>
        </w:rPr>
        <w:t xml:space="preserve"> 1 ir 2 stulpeliuose pateikiami HbA1c duomenys gauti tiriant LOCF (žr. d išnašą); 3 ir 4 stulpeliuose pateikiami HbA1c duomenys gauti tiriant LRM (žr. e išnašą).</w:t>
      </w:r>
    </w:p>
    <w:p w14:paraId="6D8693A6" w14:textId="43A00A35" w:rsidR="00C0147E" w:rsidRPr="00C77CB8" w:rsidRDefault="001175EF" w:rsidP="00130A96">
      <w:pPr>
        <w:rPr>
          <w:sz w:val="20"/>
          <w:szCs w:val="20"/>
        </w:rPr>
      </w:pPr>
      <w:r w:rsidRPr="00C77CB8">
        <w:rPr>
          <w:sz w:val="20"/>
          <w:szCs w:val="20"/>
          <w:vertAlign w:val="superscript"/>
        </w:rPr>
        <w:t>c</w:t>
      </w:r>
      <w:r w:rsidRPr="00C77CB8">
        <w:rPr>
          <w:sz w:val="20"/>
          <w:szCs w:val="20"/>
        </w:rPr>
        <w:t xml:space="preserve"> Mažiausių kvadratų vidurkis, koreguotas pagal </w:t>
      </w:r>
      <w:r w:rsidR="00133F1B">
        <w:rPr>
          <w:sz w:val="20"/>
          <w:szCs w:val="20"/>
        </w:rPr>
        <w:t>pradinį rodmenį</w:t>
      </w:r>
      <w:r w:rsidRPr="00C77CB8">
        <w:rPr>
          <w:sz w:val="20"/>
          <w:szCs w:val="20"/>
        </w:rPr>
        <w:t>.</w:t>
      </w:r>
    </w:p>
    <w:p w14:paraId="6D8693A7" w14:textId="095856D1" w:rsidR="00C0147E" w:rsidRPr="00C77CB8" w:rsidRDefault="001175EF" w:rsidP="00130A96">
      <w:pPr>
        <w:rPr>
          <w:sz w:val="20"/>
          <w:szCs w:val="20"/>
        </w:rPr>
      </w:pPr>
      <w:r w:rsidRPr="00C77CB8">
        <w:rPr>
          <w:sz w:val="20"/>
          <w:szCs w:val="20"/>
          <w:vertAlign w:val="superscript"/>
        </w:rPr>
        <w:t>d</w:t>
      </w:r>
      <w:r w:rsidRPr="00C77CB8">
        <w:rPr>
          <w:sz w:val="20"/>
          <w:szCs w:val="20"/>
        </w:rPr>
        <w:t xml:space="preserve"> LOCF</w:t>
      </w:r>
      <w:r w:rsidR="00133F1B">
        <w:rPr>
          <w:sz w:val="20"/>
          <w:szCs w:val="20"/>
        </w:rPr>
        <w:t xml:space="preserve">: </w:t>
      </w:r>
      <w:r w:rsidR="00133F1B" w:rsidRPr="00121890">
        <w:rPr>
          <w:sz w:val="20"/>
          <w:szCs w:val="20"/>
        </w:rPr>
        <w:t>paskutinė atlikta apžiūra (</w:t>
      </w:r>
      <w:r w:rsidR="00133F1B">
        <w:rPr>
          <w:sz w:val="20"/>
          <w:szCs w:val="20"/>
        </w:rPr>
        <w:t>prieš skubų gydymą pacientams, kuriems jo prireikė</w:t>
      </w:r>
      <w:r w:rsidR="00133F1B" w:rsidRPr="00121890">
        <w:rPr>
          <w:sz w:val="20"/>
          <w:szCs w:val="20"/>
        </w:rPr>
        <w:t>)</w:t>
      </w:r>
      <w:r w:rsidR="00133F1B" w:rsidRPr="0033443C">
        <w:rPr>
          <w:sz w:val="20"/>
          <w:szCs w:val="20"/>
        </w:rPr>
        <w:t>.</w:t>
      </w:r>
    </w:p>
    <w:p w14:paraId="6D8693A8" w14:textId="2F8D5270" w:rsidR="00C0147E" w:rsidRPr="00C77CB8" w:rsidRDefault="001175EF" w:rsidP="00130A96">
      <w:pPr>
        <w:rPr>
          <w:sz w:val="20"/>
          <w:szCs w:val="20"/>
        </w:rPr>
      </w:pPr>
      <w:r w:rsidRPr="00C77CB8">
        <w:rPr>
          <w:sz w:val="20"/>
          <w:szCs w:val="20"/>
          <w:vertAlign w:val="superscript"/>
        </w:rPr>
        <w:t>e</w:t>
      </w:r>
      <w:r w:rsidRPr="00C77CB8">
        <w:rPr>
          <w:sz w:val="20"/>
          <w:szCs w:val="20"/>
        </w:rPr>
        <w:t xml:space="preserve"> LRM (angl. </w:t>
      </w:r>
      <w:proofErr w:type="spellStart"/>
      <w:r w:rsidRPr="00C77CB8">
        <w:rPr>
          <w:i/>
          <w:sz w:val="20"/>
          <w:szCs w:val="20"/>
        </w:rPr>
        <w:t>Longitudinal</w:t>
      </w:r>
      <w:proofErr w:type="spellEnd"/>
      <w:r w:rsidRPr="00C77CB8">
        <w:rPr>
          <w:i/>
          <w:sz w:val="20"/>
          <w:szCs w:val="20"/>
        </w:rPr>
        <w:t xml:space="preserve"> </w:t>
      </w:r>
      <w:proofErr w:type="spellStart"/>
      <w:r w:rsidRPr="00C77CB8">
        <w:rPr>
          <w:i/>
          <w:sz w:val="20"/>
          <w:szCs w:val="20"/>
        </w:rPr>
        <w:t>repeated</w:t>
      </w:r>
      <w:proofErr w:type="spellEnd"/>
      <w:r w:rsidRPr="00C77CB8">
        <w:rPr>
          <w:i/>
          <w:sz w:val="20"/>
          <w:szCs w:val="20"/>
        </w:rPr>
        <w:t xml:space="preserve"> </w:t>
      </w:r>
      <w:proofErr w:type="spellStart"/>
      <w:r w:rsidRPr="00C77CB8">
        <w:rPr>
          <w:i/>
          <w:sz w:val="20"/>
          <w:szCs w:val="20"/>
        </w:rPr>
        <w:t>measures</w:t>
      </w:r>
      <w:proofErr w:type="spellEnd"/>
      <w:r w:rsidRPr="00C77CB8">
        <w:rPr>
          <w:i/>
          <w:sz w:val="20"/>
          <w:szCs w:val="20"/>
        </w:rPr>
        <w:t xml:space="preserve"> </w:t>
      </w:r>
      <w:proofErr w:type="spellStart"/>
      <w:r w:rsidRPr="00C77CB8">
        <w:rPr>
          <w:i/>
          <w:sz w:val="20"/>
          <w:szCs w:val="20"/>
        </w:rPr>
        <w:t>analysis</w:t>
      </w:r>
      <w:proofErr w:type="spellEnd"/>
      <w:r w:rsidRPr="00C77CB8">
        <w:rPr>
          <w:sz w:val="20"/>
          <w:szCs w:val="20"/>
        </w:rPr>
        <w:t xml:space="preserve">) – </w:t>
      </w:r>
      <w:r w:rsidR="00013D56">
        <w:rPr>
          <w:sz w:val="20"/>
          <w:szCs w:val="20"/>
        </w:rPr>
        <w:t xml:space="preserve">išilginė </w:t>
      </w:r>
      <w:r w:rsidRPr="00C77CB8">
        <w:rPr>
          <w:sz w:val="20"/>
          <w:szCs w:val="20"/>
        </w:rPr>
        <w:t>kartotų matavimų duomenų analizė.</w:t>
      </w:r>
    </w:p>
    <w:p w14:paraId="6D8693A9" w14:textId="138EEAA2" w:rsidR="00C0147E" w:rsidRPr="00130A96" w:rsidRDefault="001175EF" w:rsidP="00013D56">
      <w:pPr>
        <w:ind w:left="142" w:hanging="142"/>
      </w:pPr>
      <w:r w:rsidRPr="00C77CB8">
        <w:rPr>
          <w:sz w:val="20"/>
          <w:szCs w:val="20"/>
          <w:vertAlign w:val="superscript"/>
        </w:rPr>
        <w:t>*</w:t>
      </w:r>
      <w:r w:rsidRPr="00C77CB8">
        <w:rPr>
          <w:sz w:val="20"/>
          <w:szCs w:val="20"/>
        </w:rPr>
        <w:t xml:space="preserve"> p </w:t>
      </w:r>
      <w:r w:rsidR="00013D56">
        <w:rPr>
          <w:sz w:val="20"/>
          <w:szCs w:val="20"/>
        </w:rPr>
        <w:t xml:space="preserve">rodiklis </w:t>
      </w:r>
      <w:r w:rsidR="00873FCC" w:rsidRPr="00C77CB8">
        <w:rPr>
          <w:sz w:val="20"/>
          <w:szCs w:val="20"/>
        </w:rPr>
        <w:t>&lt; </w:t>
      </w:r>
      <w:r w:rsidRPr="00C77CB8">
        <w:rPr>
          <w:sz w:val="20"/>
          <w:szCs w:val="20"/>
        </w:rPr>
        <w:t>0,0001 plg. su placebo ir geriamojo gliukozės koncentraciją mažinančio (-</w:t>
      </w:r>
      <w:proofErr w:type="spellStart"/>
      <w:r w:rsidRPr="00C77CB8">
        <w:rPr>
          <w:sz w:val="20"/>
          <w:szCs w:val="20"/>
        </w:rPr>
        <w:t>ių</w:t>
      </w:r>
      <w:proofErr w:type="spellEnd"/>
      <w:r w:rsidRPr="00C77CB8">
        <w:rPr>
          <w:sz w:val="20"/>
          <w:szCs w:val="20"/>
        </w:rPr>
        <w:t>) vaistinio (-</w:t>
      </w:r>
      <w:proofErr w:type="spellStart"/>
      <w:r w:rsidRPr="00C77CB8">
        <w:rPr>
          <w:sz w:val="20"/>
          <w:szCs w:val="20"/>
        </w:rPr>
        <w:t>ių</w:t>
      </w:r>
      <w:proofErr w:type="spellEnd"/>
      <w:r w:rsidRPr="00C77CB8">
        <w:rPr>
          <w:sz w:val="20"/>
          <w:szCs w:val="20"/>
        </w:rPr>
        <w:t>) preparato (-ų) deriniu</w:t>
      </w:r>
      <w:r w:rsidRPr="00130A96">
        <w:t>.</w:t>
      </w:r>
    </w:p>
    <w:p w14:paraId="4113ED1B" w14:textId="77777777" w:rsidR="00C0147E" w:rsidRDefault="00C0147E" w:rsidP="00130A96"/>
    <w:p w14:paraId="77BA2296" w14:textId="77777777" w:rsidR="00DD09D0" w:rsidRPr="007E7DFC" w:rsidRDefault="00DD09D0" w:rsidP="00130A96">
      <w:pPr>
        <w:rPr>
          <w:b/>
        </w:rPr>
      </w:pPr>
    </w:p>
    <w:p w14:paraId="6D8693AB" w14:textId="4F5F4B01" w:rsidR="00C0147E" w:rsidRPr="00964890" w:rsidRDefault="006837EB" w:rsidP="007E7DFC">
      <w:pPr>
        <w:keepNext/>
        <w:adjustRightInd w:val="0"/>
      </w:pPr>
      <w:r w:rsidRPr="007E7DFC">
        <w:rPr>
          <w:b/>
        </w:rPr>
        <w:t>6.</w:t>
      </w:r>
      <w:r w:rsidR="0022513D" w:rsidRPr="007E7DFC">
        <w:rPr>
          <w:b/>
        </w:rPr>
        <w:t> </w:t>
      </w:r>
      <w:r w:rsidR="001175EF" w:rsidRPr="007E7DFC">
        <w:rPr>
          <w:b/>
        </w:rPr>
        <w:t>lentelė. 24</w:t>
      </w:r>
      <w:r w:rsidR="0022513D" w:rsidRPr="007E7DFC">
        <w:rPr>
          <w:b/>
        </w:rPr>
        <w:t> </w:t>
      </w:r>
      <w:r w:rsidR="001175EF" w:rsidRPr="007E7DFC">
        <w:rPr>
          <w:b/>
        </w:rPr>
        <w:t xml:space="preserve">savaičių </w:t>
      </w:r>
      <w:r w:rsidR="00E84B5F" w:rsidRPr="007E7DFC">
        <w:rPr>
          <w:b/>
        </w:rPr>
        <w:t xml:space="preserve">trukmės </w:t>
      </w:r>
      <w:r w:rsidR="001175EF" w:rsidRPr="007E7DFC">
        <w:rPr>
          <w:b/>
        </w:rPr>
        <w:t>(</w:t>
      </w:r>
      <w:proofErr w:type="spellStart"/>
      <w:r w:rsidR="001175EF" w:rsidRPr="007E7DFC">
        <w:rPr>
          <w:b/>
        </w:rPr>
        <w:t>LOCFa</w:t>
      </w:r>
      <w:proofErr w:type="spellEnd"/>
      <w:r w:rsidR="001175EF" w:rsidRPr="007E7DFC">
        <w:rPr>
          <w:b/>
        </w:rPr>
        <w:t>)</w:t>
      </w:r>
      <w:r w:rsidR="00AE7204" w:rsidRPr="007E7DFC">
        <w:rPr>
          <w:b/>
        </w:rPr>
        <w:t xml:space="preserve"> </w:t>
      </w:r>
      <w:r w:rsidR="00AE7204" w:rsidRPr="008903EC">
        <w:rPr>
          <w:b/>
        </w:rPr>
        <w:t xml:space="preserve">placebo kontroliuojamo tyrimo rezultatai, vartojant dapaglifloziną kartu su insulinu (vienu arba su geriamaisiais gliukozės </w:t>
      </w:r>
      <w:r w:rsidR="00AE7204">
        <w:rPr>
          <w:b/>
        </w:rPr>
        <w:t>koncentraciją</w:t>
      </w:r>
      <w:r w:rsidR="00AE7204" w:rsidRPr="008903EC">
        <w:rPr>
          <w:b/>
        </w:rPr>
        <w:t xml:space="preserve"> kraujyje </w:t>
      </w:r>
      <w:r w:rsidR="00AE7204" w:rsidRPr="008903EC">
        <w:rPr>
          <w:b/>
        </w:rPr>
        <w:lastRenderedPageBreak/>
        <w:t>mažinančiais vaistiniais preparatais)</w:t>
      </w:r>
    </w:p>
    <w:tbl>
      <w:tblPr>
        <w:tblW w:w="9319" w:type="dxa"/>
        <w:tblLayout w:type="fixed"/>
        <w:tblCellMar>
          <w:left w:w="0" w:type="dxa"/>
          <w:right w:w="0" w:type="dxa"/>
        </w:tblCellMar>
        <w:tblLook w:val="01E0" w:firstRow="1" w:lastRow="1" w:firstColumn="1" w:lastColumn="1" w:noHBand="0" w:noVBand="0"/>
      </w:tblPr>
      <w:tblGrid>
        <w:gridCol w:w="3238"/>
        <w:gridCol w:w="3027"/>
        <w:gridCol w:w="3054"/>
      </w:tblGrid>
      <w:tr w:rsidR="00C0147E" w:rsidRPr="00130A96" w14:paraId="6D8693B4" w14:textId="77777777" w:rsidTr="00C443AD">
        <w:trPr>
          <w:trHeight w:val="1148"/>
        </w:trPr>
        <w:tc>
          <w:tcPr>
            <w:tcW w:w="3238" w:type="dxa"/>
            <w:tcBorders>
              <w:top w:val="single" w:sz="8" w:space="0" w:color="000000"/>
              <w:bottom w:val="single" w:sz="4" w:space="0" w:color="000000"/>
            </w:tcBorders>
          </w:tcPr>
          <w:p w14:paraId="6D8693AC" w14:textId="77777777" w:rsidR="00C0147E" w:rsidRPr="00130A96" w:rsidRDefault="00C0147E" w:rsidP="00130A96">
            <w:pPr>
              <w:pStyle w:val="TableParagraph"/>
              <w:rPr>
                <w:b/>
              </w:rPr>
            </w:pPr>
          </w:p>
          <w:p w14:paraId="6D8693AD" w14:textId="77777777" w:rsidR="00C0147E" w:rsidRPr="00130A96" w:rsidRDefault="00C0147E" w:rsidP="00130A96">
            <w:pPr>
              <w:pStyle w:val="TableParagraph"/>
              <w:rPr>
                <w:b/>
              </w:rPr>
            </w:pPr>
          </w:p>
          <w:p w14:paraId="6D8693AE" w14:textId="77777777" w:rsidR="00C0147E" w:rsidRPr="00130A96" w:rsidRDefault="001175EF" w:rsidP="00130A96">
            <w:pPr>
              <w:pStyle w:val="TableParagraph"/>
              <w:rPr>
                <w:b/>
              </w:rPr>
            </w:pPr>
            <w:r w:rsidRPr="00130A96">
              <w:rPr>
                <w:b/>
              </w:rPr>
              <w:t>Rodiklis</w:t>
            </w:r>
          </w:p>
        </w:tc>
        <w:tc>
          <w:tcPr>
            <w:tcW w:w="3027" w:type="dxa"/>
            <w:tcBorders>
              <w:top w:val="single" w:sz="8" w:space="0" w:color="000000"/>
              <w:bottom w:val="single" w:sz="4" w:space="0" w:color="000000"/>
            </w:tcBorders>
          </w:tcPr>
          <w:p w14:paraId="6D8693AF" w14:textId="056D3B91" w:rsidR="00C0147E" w:rsidRDefault="001175EF" w:rsidP="006837EB">
            <w:pPr>
              <w:pStyle w:val="TableParagraph"/>
              <w:jc w:val="center"/>
              <w:rPr>
                <w:b/>
              </w:rPr>
            </w:pPr>
            <w:r w:rsidRPr="00130A96">
              <w:rPr>
                <w:b/>
              </w:rPr>
              <w:t>10</w:t>
            </w:r>
            <w:r w:rsidR="00873FCC">
              <w:rPr>
                <w:b/>
              </w:rPr>
              <w:t> mg</w:t>
            </w:r>
            <w:r w:rsidRPr="00130A96">
              <w:rPr>
                <w:b/>
              </w:rPr>
              <w:t xml:space="preserve"> dapagliflozino </w:t>
            </w:r>
            <w:r w:rsidR="007B6F85">
              <w:rPr>
                <w:b/>
              </w:rPr>
              <w:t>+</w:t>
            </w:r>
            <w:r w:rsidRPr="00130A96">
              <w:rPr>
                <w:b/>
              </w:rPr>
              <w:t xml:space="preserve"> insulinas</w:t>
            </w:r>
          </w:p>
          <w:p w14:paraId="6D8693B1" w14:textId="46F7F3AA" w:rsidR="00C0147E" w:rsidRPr="009978DE" w:rsidRDefault="009978DE" w:rsidP="006837EB">
            <w:pPr>
              <w:pStyle w:val="TableParagraph"/>
              <w:jc w:val="center"/>
              <w:rPr>
                <w:b/>
                <w:bCs/>
              </w:rPr>
            </w:pPr>
            <w:r w:rsidRPr="009978DE">
              <w:rPr>
                <w:b/>
                <w:bCs/>
              </w:rPr>
              <w:t>±</w:t>
            </w:r>
            <w:r w:rsidRPr="009978DE">
              <w:rPr>
                <w:b/>
                <w:bCs/>
                <w:spacing w:val="-7"/>
              </w:rPr>
              <w:t xml:space="preserve"> </w:t>
            </w:r>
            <w:r w:rsidR="001175EF" w:rsidRPr="009978DE">
              <w:rPr>
                <w:b/>
                <w:bCs/>
              </w:rPr>
              <w:t>geriam</w:t>
            </w:r>
            <w:r w:rsidRPr="009978DE">
              <w:rPr>
                <w:b/>
                <w:bCs/>
              </w:rPr>
              <w:t>ieji</w:t>
            </w:r>
            <w:r w:rsidR="001175EF" w:rsidRPr="009978DE">
              <w:rPr>
                <w:b/>
                <w:bCs/>
              </w:rPr>
              <w:t xml:space="preserve"> gliukozės koncentraciją mažinan</w:t>
            </w:r>
            <w:r w:rsidRPr="009978DE">
              <w:rPr>
                <w:b/>
                <w:bCs/>
              </w:rPr>
              <w:t>tys</w:t>
            </w:r>
            <w:r w:rsidR="006837EB" w:rsidRPr="009978DE">
              <w:rPr>
                <w:b/>
                <w:bCs/>
              </w:rPr>
              <w:t xml:space="preserve"> </w:t>
            </w:r>
            <w:r w:rsidR="001175EF" w:rsidRPr="009978DE">
              <w:rPr>
                <w:b/>
                <w:bCs/>
              </w:rPr>
              <w:t>vaistiniai preparatai</w:t>
            </w:r>
            <w:r w:rsidR="001175EF" w:rsidRPr="009978DE">
              <w:rPr>
                <w:b/>
                <w:bCs/>
                <w:vertAlign w:val="superscript"/>
              </w:rPr>
              <w:t>2</w:t>
            </w:r>
          </w:p>
        </w:tc>
        <w:tc>
          <w:tcPr>
            <w:tcW w:w="3054" w:type="dxa"/>
            <w:tcBorders>
              <w:top w:val="single" w:sz="8" w:space="0" w:color="000000"/>
              <w:bottom w:val="single" w:sz="4" w:space="0" w:color="000000"/>
            </w:tcBorders>
          </w:tcPr>
          <w:p w14:paraId="47DEBFA3" w14:textId="77777777" w:rsidR="009978DE" w:rsidRDefault="001175EF" w:rsidP="006837EB">
            <w:pPr>
              <w:pStyle w:val="TableParagraph"/>
              <w:jc w:val="center"/>
              <w:rPr>
                <w:b/>
              </w:rPr>
            </w:pPr>
            <w:r w:rsidRPr="00130A96">
              <w:rPr>
                <w:b/>
              </w:rPr>
              <w:t xml:space="preserve">Placebas </w:t>
            </w:r>
            <w:r w:rsidR="009978DE">
              <w:rPr>
                <w:b/>
              </w:rPr>
              <w:t>+</w:t>
            </w:r>
            <w:r w:rsidRPr="00130A96">
              <w:rPr>
                <w:b/>
              </w:rPr>
              <w:t xml:space="preserve"> insulinas</w:t>
            </w:r>
          </w:p>
          <w:p w14:paraId="6D8693B3" w14:textId="15751621" w:rsidR="00C0147E" w:rsidRPr="009978DE" w:rsidRDefault="009978DE" w:rsidP="006837EB">
            <w:pPr>
              <w:pStyle w:val="TableParagraph"/>
              <w:jc w:val="center"/>
              <w:rPr>
                <w:b/>
                <w:bCs/>
              </w:rPr>
            </w:pPr>
            <w:r w:rsidRPr="009978DE">
              <w:rPr>
                <w:b/>
                <w:bCs/>
              </w:rPr>
              <w:t>±</w:t>
            </w:r>
            <w:r w:rsidRPr="009978DE">
              <w:rPr>
                <w:b/>
                <w:bCs/>
                <w:spacing w:val="-7"/>
              </w:rPr>
              <w:t xml:space="preserve"> </w:t>
            </w:r>
            <w:r w:rsidRPr="009978DE">
              <w:rPr>
                <w:b/>
                <w:bCs/>
              </w:rPr>
              <w:t>geriamieji gliukozės koncentraciją mažinantys vaistiniai preparatai</w:t>
            </w:r>
            <w:r w:rsidRPr="009978DE">
              <w:rPr>
                <w:b/>
                <w:bCs/>
                <w:vertAlign w:val="superscript"/>
              </w:rPr>
              <w:t>2</w:t>
            </w:r>
          </w:p>
        </w:tc>
      </w:tr>
      <w:tr w:rsidR="00C0147E" w:rsidRPr="00130A96" w14:paraId="6D8693B8" w14:textId="77777777" w:rsidTr="00C443AD">
        <w:trPr>
          <w:trHeight w:val="230"/>
        </w:trPr>
        <w:tc>
          <w:tcPr>
            <w:tcW w:w="3238" w:type="dxa"/>
            <w:tcBorders>
              <w:top w:val="single" w:sz="4" w:space="0" w:color="000000"/>
              <w:bottom w:val="single" w:sz="4" w:space="0" w:color="000000"/>
            </w:tcBorders>
          </w:tcPr>
          <w:p w14:paraId="6D8693B5" w14:textId="77777777" w:rsidR="00C0147E" w:rsidRPr="00130A96" w:rsidRDefault="001175EF" w:rsidP="00130A96">
            <w:pPr>
              <w:pStyle w:val="TableParagraph"/>
            </w:pPr>
            <w:proofErr w:type="spellStart"/>
            <w:r w:rsidRPr="00130A96">
              <w:rPr>
                <w:b/>
              </w:rPr>
              <w:t>N</w:t>
            </w:r>
            <w:r w:rsidRPr="006837EB">
              <w:rPr>
                <w:vertAlign w:val="superscript"/>
              </w:rPr>
              <w:t>b</w:t>
            </w:r>
            <w:proofErr w:type="spellEnd"/>
          </w:p>
        </w:tc>
        <w:tc>
          <w:tcPr>
            <w:tcW w:w="3027" w:type="dxa"/>
            <w:tcBorders>
              <w:top w:val="single" w:sz="4" w:space="0" w:color="000000"/>
              <w:bottom w:val="single" w:sz="4" w:space="0" w:color="000000"/>
            </w:tcBorders>
          </w:tcPr>
          <w:p w14:paraId="6D8693B6" w14:textId="77777777" w:rsidR="00C0147E" w:rsidRPr="00130A96" w:rsidRDefault="001175EF" w:rsidP="006837EB">
            <w:pPr>
              <w:pStyle w:val="TableParagraph"/>
              <w:jc w:val="center"/>
            </w:pPr>
            <w:r w:rsidRPr="00130A96">
              <w:t>194</w:t>
            </w:r>
          </w:p>
        </w:tc>
        <w:tc>
          <w:tcPr>
            <w:tcW w:w="3054" w:type="dxa"/>
            <w:tcBorders>
              <w:top w:val="single" w:sz="4" w:space="0" w:color="000000"/>
              <w:bottom w:val="single" w:sz="4" w:space="0" w:color="000000"/>
            </w:tcBorders>
          </w:tcPr>
          <w:p w14:paraId="6D8693B7" w14:textId="77777777" w:rsidR="00C0147E" w:rsidRPr="00130A96" w:rsidRDefault="001175EF" w:rsidP="006837EB">
            <w:pPr>
              <w:pStyle w:val="TableParagraph"/>
              <w:jc w:val="center"/>
            </w:pPr>
            <w:r w:rsidRPr="00130A96">
              <w:t>193</w:t>
            </w:r>
          </w:p>
        </w:tc>
      </w:tr>
      <w:tr w:rsidR="00C443AD" w:rsidRPr="00130A96" w14:paraId="6D8693BD" w14:textId="77777777" w:rsidTr="00C443AD">
        <w:trPr>
          <w:trHeight w:val="264"/>
        </w:trPr>
        <w:tc>
          <w:tcPr>
            <w:tcW w:w="3238" w:type="dxa"/>
            <w:tcBorders>
              <w:top w:val="single" w:sz="4" w:space="0" w:color="000000"/>
            </w:tcBorders>
          </w:tcPr>
          <w:p w14:paraId="4EBD8BEB" w14:textId="5F74B405" w:rsidR="00D22E9B" w:rsidRDefault="00B27EA5" w:rsidP="00B27EA5">
            <w:pPr>
              <w:pStyle w:val="TableParagraph"/>
            </w:pPr>
            <w:r>
              <w:rPr>
                <w:b/>
              </w:rPr>
              <w:t>HbA1c</w:t>
            </w:r>
            <w:r>
              <w:rPr>
                <w:b/>
                <w:spacing w:val="-2"/>
              </w:rPr>
              <w:t xml:space="preserve"> koncentracija </w:t>
            </w:r>
            <w:r>
              <w:rPr>
                <w:b/>
              </w:rPr>
              <w:t>(%)</w:t>
            </w:r>
          </w:p>
          <w:p w14:paraId="6D8693BA" w14:textId="1EB2DC63" w:rsidR="00C443AD" w:rsidRPr="00130A96" w:rsidRDefault="00C443AD" w:rsidP="00C443AD">
            <w:pPr>
              <w:pStyle w:val="TableParagraph"/>
              <w:ind w:left="142"/>
            </w:pPr>
            <w:r w:rsidRPr="00536FA9">
              <w:t>Pradinis rodmuo (vidurkis)</w:t>
            </w:r>
          </w:p>
        </w:tc>
        <w:tc>
          <w:tcPr>
            <w:tcW w:w="3027" w:type="dxa"/>
            <w:tcBorders>
              <w:top w:val="single" w:sz="4" w:space="0" w:color="000000"/>
            </w:tcBorders>
          </w:tcPr>
          <w:p w14:paraId="4F506350" w14:textId="77777777" w:rsidR="00B27EA5" w:rsidRDefault="00B27EA5" w:rsidP="00C443AD">
            <w:pPr>
              <w:pStyle w:val="TableParagraph"/>
              <w:jc w:val="center"/>
            </w:pPr>
          </w:p>
          <w:p w14:paraId="6D8693BB" w14:textId="22772197" w:rsidR="00C443AD" w:rsidRPr="00130A96" w:rsidRDefault="00C443AD" w:rsidP="00C443AD">
            <w:pPr>
              <w:pStyle w:val="TableParagraph"/>
              <w:jc w:val="center"/>
            </w:pPr>
            <w:r w:rsidRPr="00130A96">
              <w:t>8,58</w:t>
            </w:r>
          </w:p>
        </w:tc>
        <w:tc>
          <w:tcPr>
            <w:tcW w:w="3054" w:type="dxa"/>
            <w:tcBorders>
              <w:top w:val="single" w:sz="4" w:space="0" w:color="000000"/>
            </w:tcBorders>
          </w:tcPr>
          <w:p w14:paraId="215E6F60" w14:textId="77777777" w:rsidR="00B27EA5" w:rsidRDefault="00B27EA5" w:rsidP="00C443AD">
            <w:pPr>
              <w:pStyle w:val="TableParagraph"/>
              <w:jc w:val="center"/>
            </w:pPr>
          </w:p>
          <w:p w14:paraId="6D8693BC" w14:textId="59FEDC83" w:rsidR="00C443AD" w:rsidRPr="00130A96" w:rsidRDefault="00C443AD" w:rsidP="00C443AD">
            <w:pPr>
              <w:pStyle w:val="TableParagraph"/>
              <w:jc w:val="center"/>
            </w:pPr>
            <w:r w:rsidRPr="00130A96">
              <w:t>8,46</w:t>
            </w:r>
          </w:p>
        </w:tc>
      </w:tr>
      <w:tr w:rsidR="00C443AD" w:rsidRPr="00130A96" w14:paraId="6D8693C1" w14:textId="77777777" w:rsidTr="00C443AD">
        <w:trPr>
          <w:trHeight w:val="459"/>
        </w:trPr>
        <w:tc>
          <w:tcPr>
            <w:tcW w:w="3238" w:type="dxa"/>
          </w:tcPr>
          <w:p w14:paraId="6D8693BE" w14:textId="46C34FF6" w:rsidR="00C443AD" w:rsidRPr="00130A96" w:rsidRDefault="00C443AD" w:rsidP="00C443AD">
            <w:pPr>
              <w:pStyle w:val="TableParagraph"/>
              <w:ind w:left="142"/>
            </w:pPr>
            <w:r w:rsidRPr="002B0E69">
              <w:t xml:space="preserve">Pokytis, palyginti su pradiniu </w:t>
            </w:r>
            <w:proofErr w:type="spellStart"/>
            <w:r w:rsidRPr="002B0E69">
              <w:t>rodmeniu</w:t>
            </w:r>
            <w:r w:rsidRPr="002B0E69">
              <w:rPr>
                <w:vertAlign w:val="superscript"/>
              </w:rPr>
              <w:t>c</w:t>
            </w:r>
            <w:proofErr w:type="spellEnd"/>
          </w:p>
        </w:tc>
        <w:tc>
          <w:tcPr>
            <w:tcW w:w="3027" w:type="dxa"/>
          </w:tcPr>
          <w:p w14:paraId="6D8693BF" w14:textId="77777777" w:rsidR="00C443AD" w:rsidRPr="00130A96" w:rsidRDefault="00C443AD" w:rsidP="00C443AD">
            <w:pPr>
              <w:pStyle w:val="TableParagraph"/>
              <w:jc w:val="center"/>
            </w:pPr>
            <w:r w:rsidRPr="00130A96">
              <w:t>-0,90</w:t>
            </w:r>
          </w:p>
        </w:tc>
        <w:tc>
          <w:tcPr>
            <w:tcW w:w="3054" w:type="dxa"/>
          </w:tcPr>
          <w:p w14:paraId="6D8693C0" w14:textId="77777777" w:rsidR="00C443AD" w:rsidRPr="00130A96" w:rsidRDefault="00C443AD" w:rsidP="00C443AD">
            <w:pPr>
              <w:pStyle w:val="TableParagraph"/>
              <w:jc w:val="center"/>
            </w:pPr>
            <w:r w:rsidRPr="00130A96">
              <w:t>-0,30</w:t>
            </w:r>
          </w:p>
        </w:tc>
      </w:tr>
      <w:tr w:rsidR="00C443AD" w:rsidRPr="00130A96" w14:paraId="6D8693C7" w14:textId="77777777" w:rsidTr="00C443AD">
        <w:trPr>
          <w:trHeight w:val="458"/>
        </w:trPr>
        <w:tc>
          <w:tcPr>
            <w:tcW w:w="3238" w:type="dxa"/>
            <w:tcBorders>
              <w:bottom w:val="single" w:sz="4" w:space="0" w:color="000000"/>
            </w:tcBorders>
          </w:tcPr>
          <w:p w14:paraId="3DE9AE7B" w14:textId="77777777" w:rsidR="00C443AD" w:rsidRDefault="00C443AD" w:rsidP="00C443AD">
            <w:pPr>
              <w:pStyle w:val="TableParagraph"/>
              <w:ind w:left="142"/>
              <w:rPr>
                <w:vertAlign w:val="superscript"/>
              </w:rPr>
            </w:pPr>
            <w:r w:rsidRPr="00F856BE">
              <w:t>Skirtumas, palyginti su placebo poveikiu</w:t>
            </w:r>
            <w:r w:rsidRPr="007E58DB">
              <w:rPr>
                <w:spacing w:val="-10"/>
                <w:vertAlign w:val="superscript"/>
              </w:rPr>
              <w:t xml:space="preserve"> </w:t>
            </w:r>
            <w:r w:rsidRPr="007E58DB">
              <w:rPr>
                <w:vertAlign w:val="superscript"/>
              </w:rPr>
              <w:t>c</w:t>
            </w:r>
          </w:p>
          <w:p w14:paraId="6D8693C3" w14:textId="48D771DC" w:rsidR="00C443AD" w:rsidRPr="00130A96" w:rsidRDefault="00C443AD" w:rsidP="00C443AD">
            <w:pPr>
              <w:pStyle w:val="TableParagraph"/>
              <w:ind w:left="142"/>
            </w:pPr>
            <w:r w:rsidRPr="00130A96">
              <w:t>(95</w:t>
            </w:r>
            <w:r>
              <w:t> %</w:t>
            </w:r>
            <w:r w:rsidRPr="00130A96">
              <w:t xml:space="preserve"> PI)</w:t>
            </w:r>
          </w:p>
        </w:tc>
        <w:tc>
          <w:tcPr>
            <w:tcW w:w="3027" w:type="dxa"/>
            <w:tcBorders>
              <w:bottom w:val="single" w:sz="4" w:space="0" w:color="000000"/>
            </w:tcBorders>
          </w:tcPr>
          <w:p w14:paraId="6D8693C4" w14:textId="77777777" w:rsidR="00C443AD" w:rsidRPr="00130A96" w:rsidRDefault="00C443AD" w:rsidP="00C443AD">
            <w:pPr>
              <w:pStyle w:val="TableParagraph"/>
              <w:jc w:val="center"/>
            </w:pPr>
            <w:r w:rsidRPr="00130A96">
              <w:t>-0,6*</w:t>
            </w:r>
          </w:p>
          <w:p w14:paraId="1B2E846E" w14:textId="77777777" w:rsidR="000D24A3" w:rsidRDefault="000D24A3" w:rsidP="00C443AD">
            <w:pPr>
              <w:pStyle w:val="TableParagraph"/>
              <w:jc w:val="center"/>
            </w:pPr>
          </w:p>
          <w:p w14:paraId="6D8693C5" w14:textId="2DC93622" w:rsidR="00C443AD" w:rsidRPr="00130A96" w:rsidRDefault="00C443AD" w:rsidP="00C443AD">
            <w:pPr>
              <w:pStyle w:val="TableParagraph"/>
              <w:jc w:val="center"/>
            </w:pPr>
            <w:r w:rsidRPr="00130A96">
              <w:t>(-0,74, -0,45)</w:t>
            </w:r>
          </w:p>
        </w:tc>
        <w:tc>
          <w:tcPr>
            <w:tcW w:w="3054" w:type="dxa"/>
            <w:tcBorders>
              <w:bottom w:val="single" w:sz="4" w:space="0" w:color="000000"/>
            </w:tcBorders>
          </w:tcPr>
          <w:p w14:paraId="6D8693C6" w14:textId="77777777" w:rsidR="00C443AD" w:rsidRPr="00130A96" w:rsidRDefault="00C443AD" w:rsidP="00C443AD">
            <w:pPr>
              <w:pStyle w:val="TableParagraph"/>
              <w:jc w:val="center"/>
            </w:pPr>
          </w:p>
        </w:tc>
      </w:tr>
      <w:tr w:rsidR="00C0147E" w:rsidRPr="00130A96" w14:paraId="6D8693CC" w14:textId="77777777" w:rsidTr="00D22E9B">
        <w:trPr>
          <w:trHeight w:val="368"/>
        </w:trPr>
        <w:tc>
          <w:tcPr>
            <w:tcW w:w="3238" w:type="dxa"/>
            <w:tcBorders>
              <w:top w:val="single" w:sz="4" w:space="0" w:color="000000"/>
            </w:tcBorders>
          </w:tcPr>
          <w:p w14:paraId="6D8693C8" w14:textId="77777777" w:rsidR="00C0147E" w:rsidRPr="00130A96" w:rsidRDefault="001175EF" w:rsidP="00D22E9B">
            <w:pPr>
              <w:pStyle w:val="TableParagraph"/>
              <w:rPr>
                <w:b/>
              </w:rPr>
            </w:pPr>
            <w:r w:rsidRPr="00130A96">
              <w:rPr>
                <w:b/>
              </w:rPr>
              <w:t>Kūno svoris (kg)</w:t>
            </w:r>
          </w:p>
          <w:p w14:paraId="6D8693C9" w14:textId="47AFE370" w:rsidR="00C0147E" w:rsidRPr="00130A96" w:rsidRDefault="00C443AD" w:rsidP="00D22E9B">
            <w:pPr>
              <w:pStyle w:val="TableParagraph"/>
              <w:ind w:left="142"/>
            </w:pPr>
            <w:r w:rsidRPr="00536FA9">
              <w:t>Pradinis rodmuo (vidurkis)</w:t>
            </w:r>
          </w:p>
        </w:tc>
        <w:tc>
          <w:tcPr>
            <w:tcW w:w="3027" w:type="dxa"/>
            <w:tcBorders>
              <w:top w:val="single" w:sz="4" w:space="0" w:color="000000"/>
            </w:tcBorders>
          </w:tcPr>
          <w:p w14:paraId="3589D0A7" w14:textId="77777777" w:rsidR="00B27EA5" w:rsidRDefault="00B27EA5" w:rsidP="006837EB">
            <w:pPr>
              <w:pStyle w:val="TableParagraph"/>
              <w:jc w:val="center"/>
            </w:pPr>
          </w:p>
          <w:p w14:paraId="6D8693CA" w14:textId="3EE36AED" w:rsidR="00C0147E" w:rsidRPr="00130A96" w:rsidRDefault="001175EF" w:rsidP="006837EB">
            <w:pPr>
              <w:pStyle w:val="TableParagraph"/>
              <w:jc w:val="center"/>
            </w:pPr>
            <w:r w:rsidRPr="00130A96">
              <w:t>94,63</w:t>
            </w:r>
          </w:p>
        </w:tc>
        <w:tc>
          <w:tcPr>
            <w:tcW w:w="3054" w:type="dxa"/>
            <w:tcBorders>
              <w:top w:val="single" w:sz="4" w:space="0" w:color="000000"/>
            </w:tcBorders>
          </w:tcPr>
          <w:p w14:paraId="0D5D2E9F" w14:textId="77777777" w:rsidR="00B27EA5" w:rsidRDefault="00B27EA5" w:rsidP="006837EB">
            <w:pPr>
              <w:pStyle w:val="TableParagraph"/>
              <w:jc w:val="center"/>
            </w:pPr>
          </w:p>
          <w:p w14:paraId="6D8693CB" w14:textId="0316663F" w:rsidR="00C0147E" w:rsidRPr="00130A96" w:rsidRDefault="001175EF" w:rsidP="006837EB">
            <w:pPr>
              <w:pStyle w:val="TableParagraph"/>
              <w:jc w:val="center"/>
            </w:pPr>
            <w:r w:rsidRPr="00130A96">
              <w:t>94,21</w:t>
            </w:r>
          </w:p>
        </w:tc>
      </w:tr>
      <w:tr w:rsidR="00C443AD" w:rsidRPr="00130A96" w14:paraId="6D8693D0" w14:textId="77777777" w:rsidTr="00C443AD">
        <w:trPr>
          <w:trHeight w:val="460"/>
        </w:trPr>
        <w:tc>
          <w:tcPr>
            <w:tcW w:w="3238" w:type="dxa"/>
          </w:tcPr>
          <w:p w14:paraId="6D8693CD" w14:textId="0B79317A" w:rsidR="00C443AD" w:rsidRPr="00130A96" w:rsidRDefault="00C443AD" w:rsidP="00D22E9B">
            <w:pPr>
              <w:pStyle w:val="TableParagraph"/>
              <w:ind w:left="142"/>
            </w:pPr>
            <w:r w:rsidRPr="002B0E69">
              <w:t xml:space="preserve">Pokytis, palyginti su pradiniu </w:t>
            </w:r>
            <w:proofErr w:type="spellStart"/>
            <w:r w:rsidRPr="002B0E69">
              <w:t>rodmeniu</w:t>
            </w:r>
            <w:r w:rsidRPr="002B0E69">
              <w:rPr>
                <w:vertAlign w:val="superscript"/>
              </w:rPr>
              <w:t>c</w:t>
            </w:r>
            <w:proofErr w:type="spellEnd"/>
          </w:p>
        </w:tc>
        <w:tc>
          <w:tcPr>
            <w:tcW w:w="3027" w:type="dxa"/>
          </w:tcPr>
          <w:p w14:paraId="6D8693CE" w14:textId="77777777" w:rsidR="00C443AD" w:rsidRPr="00130A96" w:rsidRDefault="00C443AD" w:rsidP="00C443AD">
            <w:pPr>
              <w:pStyle w:val="TableParagraph"/>
              <w:jc w:val="center"/>
            </w:pPr>
            <w:r w:rsidRPr="00130A96">
              <w:t>-1,67</w:t>
            </w:r>
          </w:p>
        </w:tc>
        <w:tc>
          <w:tcPr>
            <w:tcW w:w="3054" w:type="dxa"/>
          </w:tcPr>
          <w:p w14:paraId="6D8693CF" w14:textId="77777777" w:rsidR="00C443AD" w:rsidRPr="00130A96" w:rsidRDefault="00C443AD" w:rsidP="00C443AD">
            <w:pPr>
              <w:pStyle w:val="TableParagraph"/>
              <w:jc w:val="center"/>
            </w:pPr>
            <w:r w:rsidRPr="00130A96">
              <w:t>0,02</w:t>
            </w:r>
          </w:p>
        </w:tc>
      </w:tr>
      <w:tr w:rsidR="00C443AD" w:rsidRPr="00130A96" w14:paraId="6D8693D6" w14:textId="77777777" w:rsidTr="00C443AD">
        <w:trPr>
          <w:trHeight w:val="457"/>
        </w:trPr>
        <w:tc>
          <w:tcPr>
            <w:tcW w:w="3238" w:type="dxa"/>
            <w:tcBorders>
              <w:bottom w:val="single" w:sz="4" w:space="0" w:color="000000"/>
            </w:tcBorders>
          </w:tcPr>
          <w:p w14:paraId="197BC65A" w14:textId="77777777" w:rsidR="00C443AD" w:rsidRDefault="00C443AD" w:rsidP="00D22E9B">
            <w:pPr>
              <w:pStyle w:val="TableParagraph"/>
              <w:ind w:left="142"/>
              <w:rPr>
                <w:vertAlign w:val="superscript"/>
              </w:rPr>
            </w:pPr>
            <w:r w:rsidRPr="00F856BE">
              <w:t>Skirtumas, palyginti su placebo poveikiu</w:t>
            </w:r>
            <w:r w:rsidRPr="007E58DB">
              <w:rPr>
                <w:spacing w:val="-10"/>
                <w:vertAlign w:val="superscript"/>
              </w:rPr>
              <w:t xml:space="preserve"> </w:t>
            </w:r>
            <w:r w:rsidRPr="007E58DB">
              <w:rPr>
                <w:vertAlign w:val="superscript"/>
              </w:rPr>
              <w:t>c</w:t>
            </w:r>
          </w:p>
          <w:p w14:paraId="6D8693D2" w14:textId="3C753074" w:rsidR="00C443AD" w:rsidRPr="00130A96" w:rsidRDefault="00C443AD" w:rsidP="00D22E9B">
            <w:pPr>
              <w:pStyle w:val="TableParagraph"/>
              <w:ind w:left="142"/>
            </w:pPr>
            <w:r w:rsidRPr="00130A96">
              <w:t>(95</w:t>
            </w:r>
            <w:r>
              <w:t> %</w:t>
            </w:r>
            <w:r w:rsidRPr="00130A96">
              <w:t xml:space="preserve"> PI)</w:t>
            </w:r>
          </w:p>
        </w:tc>
        <w:tc>
          <w:tcPr>
            <w:tcW w:w="3027" w:type="dxa"/>
            <w:tcBorders>
              <w:bottom w:val="single" w:sz="4" w:space="0" w:color="000000"/>
            </w:tcBorders>
          </w:tcPr>
          <w:p w14:paraId="6D8693D3" w14:textId="77777777" w:rsidR="00C443AD" w:rsidRPr="00130A96" w:rsidRDefault="00C443AD" w:rsidP="00C443AD">
            <w:pPr>
              <w:pStyle w:val="TableParagraph"/>
              <w:jc w:val="center"/>
            </w:pPr>
            <w:r w:rsidRPr="00130A96">
              <w:t xml:space="preserve">-1,68 </w:t>
            </w:r>
            <w:r w:rsidRPr="00130A96">
              <w:rPr>
                <w:vertAlign w:val="superscript"/>
              </w:rPr>
              <w:t>*</w:t>
            </w:r>
          </w:p>
          <w:p w14:paraId="01F0F15E" w14:textId="77777777" w:rsidR="000D24A3" w:rsidRDefault="000D24A3" w:rsidP="00C443AD">
            <w:pPr>
              <w:pStyle w:val="TableParagraph"/>
              <w:jc w:val="center"/>
            </w:pPr>
          </w:p>
          <w:p w14:paraId="6D8693D4" w14:textId="31CF8A14" w:rsidR="00C443AD" w:rsidRPr="00130A96" w:rsidRDefault="00C443AD" w:rsidP="00C443AD">
            <w:pPr>
              <w:pStyle w:val="TableParagraph"/>
              <w:jc w:val="center"/>
            </w:pPr>
            <w:r w:rsidRPr="00130A96">
              <w:t>(-2,19, -1,18)</w:t>
            </w:r>
          </w:p>
        </w:tc>
        <w:tc>
          <w:tcPr>
            <w:tcW w:w="3054" w:type="dxa"/>
            <w:tcBorders>
              <w:bottom w:val="single" w:sz="4" w:space="0" w:color="000000"/>
            </w:tcBorders>
          </w:tcPr>
          <w:p w14:paraId="6D8693D5" w14:textId="77777777" w:rsidR="00C443AD" w:rsidRPr="00130A96" w:rsidRDefault="00C443AD" w:rsidP="00C443AD">
            <w:pPr>
              <w:pStyle w:val="TableParagraph"/>
              <w:jc w:val="center"/>
            </w:pPr>
          </w:p>
        </w:tc>
      </w:tr>
      <w:tr w:rsidR="00C0147E" w:rsidRPr="00130A96" w14:paraId="6D8693DD" w14:textId="77777777" w:rsidTr="00C443AD">
        <w:trPr>
          <w:trHeight w:val="461"/>
        </w:trPr>
        <w:tc>
          <w:tcPr>
            <w:tcW w:w="3238" w:type="dxa"/>
            <w:tcBorders>
              <w:top w:val="single" w:sz="4" w:space="0" w:color="000000"/>
            </w:tcBorders>
          </w:tcPr>
          <w:p w14:paraId="6D8693D7" w14:textId="6E517EB0" w:rsidR="00C0147E" w:rsidRPr="00130A96" w:rsidRDefault="001175EF" w:rsidP="00622758">
            <w:pPr>
              <w:pStyle w:val="TableParagraph"/>
            </w:pPr>
            <w:r w:rsidRPr="00130A96">
              <w:rPr>
                <w:b/>
              </w:rPr>
              <w:t>Vidutinė insulino paros dozė (TV)</w:t>
            </w:r>
            <w:r w:rsidR="00656DFE" w:rsidRPr="00130A96">
              <w:rPr>
                <w:vertAlign w:val="superscript"/>
              </w:rPr>
              <w:t>1</w:t>
            </w:r>
          </w:p>
          <w:p w14:paraId="6D8693D8" w14:textId="2C3B5E48" w:rsidR="00C0147E" w:rsidRPr="00130A96" w:rsidRDefault="00622758" w:rsidP="00622758">
            <w:pPr>
              <w:pStyle w:val="TableParagraph"/>
              <w:ind w:left="142"/>
            </w:pPr>
            <w:r w:rsidRPr="00536FA9">
              <w:t>Pradinis rodmuo (vidurkis)</w:t>
            </w:r>
          </w:p>
        </w:tc>
        <w:tc>
          <w:tcPr>
            <w:tcW w:w="3027" w:type="dxa"/>
            <w:tcBorders>
              <w:top w:val="single" w:sz="4" w:space="0" w:color="000000"/>
            </w:tcBorders>
          </w:tcPr>
          <w:p w14:paraId="6D8693D9" w14:textId="77777777" w:rsidR="00C0147E" w:rsidRPr="00130A96" w:rsidRDefault="00C0147E" w:rsidP="00656DFE">
            <w:pPr>
              <w:pStyle w:val="TableParagraph"/>
              <w:rPr>
                <w:b/>
              </w:rPr>
            </w:pPr>
          </w:p>
          <w:p w14:paraId="0A05B262" w14:textId="77777777" w:rsidR="00622758" w:rsidRDefault="00622758" w:rsidP="006837EB">
            <w:pPr>
              <w:pStyle w:val="TableParagraph"/>
              <w:jc w:val="center"/>
            </w:pPr>
          </w:p>
          <w:p w14:paraId="6D8693DA" w14:textId="74916CBE" w:rsidR="00C0147E" w:rsidRPr="00130A96" w:rsidRDefault="001175EF" w:rsidP="006837EB">
            <w:pPr>
              <w:pStyle w:val="TableParagraph"/>
              <w:jc w:val="center"/>
            </w:pPr>
            <w:r w:rsidRPr="00130A96">
              <w:t>77,96</w:t>
            </w:r>
          </w:p>
        </w:tc>
        <w:tc>
          <w:tcPr>
            <w:tcW w:w="3054" w:type="dxa"/>
            <w:tcBorders>
              <w:top w:val="single" w:sz="4" w:space="0" w:color="000000"/>
            </w:tcBorders>
          </w:tcPr>
          <w:p w14:paraId="6D8693DB" w14:textId="77777777" w:rsidR="00C0147E" w:rsidRPr="00130A96" w:rsidRDefault="00C0147E" w:rsidP="006837EB">
            <w:pPr>
              <w:pStyle w:val="TableParagraph"/>
              <w:jc w:val="center"/>
              <w:rPr>
                <w:b/>
              </w:rPr>
            </w:pPr>
          </w:p>
          <w:p w14:paraId="64F0D170" w14:textId="77777777" w:rsidR="00622758" w:rsidRDefault="00622758" w:rsidP="006837EB">
            <w:pPr>
              <w:pStyle w:val="TableParagraph"/>
              <w:jc w:val="center"/>
            </w:pPr>
          </w:p>
          <w:p w14:paraId="6D8693DC" w14:textId="179908BC" w:rsidR="00C0147E" w:rsidRPr="00130A96" w:rsidRDefault="001175EF" w:rsidP="006837EB">
            <w:pPr>
              <w:pStyle w:val="TableParagraph"/>
              <w:jc w:val="center"/>
            </w:pPr>
            <w:r w:rsidRPr="00130A96">
              <w:t>73,96</w:t>
            </w:r>
          </w:p>
        </w:tc>
      </w:tr>
      <w:tr w:rsidR="009A1656" w:rsidRPr="00130A96" w14:paraId="6D8693E1" w14:textId="77777777" w:rsidTr="00C443AD">
        <w:trPr>
          <w:trHeight w:val="460"/>
        </w:trPr>
        <w:tc>
          <w:tcPr>
            <w:tcW w:w="3238" w:type="dxa"/>
          </w:tcPr>
          <w:p w14:paraId="6D8693DE" w14:textId="202C09A0" w:rsidR="009A1656" w:rsidRPr="00130A96" w:rsidRDefault="009A1656" w:rsidP="009A1656">
            <w:pPr>
              <w:pStyle w:val="TableParagraph"/>
              <w:ind w:left="142"/>
            </w:pPr>
            <w:r w:rsidRPr="002B0E69">
              <w:t xml:space="preserve">Pokytis, palyginti su pradiniu </w:t>
            </w:r>
            <w:proofErr w:type="spellStart"/>
            <w:r w:rsidRPr="002B0E69">
              <w:t>rodmeniu</w:t>
            </w:r>
            <w:r w:rsidRPr="002B0E69">
              <w:rPr>
                <w:vertAlign w:val="superscript"/>
              </w:rPr>
              <w:t>c</w:t>
            </w:r>
            <w:proofErr w:type="spellEnd"/>
          </w:p>
        </w:tc>
        <w:tc>
          <w:tcPr>
            <w:tcW w:w="3027" w:type="dxa"/>
          </w:tcPr>
          <w:p w14:paraId="6D8693DF" w14:textId="77777777" w:rsidR="009A1656" w:rsidRPr="00130A96" w:rsidRDefault="009A1656" w:rsidP="009A1656">
            <w:pPr>
              <w:pStyle w:val="TableParagraph"/>
              <w:jc w:val="center"/>
            </w:pPr>
            <w:r w:rsidRPr="00130A96">
              <w:t>-1,16</w:t>
            </w:r>
          </w:p>
        </w:tc>
        <w:tc>
          <w:tcPr>
            <w:tcW w:w="3054" w:type="dxa"/>
          </w:tcPr>
          <w:p w14:paraId="6D8693E0" w14:textId="77777777" w:rsidR="009A1656" w:rsidRPr="00130A96" w:rsidRDefault="009A1656" w:rsidP="009A1656">
            <w:pPr>
              <w:pStyle w:val="TableParagraph"/>
              <w:jc w:val="center"/>
            </w:pPr>
            <w:r w:rsidRPr="00130A96">
              <w:t>5,08</w:t>
            </w:r>
          </w:p>
        </w:tc>
      </w:tr>
      <w:tr w:rsidR="009A1656" w:rsidRPr="00130A96" w14:paraId="6D8693E7" w14:textId="77777777" w:rsidTr="00C443AD">
        <w:trPr>
          <w:trHeight w:val="463"/>
        </w:trPr>
        <w:tc>
          <w:tcPr>
            <w:tcW w:w="3238" w:type="dxa"/>
          </w:tcPr>
          <w:p w14:paraId="67D2534B" w14:textId="77777777" w:rsidR="009A1656" w:rsidRDefault="009A1656" w:rsidP="009A1656">
            <w:pPr>
              <w:pStyle w:val="TableParagraph"/>
              <w:ind w:left="142"/>
              <w:rPr>
                <w:vertAlign w:val="superscript"/>
              </w:rPr>
            </w:pPr>
            <w:r w:rsidRPr="00F856BE">
              <w:t>Skirtumas, palyginti su placebo poveikiu</w:t>
            </w:r>
            <w:r w:rsidRPr="007E58DB">
              <w:rPr>
                <w:spacing w:val="-10"/>
                <w:vertAlign w:val="superscript"/>
              </w:rPr>
              <w:t xml:space="preserve"> </w:t>
            </w:r>
            <w:r w:rsidRPr="007E58DB">
              <w:rPr>
                <w:vertAlign w:val="superscript"/>
              </w:rPr>
              <w:t>c</w:t>
            </w:r>
          </w:p>
          <w:p w14:paraId="6D8693E3" w14:textId="0AD24FD9" w:rsidR="009A1656" w:rsidRPr="00130A96" w:rsidRDefault="009A1656" w:rsidP="009A1656">
            <w:pPr>
              <w:pStyle w:val="TableParagraph"/>
              <w:ind w:left="142"/>
            </w:pPr>
            <w:r w:rsidRPr="00130A96">
              <w:t>(95</w:t>
            </w:r>
            <w:r>
              <w:t> %</w:t>
            </w:r>
            <w:r w:rsidRPr="00130A96">
              <w:t xml:space="preserve"> PI)</w:t>
            </w:r>
          </w:p>
        </w:tc>
        <w:tc>
          <w:tcPr>
            <w:tcW w:w="3027" w:type="dxa"/>
          </w:tcPr>
          <w:p w14:paraId="535C2DCB" w14:textId="77777777" w:rsidR="009A1656" w:rsidRDefault="009A1656" w:rsidP="009A1656">
            <w:pPr>
              <w:pStyle w:val="TableParagraph"/>
              <w:jc w:val="center"/>
            </w:pPr>
          </w:p>
          <w:p w14:paraId="6D8693E4" w14:textId="28A4BFBB" w:rsidR="009A1656" w:rsidRPr="00130A96" w:rsidRDefault="009A1656" w:rsidP="009A1656">
            <w:pPr>
              <w:pStyle w:val="TableParagraph"/>
              <w:jc w:val="center"/>
            </w:pPr>
            <w:r w:rsidRPr="00130A96">
              <w:t>-6,23*</w:t>
            </w:r>
          </w:p>
          <w:p w14:paraId="6D8693E5" w14:textId="77777777" w:rsidR="009A1656" w:rsidRPr="00130A96" w:rsidRDefault="009A1656" w:rsidP="009A1656">
            <w:pPr>
              <w:pStyle w:val="TableParagraph"/>
              <w:jc w:val="center"/>
            </w:pPr>
            <w:r w:rsidRPr="00130A96">
              <w:t>(-8,84, -3,63)</w:t>
            </w:r>
          </w:p>
        </w:tc>
        <w:tc>
          <w:tcPr>
            <w:tcW w:w="3054" w:type="dxa"/>
          </w:tcPr>
          <w:p w14:paraId="6D8693E6" w14:textId="77777777" w:rsidR="009A1656" w:rsidRPr="00130A96" w:rsidRDefault="009A1656" w:rsidP="009A1656">
            <w:pPr>
              <w:pStyle w:val="TableParagraph"/>
              <w:jc w:val="center"/>
            </w:pPr>
          </w:p>
        </w:tc>
      </w:tr>
      <w:tr w:rsidR="00C0147E" w:rsidRPr="00130A96" w14:paraId="6D8693EC" w14:textId="77777777" w:rsidTr="00C443AD">
        <w:trPr>
          <w:trHeight w:val="685"/>
        </w:trPr>
        <w:tc>
          <w:tcPr>
            <w:tcW w:w="3238" w:type="dxa"/>
            <w:tcBorders>
              <w:bottom w:val="single" w:sz="4" w:space="0" w:color="000000"/>
            </w:tcBorders>
          </w:tcPr>
          <w:p w14:paraId="6D8693E9" w14:textId="24DBBA5F" w:rsidR="00C0147E" w:rsidRPr="00130A96" w:rsidRDefault="001175EF" w:rsidP="00622758">
            <w:pPr>
              <w:pStyle w:val="TableParagraph"/>
              <w:ind w:left="142"/>
            </w:pPr>
            <w:r w:rsidRPr="00130A96">
              <w:t>Asmenys, kuriems insulino</w:t>
            </w:r>
            <w:r w:rsidR="00656DFE">
              <w:t xml:space="preserve"> </w:t>
            </w:r>
            <w:r w:rsidRPr="00130A96">
              <w:t>vidutinė paros dozė buvo sumažinta bent 10</w:t>
            </w:r>
            <w:r w:rsidR="00873FCC">
              <w:t> %</w:t>
            </w:r>
            <w:r w:rsidRPr="00130A96">
              <w:t xml:space="preserve"> (</w:t>
            </w:r>
            <w:r w:rsidR="00873FCC">
              <w:t> %</w:t>
            </w:r>
            <w:r w:rsidRPr="00130A96">
              <w:t>)</w:t>
            </w:r>
          </w:p>
        </w:tc>
        <w:tc>
          <w:tcPr>
            <w:tcW w:w="3027" w:type="dxa"/>
            <w:tcBorders>
              <w:bottom w:val="single" w:sz="4" w:space="0" w:color="000000"/>
            </w:tcBorders>
          </w:tcPr>
          <w:p w14:paraId="72B034CB" w14:textId="77777777" w:rsidR="000A291E" w:rsidRDefault="000A291E" w:rsidP="006837EB">
            <w:pPr>
              <w:pStyle w:val="TableParagraph"/>
              <w:jc w:val="center"/>
            </w:pPr>
          </w:p>
          <w:p w14:paraId="794756F2" w14:textId="77777777" w:rsidR="00877D09" w:rsidRDefault="00877D09" w:rsidP="006837EB">
            <w:pPr>
              <w:pStyle w:val="TableParagraph"/>
              <w:jc w:val="center"/>
            </w:pPr>
          </w:p>
          <w:p w14:paraId="6D8693EA" w14:textId="40DF80B1" w:rsidR="00C0147E" w:rsidRPr="00130A96" w:rsidRDefault="001175EF" w:rsidP="006837EB">
            <w:pPr>
              <w:pStyle w:val="TableParagraph"/>
              <w:jc w:val="center"/>
            </w:pPr>
            <w:r w:rsidRPr="00130A96">
              <w:t>19,7</w:t>
            </w:r>
            <w:r w:rsidRPr="00130A96">
              <w:rPr>
                <w:vertAlign w:val="superscript"/>
              </w:rPr>
              <w:t>**</w:t>
            </w:r>
          </w:p>
        </w:tc>
        <w:tc>
          <w:tcPr>
            <w:tcW w:w="3054" w:type="dxa"/>
            <w:tcBorders>
              <w:bottom w:val="single" w:sz="4" w:space="0" w:color="000000"/>
            </w:tcBorders>
          </w:tcPr>
          <w:p w14:paraId="5AF07AFD" w14:textId="77777777" w:rsidR="000A291E" w:rsidRDefault="000A291E" w:rsidP="006837EB">
            <w:pPr>
              <w:pStyle w:val="TableParagraph"/>
              <w:jc w:val="center"/>
            </w:pPr>
          </w:p>
          <w:p w14:paraId="784BECC0" w14:textId="77777777" w:rsidR="00877D09" w:rsidRDefault="00877D09" w:rsidP="006837EB">
            <w:pPr>
              <w:pStyle w:val="TableParagraph"/>
              <w:jc w:val="center"/>
            </w:pPr>
          </w:p>
          <w:p w14:paraId="6D8693EB" w14:textId="6CE6524E" w:rsidR="00C0147E" w:rsidRPr="00130A96" w:rsidRDefault="001175EF" w:rsidP="006837EB">
            <w:pPr>
              <w:pStyle w:val="TableParagraph"/>
              <w:jc w:val="center"/>
            </w:pPr>
            <w:r w:rsidRPr="00130A96">
              <w:t>11,0</w:t>
            </w:r>
          </w:p>
        </w:tc>
      </w:tr>
    </w:tbl>
    <w:p w14:paraId="03719206" w14:textId="77777777" w:rsidR="00BA58DE" w:rsidRPr="00BA58DE" w:rsidRDefault="00BA58DE" w:rsidP="00BA58DE">
      <w:pPr>
        <w:pStyle w:val="TableParagraph"/>
        <w:rPr>
          <w:sz w:val="20"/>
          <w:szCs w:val="20"/>
        </w:rPr>
      </w:pPr>
      <w:r w:rsidRPr="00BA58DE">
        <w:rPr>
          <w:sz w:val="20"/>
          <w:szCs w:val="20"/>
          <w:vertAlign w:val="superscript"/>
        </w:rPr>
        <w:t>a</w:t>
      </w:r>
      <w:r w:rsidRPr="00BA58DE">
        <w:rPr>
          <w:sz w:val="20"/>
          <w:szCs w:val="20"/>
        </w:rPr>
        <w:t xml:space="preserve"> LOCF – paskutinė atlikta apžiūra (jei insulino dozę teko didinti, tai pirmo jos didinimo dieną arba iki jos).</w:t>
      </w:r>
    </w:p>
    <w:p w14:paraId="36FBAB60" w14:textId="5008F4BE" w:rsidR="00BA58DE" w:rsidRPr="00BA58DE" w:rsidRDefault="00BA58DE" w:rsidP="005F3686">
      <w:pPr>
        <w:pStyle w:val="TableParagraph"/>
        <w:ind w:left="142" w:hanging="142"/>
        <w:rPr>
          <w:sz w:val="20"/>
          <w:szCs w:val="20"/>
        </w:rPr>
      </w:pPr>
      <w:r w:rsidRPr="00BA58DE">
        <w:rPr>
          <w:sz w:val="20"/>
          <w:szCs w:val="20"/>
          <w:vertAlign w:val="superscript"/>
        </w:rPr>
        <w:t>b</w:t>
      </w:r>
      <w:r w:rsidRPr="00BA58DE">
        <w:rPr>
          <w:sz w:val="20"/>
          <w:szCs w:val="20"/>
        </w:rPr>
        <w:t xml:space="preserve"> Visi atsitiktinai atrinkti asmenys, pavartoję bent vieną dozę dvigubai </w:t>
      </w:r>
      <w:r w:rsidR="00DD7093">
        <w:rPr>
          <w:sz w:val="20"/>
          <w:szCs w:val="20"/>
        </w:rPr>
        <w:t>koduoto</w:t>
      </w:r>
      <w:r w:rsidRPr="00BA58DE">
        <w:rPr>
          <w:sz w:val="20"/>
          <w:szCs w:val="20"/>
        </w:rPr>
        <w:t xml:space="preserve"> t</w:t>
      </w:r>
      <w:r w:rsidR="00DD7093">
        <w:rPr>
          <w:sz w:val="20"/>
          <w:szCs w:val="20"/>
        </w:rPr>
        <w:t>iriamojo vaistinio preparato</w:t>
      </w:r>
      <w:r w:rsidRPr="00BA58DE">
        <w:rPr>
          <w:sz w:val="20"/>
          <w:szCs w:val="20"/>
        </w:rPr>
        <w:t xml:space="preserve"> trumpu dvigubai </w:t>
      </w:r>
      <w:r w:rsidR="00DD7093">
        <w:rPr>
          <w:sz w:val="20"/>
          <w:szCs w:val="20"/>
        </w:rPr>
        <w:t>koduotu</w:t>
      </w:r>
      <w:r w:rsidRPr="00BA58DE">
        <w:rPr>
          <w:sz w:val="20"/>
          <w:szCs w:val="20"/>
        </w:rPr>
        <w:t xml:space="preserve"> laikotarpiu.</w:t>
      </w:r>
    </w:p>
    <w:p w14:paraId="6FEA4861" w14:textId="71CFEF6C" w:rsidR="00BA58DE" w:rsidRPr="00BA58DE" w:rsidRDefault="00BA58DE" w:rsidP="005F3686">
      <w:pPr>
        <w:pStyle w:val="TableParagraph"/>
        <w:ind w:left="142" w:hanging="142"/>
        <w:rPr>
          <w:sz w:val="20"/>
          <w:szCs w:val="20"/>
        </w:rPr>
      </w:pPr>
      <w:r w:rsidRPr="00BA58DE">
        <w:rPr>
          <w:sz w:val="20"/>
          <w:szCs w:val="20"/>
          <w:vertAlign w:val="superscript"/>
        </w:rPr>
        <w:t>c</w:t>
      </w:r>
      <w:r w:rsidRPr="00BA58DE">
        <w:rPr>
          <w:sz w:val="20"/>
          <w:szCs w:val="20"/>
        </w:rPr>
        <w:t xml:space="preserve"> Mažiausių kvadratų vidurkis, koreguotas pagal </w:t>
      </w:r>
      <w:r w:rsidR="00177D44">
        <w:rPr>
          <w:sz w:val="20"/>
          <w:szCs w:val="20"/>
        </w:rPr>
        <w:t>pradinį rodmenį</w:t>
      </w:r>
      <w:r w:rsidRPr="00BA58DE">
        <w:rPr>
          <w:sz w:val="20"/>
          <w:szCs w:val="20"/>
        </w:rPr>
        <w:t xml:space="preserve"> ir geriamųjų gliukozės koncentraciją mažinančių vaistinių preparatų vartojimą.</w:t>
      </w:r>
    </w:p>
    <w:p w14:paraId="09E7AE86" w14:textId="685B2140" w:rsidR="00BA58DE" w:rsidRPr="00BA58DE" w:rsidRDefault="00BA58DE" w:rsidP="005F3686">
      <w:pPr>
        <w:pStyle w:val="TableParagraph"/>
        <w:ind w:left="142" w:hanging="142"/>
        <w:rPr>
          <w:sz w:val="20"/>
          <w:szCs w:val="20"/>
        </w:rPr>
      </w:pPr>
      <w:r w:rsidRPr="00BA58DE">
        <w:rPr>
          <w:sz w:val="20"/>
          <w:szCs w:val="20"/>
          <w:vertAlign w:val="superscript"/>
        </w:rPr>
        <w:t>*</w:t>
      </w:r>
      <w:r w:rsidRPr="00BA58DE">
        <w:rPr>
          <w:sz w:val="20"/>
          <w:szCs w:val="20"/>
        </w:rPr>
        <w:t xml:space="preserve"> p </w:t>
      </w:r>
      <w:r w:rsidR="00177D44">
        <w:rPr>
          <w:sz w:val="20"/>
          <w:szCs w:val="20"/>
        </w:rPr>
        <w:t xml:space="preserve">rodiklis </w:t>
      </w:r>
      <w:r w:rsidRPr="00BA58DE">
        <w:rPr>
          <w:sz w:val="20"/>
          <w:szCs w:val="20"/>
        </w:rPr>
        <w:t>&lt; 0,0001 plg. su placebo ir insulino deriniu (kartu buvo vartojami geriamieji gliukozės koncentraciją mažinantys vaistiniai preparatai arba ne).</w:t>
      </w:r>
    </w:p>
    <w:p w14:paraId="181EF2C5" w14:textId="6B3FC70A" w:rsidR="00BA58DE" w:rsidRPr="00BA58DE" w:rsidRDefault="00BA58DE" w:rsidP="005F3686">
      <w:pPr>
        <w:pStyle w:val="TableParagraph"/>
        <w:ind w:left="142" w:hanging="142"/>
        <w:rPr>
          <w:sz w:val="20"/>
          <w:szCs w:val="20"/>
        </w:rPr>
      </w:pPr>
      <w:r w:rsidRPr="00BA58DE">
        <w:rPr>
          <w:sz w:val="20"/>
          <w:szCs w:val="20"/>
          <w:vertAlign w:val="superscript"/>
        </w:rPr>
        <w:t>**</w:t>
      </w:r>
      <w:r w:rsidRPr="00BA58DE">
        <w:rPr>
          <w:sz w:val="20"/>
          <w:szCs w:val="20"/>
        </w:rPr>
        <w:t xml:space="preserve"> p </w:t>
      </w:r>
      <w:r w:rsidR="008A2F98">
        <w:rPr>
          <w:sz w:val="20"/>
          <w:szCs w:val="20"/>
        </w:rPr>
        <w:t xml:space="preserve">rodiklis </w:t>
      </w:r>
      <w:r w:rsidRPr="00BA58DE">
        <w:rPr>
          <w:sz w:val="20"/>
          <w:szCs w:val="20"/>
        </w:rPr>
        <w:t>&lt; 0,05 plg. su placebo ir insulino deriniu (kartu buvo vartojami geriamieji gliukozės koncentraciją mažinantys vaistiniai preparatai arba ne).</w:t>
      </w:r>
    </w:p>
    <w:p w14:paraId="765429DC" w14:textId="77777777" w:rsidR="00BA58DE" w:rsidRPr="00BA58DE" w:rsidRDefault="00BA58DE" w:rsidP="005F3686">
      <w:pPr>
        <w:pStyle w:val="TableParagraph"/>
        <w:ind w:left="142" w:hanging="142"/>
        <w:rPr>
          <w:sz w:val="20"/>
          <w:szCs w:val="20"/>
        </w:rPr>
      </w:pPr>
      <w:r w:rsidRPr="00BA58DE">
        <w:rPr>
          <w:sz w:val="20"/>
          <w:szCs w:val="20"/>
          <w:vertAlign w:val="superscript"/>
        </w:rPr>
        <w:t>1</w:t>
      </w:r>
      <w:r w:rsidRPr="00BA58DE">
        <w:rPr>
          <w:sz w:val="20"/>
          <w:szCs w:val="20"/>
        </w:rPr>
        <w:t xml:space="preserve"> Insulinų (įskaitant trumpos ir vidutinės veikimo trukmės bei bazinius) dozės didinimas buvo leidžiamas tik asmenims, atitikusiems iš anksto nustatytus gliukozės koncentracijos plazmoje nevalgius kriterijus.</w:t>
      </w:r>
    </w:p>
    <w:p w14:paraId="6D8693F5" w14:textId="0E958824" w:rsidR="00C0147E" w:rsidRPr="00BA58DE" w:rsidRDefault="00BA58DE" w:rsidP="005F3686">
      <w:pPr>
        <w:pStyle w:val="Pagrindinistekstas"/>
        <w:ind w:left="142" w:hanging="142"/>
        <w:rPr>
          <w:sz w:val="20"/>
          <w:szCs w:val="20"/>
        </w:rPr>
      </w:pPr>
      <w:r w:rsidRPr="00BA58DE">
        <w:rPr>
          <w:sz w:val="20"/>
          <w:szCs w:val="20"/>
          <w:vertAlign w:val="superscript"/>
        </w:rPr>
        <w:t>2</w:t>
      </w:r>
      <w:r w:rsidRPr="00BA58DE">
        <w:rPr>
          <w:sz w:val="20"/>
          <w:szCs w:val="20"/>
        </w:rPr>
        <w:t xml:space="preserve"> 50 % pacientų įtraukimo į</w:t>
      </w:r>
      <w:r w:rsidR="008A2F98">
        <w:rPr>
          <w:sz w:val="20"/>
          <w:szCs w:val="20"/>
        </w:rPr>
        <w:t xml:space="preserve"> </w:t>
      </w:r>
      <w:r w:rsidRPr="00BA58DE">
        <w:rPr>
          <w:sz w:val="20"/>
          <w:szCs w:val="20"/>
        </w:rPr>
        <w:t xml:space="preserve">tyrimą dieną taikyta </w:t>
      </w:r>
      <w:proofErr w:type="spellStart"/>
      <w:r w:rsidRPr="00BA58DE">
        <w:rPr>
          <w:sz w:val="20"/>
          <w:szCs w:val="20"/>
        </w:rPr>
        <w:t>monoterapija</w:t>
      </w:r>
      <w:proofErr w:type="spellEnd"/>
      <w:r w:rsidRPr="00BA58DE">
        <w:rPr>
          <w:sz w:val="20"/>
          <w:szCs w:val="20"/>
        </w:rPr>
        <w:t xml:space="preserve"> insulinu, o 50 % kartu su insulinu vartojo 1</w:t>
      </w:r>
      <w:r w:rsidR="00071DF5">
        <w:rPr>
          <w:sz w:val="20"/>
          <w:szCs w:val="20"/>
        </w:rPr>
        <w:noBreakHyphen/>
      </w:r>
      <w:r w:rsidRPr="00BA58DE">
        <w:rPr>
          <w:sz w:val="20"/>
          <w:szCs w:val="20"/>
        </w:rPr>
        <w:t>2 geriam</w:t>
      </w:r>
      <w:r w:rsidR="00071DF5">
        <w:rPr>
          <w:sz w:val="20"/>
          <w:szCs w:val="20"/>
        </w:rPr>
        <w:t>ųjų</w:t>
      </w:r>
      <w:r w:rsidRPr="00BA58DE">
        <w:rPr>
          <w:sz w:val="20"/>
          <w:szCs w:val="20"/>
        </w:rPr>
        <w:t xml:space="preserve"> gliukozės koncentraciją mažinanč</w:t>
      </w:r>
      <w:r w:rsidR="00071DF5">
        <w:rPr>
          <w:sz w:val="20"/>
          <w:szCs w:val="20"/>
        </w:rPr>
        <w:t>ių</w:t>
      </w:r>
      <w:r w:rsidRPr="00BA58DE">
        <w:rPr>
          <w:sz w:val="20"/>
          <w:szCs w:val="20"/>
        </w:rPr>
        <w:t xml:space="preserve"> vaistini</w:t>
      </w:r>
      <w:r w:rsidR="00071DF5">
        <w:rPr>
          <w:sz w:val="20"/>
          <w:szCs w:val="20"/>
        </w:rPr>
        <w:t>ų</w:t>
      </w:r>
      <w:r w:rsidRPr="00BA58DE">
        <w:rPr>
          <w:sz w:val="20"/>
          <w:szCs w:val="20"/>
        </w:rPr>
        <w:t xml:space="preserve"> preparat</w:t>
      </w:r>
      <w:r w:rsidR="00071DF5">
        <w:rPr>
          <w:sz w:val="20"/>
          <w:szCs w:val="20"/>
        </w:rPr>
        <w:t>ų</w:t>
      </w:r>
      <w:r w:rsidRPr="00BA58DE">
        <w:rPr>
          <w:sz w:val="20"/>
          <w:szCs w:val="20"/>
        </w:rPr>
        <w:t xml:space="preserve"> (80 % pastarųjų vartojo vien </w:t>
      </w:r>
      <w:proofErr w:type="spellStart"/>
      <w:r w:rsidRPr="00BA58DE">
        <w:rPr>
          <w:sz w:val="20"/>
          <w:szCs w:val="20"/>
        </w:rPr>
        <w:t>metformin</w:t>
      </w:r>
      <w:r w:rsidR="00071DF5">
        <w:rPr>
          <w:sz w:val="20"/>
          <w:szCs w:val="20"/>
        </w:rPr>
        <w:t>o</w:t>
      </w:r>
      <w:proofErr w:type="spellEnd"/>
      <w:r w:rsidRPr="00BA58DE">
        <w:rPr>
          <w:sz w:val="20"/>
          <w:szCs w:val="20"/>
        </w:rPr>
        <w:t xml:space="preserve">, 12 % – </w:t>
      </w:r>
      <w:proofErr w:type="spellStart"/>
      <w:r w:rsidRPr="00BA58DE">
        <w:rPr>
          <w:sz w:val="20"/>
          <w:szCs w:val="20"/>
        </w:rPr>
        <w:t>metformin</w:t>
      </w:r>
      <w:r w:rsidR="00071DF5">
        <w:rPr>
          <w:sz w:val="20"/>
          <w:szCs w:val="20"/>
        </w:rPr>
        <w:t>o</w:t>
      </w:r>
      <w:proofErr w:type="spellEnd"/>
      <w:r w:rsidRPr="00BA58DE">
        <w:rPr>
          <w:sz w:val="20"/>
          <w:szCs w:val="20"/>
        </w:rPr>
        <w:t xml:space="preserve"> ir </w:t>
      </w:r>
      <w:proofErr w:type="spellStart"/>
      <w:r w:rsidRPr="00BA58DE">
        <w:rPr>
          <w:sz w:val="20"/>
          <w:szCs w:val="20"/>
        </w:rPr>
        <w:t>sulfonilkarbamid</w:t>
      </w:r>
      <w:r w:rsidR="00071DF5">
        <w:rPr>
          <w:sz w:val="20"/>
          <w:szCs w:val="20"/>
        </w:rPr>
        <w:t>o</w:t>
      </w:r>
      <w:proofErr w:type="spellEnd"/>
      <w:r w:rsidR="00060E43">
        <w:rPr>
          <w:sz w:val="20"/>
          <w:szCs w:val="20"/>
        </w:rPr>
        <w:t xml:space="preserve"> darinį</w:t>
      </w:r>
      <w:r w:rsidRPr="00BA58DE">
        <w:rPr>
          <w:sz w:val="20"/>
          <w:szCs w:val="20"/>
        </w:rPr>
        <w:t>, likusieji – kitų geriamųjų gliukozės koncentraciją mažinančių vaistinių preparatų).</w:t>
      </w:r>
    </w:p>
    <w:p w14:paraId="3CB2F4E0" w14:textId="77777777" w:rsidR="00BA58DE" w:rsidRPr="00130A96" w:rsidRDefault="00BA58DE" w:rsidP="00BA58DE">
      <w:pPr>
        <w:pStyle w:val="Pagrindinistekstas"/>
        <w:rPr>
          <w:b/>
        </w:rPr>
      </w:pPr>
    </w:p>
    <w:p w14:paraId="6D8693F6" w14:textId="7C3853FE" w:rsidR="00C0147E" w:rsidRPr="00130A96" w:rsidRDefault="00060E43" w:rsidP="00130A96">
      <w:pPr>
        <w:rPr>
          <w:i/>
        </w:rPr>
      </w:pPr>
      <w:r>
        <w:rPr>
          <w:i/>
        </w:rPr>
        <w:t>Vartojimas kartu</w:t>
      </w:r>
      <w:r w:rsidRPr="00130A96">
        <w:rPr>
          <w:i/>
        </w:rPr>
        <w:t xml:space="preserve"> </w:t>
      </w:r>
      <w:r w:rsidR="001175EF" w:rsidRPr="00130A96">
        <w:rPr>
          <w:i/>
        </w:rPr>
        <w:t xml:space="preserve">su </w:t>
      </w:r>
      <w:proofErr w:type="spellStart"/>
      <w:r w:rsidR="001175EF" w:rsidRPr="00130A96">
        <w:rPr>
          <w:i/>
        </w:rPr>
        <w:t>metforminu</w:t>
      </w:r>
      <w:proofErr w:type="spellEnd"/>
      <w:r w:rsidR="001175EF" w:rsidRPr="00130A96">
        <w:rPr>
          <w:i/>
        </w:rPr>
        <w:t xml:space="preserve"> vaistinių preparatų </w:t>
      </w:r>
      <w:r w:rsidR="00187B33" w:rsidRPr="00130A96">
        <w:rPr>
          <w:i/>
        </w:rPr>
        <w:t xml:space="preserve">anksčiau </w:t>
      </w:r>
      <w:r w:rsidR="001175EF" w:rsidRPr="00130A96">
        <w:rPr>
          <w:i/>
        </w:rPr>
        <w:t>nevartojusiems pacientams</w:t>
      </w:r>
    </w:p>
    <w:p w14:paraId="6D8693F8" w14:textId="0AE5F85C" w:rsidR="00C0147E" w:rsidRDefault="001175EF" w:rsidP="00130A96">
      <w:pPr>
        <w:pStyle w:val="Pagrindinistekstas"/>
      </w:pPr>
      <w:r w:rsidRPr="00130A96">
        <w:t>Dviejuose 24</w:t>
      </w:r>
      <w:r w:rsidR="006646E6">
        <w:t> </w:t>
      </w:r>
      <w:r w:rsidRPr="00130A96">
        <w:t>savaičių aktyvios kontrolės dapagliflozino (5</w:t>
      </w:r>
      <w:r w:rsidR="00873FCC">
        <w:t> mg</w:t>
      </w:r>
      <w:r w:rsidRPr="00130A96">
        <w:t xml:space="preserve"> arba 10</w:t>
      </w:r>
      <w:r w:rsidR="00873FCC">
        <w:t> mg</w:t>
      </w:r>
      <w:r w:rsidRPr="00130A96">
        <w:t xml:space="preserve">) derinio su </w:t>
      </w:r>
      <w:proofErr w:type="spellStart"/>
      <w:r w:rsidRPr="00130A96">
        <w:t>metforminu</w:t>
      </w:r>
      <w:proofErr w:type="spellEnd"/>
      <w:r w:rsidRPr="00130A96">
        <w:t xml:space="preserve"> veiksmingumo ir saugumo, palyginus su atskirais komponentais, tyrimuose iš viso dalyvavo</w:t>
      </w:r>
      <w:r w:rsidR="000A291E">
        <w:t xml:space="preserve"> </w:t>
      </w:r>
      <w:r w:rsidRPr="00130A96">
        <w:t>1</w:t>
      </w:r>
      <w:r w:rsidR="006646E6">
        <w:t> </w:t>
      </w:r>
      <w:r w:rsidRPr="00130A96">
        <w:t>236</w:t>
      </w:r>
      <w:r w:rsidR="006646E6">
        <w:t> </w:t>
      </w:r>
      <w:r w:rsidRPr="00130A96">
        <w:t>anksčiau vaistinių preparatų nevartoję pacientai, sirgę tinkamai nekontroliuojamu 2</w:t>
      </w:r>
      <w:r w:rsidR="00873FCC">
        <w:t> tipo</w:t>
      </w:r>
      <w:r w:rsidRPr="00130A96">
        <w:t xml:space="preserve"> diabetu (HbA1c </w:t>
      </w:r>
      <w:r w:rsidR="00873FCC">
        <w:t>≥ </w:t>
      </w:r>
      <w:r w:rsidRPr="00130A96">
        <w:t>7,5</w:t>
      </w:r>
      <w:r w:rsidR="00873FCC">
        <w:t> %</w:t>
      </w:r>
      <w:r w:rsidRPr="00130A96">
        <w:t xml:space="preserve"> ir </w:t>
      </w:r>
      <w:r w:rsidR="00D54BC0">
        <w:t>≤ </w:t>
      </w:r>
      <w:r w:rsidRPr="00130A96">
        <w:t>12</w:t>
      </w:r>
      <w:r w:rsidR="00873FCC">
        <w:t> %</w:t>
      </w:r>
      <w:r w:rsidRPr="00130A96">
        <w:t>).</w:t>
      </w:r>
    </w:p>
    <w:p w14:paraId="2BBD2D51" w14:textId="77777777" w:rsidR="000A291E" w:rsidRPr="00130A96" w:rsidRDefault="000A291E" w:rsidP="00130A96">
      <w:pPr>
        <w:pStyle w:val="Pagrindinistekstas"/>
      </w:pPr>
    </w:p>
    <w:p w14:paraId="6D8693F9" w14:textId="205BBB82" w:rsidR="00C0147E" w:rsidRPr="00130A96" w:rsidRDefault="001175EF" w:rsidP="00130A96">
      <w:pPr>
        <w:pStyle w:val="Pagrindinistekstas"/>
      </w:pPr>
      <w:r w:rsidRPr="00130A96">
        <w:t>Kartu vartojus 10</w:t>
      </w:r>
      <w:r w:rsidR="00873FCC">
        <w:t> mg</w:t>
      </w:r>
      <w:r w:rsidRPr="00130A96">
        <w:t xml:space="preserve"> dapagliflozino ir iki 2000</w:t>
      </w:r>
      <w:r w:rsidR="00873FCC">
        <w:t> mg</w:t>
      </w:r>
      <w:r w:rsidRPr="00130A96">
        <w:t xml:space="preserve"> </w:t>
      </w:r>
      <w:proofErr w:type="spellStart"/>
      <w:r w:rsidRPr="00130A96">
        <w:t>metformino</w:t>
      </w:r>
      <w:proofErr w:type="spellEnd"/>
      <w:r w:rsidRPr="00130A96">
        <w:t xml:space="preserve"> per parą, HbA1c koncentracija buvo reikšmingai mažesnė negu vartojus atskir</w:t>
      </w:r>
      <w:r w:rsidR="0050434D">
        <w:t>ų</w:t>
      </w:r>
      <w:r w:rsidRPr="00130A96">
        <w:t xml:space="preserve"> komponent</w:t>
      </w:r>
      <w:r w:rsidR="0050434D">
        <w:t>ų</w:t>
      </w:r>
      <w:r w:rsidRPr="00130A96">
        <w:t xml:space="preserve"> (7</w:t>
      </w:r>
      <w:r w:rsidR="0050434D">
        <w:t> </w:t>
      </w:r>
      <w:r w:rsidRPr="00130A96">
        <w:t xml:space="preserve">lentelė). Be to, derinys labiau už atskirus komponentus sumažino gliukozės koncentraciją plazmoje nevalgius ir labiau už </w:t>
      </w:r>
      <w:proofErr w:type="spellStart"/>
      <w:r w:rsidRPr="00130A96">
        <w:t>metforminą</w:t>
      </w:r>
      <w:proofErr w:type="spellEnd"/>
      <w:r w:rsidRPr="00130A96">
        <w:t xml:space="preserve"> sumažino kūno svorį.</w:t>
      </w:r>
    </w:p>
    <w:p w14:paraId="3DD07C7F" w14:textId="77777777" w:rsidR="00C0147E" w:rsidRDefault="00C0147E" w:rsidP="00130A96">
      <w:pPr>
        <w:pStyle w:val="Pagrindinistekstas"/>
      </w:pPr>
    </w:p>
    <w:p w14:paraId="6D8693FB" w14:textId="17FB35FB" w:rsidR="00C0147E" w:rsidRPr="00130A96" w:rsidRDefault="000A291E" w:rsidP="000A291E">
      <w:pPr>
        <w:pStyle w:val="Antrat2"/>
        <w:tabs>
          <w:tab w:val="left" w:pos="450"/>
        </w:tabs>
        <w:ind w:left="0"/>
      </w:pPr>
      <w:r>
        <w:lastRenderedPageBreak/>
        <w:t>7.</w:t>
      </w:r>
      <w:r w:rsidR="0050434D">
        <w:t> </w:t>
      </w:r>
      <w:r w:rsidR="001175EF" w:rsidRPr="00130A96">
        <w:t>lentelė. 24</w:t>
      </w:r>
      <w:r w:rsidR="00BA577E">
        <w:t> </w:t>
      </w:r>
      <w:r w:rsidR="001175EF" w:rsidRPr="00130A96">
        <w:t xml:space="preserve">savaičių </w:t>
      </w:r>
      <w:r w:rsidR="00AA41A9">
        <w:t xml:space="preserve">trukmės </w:t>
      </w:r>
      <w:r w:rsidR="001175EF" w:rsidRPr="00130A96">
        <w:t>(</w:t>
      </w:r>
      <w:proofErr w:type="spellStart"/>
      <w:r w:rsidR="001175EF" w:rsidRPr="00130A96">
        <w:t>LOCF</w:t>
      </w:r>
      <w:r w:rsidR="001175EF" w:rsidRPr="00130A96">
        <w:rPr>
          <w:vertAlign w:val="superscript"/>
        </w:rPr>
        <w:t>a</w:t>
      </w:r>
      <w:proofErr w:type="spellEnd"/>
      <w:r w:rsidR="001175EF" w:rsidRPr="00130A96">
        <w:t>)</w:t>
      </w:r>
      <w:r w:rsidR="00E27B61">
        <w:t xml:space="preserve"> </w:t>
      </w:r>
      <w:r w:rsidR="00E27B61" w:rsidRPr="008903EC">
        <w:t xml:space="preserve">aktyviai kontroliuojamo tyrimo rezultatai, vartojant dapagliflozino ir </w:t>
      </w:r>
      <w:proofErr w:type="spellStart"/>
      <w:r w:rsidR="00E27B61" w:rsidRPr="008903EC">
        <w:t>metformino</w:t>
      </w:r>
      <w:proofErr w:type="spellEnd"/>
      <w:r w:rsidR="00E27B61" w:rsidRPr="008903EC">
        <w:t xml:space="preserve"> derinį vaistinių preparatų anksčiau nevartojusiems pacientams</w:t>
      </w:r>
    </w:p>
    <w:tbl>
      <w:tblPr>
        <w:tblW w:w="0" w:type="auto"/>
        <w:tblLayout w:type="fixed"/>
        <w:tblCellMar>
          <w:left w:w="0" w:type="dxa"/>
          <w:right w:w="0" w:type="dxa"/>
        </w:tblCellMar>
        <w:tblLook w:val="01E0" w:firstRow="1" w:lastRow="1" w:firstColumn="1" w:lastColumn="1" w:noHBand="0" w:noVBand="0"/>
      </w:tblPr>
      <w:tblGrid>
        <w:gridCol w:w="3237"/>
        <w:gridCol w:w="2009"/>
        <w:gridCol w:w="2028"/>
        <w:gridCol w:w="1785"/>
      </w:tblGrid>
      <w:tr w:rsidR="00C0147E" w:rsidRPr="00130A96" w14:paraId="6D869401" w14:textId="77777777" w:rsidTr="00BA577E">
        <w:trPr>
          <w:trHeight w:val="760"/>
        </w:trPr>
        <w:tc>
          <w:tcPr>
            <w:tcW w:w="3237" w:type="dxa"/>
            <w:tcBorders>
              <w:top w:val="single" w:sz="12" w:space="0" w:color="000000"/>
            </w:tcBorders>
          </w:tcPr>
          <w:p w14:paraId="6D8693FC" w14:textId="77777777" w:rsidR="00C0147E" w:rsidRPr="00130A96" w:rsidRDefault="001175EF" w:rsidP="00130A96">
            <w:pPr>
              <w:pStyle w:val="TableParagraph"/>
              <w:rPr>
                <w:b/>
              </w:rPr>
            </w:pPr>
            <w:r w:rsidRPr="00130A96">
              <w:rPr>
                <w:b/>
              </w:rPr>
              <w:t>Rodiklis</w:t>
            </w:r>
          </w:p>
        </w:tc>
        <w:tc>
          <w:tcPr>
            <w:tcW w:w="2009" w:type="dxa"/>
            <w:tcBorders>
              <w:top w:val="single" w:sz="12" w:space="0" w:color="000000"/>
            </w:tcBorders>
          </w:tcPr>
          <w:p w14:paraId="6D8693FD" w14:textId="0494044A" w:rsidR="00C0147E" w:rsidRPr="00130A96" w:rsidRDefault="001175EF" w:rsidP="000A291E">
            <w:pPr>
              <w:pStyle w:val="TableParagraph"/>
              <w:jc w:val="center"/>
              <w:rPr>
                <w:b/>
              </w:rPr>
            </w:pPr>
            <w:r w:rsidRPr="00130A96">
              <w:rPr>
                <w:b/>
              </w:rPr>
              <w:t>Dapagliflozinas 10</w:t>
            </w:r>
            <w:r w:rsidR="00873FCC">
              <w:rPr>
                <w:b/>
              </w:rPr>
              <w:t> mg</w:t>
            </w:r>
            <w:r w:rsidRPr="00130A96">
              <w:rPr>
                <w:b/>
              </w:rPr>
              <w:t xml:space="preserve"> +</w:t>
            </w:r>
          </w:p>
          <w:p w14:paraId="6D8693FE" w14:textId="77777777" w:rsidR="00C0147E" w:rsidRPr="00130A96" w:rsidRDefault="001175EF" w:rsidP="000A291E">
            <w:pPr>
              <w:pStyle w:val="TableParagraph"/>
              <w:jc w:val="center"/>
              <w:rPr>
                <w:b/>
              </w:rPr>
            </w:pPr>
            <w:proofErr w:type="spellStart"/>
            <w:r w:rsidRPr="00130A96">
              <w:rPr>
                <w:b/>
              </w:rPr>
              <w:t>metforminas</w:t>
            </w:r>
            <w:proofErr w:type="spellEnd"/>
          </w:p>
        </w:tc>
        <w:tc>
          <w:tcPr>
            <w:tcW w:w="2028" w:type="dxa"/>
            <w:tcBorders>
              <w:top w:val="single" w:sz="12" w:space="0" w:color="000000"/>
            </w:tcBorders>
          </w:tcPr>
          <w:p w14:paraId="6D8693FF" w14:textId="572DD259" w:rsidR="00C0147E" w:rsidRPr="00130A96" w:rsidRDefault="001175EF" w:rsidP="000A291E">
            <w:pPr>
              <w:pStyle w:val="TableParagraph"/>
              <w:jc w:val="center"/>
              <w:rPr>
                <w:b/>
              </w:rPr>
            </w:pPr>
            <w:r w:rsidRPr="00130A96">
              <w:rPr>
                <w:b/>
              </w:rPr>
              <w:t>Dapagliflozinas 10</w:t>
            </w:r>
            <w:r w:rsidR="00873FCC">
              <w:rPr>
                <w:b/>
              </w:rPr>
              <w:t> mg</w:t>
            </w:r>
          </w:p>
        </w:tc>
        <w:tc>
          <w:tcPr>
            <w:tcW w:w="1785" w:type="dxa"/>
            <w:tcBorders>
              <w:top w:val="single" w:sz="12" w:space="0" w:color="000000"/>
            </w:tcBorders>
          </w:tcPr>
          <w:p w14:paraId="6D869400" w14:textId="77777777" w:rsidR="00C0147E" w:rsidRPr="00130A96" w:rsidRDefault="001175EF" w:rsidP="000A291E">
            <w:pPr>
              <w:pStyle w:val="TableParagraph"/>
              <w:jc w:val="center"/>
              <w:rPr>
                <w:b/>
              </w:rPr>
            </w:pPr>
            <w:r w:rsidRPr="00130A96">
              <w:rPr>
                <w:b/>
              </w:rPr>
              <w:t>Metforminas</w:t>
            </w:r>
          </w:p>
        </w:tc>
      </w:tr>
      <w:tr w:rsidR="00C0147E" w:rsidRPr="00130A96" w14:paraId="6D869406" w14:textId="77777777" w:rsidTr="00BA577E">
        <w:trPr>
          <w:trHeight w:val="254"/>
        </w:trPr>
        <w:tc>
          <w:tcPr>
            <w:tcW w:w="3237" w:type="dxa"/>
            <w:tcBorders>
              <w:bottom w:val="single" w:sz="4" w:space="0" w:color="000000"/>
            </w:tcBorders>
          </w:tcPr>
          <w:p w14:paraId="6D869402" w14:textId="1E5D7D1D" w:rsidR="00C0147E" w:rsidRPr="00130A96" w:rsidRDefault="001175EF" w:rsidP="00130A96">
            <w:pPr>
              <w:pStyle w:val="TableParagraph"/>
            </w:pPr>
            <w:proofErr w:type="spellStart"/>
            <w:r w:rsidRPr="00130A96">
              <w:rPr>
                <w:b/>
              </w:rPr>
              <w:t>N</w:t>
            </w:r>
            <w:r w:rsidRPr="000A291E">
              <w:rPr>
                <w:vertAlign w:val="superscript"/>
              </w:rPr>
              <w:t>b</w:t>
            </w:r>
            <w:proofErr w:type="spellEnd"/>
          </w:p>
        </w:tc>
        <w:tc>
          <w:tcPr>
            <w:tcW w:w="2009" w:type="dxa"/>
            <w:tcBorders>
              <w:bottom w:val="single" w:sz="4" w:space="0" w:color="000000"/>
            </w:tcBorders>
          </w:tcPr>
          <w:p w14:paraId="6D869403" w14:textId="77777777" w:rsidR="00C0147E" w:rsidRPr="00130A96" w:rsidRDefault="001175EF" w:rsidP="000A291E">
            <w:pPr>
              <w:pStyle w:val="TableParagraph"/>
              <w:jc w:val="center"/>
            </w:pPr>
            <w:r w:rsidRPr="00130A96">
              <w:t>211</w:t>
            </w:r>
            <w:r w:rsidRPr="00130A96">
              <w:rPr>
                <w:vertAlign w:val="superscript"/>
              </w:rPr>
              <w:t>b</w:t>
            </w:r>
          </w:p>
        </w:tc>
        <w:tc>
          <w:tcPr>
            <w:tcW w:w="2028" w:type="dxa"/>
            <w:tcBorders>
              <w:bottom w:val="single" w:sz="4" w:space="0" w:color="000000"/>
            </w:tcBorders>
          </w:tcPr>
          <w:p w14:paraId="6D869404" w14:textId="77777777" w:rsidR="00C0147E" w:rsidRPr="00130A96" w:rsidRDefault="001175EF" w:rsidP="000A291E">
            <w:pPr>
              <w:pStyle w:val="TableParagraph"/>
              <w:jc w:val="center"/>
            </w:pPr>
            <w:r w:rsidRPr="00130A96">
              <w:t>219</w:t>
            </w:r>
            <w:r w:rsidRPr="00130A96">
              <w:rPr>
                <w:vertAlign w:val="superscript"/>
              </w:rPr>
              <w:t>b</w:t>
            </w:r>
          </w:p>
        </w:tc>
        <w:tc>
          <w:tcPr>
            <w:tcW w:w="1785" w:type="dxa"/>
            <w:tcBorders>
              <w:bottom w:val="single" w:sz="4" w:space="0" w:color="000000"/>
            </w:tcBorders>
          </w:tcPr>
          <w:p w14:paraId="6D869405" w14:textId="77777777" w:rsidR="00C0147E" w:rsidRPr="00130A96" w:rsidRDefault="001175EF" w:rsidP="000A291E">
            <w:pPr>
              <w:pStyle w:val="TableParagraph"/>
              <w:jc w:val="center"/>
            </w:pPr>
            <w:r w:rsidRPr="00130A96">
              <w:t>208</w:t>
            </w:r>
            <w:r w:rsidRPr="00130A96">
              <w:rPr>
                <w:vertAlign w:val="superscript"/>
              </w:rPr>
              <w:t>b</w:t>
            </w:r>
          </w:p>
        </w:tc>
      </w:tr>
      <w:tr w:rsidR="00C0147E" w:rsidRPr="00130A96" w14:paraId="6D86940B" w14:textId="77777777" w:rsidTr="000A291E">
        <w:trPr>
          <w:trHeight w:val="255"/>
        </w:trPr>
        <w:tc>
          <w:tcPr>
            <w:tcW w:w="3237" w:type="dxa"/>
            <w:tcBorders>
              <w:top w:val="single" w:sz="4" w:space="0" w:color="000000"/>
            </w:tcBorders>
          </w:tcPr>
          <w:p w14:paraId="6D869407" w14:textId="58609989" w:rsidR="00C0147E" w:rsidRPr="00130A96" w:rsidRDefault="001175EF" w:rsidP="00130A96">
            <w:pPr>
              <w:pStyle w:val="TableParagraph"/>
              <w:rPr>
                <w:b/>
              </w:rPr>
            </w:pPr>
            <w:r w:rsidRPr="00130A96">
              <w:rPr>
                <w:b/>
              </w:rPr>
              <w:t>HbA1c (</w:t>
            </w:r>
            <w:r w:rsidR="00873FCC">
              <w:rPr>
                <w:b/>
              </w:rPr>
              <w:t> %</w:t>
            </w:r>
            <w:r w:rsidRPr="00130A96">
              <w:rPr>
                <w:b/>
              </w:rPr>
              <w:t>)</w:t>
            </w:r>
          </w:p>
        </w:tc>
        <w:tc>
          <w:tcPr>
            <w:tcW w:w="2009" w:type="dxa"/>
            <w:tcBorders>
              <w:top w:val="single" w:sz="4" w:space="0" w:color="000000"/>
            </w:tcBorders>
          </w:tcPr>
          <w:p w14:paraId="6D869408" w14:textId="77777777" w:rsidR="00C0147E" w:rsidRPr="00130A96" w:rsidRDefault="00C0147E" w:rsidP="000A291E">
            <w:pPr>
              <w:pStyle w:val="TableParagraph"/>
              <w:jc w:val="center"/>
            </w:pPr>
          </w:p>
        </w:tc>
        <w:tc>
          <w:tcPr>
            <w:tcW w:w="2028" w:type="dxa"/>
            <w:tcBorders>
              <w:top w:val="single" w:sz="4" w:space="0" w:color="000000"/>
            </w:tcBorders>
          </w:tcPr>
          <w:p w14:paraId="6D869409" w14:textId="77777777" w:rsidR="00C0147E" w:rsidRPr="00130A96" w:rsidRDefault="00C0147E" w:rsidP="000A291E">
            <w:pPr>
              <w:pStyle w:val="TableParagraph"/>
              <w:jc w:val="center"/>
            </w:pPr>
          </w:p>
        </w:tc>
        <w:tc>
          <w:tcPr>
            <w:tcW w:w="1785" w:type="dxa"/>
            <w:tcBorders>
              <w:top w:val="single" w:sz="4" w:space="0" w:color="000000"/>
            </w:tcBorders>
          </w:tcPr>
          <w:p w14:paraId="6D86940A" w14:textId="77777777" w:rsidR="00C0147E" w:rsidRPr="00130A96" w:rsidRDefault="00C0147E" w:rsidP="000A291E">
            <w:pPr>
              <w:pStyle w:val="TableParagraph"/>
              <w:jc w:val="center"/>
            </w:pPr>
          </w:p>
        </w:tc>
      </w:tr>
      <w:tr w:rsidR="00C0147E" w:rsidRPr="00130A96" w14:paraId="6D869410" w14:textId="77777777" w:rsidTr="000A291E">
        <w:trPr>
          <w:trHeight w:val="253"/>
        </w:trPr>
        <w:tc>
          <w:tcPr>
            <w:tcW w:w="3237" w:type="dxa"/>
          </w:tcPr>
          <w:p w14:paraId="6D86940C" w14:textId="6E31D416" w:rsidR="00C0147E" w:rsidRPr="00130A96" w:rsidRDefault="009A1656" w:rsidP="00130A96">
            <w:pPr>
              <w:pStyle w:val="TableParagraph"/>
            </w:pPr>
            <w:r w:rsidRPr="00536FA9">
              <w:t>Pradinis rodmuo (vidurkis)</w:t>
            </w:r>
          </w:p>
        </w:tc>
        <w:tc>
          <w:tcPr>
            <w:tcW w:w="2009" w:type="dxa"/>
          </w:tcPr>
          <w:p w14:paraId="6D86940D" w14:textId="77777777" w:rsidR="00C0147E" w:rsidRPr="00130A96" w:rsidRDefault="001175EF" w:rsidP="000A291E">
            <w:pPr>
              <w:pStyle w:val="TableParagraph"/>
              <w:jc w:val="center"/>
            </w:pPr>
            <w:r w:rsidRPr="00130A96">
              <w:t>9,10</w:t>
            </w:r>
          </w:p>
        </w:tc>
        <w:tc>
          <w:tcPr>
            <w:tcW w:w="2028" w:type="dxa"/>
          </w:tcPr>
          <w:p w14:paraId="6D86940E" w14:textId="77777777" w:rsidR="00C0147E" w:rsidRPr="00130A96" w:rsidRDefault="001175EF" w:rsidP="000A291E">
            <w:pPr>
              <w:pStyle w:val="TableParagraph"/>
              <w:jc w:val="center"/>
            </w:pPr>
            <w:r w:rsidRPr="00130A96">
              <w:t>9,03</w:t>
            </w:r>
          </w:p>
        </w:tc>
        <w:tc>
          <w:tcPr>
            <w:tcW w:w="1785" w:type="dxa"/>
          </w:tcPr>
          <w:p w14:paraId="6D86940F" w14:textId="77777777" w:rsidR="00C0147E" w:rsidRPr="00130A96" w:rsidRDefault="001175EF" w:rsidP="000A291E">
            <w:pPr>
              <w:pStyle w:val="TableParagraph"/>
              <w:jc w:val="center"/>
            </w:pPr>
            <w:r w:rsidRPr="00130A96">
              <w:t>9,03</w:t>
            </w:r>
          </w:p>
        </w:tc>
      </w:tr>
      <w:tr w:rsidR="00C0147E" w:rsidRPr="00130A96" w14:paraId="6D869415" w14:textId="77777777" w:rsidTr="000A291E">
        <w:trPr>
          <w:trHeight w:val="253"/>
        </w:trPr>
        <w:tc>
          <w:tcPr>
            <w:tcW w:w="3237" w:type="dxa"/>
          </w:tcPr>
          <w:p w14:paraId="6D869411" w14:textId="7D13E412" w:rsidR="00C0147E" w:rsidRPr="00130A96" w:rsidRDefault="009A1656" w:rsidP="000A291E">
            <w:pPr>
              <w:pStyle w:val="TableParagraph"/>
            </w:pPr>
            <w:r w:rsidRPr="002B0E69">
              <w:t xml:space="preserve">Pokytis, palyginti su pradiniu </w:t>
            </w:r>
            <w:proofErr w:type="spellStart"/>
            <w:r w:rsidRPr="002B0E69">
              <w:t>rodmeniu</w:t>
            </w:r>
            <w:r w:rsidRPr="002B0E69">
              <w:rPr>
                <w:vertAlign w:val="superscript"/>
              </w:rPr>
              <w:t>c</w:t>
            </w:r>
            <w:proofErr w:type="spellEnd"/>
          </w:p>
        </w:tc>
        <w:tc>
          <w:tcPr>
            <w:tcW w:w="2009" w:type="dxa"/>
          </w:tcPr>
          <w:p w14:paraId="6D869412" w14:textId="77777777" w:rsidR="00C0147E" w:rsidRPr="00130A96" w:rsidRDefault="001175EF" w:rsidP="000A291E">
            <w:pPr>
              <w:pStyle w:val="TableParagraph"/>
              <w:jc w:val="center"/>
            </w:pPr>
            <w:r w:rsidRPr="00130A96">
              <w:t>-1,98</w:t>
            </w:r>
          </w:p>
        </w:tc>
        <w:tc>
          <w:tcPr>
            <w:tcW w:w="2028" w:type="dxa"/>
          </w:tcPr>
          <w:p w14:paraId="6D869413" w14:textId="77777777" w:rsidR="00C0147E" w:rsidRPr="00130A96" w:rsidRDefault="001175EF" w:rsidP="000A291E">
            <w:pPr>
              <w:pStyle w:val="TableParagraph"/>
              <w:jc w:val="center"/>
            </w:pPr>
            <w:r w:rsidRPr="00130A96">
              <w:t>-1,45</w:t>
            </w:r>
          </w:p>
        </w:tc>
        <w:tc>
          <w:tcPr>
            <w:tcW w:w="1785" w:type="dxa"/>
          </w:tcPr>
          <w:p w14:paraId="6D869414" w14:textId="77777777" w:rsidR="00C0147E" w:rsidRPr="00130A96" w:rsidRDefault="001175EF" w:rsidP="000A291E">
            <w:pPr>
              <w:pStyle w:val="TableParagraph"/>
              <w:jc w:val="center"/>
            </w:pPr>
            <w:r w:rsidRPr="00130A96">
              <w:t>-1,44</w:t>
            </w:r>
          </w:p>
        </w:tc>
      </w:tr>
      <w:tr w:rsidR="00C0147E" w:rsidRPr="00130A96" w14:paraId="6D86941A" w14:textId="77777777" w:rsidTr="000A291E">
        <w:trPr>
          <w:trHeight w:val="252"/>
        </w:trPr>
        <w:tc>
          <w:tcPr>
            <w:tcW w:w="3237" w:type="dxa"/>
          </w:tcPr>
          <w:p w14:paraId="6D869416" w14:textId="2AEBB293" w:rsidR="00C0147E" w:rsidRPr="00130A96" w:rsidRDefault="00137200" w:rsidP="000A291E">
            <w:pPr>
              <w:pStyle w:val="TableParagraph"/>
            </w:pPr>
            <w:r>
              <w:t xml:space="preserve">Skirtumas, </w:t>
            </w:r>
            <w:r w:rsidRPr="00137200">
              <w:t xml:space="preserve">palyginti su dapagliflozino </w:t>
            </w:r>
            <w:proofErr w:type="spellStart"/>
            <w:r w:rsidRPr="00137200">
              <w:t>poveikiu</w:t>
            </w:r>
            <w:r w:rsidRPr="00137200">
              <w:rPr>
                <w:vertAlign w:val="superscript"/>
              </w:rPr>
              <w:t>c</w:t>
            </w:r>
            <w:proofErr w:type="spellEnd"/>
          </w:p>
        </w:tc>
        <w:tc>
          <w:tcPr>
            <w:tcW w:w="2009" w:type="dxa"/>
          </w:tcPr>
          <w:p w14:paraId="3359129A" w14:textId="77777777" w:rsidR="00FA2B1A" w:rsidRDefault="00FA2B1A" w:rsidP="000A291E">
            <w:pPr>
              <w:pStyle w:val="TableParagraph"/>
              <w:jc w:val="center"/>
            </w:pPr>
          </w:p>
          <w:p w14:paraId="6D869417" w14:textId="63D311A7" w:rsidR="00C0147E" w:rsidRPr="00130A96" w:rsidRDefault="001175EF" w:rsidP="000A291E">
            <w:pPr>
              <w:pStyle w:val="TableParagraph"/>
              <w:jc w:val="center"/>
            </w:pPr>
            <w:r w:rsidRPr="00130A96">
              <w:t>−0,53</w:t>
            </w:r>
            <w:r w:rsidRPr="00130A96">
              <w:rPr>
                <w:vertAlign w:val="superscript"/>
              </w:rPr>
              <w:t>*</w:t>
            </w:r>
          </w:p>
        </w:tc>
        <w:tc>
          <w:tcPr>
            <w:tcW w:w="2028" w:type="dxa"/>
          </w:tcPr>
          <w:p w14:paraId="6D869418" w14:textId="77777777" w:rsidR="00C0147E" w:rsidRPr="00130A96" w:rsidRDefault="00C0147E" w:rsidP="000A291E">
            <w:pPr>
              <w:pStyle w:val="TableParagraph"/>
              <w:jc w:val="center"/>
            </w:pPr>
          </w:p>
        </w:tc>
        <w:tc>
          <w:tcPr>
            <w:tcW w:w="1785" w:type="dxa"/>
          </w:tcPr>
          <w:p w14:paraId="6D869419" w14:textId="77777777" w:rsidR="00C0147E" w:rsidRPr="00130A96" w:rsidRDefault="00C0147E" w:rsidP="000A291E">
            <w:pPr>
              <w:pStyle w:val="TableParagraph"/>
              <w:jc w:val="center"/>
            </w:pPr>
          </w:p>
        </w:tc>
      </w:tr>
      <w:tr w:rsidR="00FA2B1A" w:rsidRPr="00130A96" w14:paraId="6D86941F" w14:textId="77777777" w:rsidTr="000A291E">
        <w:trPr>
          <w:trHeight w:val="253"/>
        </w:trPr>
        <w:tc>
          <w:tcPr>
            <w:tcW w:w="3237" w:type="dxa"/>
          </w:tcPr>
          <w:p w14:paraId="6D86941B" w14:textId="4D0BAFCE" w:rsidR="00FA2B1A" w:rsidRPr="00130A96" w:rsidRDefault="00FA2B1A" w:rsidP="00FA2B1A">
            <w:pPr>
              <w:pStyle w:val="TableParagraph"/>
            </w:pPr>
            <w:r w:rsidRPr="00130A96">
              <w:t>(95</w:t>
            </w:r>
            <w:r>
              <w:t> %</w:t>
            </w:r>
            <w:r w:rsidRPr="00130A96">
              <w:t xml:space="preserve"> PI)</w:t>
            </w:r>
          </w:p>
        </w:tc>
        <w:tc>
          <w:tcPr>
            <w:tcW w:w="2009" w:type="dxa"/>
          </w:tcPr>
          <w:p w14:paraId="6D86941C" w14:textId="64DFB6E1" w:rsidR="00FA2B1A" w:rsidRPr="00130A96" w:rsidRDefault="00FA2B1A" w:rsidP="00FA2B1A">
            <w:pPr>
              <w:pStyle w:val="TableParagraph"/>
              <w:jc w:val="center"/>
            </w:pPr>
            <w:r w:rsidRPr="00130A96">
              <w:t>(−0,74, −0,32)</w:t>
            </w:r>
          </w:p>
        </w:tc>
        <w:tc>
          <w:tcPr>
            <w:tcW w:w="2028" w:type="dxa"/>
          </w:tcPr>
          <w:p w14:paraId="6D86941D" w14:textId="77777777" w:rsidR="00FA2B1A" w:rsidRPr="00130A96" w:rsidRDefault="00FA2B1A" w:rsidP="00FA2B1A">
            <w:pPr>
              <w:pStyle w:val="TableParagraph"/>
              <w:jc w:val="center"/>
            </w:pPr>
          </w:p>
        </w:tc>
        <w:tc>
          <w:tcPr>
            <w:tcW w:w="1785" w:type="dxa"/>
          </w:tcPr>
          <w:p w14:paraId="6D86941E" w14:textId="77777777" w:rsidR="00FA2B1A" w:rsidRPr="00130A96" w:rsidRDefault="00FA2B1A" w:rsidP="00FA2B1A">
            <w:pPr>
              <w:pStyle w:val="TableParagraph"/>
              <w:jc w:val="center"/>
            </w:pPr>
          </w:p>
        </w:tc>
      </w:tr>
      <w:tr w:rsidR="00FA2B1A" w:rsidRPr="00130A96" w14:paraId="6D869424" w14:textId="77777777" w:rsidTr="000A291E">
        <w:trPr>
          <w:trHeight w:val="253"/>
        </w:trPr>
        <w:tc>
          <w:tcPr>
            <w:tcW w:w="3237" w:type="dxa"/>
          </w:tcPr>
          <w:p w14:paraId="6D869420" w14:textId="057457F5" w:rsidR="00FA2B1A" w:rsidRPr="00130A96" w:rsidRDefault="00FA2B1A" w:rsidP="00FA2B1A">
            <w:pPr>
              <w:pStyle w:val="TableParagraph"/>
            </w:pPr>
            <w:r w:rsidRPr="00130A96">
              <w:t>Skirtumas</w:t>
            </w:r>
            <w:r>
              <w:t xml:space="preserve">, palyginti su </w:t>
            </w:r>
            <w:proofErr w:type="spellStart"/>
            <w:r w:rsidRPr="00130A96">
              <w:t>metformino</w:t>
            </w:r>
            <w:proofErr w:type="spellEnd"/>
            <w:r>
              <w:t xml:space="preserve"> </w:t>
            </w:r>
            <w:proofErr w:type="spellStart"/>
            <w:r>
              <w:t>poveikiu</w:t>
            </w:r>
            <w:r w:rsidRPr="00130A96">
              <w:rPr>
                <w:vertAlign w:val="superscript"/>
              </w:rPr>
              <w:t>c</w:t>
            </w:r>
            <w:proofErr w:type="spellEnd"/>
          </w:p>
        </w:tc>
        <w:tc>
          <w:tcPr>
            <w:tcW w:w="2009" w:type="dxa"/>
          </w:tcPr>
          <w:p w14:paraId="5B2E1DED" w14:textId="77777777" w:rsidR="00FA2B1A" w:rsidRDefault="00FA2B1A" w:rsidP="00FA2B1A">
            <w:pPr>
              <w:pStyle w:val="TableParagraph"/>
              <w:jc w:val="center"/>
            </w:pPr>
          </w:p>
          <w:p w14:paraId="6D869421" w14:textId="6B1336E7" w:rsidR="00FA2B1A" w:rsidRPr="00130A96" w:rsidRDefault="00FA2B1A" w:rsidP="00FA2B1A">
            <w:pPr>
              <w:pStyle w:val="TableParagraph"/>
              <w:jc w:val="center"/>
            </w:pPr>
            <w:r w:rsidRPr="00130A96">
              <w:t>−0,54</w:t>
            </w:r>
            <w:r w:rsidRPr="00130A96">
              <w:rPr>
                <w:vertAlign w:val="superscript"/>
              </w:rPr>
              <w:t>*</w:t>
            </w:r>
          </w:p>
        </w:tc>
        <w:tc>
          <w:tcPr>
            <w:tcW w:w="2028" w:type="dxa"/>
          </w:tcPr>
          <w:p w14:paraId="6E879E5C" w14:textId="77777777" w:rsidR="00FA2B1A" w:rsidRDefault="00FA2B1A" w:rsidP="00FA2B1A">
            <w:pPr>
              <w:pStyle w:val="TableParagraph"/>
              <w:jc w:val="center"/>
            </w:pPr>
          </w:p>
          <w:p w14:paraId="6D869422" w14:textId="133EE298" w:rsidR="00FA2B1A" w:rsidRPr="00130A96" w:rsidRDefault="00FA2B1A" w:rsidP="00FA2B1A">
            <w:pPr>
              <w:pStyle w:val="TableParagraph"/>
              <w:jc w:val="center"/>
            </w:pPr>
            <w:r w:rsidRPr="00130A96">
              <w:t>−0,01</w:t>
            </w:r>
          </w:p>
        </w:tc>
        <w:tc>
          <w:tcPr>
            <w:tcW w:w="1785" w:type="dxa"/>
          </w:tcPr>
          <w:p w14:paraId="6D869423" w14:textId="77777777" w:rsidR="00FA2B1A" w:rsidRPr="00130A96" w:rsidRDefault="00FA2B1A" w:rsidP="00FA2B1A">
            <w:pPr>
              <w:pStyle w:val="TableParagraph"/>
              <w:jc w:val="center"/>
            </w:pPr>
          </w:p>
        </w:tc>
      </w:tr>
      <w:tr w:rsidR="00FA2B1A" w:rsidRPr="00130A96" w14:paraId="6D869429" w14:textId="77777777" w:rsidTr="000A291E">
        <w:trPr>
          <w:trHeight w:val="250"/>
        </w:trPr>
        <w:tc>
          <w:tcPr>
            <w:tcW w:w="3237" w:type="dxa"/>
            <w:tcBorders>
              <w:bottom w:val="single" w:sz="12" w:space="0" w:color="000000"/>
            </w:tcBorders>
          </w:tcPr>
          <w:p w14:paraId="6D869425" w14:textId="2539AEB9" w:rsidR="00FA2B1A" w:rsidRPr="00130A96" w:rsidRDefault="00FA2B1A" w:rsidP="00FA2B1A">
            <w:pPr>
              <w:pStyle w:val="TableParagraph"/>
            </w:pPr>
            <w:r w:rsidRPr="00130A96">
              <w:t>(95</w:t>
            </w:r>
            <w:r>
              <w:t> %</w:t>
            </w:r>
            <w:r w:rsidRPr="00130A96">
              <w:t xml:space="preserve"> PI)</w:t>
            </w:r>
          </w:p>
        </w:tc>
        <w:tc>
          <w:tcPr>
            <w:tcW w:w="2009" w:type="dxa"/>
            <w:tcBorders>
              <w:bottom w:val="single" w:sz="12" w:space="0" w:color="000000"/>
            </w:tcBorders>
          </w:tcPr>
          <w:p w14:paraId="6D869426" w14:textId="77777777" w:rsidR="00FA2B1A" w:rsidRPr="00130A96" w:rsidRDefault="00FA2B1A" w:rsidP="00FA2B1A">
            <w:pPr>
              <w:pStyle w:val="TableParagraph"/>
              <w:jc w:val="center"/>
            </w:pPr>
            <w:r w:rsidRPr="00130A96">
              <w:t>(−0,75, −0,33)</w:t>
            </w:r>
          </w:p>
        </w:tc>
        <w:tc>
          <w:tcPr>
            <w:tcW w:w="2028" w:type="dxa"/>
            <w:tcBorders>
              <w:bottom w:val="single" w:sz="12" w:space="0" w:color="000000"/>
            </w:tcBorders>
          </w:tcPr>
          <w:p w14:paraId="6D869427" w14:textId="77777777" w:rsidR="00FA2B1A" w:rsidRPr="00130A96" w:rsidRDefault="00FA2B1A" w:rsidP="00FA2B1A">
            <w:pPr>
              <w:pStyle w:val="TableParagraph"/>
              <w:jc w:val="center"/>
            </w:pPr>
            <w:r w:rsidRPr="00130A96">
              <w:t>(−0,22, 0,20)</w:t>
            </w:r>
          </w:p>
        </w:tc>
        <w:tc>
          <w:tcPr>
            <w:tcW w:w="1785" w:type="dxa"/>
            <w:tcBorders>
              <w:bottom w:val="single" w:sz="12" w:space="0" w:color="000000"/>
            </w:tcBorders>
          </w:tcPr>
          <w:p w14:paraId="6D869428" w14:textId="77777777" w:rsidR="00FA2B1A" w:rsidRPr="00130A96" w:rsidRDefault="00FA2B1A" w:rsidP="00FA2B1A">
            <w:pPr>
              <w:pStyle w:val="TableParagraph"/>
              <w:jc w:val="center"/>
            </w:pPr>
          </w:p>
        </w:tc>
      </w:tr>
    </w:tbl>
    <w:p w14:paraId="50AB635F" w14:textId="77777777" w:rsidR="005053DC" w:rsidRPr="005053DC" w:rsidRDefault="005053DC" w:rsidP="005053DC">
      <w:pPr>
        <w:pStyle w:val="TableParagraph"/>
        <w:rPr>
          <w:sz w:val="20"/>
          <w:szCs w:val="20"/>
        </w:rPr>
      </w:pPr>
      <w:r w:rsidRPr="005053DC">
        <w:rPr>
          <w:sz w:val="20"/>
          <w:szCs w:val="20"/>
          <w:vertAlign w:val="superscript"/>
        </w:rPr>
        <w:t>a</w:t>
      </w:r>
      <w:r w:rsidRPr="005053DC">
        <w:rPr>
          <w:sz w:val="20"/>
          <w:szCs w:val="20"/>
        </w:rPr>
        <w:t xml:space="preserve"> LOCF – paskutinė atlikta apžiūra (prieš skubų gydymą pacientams, kuriems jo prireikė).</w:t>
      </w:r>
    </w:p>
    <w:p w14:paraId="5A1015F7" w14:textId="677372FB" w:rsidR="005053DC" w:rsidRPr="005053DC" w:rsidRDefault="005053DC" w:rsidP="006D51A1">
      <w:pPr>
        <w:pStyle w:val="TableParagraph"/>
        <w:ind w:left="142" w:hanging="142"/>
        <w:rPr>
          <w:sz w:val="20"/>
          <w:szCs w:val="20"/>
        </w:rPr>
      </w:pPr>
      <w:r w:rsidRPr="005053DC">
        <w:rPr>
          <w:sz w:val="20"/>
          <w:szCs w:val="20"/>
          <w:vertAlign w:val="superscript"/>
        </w:rPr>
        <w:t>b</w:t>
      </w:r>
      <w:r w:rsidRPr="005053DC">
        <w:rPr>
          <w:sz w:val="20"/>
          <w:szCs w:val="20"/>
        </w:rPr>
        <w:t xml:space="preserve"> </w:t>
      </w:r>
      <w:r w:rsidRPr="00BA58DE">
        <w:rPr>
          <w:sz w:val="20"/>
          <w:szCs w:val="20"/>
        </w:rPr>
        <w:t>Visi atsitiktinai atrinkti asmenys</w:t>
      </w:r>
      <w:r w:rsidRPr="005053DC">
        <w:rPr>
          <w:sz w:val="20"/>
          <w:szCs w:val="20"/>
        </w:rPr>
        <w:t xml:space="preserve">, kurie trumpu dvigubai </w:t>
      </w:r>
      <w:r>
        <w:rPr>
          <w:sz w:val="20"/>
          <w:szCs w:val="20"/>
        </w:rPr>
        <w:t>koduotu</w:t>
      </w:r>
      <w:r w:rsidRPr="005053DC">
        <w:rPr>
          <w:sz w:val="20"/>
          <w:szCs w:val="20"/>
        </w:rPr>
        <w:t xml:space="preserve"> laikotarpiu dvigubai </w:t>
      </w:r>
      <w:r w:rsidR="006D51A1">
        <w:rPr>
          <w:sz w:val="20"/>
          <w:szCs w:val="20"/>
        </w:rPr>
        <w:t>koduotu</w:t>
      </w:r>
      <w:r w:rsidRPr="005053DC">
        <w:rPr>
          <w:sz w:val="20"/>
          <w:szCs w:val="20"/>
        </w:rPr>
        <w:t xml:space="preserve"> būdu pavartojo bent vieną tiriamojo vaistinio preparato dozę.</w:t>
      </w:r>
    </w:p>
    <w:p w14:paraId="3627987F" w14:textId="2185AE22" w:rsidR="005053DC" w:rsidRPr="005053DC" w:rsidRDefault="005053DC" w:rsidP="005053DC">
      <w:pPr>
        <w:pStyle w:val="TableParagraph"/>
        <w:rPr>
          <w:sz w:val="20"/>
          <w:szCs w:val="20"/>
        </w:rPr>
      </w:pPr>
      <w:r w:rsidRPr="005053DC">
        <w:rPr>
          <w:sz w:val="20"/>
          <w:szCs w:val="20"/>
          <w:vertAlign w:val="superscript"/>
        </w:rPr>
        <w:t>c</w:t>
      </w:r>
      <w:r w:rsidRPr="005053DC">
        <w:rPr>
          <w:sz w:val="20"/>
          <w:szCs w:val="20"/>
        </w:rPr>
        <w:t xml:space="preserve"> Mažiausių kvadratų vidurkis, koreguotas pagal pradi</w:t>
      </w:r>
      <w:r w:rsidR="006D51A1">
        <w:rPr>
          <w:sz w:val="20"/>
          <w:szCs w:val="20"/>
        </w:rPr>
        <w:t>nį rodmenį</w:t>
      </w:r>
      <w:r w:rsidRPr="005053DC">
        <w:rPr>
          <w:sz w:val="20"/>
          <w:szCs w:val="20"/>
        </w:rPr>
        <w:t>.</w:t>
      </w:r>
    </w:p>
    <w:p w14:paraId="57ACA3D9" w14:textId="7FE0D0FE" w:rsidR="005053DC" w:rsidRPr="005053DC" w:rsidRDefault="005053DC" w:rsidP="005053DC">
      <w:pPr>
        <w:rPr>
          <w:sz w:val="20"/>
          <w:szCs w:val="20"/>
        </w:rPr>
      </w:pPr>
      <w:r w:rsidRPr="005053DC">
        <w:rPr>
          <w:sz w:val="20"/>
          <w:szCs w:val="20"/>
          <w:vertAlign w:val="superscript"/>
        </w:rPr>
        <w:t>*</w:t>
      </w:r>
      <w:r w:rsidRPr="005053DC">
        <w:rPr>
          <w:sz w:val="20"/>
          <w:szCs w:val="20"/>
        </w:rPr>
        <w:t xml:space="preserve"> p </w:t>
      </w:r>
      <w:r w:rsidR="006D51A1">
        <w:rPr>
          <w:sz w:val="20"/>
          <w:szCs w:val="20"/>
        </w:rPr>
        <w:t xml:space="preserve">rodiklis </w:t>
      </w:r>
      <w:r w:rsidRPr="005053DC">
        <w:rPr>
          <w:sz w:val="20"/>
          <w:szCs w:val="20"/>
        </w:rPr>
        <w:t>&lt; 0,0001.</w:t>
      </w:r>
    </w:p>
    <w:p w14:paraId="2083E19F" w14:textId="77777777" w:rsidR="005053DC" w:rsidRDefault="005053DC" w:rsidP="005053DC"/>
    <w:p w14:paraId="6D86942F" w14:textId="1B5297A8" w:rsidR="00C0147E" w:rsidRPr="00130A96" w:rsidRDefault="00D437A1" w:rsidP="005053DC">
      <w:pPr>
        <w:rPr>
          <w:i/>
        </w:rPr>
      </w:pPr>
      <w:r>
        <w:rPr>
          <w:i/>
        </w:rPr>
        <w:t>Gydymas derinant</w:t>
      </w:r>
      <w:r w:rsidRPr="00130A96">
        <w:rPr>
          <w:i/>
        </w:rPr>
        <w:t xml:space="preserve"> </w:t>
      </w:r>
      <w:r w:rsidR="001175EF" w:rsidRPr="00130A96">
        <w:rPr>
          <w:i/>
        </w:rPr>
        <w:t xml:space="preserve">su pailginto atpalaidavimo </w:t>
      </w:r>
      <w:proofErr w:type="spellStart"/>
      <w:r w:rsidR="001175EF" w:rsidRPr="00130A96">
        <w:rPr>
          <w:i/>
        </w:rPr>
        <w:t>eksenatidu</w:t>
      </w:r>
      <w:proofErr w:type="spellEnd"/>
    </w:p>
    <w:p w14:paraId="6D869430" w14:textId="4A90C7B8" w:rsidR="00C0147E" w:rsidRPr="00130A96" w:rsidRDefault="001175EF" w:rsidP="00130A96">
      <w:pPr>
        <w:pStyle w:val="Pagrindinistekstas"/>
      </w:pPr>
      <w:r w:rsidRPr="00130A96">
        <w:t>28</w:t>
      </w:r>
      <w:r w:rsidR="008B7D3E">
        <w:t> </w:t>
      </w:r>
      <w:r w:rsidRPr="00130A96">
        <w:t xml:space="preserve">savaičių dvigubai </w:t>
      </w:r>
      <w:r w:rsidR="008B7D3E">
        <w:t>koduoto</w:t>
      </w:r>
      <w:r w:rsidRPr="00130A96">
        <w:t xml:space="preserve"> aktyvios kontrolės tyrimo metu lygintas dapagliflozino ir pailginto atpalaidavimo </w:t>
      </w:r>
      <w:proofErr w:type="spellStart"/>
      <w:r w:rsidRPr="00130A96">
        <w:t>eksenatido</w:t>
      </w:r>
      <w:proofErr w:type="spellEnd"/>
      <w:r w:rsidRPr="00130A96">
        <w:t xml:space="preserve"> (GLP</w:t>
      </w:r>
      <w:r w:rsidR="008B7D3E">
        <w:noBreakHyphen/>
      </w:r>
      <w:r w:rsidRPr="00130A96">
        <w:t xml:space="preserve">1 receptorių </w:t>
      </w:r>
      <w:proofErr w:type="spellStart"/>
      <w:r w:rsidRPr="00130A96">
        <w:t>agonisto</w:t>
      </w:r>
      <w:proofErr w:type="spellEnd"/>
      <w:r w:rsidRPr="00130A96">
        <w:t xml:space="preserve">) derinio poveikis su vien dapagliflozino ir vien pailginto atpalaidavimo </w:t>
      </w:r>
      <w:proofErr w:type="spellStart"/>
      <w:r w:rsidRPr="00130A96">
        <w:t>eksenatido</w:t>
      </w:r>
      <w:proofErr w:type="spellEnd"/>
      <w:r w:rsidRPr="00130A96">
        <w:t xml:space="preserve"> poveikiu tiriamiesiems, </w:t>
      </w:r>
      <w:r w:rsidR="005245C8">
        <w:t xml:space="preserve">kurių </w:t>
      </w:r>
      <w:proofErr w:type="spellStart"/>
      <w:r w:rsidR="005245C8">
        <w:t>glikemija</w:t>
      </w:r>
      <w:proofErr w:type="spellEnd"/>
      <w:r w:rsidR="005245C8">
        <w:t xml:space="preserve"> buvo nepakankamai kontroliuojama vien </w:t>
      </w:r>
      <w:proofErr w:type="spellStart"/>
      <w:r w:rsidR="005245C8">
        <w:t>metforminu</w:t>
      </w:r>
      <w:proofErr w:type="spellEnd"/>
      <w:r w:rsidR="005245C8" w:rsidRPr="00130A96">
        <w:t xml:space="preserve"> </w:t>
      </w:r>
      <w:r w:rsidRPr="00130A96">
        <w:t xml:space="preserve">(HbA1c – nuo </w:t>
      </w:r>
      <w:r w:rsidR="00873FCC">
        <w:t>≥ </w:t>
      </w:r>
      <w:r w:rsidRPr="00130A96">
        <w:t>8</w:t>
      </w:r>
      <w:r w:rsidR="00873FCC">
        <w:t> %</w:t>
      </w:r>
      <w:r w:rsidRPr="00130A96">
        <w:t xml:space="preserve"> iki </w:t>
      </w:r>
      <w:r w:rsidR="00D54BC0">
        <w:t>≤ </w:t>
      </w:r>
      <w:r w:rsidRPr="00130A96">
        <w:t>12</w:t>
      </w:r>
      <w:r w:rsidR="00873FCC">
        <w:t> %</w:t>
      </w:r>
      <w:r w:rsidRPr="00130A96">
        <w:t>). Visų tirtų grupių HbA1c koncentracija, palyginus su pradine, sumažėjo. 10</w:t>
      </w:r>
      <w:r w:rsidR="00873FCC">
        <w:t> mg</w:t>
      </w:r>
      <w:r w:rsidRPr="00130A96">
        <w:t xml:space="preserve"> dapagliflozino ir pailginto atpalaidavimo </w:t>
      </w:r>
      <w:proofErr w:type="spellStart"/>
      <w:r w:rsidRPr="00130A96">
        <w:t>eksenatido</w:t>
      </w:r>
      <w:proofErr w:type="spellEnd"/>
      <w:r w:rsidRPr="00130A96">
        <w:t xml:space="preserve"> derinio grupei HbA1c koncentracija, palyginus su pradine, sumažėjo labiau negu vien dapagliflozino ir vien pailginto atpalaidavimo </w:t>
      </w:r>
      <w:proofErr w:type="spellStart"/>
      <w:r w:rsidRPr="00130A96">
        <w:t>eksenatido</w:t>
      </w:r>
      <w:proofErr w:type="spellEnd"/>
      <w:r w:rsidRPr="00130A96">
        <w:t xml:space="preserve"> grupėms (žr. 8</w:t>
      </w:r>
      <w:r w:rsidR="0037138E">
        <w:t> </w:t>
      </w:r>
      <w:r w:rsidRPr="00130A96">
        <w:t>lentelę).</w:t>
      </w:r>
    </w:p>
    <w:p w14:paraId="4D0625DF" w14:textId="77777777" w:rsidR="00C0147E" w:rsidRDefault="00C0147E" w:rsidP="00130A96">
      <w:pPr>
        <w:pStyle w:val="Pagrindinistekstas"/>
      </w:pPr>
    </w:p>
    <w:p w14:paraId="6D869432" w14:textId="25A45199" w:rsidR="00C0147E" w:rsidRPr="00130A96" w:rsidRDefault="00DE0273" w:rsidP="00DE0273">
      <w:pPr>
        <w:pStyle w:val="Antrat2"/>
        <w:tabs>
          <w:tab w:val="left" w:pos="450"/>
        </w:tabs>
        <w:ind w:left="0"/>
      </w:pPr>
      <w:r>
        <w:t>8</w:t>
      </w:r>
      <w:r w:rsidR="0037138E">
        <w:t> </w:t>
      </w:r>
      <w:r w:rsidR="001175EF" w:rsidRPr="00130A96">
        <w:t xml:space="preserve">lentelė. 28 savaičių </w:t>
      </w:r>
      <w:r w:rsidR="00974F64" w:rsidRPr="008903EC">
        <w:t xml:space="preserve">trukmės tyrimo rezultatai, vartojant dapaglifloziną ir pailginto atpalaidavimo </w:t>
      </w:r>
      <w:proofErr w:type="spellStart"/>
      <w:r w:rsidR="00974F64" w:rsidRPr="008903EC">
        <w:t>eksenatidą</w:t>
      </w:r>
      <w:proofErr w:type="spellEnd"/>
      <w:r w:rsidR="00974F64" w:rsidRPr="008903EC">
        <w:t xml:space="preserve">, lyginant su vien tik dapagliflozinu ir vien tik pailginto atpalaidavimo </w:t>
      </w:r>
      <w:proofErr w:type="spellStart"/>
      <w:r w:rsidR="00974F64" w:rsidRPr="008903EC">
        <w:t>eksenatidu</w:t>
      </w:r>
      <w:proofErr w:type="spellEnd"/>
      <w:r w:rsidR="00974F64" w:rsidRPr="008903EC">
        <w:t xml:space="preserve">, skiriant juos kartu su </w:t>
      </w:r>
      <w:proofErr w:type="spellStart"/>
      <w:r w:rsidR="00974F64" w:rsidRPr="008903EC">
        <w:t>metforminu</w:t>
      </w:r>
      <w:proofErr w:type="spellEnd"/>
      <w:r w:rsidR="00974F64" w:rsidRPr="008903EC">
        <w:t xml:space="preserve"> </w:t>
      </w:r>
      <w:r w:rsidR="00974F64">
        <w:t xml:space="preserve">(ketinamų gydyti </w:t>
      </w:r>
      <w:r w:rsidR="00974F64" w:rsidRPr="008903EC">
        <w:t>pacientų populiacija)</w:t>
      </w:r>
    </w:p>
    <w:tbl>
      <w:tblPr>
        <w:tblW w:w="9077" w:type="dxa"/>
        <w:tblLayout w:type="fixed"/>
        <w:tblCellMar>
          <w:left w:w="0" w:type="dxa"/>
          <w:right w:w="0" w:type="dxa"/>
        </w:tblCellMar>
        <w:tblLook w:val="01E0" w:firstRow="1" w:lastRow="1" w:firstColumn="1" w:lastColumn="1" w:noHBand="0" w:noVBand="0"/>
      </w:tblPr>
      <w:tblGrid>
        <w:gridCol w:w="2691"/>
        <w:gridCol w:w="2256"/>
        <w:gridCol w:w="1986"/>
        <w:gridCol w:w="2144"/>
      </w:tblGrid>
      <w:tr w:rsidR="00C0147E" w:rsidRPr="00130A96" w14:paraId="6D86943F" w14:textId="77777777" w:rsidTr="002E6B56">
        <w:trPr>
          <w:trHeight w:val="1739"/>
        </w:trPr>
        <w:tc>
          <w:tcPr>
            <w:tcW w:w="2691" w:type="dxa"/>
            <w:tcBorders>
              <w:top w:val="single" w:sz="12" w:space="0" w:color="000000"/>
            </w:tcBorders>
          </w:tcPr>
          <w:p w14:paraId="6D869433" w14:textId="77777777" w:rsidR="00C0147E" w:rsidRPr="00130A96" w:rsidRDefault="00C0147E" w:rsidP="00130A96">
            <w:pPr>
              <w:pStyle w:val="TableParagraph"/>
            </w:pPr>
          </w:p>
        </w:tc>
        <w:tc>
          <w:tcPr>
            <w:tcW w:w="2256" w:type="dxa"/>
            <w:vMerge w:val="restart"/>
            <w:tcBorders>
              <w:top w:val="single" w:sz="12" w:space="0" w:color="000000"/>
              <w:bottom w:val="single" w:sz="4" w:space="0" w:color="000000"/>
            </w:tcBorders>
          </w:tcPr>
          <w:p w14:paraId="6D869434" w14:textId="29750940" w:rsidR="00C0147E" w:rsidRPr="00130A96" w:rsidRDefault="001175EF" w:rsidP="00DE0273">
            <w:pPr>
              <w:pStyle w:val="TableParagraph"/>
              <w:jc w:val="center"/>
              <w:rPr>
                <w:b/>
              </w:rPr>
            </w:pPr>
            <w:r w:rsidRPr="00130A96">
              <w:rPr>
                <w:b/>
              </w:rPr>
              <w:t>10</w:t>
            </w:r>
            <w:r w:rsidR="00873FCC">
              <w:rPr>
                <w:b/>
              </w:rPr>
              <w:t> mg</w:t>
            </w:r>
            <w:r w:rsidRPr="00130A96">
              <w:rPr>
                <w:b/>
              </w:rPr>
              <w:t xml:space="preserve"> dapagliflozino 1</w:t>
            </w:r>
            <w:r w:rsidR="00A53634">
              <w:rPr>
                <w:b/>
              </w:rPr>
              <w:t> </w:t>
            </w:r>
            <w:r w:rsidRPr="00130A96">
              <w:rPr>
                <w:b/>
              </w:rPr>
              <w:t>kartą per parą</w:t>
            </w:r>
          </w:p>
          <w:p w14:paraId="6D869435" w14:textId="77777777" w:rsidR="00C0147E" w:rsidRPr="00130A96" w:rsidRDefault="001175EF" w:rsidP="00DE0273">
            <w:pPr>
              <w:pStyle w:val="TableParagraph"/>
              <w:jc w:val="center"/>
              <w:rPr>
                <w:b/>
              </w:rPr>
            </w:pPr>
            <w:r w:rsidRPr="00130A96">
              <w:rPr>
                <w:b/>
              </w:rPr>
              <w:t>+</w:t>
            </w:r>
          </w:p>
          <w:p w14:paraId="6D869436" w14:textId="69C7B02F" w:rsidR="00C0147E" w:rsidRPr="00130A96" w:rsidRDefault="001175EF" w:rsidP="00DE0273">
            <w:pPr>
              <w:pStyle w:val="TableParagraph"/>
              <w:jc w:val="center"/>
              <w:rPr>
                <w:b/>
              </w:rPr>
            </w:pPr>
            <w:r w:rsidRPr="00130A96">
              <w:rPr>
                <w:b/>
              </w:rPr>
              <w:t>2</w:t>
            </w:r>
            <w:r w:rsidR="00873FCC">
              <w:rPr>
                <w:b/>
              </w:rPr>
              <w:t> mg</w:t>
            </w:r>
            <w:r w:rsidRPr="00130A96">
              <w:rPr>
                <w:b/>
              </w:rPr>
              <w:t xml:space="preserve"> pailginto atpalaidavimo </w:t>
            </w:r>
            <w:proofErr w:type="spellStart"/>
            <w:r w:rsidRPr="00130A96">
              <w:rPr>
                <w:b/>
              </w:rPr>
              <w:t>eksenatido</w:t>
            </w:r>
            <w:proofErr w:type="spellEnd"/>
            <w:r w:rsidRPr="00130A96">
              <w:rPr>
                <w:b/>
              </w:rPr>
              <w:t xml:space="preserve"> kas savaitę</w:t>
            </w:r>
          </w:p>
        </w:tc>
        <w:tc>
          <w:tcPr>
            <w:tcW w:w="1986" w:type="dxa"/>
            <w:tcBorders>
              <w:top w:val="single" w:sz="12" w:space="0" w:color="000000"/>
            </w:tcBorders>
          </w:tcPr>
          <w:p w14:paraId="6D869438" w14:textId="163F9070" w:rsidR="00C0147E" w:rsidRPr="00130A96" w:rsidRDefault="001175EF" w:rsidP="00DE0273">
            <w:pPr>
              <w:pStyle w:val="TableParagraph"/>
              <w:jc w:val="center"/>
              <w:rPr>
                <w:b/>
              </w:rPr>
            </w:pPr>
            <w:r w:rsidRPr="00130A96">
              <w:rPr>
                <w:b/>
              </w:rPr>
              <w:t>10</w:t>
            </w:r>
            <w:r w:rsidR="00873FCC">
              <w:rPr>
                <w:b/>
              </w:rPr>
              <w:t> mg</w:t>
            </w:r>
            <w:r w:rsidRPr="00130A96">
              <w:rPr>
                <w:b/>
              </w:rPr>
              <w:t xml:space="preserve"> dapagliflozino</w:t>
            </w:r>
            <w:r w:rsidR="00A53634">
              <w:rPr>
                <w:b/>
              </w:rPr>
              <w:t xml:space="preserve"> </w:t>
            </w:r>
            <w:r w:rsidRPr="00130A96">
              <w:rPr>
                <w:b/>
              </w:rPr>
              <w:t>1</w:t>
            </w:r>
            <w:r w:rsidR="00A53634">
              <w:rPr>
                <w:b/>
              </w:rPr>
              <w:t> </w:t>
            </w:r>
            <w:r w:rsidRPr="00130A96">
              <w:rPr>
                <w:b/>
              </w:rPr>
              <w:t>kartą per parą</w:t>
            </w:r>
          </w:p>
          <w:p w14:paraId="6D869439" w14:textId="77777777" w:rsidR="00C0147E" w:rsidRPr="00130A96" w:rsidRDefault="001175EF" w:rsidP="00DE0273">
            <w:pPr>
              <w:pStyle w:val="TableParagraph"/>
              <w:jc w:val="center"/>
              <w:rPr>
                <w:b/>
              </w:rPr>
            </w:pPr>
            <w:r w:rsidRPr="00130A96">
              <w:rPr>
                <w:b/>
              </w:rPr>
              <w:t>+</w:t>
            </w:r>
          </w:p>
          <w:p w14:paraId="6D86943A" w14:textId="77777777" w:rsidR="00C0147E" w:rsidRPr="00130A96" w:rsidRDefault="001175EF" w:rsidP="00DE0273">
            <w:pPr>
              <w:pStyle w:val="TableParagraph"/>
              <w:jc w:val="center"/>
              <w:rPr>
                <w:b/>
              </w:rPr>
            </w:pPr>
            <w:r w:rsidRPr="00130A96">
              <w:rPr>
                <w:b/>
              </w:rPr>
              <w:t>Placebas kas savaitę</w:t>
            </w:r>
          </w:p>
        </w:tc>
        <w:tc>
          <w:tcPr>
            <w:tcW w:w="2144" w:type="dxa"/>
            <w:vMerge w:val="restart"/>
            <w:tcBorders>
              <w:top w:val="single" w:sz="12" w:space="0" w:color="000000"/>
              <w:bottom w:val="single" w:sz="4" w:space="0" w:color="000000"/>
            </w:tcBorders>
          </w:tcPr>
          <w:p w14:paraId="6D86943B" w14:textId="26634139" w:rsidR="00C0147E" w:rsidRPr="00130A96" w:rsidRDefault="001175EF" w:rsidP="00DE0273">
            <w:pPr>
              <w:pStyle w:val="TableParagraph"/>
              <w:jc w:val="center"/>
              <w:rPr>
                <w:b/>
              </w:rPr>
            </w:pPr>
            <w:r w:rsidRPr="00130A96">
              <w:rPr>
                <w:b/>
              </w:rPr>
              <w:t>2</w:t>
            </w:r>
            <w:r w:rsidR="00873FCC">
              <w:rPr>
                <w:b/>
              </w:rPr>
              <w:t> mg</w:t>
            </w:r>
            <w:r w:rsidRPr="00130A96">
              <w:rPr>
                <w:b/>
              </w:rPr>
              <w:t xml:space="preserve"> pailginto atpalaidavimo </w:t>
            </w:r>
            <w:proofErr w:type="spellStart"/>
            <w:r w:rsidRPr="00130A96">
              <w:rPr>
                <w:b/>
              </w:rPr>
              <w:t>eksenatido</w:t>
            </w:r>
            <w:proofErr w:type="spellEnd"/>
            <w:r w:rsidRPr="00130A96">
              <w:rPr>
                <w:b/>
              </w:rPr>
              <w:t xml:space="preserve"> kas savaitę</w:t>
            </w:r>
          </w:p>
          <w:p w14:paraId="6D86943C" w14:textId="77777777" w:rsidR="00C0147E" w:rsidRPr="00130A96" w:rsidRDefault="001175EF" w:rsidP="00DE0273">
            <w:pPr>
              <w:pStyle w:val="TableParagraph"/>
              <w:jc w:val="center"/>
              <w:rPr>
                <w:b/>
              </w:rPr>
            </w:pPr>
            <w:r w:rsidRPr="00130A96">
              <w:rPr>
                <w:b/>
              </w:rPr>
              <w:t>+</w:t>
            </w:r>
          </w:p>
          <w:p w14:paraId="6D86943D" w14:textId="77777777" w:rsidR="00C0147E" w:rsidRPr="00130A96" w:rsidRDefault="001175EF" w:rsidP="00DE0273">
            <w:pPr>
              <w:pStyle w:val="TableParagraph"/>
              <w:jc w:val="center"/>
              <w:rPr>
                <w:b/>
              </w:rPr>
            </w:pPr>
            <w:r w:rsidRPr="00130A96">
              <w:rPr>
                <w:b/>
              </w:rPr>
              <w:t>Placebas</w:t>
            </w:r>
          </w:p>
          <w:p w14:paraId="6D86943E" w14:textId="2A8BB761" w:rsidR="00C0147E" w:rsidRPr="00130A96" w:rsidRDefault="001175EF" w:rsidP="00DE0273">
            <w:pPr>
              <w:pStyle w:val="TableParagraph"/>
              <w:jc w:val="center"/>
              <w:rPr>
                <w:b/>
              </w:rPr>
            </w:pPr>
            <w:r w:rsidRPr="00130A96">
              <w:rPr>
                <w:b/>
              </w:rPr>
              <w:t>1</w:t>
            </w:r>
            <w:r w:rsidR="00A53634">
              <w:rPr>
                <w:b/>
              </w:rPr>
              <w:t> </w:t>
            </w:r>
            <w:r w:rsidRPr="00130A96">
              <w:rPr>
                <w:b/>
              </w:rPr>
              <w:t>kartą per parą</w:t>
            </w:r>
          </w:p>
        </w:tc>
      </w:tr>
      <w:tr w:rsidR="00C0147E" w:rsidRPr="00130A96" w14:paraId="6D869444" w14:textId="77777777" w:rsidTr="002E6B56">
        <w:trPr>
          <w:trHeight w:val="311"/>
        </w:trPr>
        <w:tc>
          <w:tcPr>
            <w:tcW w:w="2691" w:type="dxa"/>
            <w:tcBorders>
              <w:bottom w:val="single" w:sz="4" w:space="0" w:color="000000"/>
            </w:tcBorders>
          </w:tcPr>
          <w:p w14:paraId="6D869440" w14:textId="77777777" w:rsidR="00C0147E" w:rsidRPr="00130A96" w:rsidRDefault="001175EF" w:rsidP="00130A96">
            <w:pPr>
              <w:pStyle w:val="TableParagraph"/>
              <w:rPr>
                <w:b/>
              </w:rPr>
            </w:pPr>
            <w:r w:rsidRPr="00130A96">
              <w:rPr>
                <w:b/>
              </w:rPr>
              <w:t>Rodiklis</w:t>
            </w:r>
          </w:p>
        </w:tc>
        <w:tc>
          <w:tcPr>
            <w:tcW w:w="2256" w:type="dxa"/>
            <w:vMerge/>
            <w:tcBorders>
              <w:top w:val="nil"/>
              <w:bottom w:val="single" w:sz="4" w:space="0" w:color="000000"/>
            </w:tcBorders>
          </w:tcPr>
          <w:p w14:paraId="6D869441" w14:textId="77777777" w:rsidR="00C0147E" w:rsidRPr="00130A96" w:rsidRDefault="00C0147E" w:rsidP="00DE0273">
            <w:pPr>
              <w:jc w:val="center"/>
              <w:rPr>
                <w:szCs w:val="2"/>
              </w:rPr>
            </w:pPr>
          </w:p>
        </w:tc>
        <w:tc>
          <w:tcPr>
            <w:tcW w:w="1986" w:type="dxa"/>
            <w:tcBorders>
              <w:bottom w:val="single" w:sz="4" w:space="0" w:color="000000"/>
            </w:tcBorders>
          </w:tcPr>
          <w:p w14:paraId="6D869442" w14:textId="77777777" w:rsidR="00C0147E" w:rsidRPr="00130A96" w:rsidRDefault="00C0147E" w:rsidP="00DE0273">
            <w:pPr>
              <w:pStyle w:val="TableParagraph"/>
              <w:jc w:val="center"/>
            </w:pPr>
          </w:p>
        </w:tc>
        <w:tc>
          <w:tcPr>
            <w:tcW w:w="2144" w:type="dxa"/>
            <w:vMerge/>
            <w:tcBorders>
              <w:top w:val="nil"/>
              <w:bottom w:val="single" w:sz="4" w:space="0" w:color="000000"/>
            </w:tcBorders>
          </w:tcPr>
          <w:p w14:paraId="6D869443" w14:textId="77777777" w:rsidR="00C0147E" w:rsidRPr="00130A96" w:rsidRDefault="00C0147E" w:rsidP="00DE0273">
            <w:pPr>
              <w:jc w:val="center"/>
              <w:rPr>
                <w:szCs w:val="2"/>
              </w:rPr>
            </w:pPr>
          </w:p>
        </w:tc>
      </w:tr>
      <w:tr w:rsidR="00C0147E" w:rsidRPr="00130A96" w14:paraId="6D869449" w14:textId="77777777" w:rsidTr="002E6B56">
        <w:trPr>
          <w:trHeight w:val="318"/>
        </w:trPr>
        <w:tc>
          <w:tcPr>
            <w:tcW w:w="2691" w:type="dxa"/>
            <w:tcBorders>
              <w:top w:val="single" w:sz="4" w:space="0" w:color="000000"/>
              <w:bottom w:val="single" w:sz="4" w:space="0" w:color="000000"/>
            </w:tcBorders>
          </w:tcPr>
          <w:p w14:paraId="6D869445" w14:textId="77777777" w:rsidR="00C0147E" w:rsidRPr="00130A96" w:rsidRDefault="001175EF" w:rsidP="00130A96">
            <w:pPr>
              <w:pStyle w:val="TableParagraph"/>
              <w:rPr>
                <w:b/>
              </w:rPr>
            </w:pPr>
            <w:r w:rsidRPr="00130A96">
              <w:rPr>
                <w:b/>
              </w:rPr>
              <w:t>N</w:t>
            </w:r>
          </w:p>
        </w:tc>
        <w:tc>
          <w:tcPr>
            <w:tcW w:w="2256" w:type="dxa"/>
            <w:tcBorders>
              <w:top w:val="single" w:sz="4" w:space="0" w:color="000000"/>
              <w:bottom w:val="single" w:sz="4" w:space="0" w:color="000000"/>
            </w:tcBorders>
          </w:tcPr>
          <w:p w14:paraId="6D869446" w14:textId="77777777" w:rsidR="00C0147E" w:rsidRPr="00130A96" w:rsidRDefault="001175EF" w:rsidP="00DE0273">
            <w:pPr>
              <w:pStyle w:val="TableParagraph"/>
              <w:jc w:val="center"/>
              <w:rPr>
                <w:b/>
              </w:rPr>
            </w:pPr>
            <w:r w:rsidRPr="00130A96">
              <w:rPr>
                <w:b/>
              </w:rPr>
              <w:t>228</w:t>
            </w:r>
          </w:p>
        </w:tc>
        <w:tc>
          <w:tcPr>
            <w:tcW w:w="1986" w:type="dxa"/>
            <w:tcBorders>
              <w:top w:val="single" w:sz="4" w:space="0" w:color="000000"/>
              <w:bottom w:val="single" w:sz="4" w:space="0" w:color="000000"/>
            </w:tcBorders>
          </w:tcPr>
          <w:p w14:paraId="6D869447" w14:textId="77777777" w:rsidR="00C0147E" w:rsidRPr="00130A96" w:rsidRDefault="001175EF" w:rsidP="00DE0273">
            <w:pPr>
              <w:pStyle w:val="TableParagraph"/>
              <w:jc w:val="center"/>
              <w:rPr>
                <w:b/>
              </w:rPr>
            </w:pPr>
            <w:r w:rsidRPr="00130A96">
              <w:rPr>
                <w:b/>
              </w:rPr>
              <w:t>230</w:t>
            </w:r>
          </w:p>
        </w:tc>
        <w:tc>
          <w:tcPr>
            <w:tcW w:w="2144" w:type="dxa"/>
            <w:tcBorders>
              <w:top w:val="single" w:sz="4" w:space="0" w:color="000000"/>
              <w:bottom w:val="single" w:sz="4" w:space="0" w:color="000000"/>
            </w:tcBorders>
          </w:tcPr>
          <w:p w14:paraId="6D869448" w14:textId="77777777" w:rsidR="00C0147E" w:rsidRPr="00130A96" w:rsidRDefault="001175EF" w:rsidP="00DE0273">
            <w:pPr>
              <w:pStyle w:val="TableParagraph"/>
              <w:jc w:val="center"/>
              <w:rPr>
                <w:b/>
              </w:rPr>
            </w:pPr>
            <w:r w:rsidRPr="00130A96">
              <w:rPr>
                <w:b/>
              </w:rPr>
              <w:t>227</w:t>
            </w:r>
          </w:p>
        </w:tc>
      </w:tr>
      <w:tr w:rsidR="00C0147E" w:rsidRPr="00130A96" w14:paraId="6D86944E" w14:textId="77777777" w:rsidTr="002E6B56">
        <w:trPr>
          <w:trHeight w:val="264"/>
        </w:trPr>
        <w:tc>
          <w:tcPr>
            <w:tcW w:w="2691" w:type="dxa"/>
            <w:tcBorders>
              <w:top w:val="single" w:sz="4" w:space="0" w:color="000000"/>
            </w:tcBorders>
          </w:tcPr>
          <w:p w14:paraId="6D86944A" w14:textId="1DD10460" w:rsidR="00C0147E" w:rsidRPr="00130A96" w:rsidRDefault="001175EF" w:rsidP="00130A96">
            <w:pPr>
              <w:pStyle w:val="TableParagraph"/>
              <w:rPr>
                <w:b/>
              </w:rPr>
            </w:pPr>
            <w:r w:rsidRPr="00130A96">
              <w:rPr>
                <w:b/>
              </w:rPr>
              <w:t>HbA1c (</w:t>
            </w:r>
            <w:r w:rsidR="00873FCC">
              <w:rPr>
                <w:b/>
              </w:rPr>
              <w:t> %</w:t>
            </w:r>
            <w:r w:rsidRPr="00130A96">
              <w:rPr>
                <w:b/>
              </w:rPr>
              <w:t>)</w:t>
            </w:r>
          </w:p>
        </w:tc>
        <w:tc>
          <w:tcPr>
            <w:tcW w:w="2256" w:type="dxa"/>
            <w:tcBorders>
              <w:top w:val="single" w:sz="4" w:space="0" w:color="000000"/>
            </w:tcBorders>
          </w:tcPr>
          <w:p w14:paraId="6D86944B" w14:textId="77777777" w:rsidR="00C0147E" w:rsidRPr="00130A96" w:rsidRDefault="00C0147E" w:rsidP="00DE0273">
            <w:pPr>
              <w:pStyle w:val="TableParagraph"/>
              <w:jc w:val="center"/>
            </w:pPr>
          </w:p>
        </w:tc>
        <w:tc>
          <w:tcPr>
            <w:tcW w:w="1986" w:type="dxa"/>
            <w:tcBorders>
              <w:top w:val="single" w:sz="4" w:space="0" w:color="000000"/>
            </w:tcBorders>
          </w:tcPr>
          <w:p w14:paraId="6D86944C" w14:textId="77777777" w:rsidR="00C0147E" w:rsidRPr="00130A96" w:rsidRDefault="00C0147E" w:rsidP="00DE0273">
            <w:pPr>
              <w:pStyle w:val="TableParagraph"/>
              <w:jc w:val="center"/>
            </w:pPr>
          </w:p>
        </w:tc>
        <w:tc>
          <w:tcPr>
            <w:tcW w:w="2144" w:type="dxa"/>
            <w:tcBorders>
              <w:top w:val="single" w:sz="4" w:space="0" w:color="000000"/>
            </w:tcBorders>
          </w:tcPr>
          <w:p w14:paraId="6D86944D" w14:textId="77777777" w:rsidR="00C0147E" w:rsidRPr="00130A96" w:rsidRDefault="00C0147E" w:rsidP="00DE0273">
            <w:pPr>
              <w:pStyle w:val="TableParagraph"/>
              <w:jc w:val="center"/>
            </w:pPr>
          </w:p>
        </w:tc>
      </w:tr>
      <w:tr w:rsidR="00C0147E" w:rsidRPr="00130A96" w14:paraId="6D869453" w14:textId="77777777" w:rsidTr="002E6B56">
        <w:trPr>
          <w:trHeight w:val="260"/>
        </w:trPr>
        <w:tc>
          <w:tcPr>
            <w:tcW w:w="2691" w:type="dxa"/>
          </w:tcPr>
          <w:p w14:paraId="6D86944F" w14:textId="7DD4D339" w:rsidR="00C0147E" w:rsidRPr="00130A96" w:rsidRDefault="00560FE8" w:rsidP="00130A96">
            <w:pPr>
              <w:pStyle w:val="TableParagraph"/>
            </w:pPr>
            <w:r w:rsidRPr="00536FA9">
              <w:t>Pradinis rodmuo (vidurkis)</w:t>
            </w:r>
          </w:p>
        </w:tc>
        <w:tc>
          <w:tcPr>
            <w:tcW w:w="2256" w:type="dxa"/>
          </w:tcPr>
          <w:p w14:paraId="6D869450" w14:textId="77777777" w:rsidR="00C0147E" w:rsidRPr="00130A96" w:rsidRDefault="001175EF" w:rsidP="00DE0273">
            <w:pPr>
              <w:pStyle w:val="TableParagraph"/>
              <w:jc w:val="center"/>
            </w:pPr>
            <w:r w:rsidRPr="00130A96">
              <w:t>9,29</w:t>
            </w:r>
          </w:p>
        </w:tc>
        <w:tc>
          <w:tcPr>
            <w:tcW w:w="1986" w:type="dxa"/>
          </w:tcPr>
          <w:p w14:paraId="6D869451" w14:textId="77777777" w:rsidR="00C0147E" w:rsidRPr="00130A96" w:rsidRDefault="001175EF" w:rsidP="00DE0273">
            <w:pPr>
              <w:pStyle w:val="TableParagraph"/>
              <w:jc w:val="center"/>
            </w:pPr>
            <w:r w:rsidRPr="00130A96">
              <w:t>9,25</w:t>
            </w:r>
          </w:p>
        </w:tc>
        <w:tc>
          <w:tcPr>
            <w:tcW w:w="2144" w:type="dxa"/>
          </w:tcPr>
          <w:p w14:paraId="6D869452" w14:textId="77777777" w:rsidR="00C0147E" w:rsidRPr="00130A96" w:rsidRDefault="001175EF" w:rsidP="00DE0273">
            <w:pPr>
              <w:pStyle w:val="TableParagraph"/>
              <w:jc w:val="center"/>
            </w:pPr>
            <w:r w:rsidRPr="00130A96">
              <w:t>9,26</w:t>
            </w:r>
          </w:p>
        </w:tc>
      </w:tr>
      <w:tr w:rsidR="00C0147E" w:rsidRPr="00130A96" w14:paraId="6D869458" w14:textId="77777777" w:rsidTr="002E6B56">
        <w:trPr>
          <w:trHeight w:val="221"/>
        </w:trPr>
        <w:tc>
          <w:tcPr>
            <w:tcW w:w="2691" w:type="dxa"/>
          </w:tcPr>
          <w:p w14:paraId="6D869454" w14:textId="7700CAFC" w:rsidR="00C0147E" w:rsidRPr="00130A96" w:rsidRDefault="00560FE8" w:rsidP="00130A96">
            <w:pPr>
              <w:pStyle w:val="TableParagraph"/>
            </w:pPr>
            <w:r w:rsidRPr="002B0E69">
              <w:t xml:space="preserve">Pokytis, palyginti su pradiniu </w:t>
            </w:r>
            <w:proofErr w:type="spellStart"/>
            <w:r w:rsidRPr="002B0E69">
              <w:t>rodmeniu</w:t>
            </w:r>
            <w:r w:rsidR="001175EF" w:rsidRPr="00130A96">
              <w:rPr>
                <w:vertAlign w:val="superscript"/>
              </w:rPr>
              <w:t>a</w:t>
            </w:r>
            <w:proofErr w:type="spellEnd"/>
          </w:p>
        </w:tc>
        <w:tc>
          <w:tcPr>
            <w:tcW w:w="2256" w:type="dxa"/>
          </w:tcPr>
          <w:p w14:paraId="6D869455" w14:textId="77777777" w:rsidR="00C0147E" w:rsidRPr="00130A96" w:rsidRDefault="001175EF" w:rsidP="00DE0273">
            <w:pPr>
              <w:pStyle w:val="TableParagraph"/>
              <w:jc w:val="center"/>
            </w:pPr>
            <w:r w:rsidRPr="00130A96">
              <w:t>-1,98</w:t>
            </w:r>
          </w:p>
        </w:tc>
        <w:tc>
          <w:tcPr>
            <w:tcW w:w="1986" w:type="dxa"/>
          </w:tcPr>
          <w:p w14:paraId="6D869456" w14:textId="77777777" w:rsidR="00C0147E" w:rsidRPr="00130A96" w:rsidRDefault="001175EF" w:rsidP="00DE0273">
            <w:pPr>
              <w:pStyle w:val="TableParagraph"/>
              <w:jc w:val="center"/>
            </w:pPr>
            <w:r w:rsidRPr="00130A96">
              <w:t>-1,39</w:t>
            </w:r>
          </w:p>
        </w:tc>
        <w:tc>
          <w:tcPr>
            <w:tcW w:w="2144" w:type="dxa"/>
          </w:tcPr>
          <w:p w14:paraId="6D869457" w14:textId="77777777" w:rsidR="00C0147E" w:rsidRPr="00130A96" w:rsidRDefault="001175EF" w:rsidP="00DE0273">
            <w:pPr>
              <w:pStyle w:val="TableParagraph"/>
              <w:jc w:val="center"/>
            </w:pPr>
            <w:r w:rsidRPr="00130A96">
              <w:t>-1,60</w:t>
            </w:r>
          </w:p>
        </w:tc>
      </w:tr>
      <w:tr w:rsidR="00C0147E" w:rsidRPr="00130A96" w14:paraId="6D869461" w14:textId="77777777" w:rsidTr="002E6B56">
        <w:trPr>
          <w:trHeight w:val="1104"/>
        </w:trPr>
        <w:tc>
          <w:tcPr>
            <w:tcW w:w="2691" w:type="dxa"/>
            <w:tcBorders>
              <w:bottom w:val="single" w:sz="4" w:space="0" w:color="000000"/>
            </w:tcBorders>
          </w:tcPr>
          <w:p w14:paraId="6D869459" w14:textId="723224BB" w:rsidR="00C0147E" w:rsidRPr="00130A96" w:rsidRDefault="00484459" w:rsidP="00130A96">
            <w:pPr>
              <w:pStyle w:val="TableParagraph"/>
            </w:pPr>
            <w:r w:rsidRPr="00484459">
              <w:t>Vidutinis pokyčio nuo pradinio rodmens skirtumas vartojant derinio ir atskirų vaistinių preparatų (95 % PI)</w:t>
            </w:r>
          </w:p>
        </w:tc>
        <w:tc>
          <w:tcPr>
            <w:tcW w:w="2256" w:type="dxa"/>
            <w:tcBorders>
              <w:bottom w:val="single" w:sz="4" w:space="0" w:color="000000"/>
            </w:tcBorders>
          </w:tcPr>
          <w:p w14:paraId="6D86945A" w14:textId="77777777" w:rsidR="00C0147E" w:rsidRPr="00130A96" w:rsidRDefault="00C0147E" w:rsidP="00DE0273">
            <w:pPr>
              <w:pStyle w:val="TableParagraph"/>
              <w:jc w:val="center"/>
            </w:pPr>
          </w:p>
        </w:tc>
        <w:tc>
          <w:tcPr>
            <w:tcW w:w="1986" w:type="dxa"/>
            <w:tcBorders>
              <w:bottom w:val="single" w:sz="4" w:space="0" w:color="000000"/>
            </w:tcBorders>
          </w:tcPr>
          <w:p w14:paraId="6D86945B" w14:textId="77777777" w:rsidR="00C0147E" w:rsidRPr="00130A96" w:rsidRDefault="00C0147E" w:rsidP="00DE0273">
            <w:pPr>
              <w:pStyle w:val="TableParagraph"/>
              <w:jc w:val="center"/>
              <w:rPr>
                <w:b/>
              </w:rPr>
            </w:pPr>
          </w:p>
          <w:p w14:paraId="6D86945C" w14:textId="77777777" w:rsidR="00C0147E" w:rsidRPr="00130A96" w:rsidRDefault="001175EF" w:rsidP="00DE0273">
            <w:pPr>
              <w:pStyle w:val="TableParagraph"/>
              <w:jc w:val="center"/>
            </w:pPr>
            <w:r w:rsidRPr="00130A96">
              <w:t>-0,59*</w:t>
            </w:r>
          </w:p>
          <w:p w14:paraId="6D86945D" w14:textId="77777777" w:rsidR="00C0147E" w:rsidRPr="00130A96" w:rsidRDefault="001175EF" w:rsidP="00DE0273">
            <w:pPr>
              <w:pStyle w:val="TableParagraph"/>
              <w:jc w:val="center"/>
            </w:pPr>
            <w:r w:rsidRPr="00130A96">
              <w:t>(-0,84, -0,34)</w:t>
            </w:r>
          </w:p>
        </w:tc>
        <w:tc>
          <w:tcPr>
            <w:tcW w:w="2144" w:type="dxa"/>
            <w:tcBorders>
              <w:bottom w:val="single" w:sz="4" w:space="0" w:color="000000"/>
            </w:tcBorders>
          </w:tcPr>
          <w:p w14:paraId="6D86945E" w14:textId="77777777" w:rsidR="00C0147E" w:rsidRPr="00130A96" w:rsidRDefault="00C0147E" w:rsidP="00DE0273">
            <w:pPr>
              <w:pStyle w:val="TableParagraph"/>
              <w:jc w:val="center"/>
              <w:rPr>
                <w:b/>
              </w:rPr>
            </w:pPr>
          </w:p>
          <w:p w14:paraId="6D86945F" w14:textId="77777777" w:rsidR="00C0147E" w:rsidRPr="00130A96" w:rsidRDefault="001175EF" w:rsidP="00DE0273">
            <w:pPr>
              <w:pStyle w:val="TableParagraph"/>
              <w:jc w:val="center"/>
            </w:pPr>
            <w:r w:rsidRPr="00130A96">
              <w:t>-0,38**</w:t>
            </w:r>
          </w:p>
          <w:p w14:paraId="6D869460" w14:textId="77777777" w:rsidR="00C0147E" w:rsidRPr="00130A96" w:rsidRDefault="001175EF" w:rsidP="00DE0273">
            <w:pPr>
              <w:pStyle w:val="TableParagraph"/>
              <w:jc w:val="center"/>
            </w:pPr>
            <w:r w:rsidRPr="00130A96">
              <w:t>(-0,63, -0,13)</w:t>
            </w:r>
          </w:p>
        </w:tc>
      </w:tr>
      <w:tr w:rsidR="00C0147E" w:rsidRPr="00130A96" w14:paraId="6D869466" w14:textId="77777777" w:rsidTr="002E6B56">
        <w:trPr>
          <w:trHeight w:val="640"/>
        </w:trPr>
        <w:tc>
          <w:tcPr>
            <w:tcW w:w="2691" w:type="dxa"/>
            <w:tcBorders>
              <w:top w:val="single" w:sz="4" w:space="0" w:color="000000"/>
              <w:bottom w:val="single" w:sz="4" w:space="0" w:color="000000"/>
            </w:tcBorders>
          </w:tcPr>
          <w:p w14:paraId="360CAF83" w14:textId="77777777" w:rsidR="00C0147E" w:rsidRDefault="002E6B56" w:rsidP="00130A96">
            <w:pPr>
              <w:pStyle w:val="TableParagraph"/>
              <w:rPr>
                <w:b/>
              </w:rPr>
            </w:pPr>
            <w:r w:rsidRPr="00130A96">
              <w:rPr>
                <w:b/>
              </w:rPr>
              <w:t xml:space="preserve">Asmenys, kurių HbA1c </w:t>
            </w:r>
            <w:r>
              <w:rPr>
                <w:b/>
              </w:rPr>
              <w:t>tapo</w:t>
            </w:r>
            <w:r w:rsidRPr="00130A96">
              <w:rPr>
                <w:b/>
              </w:rPr>
              <w:t xml:space="preserve"> </w:t>
            </w:r>
            <w:r>
              <w:rPr>
                <w:b/>
              </w:rPr>
              <w:t>&lt; </w:t>
            </w:r>
            <w:r w:rsidRPr="00130A96">
              <w:rPr>
                <w:b/>
              </w:rPr>
              <w:t>7</w:t>
            </w:r>
            <w:r>
              <w:rPr>
                <w:b/>
              </w:rPr>
              <w:t> %</w:t>
            </w:r>
            <w:r w:rsidRPr="00130A96">
              <w:rPr>
                <w:b/>
              </w:rPr>
              <w:t xml:space="preserve"> (LOCF)</w:t>
            </w:r>
          </w:p>
          <w:p w14:paraId="6D869462" w14:textId="6B1EED27" w:rsidR="00864019" w:rsidRPr="00130A96" w:rsidRDefault="00864019" w:rsidP="00130A96">
            <w:pPr>
              <w:pStyle w:val="TableParagraph"/>
              <w:rPr>
                <w:b/>
              </w:rPr>
            </w:pPr>
          </w:p>
        </w:tc>
        <w:tc>
          <w:tcPr>
            <w:tcW w:w="2256" w:type="dxa"/>
            <w:tcBorders>
              <w:top w:val="single" w:sz="4" w:space="0" w:color="000000"/>
              <w:bottom w:val="single" w:sz="4" w:space="0" w:color="000000"/>
            </w:tcBorders>
          </w:tcPr>
          <w:p w14:paraId="6D869463" w14:textId="77777777" w:rsidR="00C0147E" w:rsidRPr="00130A96" w:rsidRDefault="001175EF" w:rsidP="00DE0273">
            <w:pPr>
              <w:pStyle w:val="TableParagraph"/>
              <w:jc w:val="center"/>
            </w:pPr>
            <w:r w:rsidRPr="00130A96">
              <w:t>44,7</w:t>
            </w:r>
          </w:p>
        </w:tc>
        <w:tc>
          <w:tcPr>
            <w:tcW w:w="1986" w:type="dxa"/>
            <w:tcBorders>
              <w:top w:val="single" w:sz="4" w:space="0" w:color="000000"/>
              <w:bottom w:val="single" w:sz="4" w:space="0" w:color="000000"/>
            </w:tcBorders>
          </w:tcPr>
          <w:p w14:paraId="6D869464" w14:textId="77777777" w:rsidR="00C0147E" w:rsidRPr="00130A96" w:rsidRDefault="001175EF" w:rsidP="00DE0273">
            <w:pPr>
              <w:pStyle w:val="TableParagraph"/>
              <w:jc w:val="center"/>
            </w:pPr>
            <w:r w:rsidRPr="00130A96">
              <w:t>19,1</w:t>
            </w:r>
          </w:p>
        </w:tc>
        <w:tc>
          <w:tcPr>
            <w:tcW w:w="2144" w:type="dxa"/>
            <w:tcBorders>
              <w:top w:val="single" w:sz="4" w:space="0" w:color="000000"/>
              <w:bottom w:val="single" w:sz="4" w:space="0" w:color="000000"/>
            </w:tcBorders>
          </w:tcPr>
          <w:p w14:paraId="6D869465" w14:textId="77777777" w:rsidR="00C0147E" w:rsidRPr="00130A96" w:rsidRDefault="001175EF" w:rsidP="00DE0273">
            <w:pPr>
              <w:pStyle w:val="TableParagraph"/>
              <w:jc w:val="center"/>
            </w:pPr>
            <w:r w:rsidRPr="00130A96">
              <w:t>26,9</w:t>
            </w:r>
          </w:p>
        </w:tc>
      </w:tr>
      <w:tr w:rsidR="00C0147E" w:rsidRPr="00130A96" w14:paraId="6D86946B" w14:textId="77777777" w:rsidTr="002E6B56">
        <w:trPr>
          <w:trHeight w:val="264"/>
        </w:trPr>
        <w:tc>
          <w:tcPr>
            <w:tcW w:w="2691" w:type="dxa"/>
            <w:tcBorders>
              <w:top w:val="single" w:sz="4" w:space="0" w:color="000000"/>
            </w:tcBorders>
          </w:tcPr>
          <w:p w14:paraId="6D869467" w14:textId="4A4A1C46" w:rsidR="00C0147E" w:rsidRPr="00130A96" w:rsidRDefault="001175EF" w:rsidP="00130A96">
            <w:pPr>
              <w:pStyle w:val="TableParagraph"/>
              <w:rPr>
                <w:b/>
              </w:rPr>
            </w:pPr>
            <w:r w:rsidRPr="00130A96">
              <w:rPr>
                <w:b/>
              </w:rPr>
              <w:t>Kūno svoris (kg)</w:t>
            </w:r>
          </w:p>
        </w:tc>
        <w:tc>
          <w:tcPr>
            <w:tcW w:w="2256" w:type="dxa"/>
            <w:tcBorders>
              <w:top w:val="single" w:sz="4" w:space="0" w:color="000000"/>
            </w:tcBorders>
          </w:tcPr>
          <w:p w14:paraId="6D869468" w14:textId="77777777" w:rsidR="00C0147E" w:rsidRPr="00130A96" w:rsidRDefault="00C0147E" w:rsidP="00DE0273">
            <w:pPr>
              <w:pStyle w:val="TableParagraph"/>
              <w:jc w:val="center"/>
            </w:pPr>
          </w:p>
        </w:tc>
        <w:tc>
          <w:tcPr>
            <w:tcW w:w="1986" w:type="dxa"/>
            <w:tcBorders>
              <w:top w:val="single" w:sz="4" w:space="0" w:color="000000"/>
            </w:tcBorders>
          </w:tcPr>
          <w:p w14:paraId="6D869469" w14:textId="77777777" w:rsidR="00C0147E" w:rsidRPr="00130A96" w:rsidRDefault="00C0147E" w:rsidP="00DE0273">
            <w:pPr>
              <w:pStyle w:val="TableParagraph"/>
              <w:jc w:val="center"/>
            </w:pPr>
          </w:p>
        </w:tc>
        <w:tc>
          <w:tcPr>
            <w:tcW w:w="2144" w:type="dxa"/>
            <w:tcBorders>
              <w:top w:val="single" w:sz="4" w:space="0" w:color="000000"/>
            </w:tcBorders>
          </w:tcPr>
          <w:p w14:paraId="6D86946A" w14:textId="77777777" w:rsidR="00C0147E" w:rsidRPr="00130A96" w:rsidRDefault="00C0147E" w:rsidP="00DE0273">
            <w:pPr>
              <w:pStyle w:val="TableParagraph"/>
              <w:jc w:val="center"/>
            </w:pPr>
          </w:p>
        </w:tc>
      </w:tr>
      <w:tr w:rsidR="002E6B56" w:rsidRPr="00130A96" w14:paraId="6D869470" w14:textId="77777777" w:rsidTr="002E6B56">
        <w:trPr>
          <w:trHeight w:val="260"/>
        </w:trPr>
        <w:tc>
          <w:tcPr>
            <w:tcW w:w="2691" w:type="dxa"/>
          </w:tcPr>
          <w:p w14:paraId="6D86946C" w14:textId="3D56986F" w:rsidR="002E6B56" w:rsidRPr="00130A96" w:rsidRDefault="002E6B56" w:rsidP="002E6B56">
            <w:pPr>
              <w:pStyle w:val="TableParagraph"/>
            </w:pPr>
            <w:r w:rsidRPr="00536FA9">
              <w:t>Pradinis rodmuo (vidurkis)</w:t>
            </w:r>
          </w:p>
        </w:tc>
        <w:tc>
          <w:tcPr>
            <w:tcW w:w="2256" w:type="dxa"/>
          </w:tcPr>
          <w:p w14:paraId="6D86946D" w14:textId="77777777" w:rsidR="002E6B56" w:rsidRPr="00130A96" w:rsidRDefault="002E6B56" w:rsidP="002E6B56">
            <w:pPr>
              <w:pStyle w:val="TableParagraph"/>
              <w:jc w:val="center"/>
            </w:pPr>
            <w:r w:rsidRPr="00130A96">
              <w:t>92,13</w:t>
            </w:r>
          </w:p>
        </w:tc>
        <w:tc>
          <w:tcPr>
            <w:tcW w:w="1986" w:type="dxa"/>
          </w:tcPr>
          <w:p w14:paraId="6D86946E" w14:textId="77777777" w:rsidR="002E6B56" w:rsidRPr="00130A96" w:rsidRDefault="002E6B56" w:rsidP="002E6B56">
            <w:pPr>
              <w:pStyle w:val="TableParagraph"/>
              <w:jc w:val="center"/>
            </w:pPr>
            <w:r w:rsidRPr="00130A96">
              <w:t>90,87</w:t>
            </w:r>
          </w:p>
        </w:tc>
        <w:tc>
          <w:tcPr>
            <w:tcW w:w="2144" w:type="dxa"/>
          </w:tcPr>
          <w:p w14:paraId="6D86946F" w14:textId="77777777" w:rsidR="002E6B56" w:rsidRPr="00130A96" w:rsidRDefault="002E6B56" w:rsidP="002E6B56">
            <w:pPr>
              <w:pStyle w:val="TableParagraph"/>
              <w:jc w:val="center"/>
            </w:pPr>
            <w:r w:rsidRPr="00130A96">
              <w:t>89,12</w:t>
            </w:r>
          </w:p>
        </w:tc>
      </w:tr>
      <w:tr w:rsidR="002E6B56" w:rsidRPr="00130A96" w14:paraId="6D869475" w14:textId="77777777" w:rsidTr="002E6B56">
        <w:trPr>
          <w:trHeight w:val="305"/>
        </w:trPr>
        <w:tc>
          <w:tcPr>
            <w:tcW w:w="2691" w:type="dxa"/>
          </w:tcPr>
          <w:p w14:paraId="6D869471" w14:textId="542FE363" w:rsidR="002E6B56" w:rsidRPr="00130A96" w:rsidRDefault="002E6B56" w:rsidP="002E6B56">
            <w:pPr>
              <w:pStyle w:val="TableParagraph"/>
            </w:pPr>
            <w:r w:rsidRPr="002B0E69">
              <w:lastRenderedPageBreak/>
              <w:t xml:space="preserve">Pokytis, palyginti su pradiniu </w:t>
            </w:r>
            <w:proofErr w:type="spellStart"/>
            <w:r w:rsidRPr="002B0E69">
              <w:t>rodmeniu</w:t>
            </w:r>
            <w:r w:rsidRPr="00130A96">
              <w:rPr>
                <w:vertAlign w:val="superscript"/>
              </w:rPr>
              <w:t>a</w:t>
            </w:r>
            <w:proofErr w:type="spellEnd"/>
          </w:p>
        </w:tc>
        <w:tc>
          <w:tcPr>
            <w:tcW w:w="2256" w:type="dxa"/>
          </w:tcPr>
          <w:p w14:paraId="6D869472" w14:textId="77777777" w:rsidR="002E6B56" w:rsidRPr="00130A96" w:rsidRDefault="002E6B56" w:rsidP="002E6B56">
            <w:pPr>
              <w:pStyle w:val="TableParagraph"/>
              <w:jc w:val="center"/>
            </w:pPr>
            <w:r w:rsidRPr="00130A96">
              <w:t>-3,55</w:t>
            </w:r>
          </w:p>
        </w:tc>
        <w:tc>
          <w:tcPr>
            <w:tcW w:w="1986" w:type="dxa"/>
          </w:tcPr>
          <w:p w14:paraId="6D869473" w14:textId="77777777" w:rsidR="002E6B56" w:rsidRPr="00130A96" w:rsidRDefault="002E6B56" w:rsidP="002E6B56">
            <w:pPr>
              <w:pStyle w:val="TableParagraph"/>
              <w:jc w:val="center"/>
            </w:pPr>
            <w:r w:rsidRPr="00130A96">
              <w:t>-2,22</w:t>
            </w:r>
          </w:p>
        </w:tc>
        <w:tc>
          <w:tcPr>
            <w:tcW w:w="2144" w:type="dxa"/>
          </w:tcPr>
          <w:p w14:paraId="6D869474" w14:textId="77777777" w:rsidR="002E6B56" w:rsidRPr="00130A96" w:rsidRDefault="002E6B56" w:rsidP="002E6B56">
            <w:pPr>
              <w:pStyle w:val="TableParagraph"/>
              <w:jc w:val="center"/>
            </w:pPr>
            <w:r w:rsidRPr="00130A96">
              <w:t>-1,56</w:t>
            </w:r>
          </w:p>
        </w:tc>
      </w:tr>
      <w:tr w:rsidR="002E6B56" w:rsidRPr="00130A96" w14:paraId="6D86947E" w14:textId="77777777" w:rsidTr="00864019">
        <w:trPr>
          <w:trHeight w:val="1091"/>
        </w:trPr>
        <w:tc>
          <w:tcPr>
            <w:tcW w:w="2691" w:type="dxa"/>
            <w:tcBorders>
              <w:bottom w:val="single" w:sz="12" w:space="0" w:color="000000"/>
            </w:tcBorders>
          </w:tcPr>
          <w:p w14:paraId="6D869476" w14:textId="618F9C91" w:rsidR="002E6B56" w:rsidRPr="00130A96" w:rsidRDefault="002E6B56" w:rsidP="002E6B56">
            <w:pPr>
              <w:pStyle w:val="TableParagraph"/>
            </w:pPr>
            <w:r w:rsidRPr="00484459">
              <w:t>Vidutinis pokyčio nuo pradinio rodmens skirtumas vartojant derinio ir atskirų vaistinių preparatų (95 % PI)</w:t>
            </w:r>
          </w:p>
        </w:tc>
        <w:tc>
          <w:tcPr>
            <w:tcW w:w="2256" w:type="dxa"/>
            <w:tcBorders>
              <w:bottom w:val="single" w:sz="12" w:space="0" w:color="000000"/>
            </w:tcBorders>
          </w:tcPr>
          <w:p w14:paraId="6D869477" w14:textId="77777777" w:rsidR="002E6B56" w:rsidRPr="00130A96" w:rsidRDefault="002E6B56" w:rsidP="002E6B56">
            <w:pPr>
              <w:pStyle w:val="TableParagraph"/>
              <w:jc w:val="center"/>
            </w:pPr>
          </w:p>
        </w:tc>
        <w:tc>
          <w:tcPr>
            <w:tcW w:w="1986" w:type="dxa"/>
            <w:tcBorders>
              <w:bottom w:val="single" w:sz="12" w:space="0" w:color="000000"/>
            </w:tcBorders>
          </w:tcPr>
          <w:p w14:paraId="6D869478" w14:textId="77777777" w:rsidR="002E6B56" w:rsidRPr="00130A96" w:rsidRDefault="002E6B56" w:rsidP="002E6B56">
            <w:pPr>
              <w:pStyle w:val="TableParagraph"/>
              <w:jc w:val="center"/>
              <w:rPr>
                <w:b/>
              </w:rPr>
            </w:pPr>
          </w:p>
          <w:p w14:paraId="6D869479" w14:textId="77777777" w:rsidR="002E6B56" w:rsidRPr="00130A96" w:rsidRDefault="002E6B56" w:rsidP="002E6B56">
            <w:pPr>
              <w:pStyle w:val="TableParagraph"/>
              <w:jc w:val="center"/>
            </w:pPr>
            <w:r w:rsidRPr="00130A96">
              <w:t>-1,33*</w:t>
            </w:r>
          </w:p>
          <w:p w14:paraId="6D86947A" w14:textId="77777777" w:rsidR="002E6B56" w:rsidRPr="00130A96" w:rsidRDefault="002E6B56" w:rsidP="002E6B56">
            <w:pPr>
              <w:pStyle w:val="TableParagraph"/>
              <w:jc w:val="center"/>
            </w:pPr>
            <w:r w:rsidRPr="00130A96">
              <w:t>(-2,12, -0,55)</w:t>
            </w:r>
          </w:p>
        </w:tc>
        <w:tc>
          <w:tcPr>
            <w:tcW w:w="2144" w:type="dxa"/>
            <w:tcBorders>
              <w:bottom w:val="single" w:sz="12" w:space="0" w:color="000000"/>
            </w:tcBorders>
          </w:tcPr>
          <w:p w14:paraId="6D86947B" w14:textId="77777777" w:rsidR="002E6B56" w:rsidRPr="00130A96" w:rsidRDefault="002E6B56" w:rsidP="002E6B56">
            <w:pPr>
              <w:pStyle w:val="TableParagraph"/>
              <w:jc w:val="center"/>
              <w:rPr>
                <w:b/>
              </w:rPr>
            </w:pPr>
          </w:p>
          <w:p w14:paraId="6D86947C" w14:textId="77777777" w:rsidR="002E6B56" w:rsidRPr="00130A96" w:rsidRDefault="002E6B56" w:rsidP="002E6B56">
            <w:pPr>
              <w:pStyle w:val="TableParagraph"/>
              <w:jc w:val="center"/>
            </w:pPr>
            <w:r w:rsidRPr="00130A96">
              <w:t>-2,00*</w:t>
            </w:r>
          </w:p>
          <w:p w14:paraId="6D86947D" w14:textId="77777777" w:rsidR="002E6B56" w:rsidRPr="00130A96" w:rsidRDefault="002E6B56" w:rsidP="002E6B56">
            <w:pPr>
              <w:pStyle w:val="TableParagraph"/>
              <w:jc w:val="center"/>
            </w:pPr>
            <w:r w:rsidRPr="00130A96">
              <w:t>(-2,79, -1,20)</w:t>
            </w:r>
          </w:p>
        </w:tc>
      </w:tr>
    </w:tbl>
    <w:p w14:paraId="5D221452" w14:textId="77777777" w:rsidR="002F2351" w:rsidRPr="00F96E32" w:rsidRDefault="002F2351" w:rsidP="002F2351">
      <w:pPr>
        <w:pStyle w:val="TableParagraph"/>
        <w:rPr>
          <w:sz w:val="20"/>
          <w:szCs w:val="20"/>
        </w:rPr>
      </w:pPr>
      <w:r w:rsidRPr="00F96E32">
        <w:rPr>
          <w:sz w:val="20"/>
          <w:szCs w:val="20"/>
        </w:rPr>
        <w:t xml:space="preserve">N – pacientų skaičius, PI – </w:t>
      </w:r>
      <w:proofErr w:type="spellStart"/>
      <w:r w:rsidRPr="00F96E32">
        <w:rPr>
          <w:sz w:val="20"/>
          <w:szCs w:val="20"/>
        </w:rPr>
        <w:t>pasikliautinasis</w:t>
      </w:r>
      <w:proofErr w:type="spellEnd"/>
      <w:r w:rsidRPr="00F96E32">
        <w:rPr>
          <w:sz w:val="20"/>
          <w:szCs w:val="20"/>
        </w:rPr>
        <w:t xml:space="preserve"> intervalas</w:t>
      </w:r>
    </w:p>
    <w:p w14:paraId="7F7275F0" w14:textId="42ACB070" w:rsidR="002F2351" w:rsidRPr="00F96E32" w:rsidRDefault="002F2351" w:rsidP="002F2351">
      <w:pPr>
        <w:pStyle w:val="TableParagraph"/>
        <w:rPr>
          <w:sz w:val="20"/>
          <w:szCs w:val="20"/>
        </w:rPr>
      </w:pPr>
      <w:r w:rsidRPr="00F96E32">
        <w:rPr>
          <w:sz w:val="20"/>
          <w:szCs w:val="20"/>
          <w:vertAlign w:val="superscript"/>
        </w:rPr>
        <w:t>a</w:t>
      </w:r>
      <w:r w:rsidRPr="00F96E32">
        <w:rPr>
          <w:sz w:val="20"/>
          <w:szCs w:val="20"/>
        </w:rPr>
        <w:t xml:space="preserve"> Koreguoti mažiausių kvadratų (LS) vidurkiai ir po 28 savaičių užfiksuotų pokyčių, palyginus su pradiniais duomenimis, skirtumai tarp gydymo grupių sumodeliuoti naudojant mišrų modelį su kartojamomis priemonėmis (angl. </w:t>
      </w:r>
      <w:proofErr w:type="spellStart"/>
      <w:r w:rsidRPr="00F96E32">
        <w:rPr>
          <w:i/>
          <w:sz w:val="20"/>
          <w:szCs w:val="20"/>
        </w:rPr>
        <w:t>mixed</w:t>
      </w:r>
      <w:proofErr w:type="spellEnd"/>
      <w:r w:rsidRPr="00F96E32">
        <w:rPr>
          <w:i/>
          <w:sz w:val="20"/>
          <w:szCs w:val="20"/>
        </w:rPr>
        <w:t xml:space="preserve"> </w:t>
      </w:r>
      <w:proofErr w:type="spellStart"/>
      <w:r w:rsidRPr="00F96E32">
        <w:rPr>
          <w:i/>
          <w:sz w:val="20"/>
          <w:szCs w:val="20"/>
        </w:rPr>
        <w:t>model</w:t>
      </w:r>
      <w:proofErr w:type="spellEnd"/>
      <w:r w:rsidRPr="00F96E32">
        <w:rPr>
          <w:i/>
          <w:sz w:val="20"/>
          <w:szCs w:val="20"/>
        </w:rPr>
        <w:t xml:space="preserve"> </w:t>
      </w:r>
      <w:proofErr w:type="spellStart"/>
      <w:r w:rsidRPr="00F96E32">
        <w:rPr>
          <w:i/>
          <w:sz w:val="20"/>
          <w:szCs w:val="20"/>
        </w:rPr>
        <w:t>with</w:t>
      </w:r>
      <w:proofErr w:type="spellEnd"/>
      <w:r w:rsidRPr="00F96E32">
        <w:rPr>
          <w:i/>
          <w:sz w:val="20"/>
          <w:szCs w:val="20"/>
        </w:rPr>
        <w:t xml:space="preserve"> </w:t>
      </w:r>
      <w:proofErr w:type="spellStart"/>
      <w:r w:rsidRPr="00F96E32">
        <w:rPr>
          <w:i/>
          <w:sz w:val="20"/>
          <w:szCs w:val="20"/>
        </w:rPr>
        <w:t>repeated</w:t>
      </w:r>
      <w:proofErr w:type="spellEnd"/>
      <w:r w:rsidRPr="00F96E32">
        <w:rPr>
          <w:i/>
          <w:sz w:val="20"/>
          <w:szCs w:val="20"/>
        </w:rPr>
        <w:t xml:space="preserve"> </w:t>
      </w:r>
      <w:proofErr w:type="spellStart"/>
      <w:r w:rsidRPr="00F96E32">
        <w:rPr>
          <w:i/>
          <w:sz w:val="20"/>
          <w:szCs w:val="20"/>
        </w:rPr>
        <w:t>measures</w:t>
      </w:r>
      <w:proofErr w:type="spellEnd"/>
      <w:r w:rsidRPr="00F96E32">
        <w:rPr>
          <w:sz w:val="20"/>
          <w:szCs w:val="20"/>
        </w:rPr>
        <w:t xml:space="preserve">, MMRM), įskaitant gydymą, regioną, pradinę HbA1c koncentracijos kategoriją (&lt; 9,0 % ar ≥ 9,0 %), savaitę, gydymą pagal savaites kaip fiksuotus faktorius, ir pradinį </w:t>
      </w:r>
      <w:r w:rsidR="00314787" w:rsidRPr="00F96E32">
        <w:rPr>
          <w:sz w:val="20"/>
          <w:szCs w:val="20"/>
        </w:rPr>
        <w:t>rodmenį</w:t>
      </w:r>
      <w:r w:rsidRPr="00F96E32">
        <w:rPr>
          <w:sz w:val="20"/>
          <w:szCs w:val="20"/>
        </w:rPr>
        <w:t xml:space="preserve"> kaip kintamąjį.</w:t>
      </w:r>
    </w:p>
    <w:p w14:paraId="65236475" w14:textId="77777777" w:rsidR="002F2351" w:rsidRPr="00F96E32" w:rsidRDefault="002F2351" w:rsidP="002F2351">
      <w:pPr>
        <w:pStyle w:val="TableParagraph"/>
        <w:rPr>
          <w:sz w:val="20"/>
          <w:szCs w:val="20"/>
        </w:rPr>
      </w:pPr>
      <w:r w:rsidRPr="00F96E32">
        <w:rPr>
          <w:sz w:val="20"/>
          <w:szCs w:val="20"/>
          <w:vertAlign w:val="superscript"/>
        </w:rPr>
        <w:t>*</w:t>
      </w:r>
      <w:r w:rsidRPr="00F96E32">
        <w:rPr>
          <w:sz w:val="20"/>
          <w:szCs w:val="20"/>
        </w:rPr>
        <w:t xml:space="preserve">p &lt; 0,001, </w:t>
      </w:r>
      <w:r w:rsidRPr="00F96E32">
        <w:rPr>
          <w:sz w:val="20"/>
          <w:szCs w:val="20"/>
          <w:vertAlign w:val="superscript"/>
        </w:rPr>
        <w:t>**</w:t>
      </w:r>
      <w:r w:rsidRPr="00F96E32">
        <w:rPr>
          <w:sz w:val="20"/>
          <w:szCs w:val="20"/>
        </w:rPr>
        <w:t>p &lt; 0,01</w:t>
      </w:r>
    </w:p>
    <w:p w14:paraId="19D1C87A" w14:textId="77777777" w:rsidR="002F2351" w:rsidRPr="00F96E32" w:rsidRDefault="002F2351" w:rsidP="002F2351">
      <w:pPr>
        <w:pStyle w:val="TableParagraph"/>
        <w:rPr>
          <w:sz w:val="20"/>
          <w:szCs w:val="20"/>
        </w:rPr>
      </w:pPr>
      <w:r w:rsidRPr="00F96E32">
        <w:rPr>
          <w:sz w:val="20"/>
          <w:szCs w:val="20"/>
        </w:rPr>
        <w:t>Visos p reikšmės yra koreguotos atsižvelgiant į daugelio faktorių buvimą.</w:t>
      </w:r>
    </w:p>
    <w:p w14:paraId="6D869485" w14:textId="4BC719C8" w:rsidR="00C0147E" w:rsidRPr="00F96E32" w:rsidRDefault="0019741F" w:rsidP="002F2351">
      <w:pPr>
        <w:pStyle w:val="Pagrindinistekstas"/>
        <w:rPr>
          <w:sz w:val="20"/>
          <w:szCs w:val="20"/>
        </w:rPr>
      </w:pPr>
      <w:r w:rsidRPr="00F96E32">
        <w:rPr>
          <w:sz w:val="20"/>
          <w:szCs w:val="20"/>
        </w:rPr>
        <w:t>Į analizę neįtraukti</w:t>
      </w:r>
      <w:r w:rsidR="002F2351" w:rsidRPr="00F96E32">
        <w:rPr>
          <w:sz w:val="20"/>
          <w:szCs w:val="20"/>
        </w:rPr>
        <w:t xml:space="preserve"> atvejai po gelbstimojo gydymo ir atvejai, kai tiriamojo vaistinio preparato vartojimas nutrauktas anksčiau negu numatyta.</w:t>
      </w:r>
    </w:p>
    <w:p w14:paraId="08CB3838" w14:textId="77777777" w:rsidR="002F2351" w:rsidRPr="00130A96" w:rsidRDefault="002F2351" w:rsidP="002F2351">
      <w:pPr>
        <w:pStyle w:val="Pagrindinistekstas"/>
        <w:rPr>
          <w:b/>
        </w:rPr>
      </w:pPr>
    </w:p>
    <w:p w14:paraId="6D869486" w14:textId="77777777" w:rsidR="00C0147E" w:rsidRPr="00130A96" w:rsidRDefault="001175EF" w:rsidP="00130A96">
      <w:pPr>
        <w:rPr>
          <w:i/>
        </w:rPr>
      </w:pPr>
      <w:r w:rsidRPr="00130A96">
        <w:rPr>
          <w:i/>
          <w:u w:val="single"/>
        </w:rPr>
        <w:t>Gliukozės koncentracija plazmoje nevalgius</w:t>
      </w:r>
    </w:p>
    <w:p w14:paraId="6D869487" w14:textId="7E0AFC91" w:rsidR="00C0147E" w:rsidRPr="00130A96" w:rsidRDefault="001175EF" w:rsidP="00130A96">
      <w:pPr>
        <w:pStyle w:val="Pagrindinistekstas"/>
      </w:pPr>
      <w:r w:rsidRPr="00130A96">
        <w:t>Vartojant 10</w:t>
      </w:r>
      <w:r w:rsidR="00873FCC">
        <w:t> mg</w:t>
      </w:r>
      <w:r w:rsidRPr="00130A96">
        <w:t xml:space="preserve"> dapagliflozino </w:t>
      </w:r>
      <w:proofErr w:type="spellStart"/>
      <w:r w:rsidRPr="00130A96">
        <w:t>monoterapijai</w:t>
      </w:r>
      <w:proofErr w:type="spellEnd"/>
      <w:r w:rsidRPr="00130A96">
        <w:t xml:space="preserve"> arba papildoma</w:t>
      </w:r>
      <w:r w:rsidR="00926FE6">
        <w:t>i prie</w:t>
      </w:r>
      <w:r w:rsidRPr="00130A96">
        <w:t xml:space="preserve"> gydym</w:t>
      </w:r>
      <w:r w:rsidR="00926FE6">
        <w:t>o</w:t>
      </w:r>
      <w:r w:rsidRPr="00130A96">
        <w:t xml:space="preserve"> su </w:t>
      </w:r>
      <w:proofErr w:type="spellStart"/>
      <w:r w:rsidRPr="00130A96">
        <w:t>metforminu</w:t>
      </w:r>
      <w:proofErr w:type="spellEnd"/>
      <w:r w:rsidRPr="00130A96">
        <w:t xml:space="preserve">, </w:t>
      </w:r>
      <w:proofErr w:type="spellStart"/>
      <w:r w:rsidRPr="00130A96">
        <w:t>glimepiridu</w:t>
      </w:r>
      <w:proofErr w:type="spellEnd"/>
      <w:r w:rsidRPr="00130A96">
        <w:t xml:space="preserve">, </w:t>
      </w:r>
      <w:proofErr w:type="spellStart"/>
      <w:r w:rsidRPr="00130A96">
        <w:t>metforminu</w:t>
      </w:r>
      <w:proofErr w:type="spellEnd"/>
      <w:r w:rsidRPr="00130A96">
        <w:t xml:space="preserve"> ir </w:t>
      </w:r>
      <w:proofErr w:type="spellStart"/>
      <w:r w:rsidRPr="00130A96">
        <w:t>sulfonilkarbamid</w:t>
      </w:r>
      <w:r w:rsidR="00926FE6">
        <w:t>o</w:t>
      </w:r>
      <w:proofErr w:type="spellEnd"/>
      <w:r w:rsidR="00926FE6">
        <w:t xml:space="preserve"> dariniu</w:t>
      </w:r>
      <w:r w:rsidRPr="00130A96">
        <w:t xml:space="preserve">, </w:t>
      </w:r>
      <w:proofErr w:type="spellStart"/>
      <w:r w:rsidRPr="00130A96">
        <w:t>sitagliptinu</w:t>
      </w:r>
      <w:proofErr w:type="spellEnd"/>
      <w:r w:rsidRPr="00130A96">
        <w:t xml:space="preserve"> (kartu dar vartojant </w:t>
      </w:r>
      <w:proofErr w:type="spellStart"/>
      <w:r w:rsidRPr="00130A96">
        <w:t>metformino</w:t>
      </w:r>
      <w:proofErr w:type="spellEnd"/>
      <w:r w:rsidRPr="00130A96">
        <w:t xml:space="preserve"> arba jo nevartojant) ar insulinu, statistikai reikšmingai, palyginus su placebu, sumažėjo gliukozės koncentracija plazmoje nevalgius (jos pokytis buvo atitinkamai nuo </w:t>
      </w:r>
      <w:r w:rsidR="00ED1173">
        <w:t>-</w:t>
      </w:r>
      <w:r w:rsidRPr="00130A96">
        <w:t xml:space="preserve">1,90 iki </w:t>
      </w:r>
      <w:r w:rsidR="00ED1173">
        <w:t>-</w:t>
      </w:r>
      <w:r w:rsidRPr="00130A96">
        <w:t>1,20</w:t>
      </w:r>
      <w:r w:rsidR="00873FCC">
        <w:t> </w:t>
      </w:r>
      <w:proofErr w:type="spellStart"/>
      <w:r w:rsidR="00873FCC">
        <w:t>mmol</w:t>
      </w:r>
      <w:proofErr w:type="spellEnd"/>
      <w:r w:rsidRPr="00130A96">
        <w:t xml:space="preserve">/l, </w:t>
      </w:r>
      <w:r w:rsidR="00E02823">
        <w:t>[</w:t>
      </w:r>
      <w:r w:rsidRPr="00130A96">
        <w:t xml:space="preserve">nuo </w:t>
      </w:r>
      <w:r w:rsidR="00ED1173">
        <w:t>-</w:t>
      </w:r>
      <w:r w:rsidRPr="00130A96">
        <w:t xml:space="preserve">34,2 iki </w:t>
      </w:r>
      <w:r w:rsidR="00ED1173">
        <w:t>-</w:t>
      </w:r>
      <w:r w:rsidRPr="00130A96">
        <w:t>21,7</w:t>
      </w:r>
      <w:r w:rsidR="00873FCC">
        <w:t> mg</w:t>
      </w:r>
      <w:r w:rsidRPr="00130A96">
        <w:t>/dl</w:t>
      </w:r>
      <w:r w:rsidR="00E02823">
        <w:t>]</w:t>
      </w:r>
      <w:r w:rsidRPr="00130A96">
        <w:t xml:space="preserve"> ir nuo </w:t>
      </w:r>
      <w:r w:rsidR="00ED1173">
        <w:t>-</w:t>
      </w:r>
      <w:r w:rsidRPr="00130A96">
        <w:t>0,33 iki 0,21</w:t>
      </w:r>
      <w:r w:rsidR="00873FCC">
        <w:t> </w:t>
      </w:r>
      <w:proofErr w:type="spellStart"/>
      <w:r w:rsidR="00873FCC">
        <w:t>mmol</w:t>
      </w:r>
      <w:proofErr w:type="spellEnd"/>
      <w:r w:rsidRPr="00130A96">
        <w:t>/l</w:t>
      </w:r>
      <w:r w:rsidR="00042C9B">
        <w:t xml:space="preserve"> [</w:t>
      </w:r>
      <w:r w:rsidRPr="00130A96">
        <w:t xml:space="preserve">nuo </w:t>
      </w:r>
      <w:r w:rsidR="00042C9B">
        <w:t>-</w:t>
      </w:r>
      <w:r w:rsidRPr="00130A96">
        <w:t xml:space="preserve"> 6,0 iki 3,8</w:t>
      </w:r>
      <w:r w:rsidR="00873FCC">
        <w:t> mg</w:t>
      </w:r>
      <w:r w:rsidRPr="00130A96">
        <w:t>/dl</w:t>
      </w:r>
      <w:r w:rsidR="00042C9B">
        <w:t>]</w:t>
      </w:r>
      <w:r w:rsidRPr="00130A96">
        <w:t>. Toks poveikis pastebėtas po pirmos gydymo savaitės ir išliko 104</w:t>
      </w:r>
      <w:r w:rsidR="00ED6A21">
        <w:t> </w:t>
      </w:r>
      <w:r w:rsidRPr="00130A96">
        <w:t>savaites tęstų tyrimų metu.</w:t>
      </w:r>
    </w:p>
    <w:p w14:paraId="6D869488" w14:textId="77777777" w:rsidR="00C0147E" w:rsidRPr="00130A96" w:rsidRDefault="00C0147E" w:rsidP="00130A96">
      <w:pPr>
        <w:pStyle w:val="Pagrindinistekstas"/>
      </w:pPr>
    </w:p>
    <w:p w14:paraId="6D86948B" w14:textId="36531498" w:rsidR="00C0147E" w:rsidRPr="00130A96" w:rsidRDefault="008F54D4" w:rsidP="00130A96">
      <w:pPr>
        <w:pStyle w:val="Pagrindinistekstas"/>
      </w:pPr>
      <w:r>
        <w:t xml:space="preserve">Sudėtinis </w:t>
      </w:r>
      <w:r w:rsidR="001175EF" w:rsidRPr="00130A96">
        <w:t>gydymas vartojant 10</w:t>
      </w:r>
      <w:r w:rsidR="00873FCC">
        <w:t> mg</w:t>
      </w:r>
      <w:r w:rsidR="001175EF" w:rsidRPr="00130A96">
        <w:t xml:space="preserve"> dapagliflozino ir pailginto atpalaidavimo </w:t>
      </w:r>
      <w:proofErr w:type="spellStart"/>
      <w:r w:rsidR="001175EF" w:rsidRPr="00130A96">
        <w:t>eksenatid</w:t>
      </w:r>
      <w:r w:rsidR="00ED6A21">
        <w:t>o</w:t>
      </w:r>
      <w:proofErr w:type="spellEnd"/>
      <w:r w:rsidR="001175EF" w:rsidRPr="00130A96">
        <w:t xml:space="preserve"> </w:t>
      </w:r>
      <w:r>
        <w:t>lėmė</w:t>
      </w:r>
      <w:r w:rsidRPr="00130A96">
        <w:t xml:space="preserve"> </w:t>
      </w:r>
      <w:r w:rsidR="001175EF" w:rsidRPr="00130A96">
        <w:t>reikšmingai didesnį gliukozės koncentracijos plazmoje nevalgius sumažėjimą po 28</w:t>
      </w:r>
      <w:r w:rsidR="00D3250C">
        <w:t> </w:t>
      </w:r>
      <w:r w:rsidR="001175EF" w:rsidRPr="00130A96">
        <w:t>savaičių,</w:t>
      </w:r>
      <w:r w:rsidR="00E0281F">
        <w:t xml:space="preserve"> </w:t>
      </w:r>
      <w:proofErr w:type="spellStart"/>
      <w:r w:rsidR="001175EF" w:rsidRPr="00130A96">
        <w:t>t.y</w:t>
      </w:r>
      <w:proofErr w:type="spellEnd"/>
      <w:r w:rsidR="001175EF" w:rsidRPr="00130A96">
        <w:t xml:space="preserve">. </w:t>
      </w:r>
      <w:r w:rsidR="00B83F3D">
        <w:noBreakHyphen/>
      </w:r>
      <w:r w:rsidR="001175EF" w:rsidRPr="00130A96">
        <w:t>3,66</w:t>
      </w:r>
      <w:r w:rsidR="00873FCC">
        <w:t> </w:t>
      </w:r>
      <w:proofErr w:type="spellStart"/>
      <w:r w:rsidR="00873FCC">
        <w:t>mmol</w:t>
      </w:r>
      <w:proofErr w:type="spellEnd"/>
      <w:r w:rsidR="001175EF" w:rsidRPr="00130A96">
        <w:t>/l (-65,8</w:t>
      </w:r>
      <w:r w:rsidR="00873FCC">
        <w:t> mg</w:t>
      </w:r>
      <w:r w:rsidR="001175EF" w:rsidRPr="00130A96">
        <w:t>/dl) palyginus su -2,73</w:t>
      </w:r>
      <w:r w:rsidR="00873FCC">
        <w:t> </w:t>
      </w:r>
      <w:proofErr w:type="spellStart"/>
      <w:r w:rsidR="00873FCC">
        <w:t>mmol</w:t>
      </w:r>
      <w:proofErr w:type="spellEnd"/>
      <w:r w:rsidR="001175EF" w:rsidRPr="00130A96">
        <w:t>/l (-49,2</w:t>
      </w:r>
      <w:r w:rsidR="00873FCC">
        <w:t> mg</w:t>
      </w:r>
      <w:r w:rsidR="001175EF" w:rsidRPr="00130A96">
        <w:t>/dl) vartojus vien dapagliflozin</w:t>
      </w:r>
      <w:r w:rsidR="00D3250C">
        <w:t>o</w:t>
      </w:r>
      <w:r w:rsidR="001175EF" w:rsidRPr="00130A96">
        <w:t xml:space="preserve"> (p</w:t>
      </w:r>
      <w:r w:rsidR="00D3250C">
        <w:t> </w:t>
      </w:r>
      <w:r w:rsidR="00873FCC">
        <w:t>&lt; </w:t>
      </w:r>
      <w:r w:rsidR="001175EF" w:rsidRPr="00130A96">
        <w:t>0,001) ir -2</w:t>
      </w:r>
      <w:r w:rsidR="00D3250C">
        <w:t>,</w:t>
      </w:r>
      <w:r w:rsidR="001175EF" w:rsidRPr="00130A96">
        <w:t>54</w:t>
      </w:r>
      <w:r w:rsidR="00873FCC">
        <w:t> </w:t>
      </w:r>
      <w:proofErr w:type="spellStart"/>
      <w:r w:rsidR="00873FCC">
        <w:t>mmol</w:t>
      </w:r>
      <w:proofErr w:type="spellEnd"/>
      <w:r w:rsidR="001175EF" w:rsidRPr="00130A96">
        <w:t>/l (-45,8</w:t>
      </w:r>
      <w:r w:rsidR="00873FCC">
        <w:t> mg</w:t>
      </w:r>
      <w:r w:rsidR="001175EF" w:rsidRPr="00130A96">
        <w:t xml:space="preserve">/dl) vartojus vien </w:t>
      </w:r>
      <w:proofErr w:type="spellStart"/>
      <w:r w:rsidR="001175EF" w:rsidRPr="00130A96">
        <w:t>eksenatid</w:t>
      </w:r>
      <w:r w:rsidR="00D3250C">
        <w:t>o</w:t>
      </w:r>
      <w:proofErr w:type="spellEnd"/>
      <w:r w:rsidR="001175EF" w:rsidRPr="00130A96">
        <w:t xml:space="preserve"> (p </w:t>
      </w:r>
      <w:r w:rsidR="00873FCC">
        <w:t>&lt; </w:t>
      </w:r>
      <w:r w:rsidR="001175EF" w:rsidRPr="00130A96">
        <w:t>0,001).</w:t>
      </w:r>
    </w:p>
    <w:p w14:paraId="6D86948C" w14:textId="77777777" w:rsidR="00C0147E" w:rsidRPr="00130A96" w:rsidRDefault="00C0147E" w:rsidP="00130A96">
      <w:pPr>
        <w:pStyle w:val="Pagrindinistekstas"/>
      </w:pPr>
    </w:p>
    <w:p w14:paraId="6D86948D" w14:textId="2C49E67C" w:rsidR="00C0147E" w:rsidRPr="00130A96" w:rsidRDefault="008F54D4" w:rsidP="00130A96">
      <w:pPr>
        <w:pStyle w:val="Pagrindinistekstas"/>
      </w:pPr>
      <w:r>
        <w:t>Tikslinio</w:t>
      </w:r>
      <w:r w:rsidRPr="00130A96">
        <w:t xml:space="preserve"> </w:t>
      </w:r>
      <w:r w:rsidR="001175EF" w:rsidRPr="00130A96">
        <w:t xml:space="preserve">tyrimo metu diabetu sirgusių dapagliflozino grupės pacientų, kurių </w:t>
      </w:r>
      <w:proofErr w:type="spellStart"/>
      <w:r w:rsidR="001175EF" w:rsidRPr="00130A96">
        <w:t>aGFG</w:t>
      </w:r>
      <w:proofErr w:type="spellEnd"/>
      <w:r w:rsidR="001175EF" w:rsidRPr="00130A96">
        <w:t xml:space="preserve"> buvo nuo </w:t>
      </w:r>
      <w:r w:rsidR="00873FCC">
        <w:t>≥ </w:t>
      </w:r>
      <w:r w:rsidR="001175EF" w:rsidRPr="00130A96">
        <w:t xml:space="preserve">45 iki </w:t>
      </w:r>
      <w:r w:rsidR="00873FCC">
        <w:t>&lt; </w:t>
      </w:r>
      <w:r w:rsidR="001175EF" w:rsidRPr="00130A96">
        <w:t>60</w:t>
      </w:r>
      <w:r w:rsidR="00873FCC">
        <w:t> ml/</w:t>
      </w:r>
      <w:r w:rsidR="001175EF" w:rsidRPr="00130A96">
        <w:t>min./1,73 m</w:t>
      </w:r>
      <w:r w:rsidR="001175EF" w:rsidRPr="00130A96">
        <w:rPr>
          <w:vertAlign w:val="superscript"/>
        </w:rPr>
        <w:t>2</w:t>
      </w:r>
      <w:r w:rsidR="001175EF" w:rsidRPr="00130A96">
        <w:t>, plazmoje gliukozės koncentracija nevalgius po 24</w:t>
      </w:r>
      <w:r w:rsidR="00987789">
        <w:t> </w:t>
      </w:r>
      <w:r w:rsidR="001175EF" w:rsidRPr="00130A96">
        <w:t>savaičių buvo</w:t>
      </w:r>
      <w:r w:rsidR="00395140">
        <w:t xml:space="preserve">: </w:t>
      </w:r>
      <w:r w:rsidR="00B83F3D">
        <w:noBreakHyphen/>
      </w:r>
      <w:r w:rsidR="001175EF" w:rsidRPr="00130A96">
        <w:t>1,19</w:t>
      </w:r>
      <w:r w:rsidR="00873FCC">
        <w:t> </w:t>
      </w:r>
      <w:proofErr w:type="spellStart"/>
      <w:r w:rsidR="00873FCC">
        <w:t>mmol</w:t>
      </w:r>
      <w:proofErr w:type="spellEnd"/>
      <w:r w:rsidR="001175EF" w:rsidRPr="00130A96">
        <w:t>/l (</w:t>
      </w:r>
      <w:r w:rsidR="00987789">
        <w:t>-</w:t>
      </w:r>
      <w:r w:rsidR="001175EF" w:rsidRPr="00130A96">
        <w:t>21,46</w:t>
      </w:r>
      <w:r w:rsidR="00873FCC">
        <w:t> mg</w:t>
      </w:r>
      <w:r w:rsidR="001175EF" w:rsidRPr="00130A96">
        <w:t xml:space="preserve">/dl), placebo </w:t>
      </w:r>
      <w:r w:rsidR="00987789">
        <w:t>-</w:t>
      </w:r>
      <w:r w:rsidR="001175EF" w:rsidRPr="00130A96">
        <w:t>0,27</w:t>
      </w:r>
      <w:r w:rsidR="00873FCC">
        <w:t> </w:t>
      </w:r>
      <w:proofErr w:type="spellStart"/>
      <w:r w:rsidR="00873FCC">
        <w:t>mmol</w:t>
      </w:r>
      <w:proofErr w:type="spellEnd"/>
      <w:r w:rsidR="001175EF" w:rsidRPr="00130A96">
        <w:t>/l (</w:t>
      </w:r>
      <w:r w:rsidR="00987789">
        <w:t>-</w:t>
      </w:r>
      <w:r w:rsidR="001175EF" w:rsidRPr="00130A96">
        <w:t>4,87</w:t>
      </w:r>
      <w:r w:rsidR="00873FCC">
        <w:t> mg</w:t>
      </w:r>
      <w:r w:rsidR="001175EF" w:rsidRPr="00130A96">
        <w:t>/dl) (p</w:t>
      </w:r>
      <w:r w:rsidR="00873FCC">
        <w:t> = </w:t>
      </w:r>
      <w:r w:rsidR="001175EF" w:rsidRPr="00130A96">
        <w:t>0,001).</w:t>
      </w:r>
    </w:p>
    <w:p w14:paraId="6D86948E" w14:textId="77777777" w:rsidR="00C0147E" w:rsidRPr="00130A96" w:rsidRDefault="00C0147E" w:rsidP="00130A96">
      <w:pPr>
        <w:pStyle w:val="Pagrindinistekstas"/>
      </w:pPr>
    </w:p>
    <w:p w14:paraId="6D86948F" w14:textId="77777777" w:rsidR="00C0147E" w:rsidRPr="00130A96" w:rsidRDefault="001175EF" w:rsidP="00130A96">
      <w:pPr>
        <w:rPr>
          <w:i/>
        </w:rPr>
      </w:pPr>
      <w:r w:rsidRPr="00130A96">
        <w:rPr>
          <w:i/>
          <w:u w:val="single"/>
        </w:rPr>
        <w:t>Gliukozės koncentracija plazmoje po valgio</w:t>
      </w:r>
    </w:p>
    <w:p w14:paraId="6D869490" w14:textId="0A605494" w:rsidR="00C0147E" w:rsidRDefault="001175EF" w:rsidP="00130A96">
      <w:pPr>
        <w:pStyle w:val="Pagrindinistekstas"/>
      </w:pPr>
      <w:r w:rsidRPr="00130A96">
        <w:t>10</w:t>
      </w:r>
      <w:r w:rsidR="00873FCC">
        <w:t> mg</w:t>
      </w:r>
      <w:r w:rsidRPr="00130A96">
        <w:t xml:space="preserve"> dapagliflozino, vartoto papildomam </w:t>
      </w:r>
      <w:r w:rsidR="009362FC">
        <w:t>sudėtiniam</w:t>
      </w:r>
      <w:r w:rsidR="009362FC" w:rsidRPr="00130A96">
        <w:t xml:space="preserve"> </w:t>
      </w:r>
      <w:r w:rsidRPr="00130A96">
        <w:t xml:space="preserve">gydymui su </w:t>
      </w:r>
      <w:proofErr w:type="spellStart"/>
      <w:r w:rsidRPr="00130A96">
        <w:t>glimepiridu</w:t>
      </w:r>
      <w:proofErr w:type="spellEnd"/>
      <w:r w:rsidRPr="00130A96">
        <w:t xml:space="preserve">, </w:t>
      </w:r>
      <w:r w:rsidR="009362FC">
        <w:t>lėmė</w:t>
      </w:r>
      <w:r w:rsidR="009362FC" w:rsidRPr="00130A96">
        <w:t xml:space="preserve"> </w:t>
      </w:r>
      <w:r w:rsidRPr="00130A96">
        <w:t>statistiškai reikšmingą gliukozės koncentracijos 2</w:t>
      </w:r>
      <w:r w:rsidR="00B83F3D">
        <w:t> </w:t>
      </w:r>
      <w:r w:rsidRPr="00130A96">
        <w:t>val. po valgio sumažėjimą 24-ją</w:t>
      </w:r>
      <w:r w:rsidR="00B83F3D">
        <w:t> </w:t>
      </w:r>
      <w:r w:rsidRPr="00130A96">
        <w:t>savaitę, išlikusį iki 48</w:t>
      </w:r>
      <w:r w:rsidR="00B83F3D">
        <w:noBreakHyphen/>
      </w:r>
      <w:r w:rsidRPr="00130A96">
        <w:t>os</w:t>
      </w:r>
      <w:r w:rsidR="00B83F3D">
        <w:t> </w:t>
      </w:r>
      <w:r w:rsidRPr="00130A96">
        <w:t>savaitės.</w:t>
      </w:r>
    </w:p>
    <w:p w14:paraId="3597995C" w14:textId="77777777" w:rsidR="00E0281F" w:rsidRPr="00130A96" w:rsidRDefault="00E0281F" w:rsidP="00130A96">
      <w:pPr>
        <w:pStyle w:val="Pagrindinistekstas"/>
      </w:pPr>
    </w:p>
    <w:p w14:paraId="6D869491" w14:textId="132154F5" w:rsidR="00C0147E" w:rsidRPr="00130A96" w:rsidRDefault="001175EF" w:rsidP="00130A96">
      <w:pPr>
        <w:pStyle w:val="Pagrindinistekstas"/>
      </w:pPr>
      <w:r w:rsidRPr="00130A96">
        <w:t>10</w:t>
      </w:r>
      <w:r w:rsidR="00873FCC">
        <w:t> mg</w:t>
      </w:r>
      <w:r w:rsidRPr="00130A96">
        <w:t xml:space="preserve"> dapagliflozino, vartoto papildomam </w:t>
      </w:r>
      <w:r w:rsidR="009362FC">
        <w:t>sudėtiniam</w:t>
      </w:r>
      <w:r w:rsidR="009362FC" w:rsidRPr="00130A96">
        <w:t xml:space="preserve"> </w:t>
      </w:r>
      <w:r w:rsidRPr="00130A96">
        <w:t xml:space="preserve">gydymui su </w:t>
      </w:r>
      <w:proofErr w:type="spellStart"/>
      <w:r w:rsidRPr="00130A96">
        <w:t>sitagliptinu</w:t>
      </w:r>
      <w:proofErr w:type="spellEnd"/>
      <w:r w:rsidRPr="00130A96">
        <w:t xml:space="preserve"> (kartu dar vartojant </w:t>
      </w:r>
      <w:proofErr w:type="spellStart"/>
      <w:r w:rsidRPr="00130A96">
        <w:t>metformino</w:t>
      </w:r>
      <w:proofErr w:type="spellEnd"/>
      <w:r w:rsidRPr="00130A96">
        <w:t xml:space="preserve"> arba jo nevartojant), </w:t>
      </w:r>
      <w:r w:rsidR="00ED02BE">
        <w:t>lėmė</w:t>
      </w:r>
      <w:r w:rsidR="00ED02BE" w:rsidRPr="00130A96">
        <w:t xml:space="preserve"> </w:t>
      </w:r>
      <w:r w:rsidRPr="00130A96">
        <w:t>gliukozės koncentracijos 2</w:t>
      </w:r>
      <w:r w:rsidR="008B04E8">
        <w:t> </w:t>
      </w:r>
      <w:r w:rsidRPr="00130A96">
        <w:t>val. po valgio sumažėjimą 24</w:t>
      </w:r>
      <w:r w:rsidR="008B04E8">
        <w:noBreakHyphen/>
      </w:r>
      <w:r w:rsidRPr="00130A96">
        <w:t>ją</w:t>
      </w:r>
      <w:r w:rsidR="008B04E8">
        <w:t> </w:t>
      </w:r>
      <w:r w:rsidRPr="00130A96">
        <w:t>savaitę, išlikusį iki 48</w:t>
      </w:r>
      <w:r w:rsidR="008B04E8">
        <w:noBreakHyphen/>
      </w:r>
      <w:r w:rsidRPr="00130A96">
        <w:t>os</w:t>
      </w:r>
      <w:r w:rsidR="008B04E8">
        <w:t> </w:t>
      </w:r>
      <w:r w:rsidRPr="00130A96">
        <w:t>savaitės.</w:t>
      </w:r>
    </w:p>
    <w:p w14:paraId="6D869492" w14:textId="77777777" w:rsidR="00C0147E" w:rsidRPr="00130A96" w:rsidRDefault="00C0147E" w:rsidP="00130A96">
      <w:pPr>
        <w:pStyle w:val="Pagrindinistekstas"/>
      </w:pPr>
    </w:p>
    <w:p w14:paraId="6D869493" w14:textId="4A596E2D" w:rsidR="00C0147E" w:rsidRPr="00130A96" w:rsidRDefault="0023560D" w:rsidP="00130A96">
      <w:pPr>
        <w:pStyle w:val="Pagrindinistekstas"/>
      </w:pPr>
      <w:r>
        <w:t>Sudėtinis</w:t>
      </w:r>
      <w:r w:rsidRPr="00130A96">
        <w:t xml:space="preserve"> </w:t>
      </w:r>
      <w:r w:rsidR="001175EF" w:rsidRPr="00130A96">
        <w:t>gydymas vartojant 10</w:t>
      </w:r>
      <w:r w:rsidR="00873FCC">
        <w:t> mg</w:t>
      </w:r>
      <w:r w:rsidR="001175EF" w:rsidRPr="00130A96">
        <w:t xml:space="preserve"> dapagliflozino ir pailginto atpalaidavimo </w:t>
      </w:r>
      <w:proofErr w:type="spellStart"/>
      <w:r w:rsidR="001175EF" w:rsidRPr="00130A96">
        <w:t>eksenatid</w:t>
      </w:r>
      <w:r w:rsidR="008B04E8">
        <w:t>o</w:t>
      </w:r>
      <w:proofErr w:type="spellEnd"/>
      <w:r w:rsidR="001175EF" w:rsidRPr="00130A96">
        <w:t xml:space="preserve"> </w:t>
      </w:r>
      <w:r>
        <w:t>lėmė</w:t>
      </w:r>
      <w:r w:rsidRPr="00130A96">
        <w:t xml:space="preserve"> </w:t>
      </w:r>
      <w:r w:rsidR="001175EF" w:rsidRPr="00130A96">
        <w:t>reikšmingai didesnį gliukozės koncentracijos plazmoje po valgio sumažėjimą praėjus 28</w:t>
      </w:r>
      <w:r w:rsidR="00A1014E">
        <w:t> </w:t>
      </w:r>
      <w:r w:rsidR="001175EF" w:rsidRPr="00130A96">
        <w:t>savaitėms negu bet kuris iš šių vaistinių preparatų atskirai.</w:t>
      </w:r>
    </w:p>
    <w:p w14:paraId="6D869494" w14:textId="77777777" w:rsidR="00C0147E" w:rsidRPr="00130A96" w:rsidRDefault="00C0147E" w:rsidP="00130A96">
      <w:pPr>
        <w:pStyle w:val="Pagrindinistekstas"/>
      </w:pPr>
    </w:p>
    <w:p w14:paraId="6D869495" w14:textId="77777777" w:rsidR="00C0147E" w:rsidRPr="00130A96" w:rsidRDefault="001175EF" w:rsidP="00130A96">
      <w:pPr>
        <w:rPr>
          <w:i/>
        </w:rPr>
      </w:pPr>
      <w:r w:rsidRPr="00130A96">
        <w:rPr>
          <w:i/>
          <w:u w:val="single"/>
        </w:rPr>
        <w:t>Kūno svoris</w:t>
      </w:r>
    </w:p>
    <w:p w14:paraId="6D869496" w14:textId="53227E25" w:rsidR="00C0147E" w:rsidRPr="00130A96" w:rsidRDefault="001175EF" w:rsidP="00130A96">
      <w:pPr>
        <w:pStyle w:val="Pagrindinistekstas"/>
      </w:pPr>
      <w:r w:rsidRPr="00130A96">
        <w:t>Po 24 savaičių nustatyta, kad 10</w:t>
      </w:r>
      <w:r w:rsidR="00873FCC">
        <w:t> mg</w:t>
      </w:r>
      <w:r w:rsidRPr="00130A96">
        <w:t xml:space="preserve"> dapagliflozino, vartoto gydymui </w:t>
      </w:r>
      <w:proofErr w:type="spellStart"/>
      <w:r w:rsidRPr="00130A96">
        <w:t>metforminu</w:t>
      </w:r>
      <w:proofErr w:type="spellEnd"/>
      <w:r w:rsidRPr="00130A96">
        <w:t xml:space="preserve">, </w:t>
      </w:r>
      <w:proofErr w:type="spellStart"/>
      <w:r w:rsidRPr="00130A96">
        <w:t>glimepiridu</w:t>
      </w:r>
      <w:proofErr w:type="spellEnd"/>
      <w:r w:rsidRPr="00130A96">
        <w:t xml:space="preserve">, </w:t>
      </w:r>
      <w:proofErr w:type="spellStart"/>
      <w:r w:rsidRPr="00130A96">
        <w:t>metforminu</w:t>
      </w:r>
      <w:proofErr w:type="spellEnd"/>
      <w:r w:rsidRPr="00130A96">
        <w:t xml:space="preserve"> ir </w:t>
      </w:r>
      <w:proofErr w:type="spellStart"/>
      <w:r w:rsidRPr="00130A96">
        <w:t>sulfonilkarbamid</w:t>
      </w:r>
      <w:r w:rsidR="00F431E5">
        <w:t>o</w:t>
      </w:r>
      <w:proofErr w:type="spellEnd"/>
      <w:r w:rsidR="00F431E5">
        <w:t xml:space="preserve"> dariniu</w:t>
      </w:r>
      <w:r w:rsidRPr="00130A96">
        <w:t xml:space="preserve">, </w:t>
      </w:r>
      <w:proofErr w:type="spellStart"/>
      <w:r w:rsidRPr="00130A96">
        <w:t>sitagliptinu</w:t>
      </w:r>
      <w:proofErr w:type="spellEnd"/>
      <w:r w:rsidRPr="00130A96">
        <w:t xml:space="preserve"> (kartu dar vartojant </w:t>
      </w:r>
      <w:proofErr w:type="spellStart"/>
      <w:r w:rsidRPr="00130A96">
        <w:t>metformino</w:t>
      </w:r>
      <w:proofErr w:type="spellEnd"/>
      <w:r w:rsidRPr="00130A96">
        <w:t xml:space="preserve"> arba jo nevartojant) ar insulinu papildyti, </w:t>
      </w:r>
      <w:r w:rsidR="00F431E5">
        <w:t>lėmė</w:t>
      </w:r>
      <w:r w:rsidR="00F431E5" w:rsidRPr="00130A96">
        <w:t xml:space="preserve"> </w:t>
      </w:r>
      <w:r w:rsidRPr="00130A96">
        <w:t xml:space="preserve">statistiškai reikšmingą kūno svorio sumažėjimą (p </w:t>
      </w:r>
      <w:r w:rsidR="00873FCC">
        <w:t>&lt; </w:t>
      </w:r>
      <w:r w:rsidRPr="00130A96">
        <w:t>0,0001, 4 ir 5 lentelės). Šie poveikiai išliko ir ilgesnės trukmės tyrimų metu. Po 48</w:t>
      </w:r>
      <w:r w:rsidR="00FF33B3">
        <w:t> </w:t>
      </w:r>
      <w:r w:rsidRPr="00130A96">
        <w:t xml:space="preserve">savaičių gydymui </w:t>
      </w:r>
      <w:proofErr w:type="spellStart"/>
      <w:r w:rsidRPr="00130A96">
        <w:t>sitagliptinu</w:t>
      </w:r>
      <w:proofErr w:type="spellEnd"/>
      <w:r w:rsidRPr="00130A96">
        <w:t xml:space="preserve"> papildyti (kartu dar vartojant </w:t>
      </w:r>
      <w:proofErr w:type="spellStart"/>
      <w:r w:rsidRPr="00130A96">
        <w:t>metformino</w:t>
      </w:r>
      <w:proofErr w:type="spellEnd"/>
      <w:r w:rsidRPr="00130A96">
        <w:t xml:space="preserve"> arba jo nevartojant) vartoto dapagliflozino grupės pacientų svoris buvo sumažėjęs 2,22</w:t>
      </w:r>
      <w:r w:rsidR="00873FCC">
        <w:t> kg</w:t>
      </w:r>
      <w:r w:rsidRPr="00130A96">
        <w:t xml:space="preserve"> (palyginus su placebo grupe). 102-ją</w:t>
      </w:r>
      <w:r w:rsidR="00FF33B3">
        <w:t> </w:t>
      </w:r>
      <w:r w:rsidRPr="00130A96">
        <w:t xml:space="preserve">savaitę </w:t>
      </w:r>
      <w:proofErr w:type="spellStart"/>
      <w:r w:rsidRPr="00130A96">
        <w:t>metformino</w:t>
      </w:r>
      <w:proofErr w:type="spellEnd"/>
      <w:r w:rsidRPr="00130A96">
        <w:t xml:space="preserve"> poveikiui papildyti vartoto dapagliflozino grupės pacientų svoris buvo sumažėjęs 2,14</w:t>
      </w:r>
      <w:r w:rsidR="00873FCC">
        <w:t> kg</w:t>
      </w:r>
      <w:r w:rsidRPr="00130A96">
        <w:t>, o vartoto papildyti insulino poveikiui – 2,88</w:t>
      </w:r>
      <w:r w:rsidR="00873FCC">
        <w:t> kg</w:t>
      </w:r>
      <w:r w:rsidRPr="00130A96">
        <w:t xml:space="preserve"> (palyginus su placebo grupe).</w:t>
      </w:r>
    </w:p>
    <w:p w14:paraId="6D869497" w14:textId="77777777" w:rsidR="00C0147E" w:rsidRPr="00130A96" w:rsidRDefault="00C0147E" w:rsidP="00130A96">
      <w:pPr>
        <w:pStyle w:val="Pagrindinistekstas"/>
      </w:pPr>
    </w:p>
    <w:p w14:paraId="6D869499" w14:textId="483C96F8" w:rsidR="00C0147E" w:rsidRPr="00130A96" w:rsidRDefault="001175EF" w:rsidP="00130A96">
      <w:pPr>
        <w:pStyle w:val="Pagrindinistekstas"/>
        <w:jc w:val="both"/>
      </w:pPr>
      <w:r w:rsidRPr="00130A96">
        <w:t xml:space="preserve">Aktyviai kontroliuojamo, ne </w:t>
      </w:r>
      <w:r w:rsidR="002D3F65">
        <w:t>mažesnio veiksmingumo</w:t>
      </w:r>
      <w:r w:rsidRPr="00130A96">
        <w:t xml:space="preserve">, gydymui </w:t>
      </w:r>
      <w:proofErr w:type="spellStart"/>
      <w:r w:rsidRPr="00130A96">
        <w:t>metforminu</w:t>
      </w:r>
      <w:proofErr w:type="spellEnd"/>
      <w:r w:rsidRPr="00130A96">
        <w:t xml:space="preserve"> papildyti tyrimo metu po</w:t>
      </w:r>
      <w:r w:rsidR="00E0281F">
        <w:t xml:space="preserve"> </w:t>
      </w:r>
      <w:r w:rsidRPr="00130A96">
        <w:lastRenderedPageBreak/>
        <w:t>52</w:t>
      </w:r>
      <w:r w:rsidR="003E3F39">
        <w:t> </w:t>
      </w:r>
      <w:r w:rsidRPr="00130A96">
        <w:t>savaičių nustatytas dapagliflozino sukeltas statistikai reikšmingas kūno svorio sumažėjimas 4,65</w:t>
      </w:r>
      <w:r w:rsidR="00873FCC">
        <w:t> kg</w:t>
      </w:r>
      <w:r w:rsidRPr="00130A96">
        <w:t xml:space="preserve"> palyginus su vartojusiais </w:t>
      </w:r>
      <w:proofErr w:type="spellStart"/>
      <w:r w:rsidRPr="00130A96">
        <w:t>glipizido</w:t>
      </w:r>
      <w:proofErr w:type="spellEnd"/>
      <w:r w:rsidRPr="00130A96">
        <w:t xml:space="preserve"> (p </w:t>
      </w:r>
      <w:r w:rsidR="00873FCC">
        <w:t>&lt; </w:t>
      </w:r>
      <w:r w:rsidRPr="00130A96">
        <w:t>0,0001, 3</w:t>
      </w:r>
      <w:r w:rsidR="003E3F39">
        <w:t> </w:t>
      </w:r>
      <w:r w:rsidRPr="00130A96">
        <w:t>lentelė). Dapagliflozino grupės pacientų svoris išliko sumažėjęs ir 104-ją bei 208-ją</w:t>
      </w:r>
      <w:r w:rsidR="003E3F39">
        <w:t> </w:t>
      </w:r>
      <w:r w:rsidRPr="00130A96">
        <w:t>savaitę (atitinkamai 5,06</w:t>
      </w:r>
      <w:r w:rsidR="00873FCC">
        <w:t> kg</w:t>
      </w:r>
      <w:r w:rsidRPr="00130A96">
        <w:t xml:space="preserve"> ir 4,38</w:t>
      </w:r>
      <w:r w:rsidR="00873FCC">
        <w:t> kg</w:t>
      </w:r>
      <w:r w:rsidRPr="00130A96">
        <w:t>).</w:t>
      </w:r>
    </w:p>
    <w:p w14:paraId="6D86949A" w14:textId="77777777" w:rsidR="00C0147E" w:rsidRPr="00130A96" w:rsidRDefault="00C0147E" w:rsidP="00130A96">
      <w:pPr>
        <w:pStyle w:val="Pagrindinistekstas"/>
      </w:pPr>
    </w:p>
    <w:p w14:paraId="6D86949B" w14:textId="6F92A29D" w:rsidR="00C0147E" w:rsidRDefault="00170465" w:rsidP="00130A96">
      <w:pPr>
        <w:pStyle w:val="Pagrindinistekstas"/>
      </w:pPr>
      <w:r>
        <w:t>Sudėtinis</w:t>
      </w:r>
      <w:r w:rsidRPr="00130A96">
        <w:t xml:space="preserve"> </w:t>
      </w:r>
      <w:r w:rsidR="001175EF" w:rsidRPr="00130A96">
        <w:t>gydymas vartojant 10</w:t>
      </w:r>
      <w:r w:rsidR="00873FCC">
        <w:t> mg</w:t>
      </w:r>
      <w:r w:rsidR="001175EF" w:rsidRPr="00130A96">
        <w:t xml:space="preserve"> dapagliflozino ir pailginto atpalaidavimo </w:t>
      </w:r>
      <w:proofErr w:type="spellStart"/>
      <w:r w:rsidR="001175EF" w:rsidRPr="00130A96">
        <w:t>eksenatid</w:t>
      </w:r>
      <w:r w:rsidR="003E3F39">
        <w:t>o</w:t>
      </w:r>
      <w:proofErr w:type="spellEnd"/>
      <w:r w:rsidR="001175EF" w:rsidRPr="00130A96">
        <w:t xml:space="preserve"> </w:t>
      </w:r>
      <w:r>
        <w:t>lėmė</w:t>
      </w:r>
      <w:r w:rsidRPr="00130A96">
        <w:t xml:space="preserve"> </w:t>
      </w:r>
      <w:r w:rsidR="001175EF" w:rsidRPr="00130A96">
        <w:t>reikšmingai didesnį kūno svorio sumažėjimą negu bet kuris iš šių vaistinių preparatų atskirai (žr. 8</w:t>
      </w:r>
      <w:r w:rsidR="003E3F39">
        <w:t> </w:t>
      </w:r>
      <w:r w:rsidR="001175EF" w:rsidRPr="00130A96">
        <w:t>lentelę).</w:t>
      </w:r>
    </w:p>
    <w:p w14:paraId="3043A808" w14:textId="77777777" w:rsidR="00E0281F" w:rsidRPr="00130A96" w:rsidRDefault="00E0281F" w:rsidP="00130A96">
      <w:pPr>
        <w:pStyle w:val="Pagrindinistekstas"/>
      </w:pPr>
    </w:p>
    <w:p w14:paraId="6D86949C" w14:textId="4D5D2735" w:rsidR="00C0147E" w:rsidRPr="00130A96" w:rsidRDefault="001175EF" w:rsidP="00130A96">
      <w:pPr>
        <w:pStyle w:val="Pagrindinistekstas"/>
      </w:pPr>
      <w:r w:rsidRPr="00130A96">
        <w:t xml:space="preserve">24 savaičių trukmės tyrimo metu atlikti 182 diabetu sergančių asmenų kūno sudėties dvigubos energijos rentgeno spindulių </w:t>
      </w:r>
      <w:proofErr w:type="spellStart"/>
      <w:r w:rsidRPr="00130A96">
        <w:t>absorbciometrijos</w:t>
      </w:r>
      <w:proofErr w:type="spellEnd"/>
      <w:r w:rsidRPr="00130A96">
        <w:t xml:space="preserve"> tyrimai parodė, kad dapagliflozino 10</w:t>
      </w:r>
      <w:r w:rsidR="00873FCC">
        <w:t> mg</w:t>
      </w:r>
      <w:r w:rsidRPr="00130A96">
        <w:t xml:space="preserve"> ir </w:t>
      </w:r>
      <w:proofErr w:type="spellStart"/>
      <w:r w:rsidRPr="00130A96">
        <w:t>metformino</w:t>
      </w:r>
      <w:proofErr w:type="spellEnd"/>
      <w:r w:rsidRPr="00130A96">
        <w:t xml:space="preserve"> derinys, palyginus su placebo ir </w:t>
      </w:r>
      <w:proofErr w:type="spellStart"/>
      <w:r w:rsidRPr="00130A96">
        <w:t>metformino</w:t>
      </w:r>
      <w:proofErr w:type="spellEnd"/>
      <w:r w:rsidRPr="00130A96">
        <w:t xml:space="preserve"> deriniu, sumažino kūno svorį ir kūno riebalų kiekį (ne lieso audinio ar skysčių kiekį). Šio tyrimo </w:t>
      </w:r>
      <w:r w:rsidR="00885309">
        <w:t>magnetinio rezonanso</w:t>
      </w:r>
      <w:r w:rsidRPr="00130A96">
        <w:t xml:space="preserve"> dalis parodė </w:t>
      </w:r>
      <w:r w:rsidR="00885309">
        <w:t>d</w:t>
      </w:r>
      <w:r w:rsidR="00873FCC">
        <w:t>apagliflozin</w:t>
      </w:r>
      <w:r w:rsidR="00885309">
        <w:t>o</w:t>
      </w:r>
      <w:r w:rsidR="00873FCC">
        <w:t xml:space="preserve"> </w:t>
      </w:r>
      <w:r w:rsidRPr="00130A96">
        <w:t xml:space="preserve">ir </w:t>
      </w:r>
      <w:proofErr w:type="spellStart"/>
      <w:r w:rsidRPr="00130A96">
        <w:t>metformino</w:t>
      </w:r>
      <w:proofErr w:type="spellEnd"/>
      <w:r w:rsidRPr="00130A96">
        <w:t xml:space="preserve"> derinio grupės pacientų </w:t>
      </w:r>
      <w:proofErr w:type="spellStart"/>
      <w:r w:rsidRPr="00130A96">
        <w:t>visceralinio</w:t>
      </w:r>
      <w:proofErr w:type="spellEnd"/>
      <w:r w:rsidRPr="00130A96">
        <w:t xml:space="preserve"> riebalinio audinio kiekio sumažėjimą palyginus su placebo ir </w:t>
      </w:r>
      <w:proofErr w:type="spellStart"/>
      <w:r w:rsidRPr="00130A96">
        <w:t>metformino</w:t>
      </w:r>
      <w:proofErr w:type="spellEnd"/>
      <w:r w:rsidRPr="00130A96">
        <w:t xml:space="preserve"> derinio grupe.</w:t>
      </w:r>
    </w:p>
    <w:p w14:paraId="6D86949D" w14:textId="77777777" w:rsidR="00C0147E" w:rsidRPr="00130A96" w:rsidRDefault="00C0147E" w:rsidP="00130A96">
      <w:pPr>
        <w:pStyle w:val="Pagrindinistekstas"/>
      </w:pPr>
    </w:p>
    <w:p w14:paraId="6D86949E" w14:textId="77777777" w:rsidR="00C0147E" w:rsidRPr="00130A96" w:rsidRDefault="001175EF" w:rsidP="00130A96">
      <w:pPr>
        <w:rPr>
          <w:i/>
        </w:rPr>
      </w:pPr>
      <w:r w:rsidRPr="00130A96">
        <w:rPr>
          <w:i/>
          <w:u w:val="single"/>
        </w:rPr>
        <w:t>Kraujospūdis</w:t>
      </w:r>
    </w:p>
    <w:p w14:paraId="6D86949F" w14:textId="389FA183" w:rsidR="00C0147E" w:rsidRDefault="001175EF" w:rsidP="00130A96">
      <w:pPr>
        <w:pStyle w:val="Pagrindinistekstas"/>
      </w:pPr>
      <w:r w:rsidRPr="00130A96">
        <w:t xml:space="preserve">Iš anksto numatyta </w:t>
      </w:r>
      <w:r w:rsidR="005C4A03">
        <w:t xml:space="preserve">apibendrinta </w:t>
      </w:r>
      <w:r w:rsidRPr="00130A96">
        <w:t>13 placebu kontroliuojamų tyrimų duomenų analizė parodė, kad po 24</w:t>
      </w:r>
      <w:r w:rsidR="006453D6">
        <w:t> </w:t>
      </w:r>
      <w:r w:rsidRPr="00130A96">
        <w:t>savaičių trukmės 10</w:t>
      </w:r>
      <w:r w:rsidR="00873FCC">
        <w:t> mg</w:t>
      </w:r>
      <w:r w:rsidRPr="00130A96">
        <w:t xml:space="preserve"> dapagliflozino vartojimo grupės pacientų </w:t>
      </w:r>
      <w:proofErr w:type="spellStart"/>
      <w:r w:rsidRPr="00130A96">
        <w:t>sistolinis</w:t>
      </w:r>
      <w:proofErr w:type="spellEnd"/>
      <w:r w:rsidRPr="00130A96">
        <w:t xml:space="preserve"> kraujospūdis, palyginus su buvusiu tyrimo</w:t>
      </w:r>
      <w:r w:rsidR="00C669DD">
        <w:t xml:space="preserve"> pradžioje</w:t>
      </w:r>
      <w:r w:rsidRPr="00130A96">
        <w:t>, sumažėj</w:t>
      </w:r>
      <w:r w:rsidR="00C669DD">
        <w:t>o</w:t>
      </w:r>
      <w:r w:rsidRPr="00130A96">
        <w:t xml:space="preserve"> 3,7</w:t>
      </w:r>
      <w:r w:rsidR="001A2B75">
        <w:t> </w:t>
      </w:r>
      <w:proofErr w:type="spellStart"/>
      <w:r w:rsidRPr="00130A96">
        <w:t>mmHg</w:t>
      </w:r>
      <w:proofErr w:type="spellEnd"/>
      <w:r w:rsidRPr="00130A96">
        <w:t xml:space="preserve">, o </w:t>
      </w:r>
      <w:proofErr w:type="spellStart"/>
      <w:r w:rsidRPr="00130A96">
        <w:t>diastolinis</w:t>
      </w:r>
      <w:proofErr w:type="spellEnd"/>
      <w:r w:rsidRPr="00130A96">
        <w:t xml:space="preserve"> </w:t>
      </w:r>
      <w:r w:rsidR="001A2B75">
        <w:t xml:space="preserve">- </w:t>
      </w:r>
      <w:r w:rsidRPr="00130A96">
        <w:t>1,8</w:t>
      </w:r>
      <w:r w:rsidR="001A2B75">
        <w:t> </w:t>
      </w:r>
      <w:proofErr w:type="spellStart"/>
      <w:r w:rsidRPr="00130A96">
        <w:t>mmHg</w:t>
      </w:r>
      <w:proofErr w:type="spellEnd"/>
      <w:r w:rsidRPr="00130A96">
        <w:t xml:space="preserve"> (placebo grupės pacientų – atitinkamai </w:t>
      </w:r>
      <w:r w:rsidR="001A2B75">
        <w:t xml:space="preserve">sumažėjo </w:t>
      </w:r>
      <w:r w:rsidRPr="00130A96">
        <w:t>0,5</w:t>
      </w:r>
      <w:r w:rsidR="001A2B75">
        <w:t> </w:t>
      </w:r>
      <w:proofErr w:type="spellStart"/>
      <w:r w:rsidRPr="00130A96">
        <w:t>mmHg</w:t>
      </w:r>
      <w:proofErr w:type="spellEnd"/>
      <w:r w:rsidRPr="00130A96">
        <w:t xml:space="preserve"> ir 0,5</w:t>
      </w:r>
      <w:r w:rsidR="001A2B75">
        <w:t> </w:t>
      </w:r>
      <w:proofErr w:type="spellStart"/>
      <w:r w:rsidRPr="00130A96">
        <w:t>mmHg</w:t>
      </w:r>
      <w:proofErr w:type="spellEnd"/>
      <w:r w:rsidRPr="00130A96">
        <w:t>). Panašus kraujospūdžio sumažėjimas buvo stebėtas iki 104</w:t>
      </w:r>
      <w:r w:rsidR="001A2B75">
        <w:t> </w:t>
      </w:r>
      <w:r w:rsidRPr="00130A96">
        <w:t>savaitės.</w:t>
      </w:r>
    </w:p>
    <w:p w14:paraId="337DC8B8" w14:textId="77777777" w:rsidR="00E0281F" w:rsidRPr="00130A96" w:rsidRDefault="00E0281F" w:rsidP="00130A96">
      <w:pPr>
        <w:pStyle w:val="Pagrindinistekstas"/>
      </w:pPr>
    </w:p>
    <w:p w14:paraId="6D8694A0" w14:textId="184F0A77" w:rsidR="00C0147E" w:rsidRPr="00130A96" w:rsidRDefault="00417B65" w:rsidP="00130A96">
      <w:pPr>
        <w:pStyle w:val="Pagrindinistekstas"/>
      </w:pPr>
      <w:r>
        <w:t>Sudėtinis</w:t>
      </w:r>
      <w:r w:rsidRPr="00130A96">
        <w:t xml:space="preserve"> </w:t>
      </w:r>
      <w:r w:rsidR="001175EF" w:rsidRPr="00130A96">
        <w:t>gydymas vartojant 10</w:t>
      </w:r>
      <w:r w:rsidR="00873FCC">
        <w:t> mg</w:t>
      </w:r>
      <w:r w:rsidR="001175EF" w:rsidRPr="00130A96">
        <w:t xml:space="preserve"> dapagliflozino ir pailginto atpalaidavimo </w:t>
      </w:r>
      <w:proofErr w:type="spellStart"/>
      <w:r w:rsidR="001175EF" w:rsidRPr="00130A96">
        <w:t>eksenatid</w:t>
      </w:r>
      <w:r w:rsidR="006453D6">
        <w:t>o</w:t>
      </w:r>
      <w:proofErr w:type="spellEnd"/>
      <w:r w:rsidR="001175EF" w:rsidRPr="00130A96">
        <w:t xml:space="preserve"> sumažino </w:t>
      </w:r>
      <w:proofErr w:type="spellStart"/>
      <w:r w:rsidR="001175EF" w:rsidRPr="00130A96">
        <w:t>sistolinį</w:t>
      </w:r>
      <w:proofErr w:type="spellEnd"/>
      <w:r w:rsidR="001175EF" w:rsidRPr="00130A96">
        <w:t xml:space="preserve"> kraujospūdį praėjus 28</w:t>
      </w:r>
      <w:r w:rsidR="000811CD">
        <w:t> </w:t>
      </w:r>
      <w:r w:rsidR="001175EF" w:rsidRPr="00130A96">
        <w:t>savaitėms reikšmingai labiau (4,3</w:t>
      </w:r>
      <w:r w:rsidR="000811CD">
        <w:t> </w:t>
      </w:r>
      <w:proofErr w:type="spellStart"/>
      <w:r w:rsidR="001175EF" w:rsidRPr="00130A96">
        <w:t>mmHg</w:t>
      </w:r>
      <w:proofErr w:type="spellEnd"/>
      <w:r w:rsidR="001175EF" w:rsidRPr="00130A96">
        <w:t>) negu vien dapagliflozinas (1,8</w:t>
      </w:r>
      <w:r w:rsidR="000811CD">
        <w:t> </w:t>
      </w:r>
      <w:proofErr w:type="spellStart"/>
      <w:r w:rsidR="001175EF" w:rsidRPr="00130A96">
        <w:t>mmHg</w:t>
      </w:r>
      <w:proofErr w:type="spellEnd"/>
      <w:r w:rsidR="001175EF" w:rsidRPr="00130A96">
        <w:t xml:space="preserve">, p </w:t>
      </w:r>
      <w:r w:rsidR="00873FCC">
        <w:t>&lt; </w:t>
      </w:r>
      <w:r w:rsidR="001175EF" w:rsidRPr="00130A96">
        <w:t xml:space="preserve">0,05) ar vien pailginto atpalaidavimo </w:t>
      </w:r>
      <w:proofErr w:type="spellStart"/>
      <w:r w:rsidR="001175EF" w:rsidRPr="00130A96">
        <w:t>eksenatidas</w:t>
      </w:r>
      <w:proofErr w:type="spellEnd"/>
      <w:r w:rsidR="001175EF" w:rsidRPr="00130A96">
        <w:t xml:space="preserve"> (1,2</w:t>
      </w:r>
      <w:r w:rsidR="000811CD">
        <w:t> </w:t>
      </w:r>
      <w:proofErr w:type="spellStart"/>
      <w:r w:rsidR="001175EF" w:rsidRPr="00130A96">
        <w:t>mmHg</w:t>
      </w:r>
      <w:proofErr w:type="spellEnd"/>
      <w:r w:rsidR="001175EF" w:rsidRPr="00130A96">
        <w:t>, p</w:t>
      </w:r>
      <w:r w:rsidR="000811CD">
        <w:t> </w:t>
      </w:r>
      <w:r w:rsidR="00873FCC">
        <w:t>&lt; </w:t>
      </w:r>
      <w:r w:rsidR="001175EF" w:rsidRPr="00130A96">
        <w:t>0,01).</w:t>
      </w:r>
    </w:p>
    <w:p w14:paraId="775A3C82" w14:textId="77777777" w:rsidR="00C0147E" w:rsidRDefault="00C0147E" w:rsidP="00130A96">
      <w:pPr>
        <w:pStyle w:val="Pagrindinistekstas"/>
      </w:pPr>
    </w:p>
    <w:p w14:paraId="6D8694A2" w14:textId="66613696" w:rsidR="00C0147E" w:rsidRPr="00130A96" w:rsidRDefault="001175EF" w:rsidP="00130A96">
      <w:pPr>
        <w:pStyle w:val="Pagrindinistekstas"/>
      </w:pPr>
      <w:r w:rsidRPr="00130A96">
        <w:t>Dviejų 12 savaičių trukmės placebu kontroliuojamų tyrimų metu iš viso 1</w:t>
      </w:r>
      <w:r w:rsidR="000811CD">
        <w:t> </w:t>
      </w:r>
      <w:r w:rsidRPr="00130A96">
        <w:t>062</w:t>
      </w:r>
      <w:r w:rsidR="000811CD">
        <w:t> </w:t>
      </w:r>
      <w:r w:rsidRPr="00130A96">
        <w:t>pacientai, kurie sirgo tinkamai nekontroliuojamu 2</w:t>
      </w:r>
      <w:r w:rsidR="00873FCC">
        <w:t> tipo</w:t>
      </w:r>
      <w:r w:rsidRPr="00130A96">
        <w:t xml:space="preserve"> diabetu ir hipertenzija (nepaisant </w:t>
      </w:r>
      <w:r w:rsidR="00417B65">
        <w:t>stabilaus gydymo</w:t>
      </w:r>
      <w:r w:rsidRPr="00130A96">
        <w:t xml:space="preserve"> AKF</w:t>
      </w:r>
      <w:r w:rsidR="00A9252B">
        <w:noBreakHyphen/>
      </w:r>
      <w:r w:rsidRPr="00130A96">
        <w:t>I arba ARB dozių vartojimo vieno tyrimo metu bei jų ir dar vieno vaistinio preparato nuo hipertenzijos vartojimo kito tyrimo metu), vartojo 10</w:t>
      </w:r>
      <w:r w:rsidR="00873FCC">
        <w:t> mg</w:t>
      </w:r>
      <w:r w:rsidRPr="00130A96">
        <w:t xml:space="preserve"> dapagliflozino arba placebo. Abiejų tyrimų metu po 12</w:t>
      </w:r>
      <w:r w:rsidR="00A9252B">
        <w:t> </w:t>
      </w:r>
      <w:r w:rsidRPr="00130A96">
        <w:t>savaičių nustatyta, kad 10</w:t>
      </w:r>
      <w:r w:rsidR="00873FCC">
        <w:t> mg</w:t>
      </w:r>
      <w:r w:rsidRPr="00130A96">
        <w:t xml:space="preserve"> dapagliflozino kartu su įprastu diabeto gydymu </w:t>
      </w:r>
      <w:r w:rsidR="00AE2F6E">
        <w:t>lėmė</w:t>
      </w:r>
      <w:r w:rsidR="00AE2F6E" w:rsidRPr="00130A96">
        <w:t xml:space="preserve"> </w:t>
      </w:r>
      <w:r w:rsidRPr="00130A96">
        <w:t xml:space="preserve">HbA1c koncentracijos sumažėjimą ir sumažino pagal placebą koreguotą </w:t>
      </w:r>
      <w:proofErr w:type="spellStart"/>
      <w:r w:rsidRPr="00130A96">
        <w:t>sistolinį</w:t>
      </w:r>
      <w:proofErr w:type="spellEnd"/>
      <w:r w:rsidRPr="00130A96">
        <w:t xml:space="preserve"> kraujospūdį vidutiniškai atitinkamai 3,1 ir 4.3</w:t>
      </w:r>
      <w:r w:rsidR="00A9252B">
        <w:t> </w:t>
      </w:r>
      <w:proofErr w:type="spellStart"/>
      <w:r w:rsidRPr="00130A96">
        <w:t>mmHg</w:t>
      </w:r>
      <w:proofErr w:type="spellEnd"/>
      <w:r w:rsidRPr="00130A96">
        <w:t>.</w:t>
      </w:r>
    </w:p>
    <w:p w14:paraId="6D8694A3" w14:textId="77777777" w:rsidR="00C0147E" w:rsidRPr="00130A96" w:rsidRDefault="00C0147E" w:rsidP="00130A96">
      <w:pPr>
        <w:pStyle w:val="Pagrindinistekstas"/>
      </w:pPr>
    </w:p>
    <w:p w14:paraId="6D8694A5" w14:textId="6513DBF9" w:rsidR="00C0147E" w:rsidRDefault="001175EF" w:rsidP="00130A96">
      <w:pPr>
        <w:pStyle w:val="Pagrindinistekstas"/>
      </w:pPr>
      <w:r w:rsidRPr="00130A96">
        <w:t xml:space="preserve">Specialaus tyrimo metu diabetu sirgusių dapagliflozino grupės pacientų, kurių </w:t>
      </w:r>
      <w:proofErr w:type="spellStart"/>
      <w:r w:rsidRPr="00130A96">
        <w:t>aGFG</w:t>
      </w:r>
      <w:proofErr w:type="spellEnd"/>
      <w:r w:rsidRPr="00130A96">
        <w:t xml:space="preserve"> buvo nuo </w:t>
      </w:r>
      <w:r w:rsidR="00873FCC">
        <w:t>≥ </w:t>
      </w:r>
      <w:r w:rsidRPr="00130A96">
        <w:t xml:space="preserve">45 iki </w:t>
      </w:r>
      <w:r w:rsidR="00873FCC">
        <w:t>&lt; </w:t>
      </w:r>
      <w:r w:rsidRPr="00130A96">
        <w:t>60</w:t>
      </w:r>
      <w:r w:rsidR="00873FCC">
        <w:t> ml/</w:t>
      </w:r>
      <w:r w:rsidRPr="00130A96">
        <w:t>min./1,73 m</w:t>
      </w:r>
      <w:r w:rsidRPr="00130A96">
        <w:rPr>
          <w:vertAlign w:val="superscript"/>
        </w:rPr>
        <w:t>2</w:t>
      </w:r>
      <w:r w:rsidRPr="00130A96">
        <w:t xml:space="preserve">, </w:t>
      </w:r>
      <w:proofErr w:type="spellStart"/>
      <w:r w:rsidRPr="00130A96">
        <w:t>sistolinis</w:t>
      </w:r>
      <w:proofErr w:type="spellEnd"/>
      <w:r w:rsidRPr="00130A96">
        <w:t xml:space="preserve"> kraujo</w:t>
      </w:r>
      <w:r w:rsidR="001F016E">
        <w:t xml:space="preserve">spūdis </w:t>
      </w:r>
      <w:r w:rsidRPr="00130A96">
        <w:t>sėdint po 24</w:t>
      </w:r>
      <w:r w:rsidR="001F016E">
        <w:t> </w:t>
      </w:r>
      <w:r w:rsidRPr="00130A96">
        <w:t>savaičių buvo sumažėjęs</w:t>
      </w:r>
      <w:r w:rsidR="00E0281F">
        <w:t xml:space="preserve"> </w:t>
      </w:r>
      <w:r w:rsidRPr="00130A96">
        <w:t>4,8</w:t>
      </w:r>
      <w:r w:rsidR="001F016E">
        <w:t> </w:t>
      </w:r>
      <w:proofErr w:type="spellStart"/>
      <w:r w:rsidRPr="00130A96">
        <w:t>mmHg</w:t>
      </w:r>
      <w:proofErr w:type="spellEnd"/>
      <w:r w:rsidRPr="00130A96">
        <w:t>, placebo – 1,7</w:t>
      </w:r>
      <w:r w:rsidR="001F016E">
        <w:t> </w:t>
      </w:r>
      <w:proofErr w:type="spellStart"/>
      <w:r w:rsidRPr="00130A96">
        <w:t>mmHg</w:t>
      </w:r>
      <w:proofErr w:type="spellEnd"/>
      <w:r w:rsidRPr="00130A96">
        <w:t xml:space="preserve"> (p </w:t>
      </w:r>
      <w:r w:rsidR="00873FCC">
        <w:t>&lt; </w:t>
      </w:r>
      <w:r w:rsidRPr="00130A96">
        <w:t>0,05).</w:t>
      </w:r>
    </w:p>
    <w:p w14:paraId="5E584D0B" w14:textId="77777777" w:rsidR="00E0281F" w:rsidRPr="00130A96" w:rsidRDefault="00E0281F" w:rsidP="00130A96">
      <w:pPr>
        <w:pStyle w:val="Pagrindinistekstas"/>
      </w:pPr>
    </w:p>
    <w:p w14:paraId="6D8694A6" w14:textId="6AEAD0EA" w:rsidR="00C0147E" w:rsidRPr="003C0ADC" w:rsidRDefault="001175EF" w:rsidP="00130A96">
      <w:pPr>
        <w:rPr>
          <w:i/>
          <w:u w:val="single"/>
        </w:rPr>
      </w:pPr>
      <w:proofErr w:type="spellStart"/>
      <w:r w:rsidRPr="003C0ADC">
        <w:rPr>
          <w:i/>
          <w:u w:val="single"/>
        </w:rPr>
        <w:t>Glikemijos</w:t>
      </w:r>
      <w:proofErr w:type="spellEnd"/>
      <w:r w:rsidRPr="003C0ADC">
        <w:rPr>
          <w:i/>
          <w:u w:val="single"/>
        </w:rPr>
        <w:t xml:space="preserve"> kontrolė pacientams, </w:t>
      </w:r>
      <w:r w:rsidR="003642C3" w:rsidRPr="003C0ADC">
        <w:rPr>
          <w:i/>
          <w:u w:val="single"/>
        </w:rPr>
        <w:t>kuriems yra vidutinio sunkumo</w:t>
      </w:r>
      <w:r w:rsidRPr="003C0ADC">
        <w:rPr>
          <w:i/>
          <w:u w:val="single"/>
        </w:rPr>
        <w:t xml:space="preserve"> inkstų funkcij</w:t>
      </w:r>
      <w:r w:rsidR="003642C3" w:rsidRPr="003C0ADC">
        <w:rPr>
          <w:i/>
          <w:u w:val="single"/>
        </w:rPr>
        <w:t>os sutrikimas</w:t>
      </w:r>
      <w:r w:rsidRPr="003C0ADC">
        <w:rPr>
          <w:i/>
          <w:u w:val="single"/>
        </w:rPr>
        <w:t xml:space="preserve"> (3A stadijos lėtinė inkstų liga, </w:t>
      </w:r>
      <w:proofErr w:type="spellStart"/>
      <w:r w:rsidRPr="003C0ADC">
        <w:rPr>
          <w:i/>
          <w:u w:val="single"/>
        </w:rPr>
        <w:t>aGFG</w:t>
      </w:r>
      <w:proofErr w:type="spellEnd"/>
      <w:r w:rsidRPr="003C0ADC">
        <w:rPr>
          <w:i/>
          <w:u w:val="single"/>
        </w:rPr>
        <w:t xml:space="preserve"> nuo </w:t>
      </w:r>
      <w:r w:rsidR="00873FCC" w:rsidRPr="003C0ADC">
        <w:rPr>
          <w:i/>
          <w:u w:val="single"/>
        </w:rPr>
        <w:t>≥ </w:t>
      </w:r>
      <w:r w:rsidRPr="003C0ADC">
        <w:rPr>
          <w:i/>
          <w:u w:val="single"/>
        </w:rPr>
        <w:t xml:space="preserve">45 iki </w:t>
      </w:r>
      <w:r w:rsidR="00873FCC" w:rsidRPr="003C0ADC">
        <w:rPr>
          <w:i/>
          <w:u w:val="single"/>
        </w:rPr>
        <w:t>&lt; </w:t>
      </w:r>
      <w:r w:rsidRPr="003C0ADC">
        <w:rPr>
          <w:i/>
          <w:u w:val="single"/>
        </w:rPr>
        <w:t>60</w:t>
      </w:r>
      <w:r w:rsidR="00873FCC" w:rsidRPr="003C0ADC">
        <w:rPr>
          <w:i/>
          <w:u w:val="single"/>
        </w:rPr>
        <w:t> ml/</w:t>
      </w:r>
      <w:r w:rsidRPr="003C0ADC">
        <w:rPr>
          <w:i/>
          <w:u w:val="single"/>
        </w:rPr>
        <w:t>min./1,73 m</w:t>
      </w:r>
      <w:r w:rsidRPr="003C0ADC">
        <w:rPr>
          <w:i/>
          <w:u w:val="single"/>
          <w:vertAlign w:val="superscript"/>
        </w:rPr>
        <w:t>2</w:t>
      </w:r>
      <w:r w:rsidRPr="003C0ADC">
        <w:rPr>
          <w:i/>
          <w:u w:val="single"/>
        </w:rPr>
        <w:t>)</w:t>
      </w:r>
    </w:p>
    <w:p w14:paraId="6D8694A8" w14:textId="26C9565B" w:rsidR="00C0147E" w:rsidRDefault="001175EF" w:rsidP="00130A96">
      <w:pPr>
        <w:pStyle w:val="Pagrindinistekstas"/>
      </w:pPr>
      <w:r w:rsidRPr="009B1821">
        <w:t xml:space="preserve">Dapagliflozino veiksmingumas diabetu sergantiems pacientams, kurių </w:t>
      </w:r>
      <w:proofErr w:type="spellStart"/>
      <w:r w:rsidRPr="009B1821">
        <w:t>aGFG</w:t>
      </w:r>
      <w:proofErr w:type="spellEnd"/>
      <w:r w:rsidRPr="009B1821">
        <w:t xml:space="preserve"> nuo </w:t>
      </w:r>
      <w:r w:rsidR="00873FCC" w:rsidRPr="009B1821">
        <w:t>≥ </w:t>
      </w:r>
      <w:r w:rsidRPr="009B1821">
        <w:t>45 iki</w:t>
      </w:r>
      <w:r w:rsidR="00E0281F" w:rsidRPr="009B1821">
        <w:t xml:space="preserve"> </w:t>
      </w:r>
      <w:r w:rsidR="00873FCC" w:rsidRPr="009B1821">
        <w:t>&lt; </w:t>
      </w:r>
      <w:r w:rsidRPr="009B1821">
        <w:t>60</w:t>
      </w:r>
      <w:r w:rsidR="00873FCC" w:rsidRPr="009B1821">
        <w:t> ml/</w:t>
      </w:r>
      <w:r w:rsidRPr="009B1821">
        <w:t>min./1,73 m</w:t>
      </w:r>
      <w:r w:rsidRPr="009B1821">
        <w:rPr>
          <w:vertAlign w:val="superscript"/>
        </w:rPr>
        <w:t>2</w:t>
      </w:r>
      <w:r w:rsidRPr="009B1821">
        <w:t xml:space="preserve">, ir kurių </w:t>
      </w:r>
      <w:proofErr w:type="spellStart"/>
      <w:r w:rsidRPr="009B1821">
        <w:t>glikemija</w:t>
      </w:r>
      <w:proofErr w:type="spellEnd"/>
      <w:r w:rsidRPr="009B1821">
        <w:t xml:space="preserve"> buvo </w:t>
      </w:r>
      <w:r w:rsidR="009951C2">
        <w:t>nepakankamai</w:t>
      </w:r>
      <w:r w:rsidR="009951C2" w:rsidRPr="009B1821">
        <w:t xml:space="preserve"> </w:t>
      </w:r>
      <w:r w:rsidR="00001B84">
        <w:t>kontroliuojama</w:t>
      </w:r>
      <w:r w:rsidRPr="009B1821">
        <w:t xml:space="preserve"> taikant įprastinį gydymą, tirtas specialaus tyrimo metu. Vartojus dapagliflozin</w:t>
      </w:r>
      <w:r w:rsidR="00001B84">
        <w:t>o</w:t>
      </w:r>
      <w:r w:rsidRPr="009B1821">
        <w:t>, HbA1c koncentracija ir kūno svoris buvo mažesni negu vartojus placeb</w:t>
      </w:r>
      <w:r w:rsidR="00001B84">
        <w:t>o</w:t>
      </w:r>
      <w:r w:rsidRPr="009B1821">
        <w:t xml:space="preserve"> (9</w:t>
      </w:r>
      <w:r w:rsidR="00001B84">
        <w:t> </w:t>
      </w:r>
      <w:r w:rsidRPr="009B1821">
        <w:t>lentelė</w:t>
      </w:r>
      <w:r w:rsidRPr="00130A96">
        <w:t>).</w:t>
      </w:r>
    </w:p>
    <w:p w14:paraId="1951B71A" w14:textId="77777777" w:rsidR="00E0281F" w:rsidRPr="00130A96" w:rsidRDefault="00E0281F" w:rsidP="00130A96">
      <w:pPr>
        <w:pStyle w:val="Pagrindinistekstas"/>
      </w:pPr>
    </w:p>
    <w:p w14:paraId="6D8694A9" w14:textId="7EF09055" w:rsidR="00C0147E" w:rsidRPr="00130A96" w:rsidRDefault="00E0281F" w:rsidP="00E0281F">
      <w:pPr>
        <w:pStyle w:val="Antrat2"/>
        <w:tabs>
          <w:tab w:val="left" w:pos="450"/>
        </w:tabs>
        <w:ind w:left="0"/>
      </w:pPr>
      <w:r>
        <w:t>9</w:t>
      </w:r>
      <w:r w:rsidR="00001B84">
        <w:t> </w:t>
      </w:r>
      <w:r w:rsidR="001175EF" w:rsidRPr="00130A96">
        <w:t>lentelė. Placeb</w:t>
      </w:r>
      <w:r w:rsidR="009951C2">
        <w:t>o</w:t>
      </w:r>
      <w:r w:rsidR="001175EF" w:rsidRPr="00130A96">
        <w:t xml:space="preserve"> kontroliuojamo </w:t>
      </w:r>
      <w:r w:rsidR="00B83372" w:rsidRPr="00130A96">
        <w:t xml:space="preserve">tyrimo </w:t>
      </w:r>
      <w:r w:rsidR="00B83372">
        <w:t xml:space="preserve">su </w:t>
      </w:r>
      <w:r w:rsidR="00B83372" w:rsidRPr="00130A96">
        <w:t>pacienta</w:t>
      </w:r>
      <w:r w:rsidR="00414153">
        <w:t>is</w:t>
      </w:r>
      <w:r w:rsidR="00B83372">
        <w:t xml:space="preserve">, </w:t>
      </w:r>
      <w:r w:rsidR="001175EF" w:rsidRPr="00130A96">
        <w:t xml:space="preserve">, kurių </w:t>
      </w:r>
      <w:proofErr w:type="spellStart"/>
      <w:r w:rsidR="001175EF" w:rsidRPr="00130A96">
        <w:t>aGFG</w:t>
      </w:r>
      <w:proofErr w:type="spellEnd"/>
      <w:r w:rsidR="001175EF" w:rsidRPr="00130A96">
        <w:t xml:space="preserve"> nuo </w:t>
      </w:r>
      <w:r w:rsidR="00873FCC">
        <w:t>≥ </w:t>
      </w:r>
      <w:r w:rsidR="001175EF" w:rsidRPr="00130A96">
        <w:t xml:space="preserve">45 iki </w:t>
      </w:r>
      <w:r w:rsidR="00873FCC">
        <w:t>&lt; </w:t>
      </w:r>
      <w:r w:rsidR="001175EF" w:rsidRPr="00130A96">
        <w:t>60</w:t>
      </w:r>
      <w:r w:rsidR="00873FCC">
        <w:t> ml/</w:t>
      </w:r>
      <w:r w:rsidR="001175EF" w:rsidRPr="00130A96">
        <w:t>min./1,73 m</w:t>
      </w:r>
      <w:r w:rsidR="001175EF" w:rsidRPr="00130A96">
        <w:rPr>
          <w:vertAlign w:val="superscript"/>
        </w:rPr>
        <w:t>2</w:t>
      </w:r>
      <w:r w:rsidR="001175EF" w:rsidRPr="00130A96">
        <w:t xml:space="preserve">, </w:t>
      </w:r>
      <w:r w:rsidR="004B7B6B">
        <w:t>rezultatai</w:t>
      </w:r>
      <w:r w:rsidR="004B7B6B" w:rsidRPr="00130A96">
        <w:t xml:space="preserve"> </w:t>
      </w:r>
      <w:r w:rsidR="001175EF" w:rsidRPr="00130A96">
        <w:t>24</w:t>
      </w:r>
      <w:r w:rsidR="004B7B6B">
        <w:t>-ąją</w:t>
      </w:r>
      <w:r w:rsidR="00504B9B">
        <w:t> </w:t>
      </w:r>
      <w:r w:rsidR="001175EF" w:rsidRPr="00130A96">
        <w:t>savai</w:t>
      </w:r>
      <w:r w:rsidR="004B7B6B">
        <w:t>tę</w:t>
      </w:r>
    </w:p>
    <w:tbl>
      <w:tblPr>
        <w:tblW w:w="0" w:type="auto"/>
        <w:tblLayout w:type="fixed"/>
        <w:tblCellMar>
          <w:left w:w="0" w:type="dxa"/>
          <w:right w:w="0" w:type="dxa"/>
        </w:tblCellMar>
        <w:tblLook w:val="01E0" w:firstRow="1" w:lastRow="1" w:firstColumn="1" w:lastColumn="1" w:noHBand="0" w:noVBand="0"/>
      </w:tblPr>
      <w:tblGrid>
        <w:gridCol w:w="3964"/>
        <w:gridCol w:w="2774"/>
        <w:gridCol w:w="2263"/>
      </w:tblGrid>
      <w:tr w:rsidR="00C0147E" w:rsidRPr="00130A96" w14:paraId="6D8694AE" w14:textId="77777777" w:rsidTr="00504B9B">
        <w:trPr>
          <w:trHeight w:val="505"/>
        </w:trPr>
        <w:tc>
          <w:tcPr>
            <w:tcW w:w="3964" w:type="dxa"/>
            <w:tcBorders>
              <w:top w:val="single" w:sz="12" w:space="0" w:color="000000"/>
            </w:tcBorders>
          </w:tcPr>
          <w:p w14:paraId="6D8694AA" w14:textId="77777777" w:rsidR="00C0147E" w:rsidRPr="00130A96" w:rsidRDefault="00C0147E" w:rsidP="00130A96">
            <w:pPr>
              <w:pStyle w:val="TableParagraph"/>
            </w:pPr>
          </w:p>
        </w:tc>
        <w:tc>
          <w:tcPr>
            <w:tcW w:w="2774" w:type="dxa"/>
            <w:tcBorders>
              <w:top w:val="single" w:sz="12" w:space="0" w:color="000000"/>
            </w:tcBorders>
          </w:tcPr>
          <w:p w14:paraId="6D8694AB" w14:textId="77777777" w:rsidR="00C0147E" w:rsidRPr="00130A96" w:rsidRDefault="001175EF" w:rsidP="00E0281F">
            <w:pPr>
              <w:pStyle w:val="TableParagraph"/>
              <w:jc w:val="center"/>
            </w:pPr>
            <w:r w:rsidRPr="00130A96">
              <w:rPr>
                <w:b/>
              </w:rPr>
              <w:t xml:space="preserve">Dapagliflozinas </w:t>
            </w:r>
            <w:r w:rsidRPr="00130A96">
              <w:rPr>
                <w:vertAlign w:val="superscript"/>
              </w:rPr>
              <w:t>a</w:t>
            </w:r>
          </w:p>
          <w:p w14:paraId="6D8694AC" w14:textId="70CCC094" w:rsidR="00C0147E" w:rsidRPr="00130A96" w:rsidRDefault="001175EF" w:rsidP="00E0281F">
            <w:pPr>
              <w:pStyle w:val="TableParagraph"/>
              <w:jc w:val="center"/>
              <w:rPr>
                <w:b/>
              </w:rPr>
            </w:pPr>
            <w:r w:rsidRPr="00130A96">
              <w:rPr>
                <w:b/>
              </w:rPr>
              <w:t>10</w:t>
            </w:r>
            <w:r w:rsidR="00873FCC">
              <w:rPr>
                <w:b/>
              </w:rPr>
              <w:t> mg</w:t>
            </w:r>
          </w:p>
        </w:tc>
        <w:tc>
          <w:tcPr>
            <w:tcW w:w="2263" w:type="dxa"/>
            <w:tcBorders>
              <w:top w:val="single" w:sz="12" w:space="0" w:color="000000"/>
            </w:tcBorders>
          </w:tcPr>
          <w:p w14:paraId="6D8694AD" w14:textId="77777777" w:rsidR="00C0147E" w:rsidRPr="00130A96" w:rsidRDefault="001175EF" w:rsidP="00E0281F">
            <w:pPr>
              <w:pStyle w:val="TableParagraph"/>
              <w:jc w:val="center"/>
            </w:pPr>
            <w:r w:rsidRPr="00130A96">
              <w:rPr>
                <w:b/>
              </w:rPr>
              <w:t xml:space="preserve">Placebas </w:t>
            </w:r>
            <w:r w:rsidRPr="00130A96">
              <w:rPr>
                <w:vertAlign w:val="superscript"/>
              </w:rPr>
              <w:t>a</w:t>
            </w:r>
          </w:p>
        </w:tc>
      </w:tr>
      <w:tr w:rsidR="00C0147E" w:rsidRPr="00130A96" w14:paraId="6D8694B2" w14:textId="77777777" w:rsidTr="00504B9B">
        <w:trPr>
          <w:trHeight w:val="253"/>
        </w:trPr>
        <w:tc>
          <w:tcPr>
            <w:tcW w:w="3964" w:type="dxa"/>
            <w:tcBorders>
              <w:bottom w:val="single" w:sz="4" w:space="0" w:color="000000"/>
            </w:tcBorders>
          </w:tcPr>
          <w:p w14:paraId="6D8694AF" w14:textId="27EDA4B4" w:rsidR="00C0147E" w:rsidRPr="00130A96" w:rsidRDefault="001175EF" w:rsidP="00130A96">
            <w:pPr>
              <w:pStyle w:val="TableParagraph"/>
              <w:rPr>
                <w:b/>
              </w:rPr>
            </w:pPr>
            <w:proofErr w:type="spellStart"/>
            <w:r w:rsidRPr="00130A96">
              <w:rPr>
                <w:b/>
              </w:rPr>
              <w:t>N</w:t>
            </w:r>
            <w:r w:rsidRPr="00E0281F">
              <w:rPr>
                <w:b/>
                <w:vertAlign w:val="superscript"/>
              </w:rPr>
              <w:t>b</w:t>
            </w:r>
            <w:proofErr w:type="spellEnd"/>
          </w:p>
        </w:tc>
        <w:tc>
          <w:tcPr>
            <w:tcW w:w="2774" w:type="dxa"/>
            <w:tcBorders>
              <w:bottom w:val="single" w:sz="4" w:space="0" w:color="000000"/>
            </w:tcBorders>
          </w:tcPr>
          <w:p w14:paraId="6D8694B0" w14:textId="77777777" w:rsidR="00C0147E" w:rsidRPr="00130A96" w:rsidRDefault="001175EF" w:rsidP="00E0281F">
            <w:pPr>
              <w:pStyle w:val="TableParagraph"/>
              <w:jc w:val="center"/>
              <w:rPr>
                <w:b/>
              </w:rPr>
            </w:pPr>
            <w:r w:rsidRPr="00130A96">
              <w:rPr>
                <w:b/>
              </w:rPr>
              <w:t>159</w:t>
            </w:r>
          </w:p>
        </w:tc>
        <w:tc>
          <w:tcPr>
            <w:tcW w:w="2263" w:type="dxa"/>
            <w:tcBorders>
              <w:bottom w:val="single" w:sz="4" w:space="0" w:color="000000"/>
            </w:tcBorders>
          </w:tcPr>
          <w:p w14:paraId="6D8694B1" w14:textId="77777777" w:rsidR="00C0147E" w:rsidRPr="00130A96" w:rsidRDefault="001175EF" w:rsidP="00E0281F">
            <w:pPr>
              <w:pStyle w:val="TableParagraph"/>
              <w:jc w:val="center"/>
              <w:rPr>
                <w:b/>
              </w:rPr>
            </w:pPr>
            <w:r w:rsidRPr="00130A96">
              <w:rPr>
                <w:b/>
              </w:rPr>
              <w:t>161</w:t>
            </w:r>
          </w:p>
        </w:tc>
      </w:tr>
      <w:tr w:rsidR="00C0147E" w:rsidRPr="00130A96" w14:paraId="6D8694B6" w14:textId="77777777" w:rsidTr="00E0281F">
        <w:trPr>
          <w:trHeight w:val="256"/>
        </w:trPr>
        <w:tc>
          <w:tcPr>
            <w:tcW w:w="3964" w:type="dxa"/>
            <w:tcBorders>
              <w:top w:val="single" w:sz="4" w:space="0" w:color="000000"/>
            </w:tcBorders>
          </w:tcPr>
          <w:p w14:paraId="6D8694B3" w14:textId="4C7995B2" w:rsidR="00C0147E" w:rsidRPr="00130A96" w:rsidRDefault="001175EF" w:rsidP="00130A96">
            <w:pPr>
              <w:pStyle w:val="TableParagraph"/>
              <w:rPr>
                <w:b/>
              </w:rPr>
            </w:pPr>
            <w:r w:rsidRPr="00130A96">
              <w:rPr>
                <w:b/>
              </w:rPr>
              <w:t>HbA1c koncentracija (</w:t>
            </w:r>
            <w:r w:rsidR="00873FCC">
              <w:rPr>
                <w:b/>
              </w:rPr>
              <w:t> %</w:t>
            </w:r>
            <w:r w:rsidRPr="00130A96">
              <w:rPr>
                <w:b/>
              </w:rPr>
              <w:t>)</w:t>
            </w:r>
          </w:p>
        </w:tc>
        <w:tc>
          <w:tcPr>
            <w:tcW w:w="2774" w:type="dxa"/>
            <w:tcBorders>
              <w:top w:val="single" w:sz="4" w:space="0" w:color="000000"/>
            </w:tcBorders>
          </w:tcPr>
          <w:p w14:paraId="6D8694B4" w14:textId="77777777" w:rsidR="00C0147E" w:rsidRPr="00130A96" w:rsidRDefault="00C0147E" w:rsidP="00E0281F">
            <w:pPr>
              <w:pStyle w:val="TableParagraph"/>
              <w:jc w:val="center"/>
            </w:pPr>
          </w:p>
        </w:tc>
        <w:tc>
          <w:tcPr>
            <w:tcW w:w="2263" w:type="dxa"/>
            <w:tcBorders>
              <w:top w:val="single" w:sz="4" w:space="0" w:color="000000"/>
            </w:tcBorders>
          </w:tcPr>
          <w:p w14:paraId="6D8694B5" w14:textId="77777777" w:rsidR="00C0147E" w:rsidRPr="00130A96" w:rsidRDefault="00C0147E" w:rsidP="00E0281F">
            <w:pPr>
              <w:pStyle w:val="TableParagraph"/>
              <w:jc w:val="center"/>
            </w:pPr>
          </w:p>
        </w:tc>
      </w:tr>
      <w:tr w:rsidR="00C0147E" w:rsidRPr="00130A96" w14:paraId="6D8694BA" w14:textId="77777777" w:rsidTr="00E0281F">
        <w:trPr>
          <w:trHeight w:val="249"/>
        </w:trPr>
        <w:tc>
          <w:tcPr>
            <w:tcW w:w="3964" w:type="dxa"/>
          </w:tcPr>
          <w:p w14:paraId="6D8694B7" w14:textId="584D7FF5" w:rsidR="00C0147E" w:rsidRPr="00130A96" w:rsidRDefault="00504B9B" w:rsidP="00130A96">
            <w:pPr>
              <w:pStyle w:val="TableParagraph"/>
            </w:pPr>
            <w:r w:rsidRPr="00536FA9">
              <w:t>Pradinis rodmuo (vidurkis)</w:t>
            </w:r>
          </w:p>
        </w:tc>
        <w:tc>
          <w:tcPr>
            <w:tcW w:w="2774" w:type="dxa"/>
          </w:tcPr>
          <w:p w14:paraId="6D8694B8" w14:textId="77777777" w:rsidR="00C0147E" w:rsidRPr="00130A96" w:rsidRDefault="001175EF" w:rsidP="00E0281F">
            <w:pPr>
              <w:pStyle w:val="TableParagraph"/>
              <w:jc w:val="center"/>
            </w:pPr>
            <w:r w:rsidRPr="00130A96">
              <w:t>8,35</w:t>
            </w:r>
          </w:p>
        </w:tc>
        <w:tc>
          <w:tcPr>
            <w:tcW w:w="2263" w:type="dxa"/>
          </w:tcPr>
          <w:p w14:paraId="6D8694B9" w14:textId="77777777" w:rsidR="00C0147E" w:rsidRPr="00130A96" w:rsidRDefault="001175EF" w:rsidP="00E0281F">
            <w:pPr>
              <w:pStyle w:val="TableParagraph"/>
              <w:jc w:val="center"/>
            </w:pPr>
            <w:r w:rsidRPr="00130A96">
              <w:t>8,03</w:t>
            </w:r>
          </w:p>
        </w:tc>
      </w:tr>
      <w:tr w:rsidR="00C0147E" w:rsidRPr="00130A96" w14:paraId="6D8694BE" w14:textId="77777777" w:rsidTr="00E0281F">
        <w:trPr>
          <w:trHeight w:val="252"/>
        </w:trPr>
        <w:tc>
          <w:tcPr>
            <w:tcW w:w="3964" w:type="dxa"/>
          </w:tcPr>
          <w:p w14:paraId="6D8694BB" w14:textId="0FCB9372" w:rsidR="00C0147E" w:rsidRPr="00130A96" w:rsidRDefault="00B446D0" w:rsidP="00130A96">
            <w:pPr>
              <w:pStyle w:val="TableParagraph"/>
            </w:pPr>
            <w:r w:rsidRPr="002B0E69">
              <w:t xml:space="preserve">Pokytis, palyginti su pradiniu </w:t>
            </w:r>
            <w:proofErr w:type="spellStart"/>
            <w:r w:rsidRPr="002B0E69">
              <w:t>rodmeniu</w:t>
            </w:r>
            <w:r>
              <w:rPr>
                <w:vertAlign w:val="superscript"/>
              </w:rPr>
              <w:t>b</w:t>
            </w:r>
            <w:proofErr w:type="spellEnd"/>
          </w:p>
        </w:tc>
        <w:tc>
          <w:tcPr>
            <w:tcW w:w="2774" w:type="dxa"/>
          </w:tcPr>
          <w:p w14:paraId="6D8694BC" w14:textId="77777777" w:rsidR="00C0147E" w:rsidRPr="00130A96" w:rsidRDefault="001175EF" w:rsidP="00E0281F">
            <w:pPr>
              <w:pStyle w:val="TableParagraph"/>
              <w:jc w:val="center"/>
            </w:pPr>
            <w:r w:rsidRPr="00130A96">
              <w:t>-0,37</w:t>
            </w:r>
          </w:p>
        </w:tc>
        <w:tc>
          <w:tcPr>
            <w:tcW w:w="2263" w:type="dxa"/>
          </w:tcPr>
          <w:p w14:paraId="6D8694BD" w14:textId="77777777" w:rsidR="00C0147E" w:rsidRPr="00130A96" w:rsidRDefault="001175EF" w:rsidP="00E0281F">
            <w:pPr>
              <w:pStyle w:val="TableParagraph"/>
              <w:jc w:val="center"/>
            </w:pPr>
            <w:r w:rsidRPr="00130A96">
              <w:t>-0,03</w:t>
            </w:r>
          </w:p>
        </w:tc>
      </w:tr>
      <w:tr w:rsidR="00C0147E" w:rsidRPr="00130A96" w14:paraId="6D8694C4" w14:textId="77777777" w:rsidTr="00E0281F">
        <w:trPr>
          <w:trHeight w:val="506"/>
        </w:trPr>
        <w:tc>
          <w:tcPr>
            <w:tcW w:w="3964" w:type="dxa"/>
            <w:tcBorders>
              <w:bottom w:val="single" w:sz="4" w:space="0" w:color="000000"/>
            </w:tcBorders>
          </w:tcPr>
          <w:p w14:paraId="2BC9E1F2" w14:textId="0F08A5CD" w:rsidR="00B446D0" w:rsidRDefault="00B446D0" w:rsidP="00130A96">
            <w:pPr>
              <w:pStyle w:val="TableParagraph"/>
            </w:pPr>
            <w:r>
              <w:t xml:space="preserve">Skirtumas, </w:t>
            </w:r>
            <w:r w:rsidRPr="00137200">
              <w:t xml:space="preserve">palyginti su </w:t>
            </w:r>
            <w:r>
              <w:t>placebo</w:t>
            </w:r>
            <w:r w:rsidRPr="00137200">
              <w:t xml:space="preserve"> </w:t>
            </w:r>
            <w:proofErr w:type="spellStart"/>
            <w:r w:rsidRPr="00137200">
              <w:t>poveikiu</w:t>
            </w:r>
            <w:r>
              <w:rPr>
                <w:vertAlign w:val="superscript"/>
              </w:rPr>
              <w:t>b</w:t>
            </w:r>
            <w:proofErr w:type="spellEnd"/>
          </w:p>
          <w:p w14:paraId="6D8694C0" w14:textId="56A24F52" w:rsidR="00C0147E" w:rsidRPr="00130A96" w:rsidRDefault="001175EF" w:rsidP="00130A96">
            <w:pPr>
              <w:pStyle w:val="TableParagraph"/>
            </w:pPr>
            <w:r w:rsidRPr="00130A96">
              <w:t>(95</w:t>
            </w:r>
            <w:r w:rsidR="00873FCC">
              <w:t> %</w:t>
            </w:r>
            <w:r w:rsidRPr="00130A96">
              <w:t xml:space="preserve"> PI)</w:t>
            </w:r>
          </w:p>
        </w:tc>
        <w:tc>
          <w:tcPr>
            <w:tcW w:w="2774" w:type="dxa"/>
            <w:tcBorders>
              <w:bottom w:val="single" w:sz="4" w:space="0" w:color="000000"/>
            </w:tcBorders>
          </w:tcPr>
          <w:p w14:paraId="6D8694C1" w14:textId="77777777" w:rsidR="00C0147E" w:rsidRPr="00130A96" w:rsidRDefault="001175EF" w:rsidP="00E0281F">
            <w:pPr>
              <w:pStyle w:val="TableParagraph"/>
              <w:jc w:val="center"/>
            </w:pPr>
            <w:r w:rsidRPr="00130A96">
              <w:t>-0,34*</w:t>
            </w:r>
          </w:p>
          <w:p w14:paraId="6D8694C2" w14:textId="77777777" w:rsidR="00C0147E" w:rsidRPr="00130A96" w:rsidRDefault="001175EF" w:rsidP="00E0281F">
            <w:pPr>
              <w:pStyle w:val="TableParagraph"/>
              <w:jc w:val="center"/>
            </w:pPr>
            <w:r w:rsidRPr="00130A96">
              <w:t>(-0,53, -0,15)</w:t>
            </w:r>
          </w:p>
        </w:tc>
        <w:tc>
          <w:tcPr>
            <w:tcW w:w="2263" w:type="dxa"/>
            <w:tcBorders>
              <w:bottom w:val="single" w:sz="4" w:space="0" w:color="000000"/>
            </w:tcBorders>
          </w:tcPr>
          <w:p w14:paraId="6D8694C3" w14:textId="77777777" w:rsidR="00C0147E" w:rsidRPr="00130A96" w:rsidRDefault="00C0147E" w:rsidP="00E0281F">
            <w:pPr>
              <w:pStyle w:val="TableParagraph"/>
              <w:jc w:val="center"/>
            </w:pPr>
          </w:p>
        </w:tc>
      </w:tr>
      <w:tr w:rsidR="00C0147E" w:rsidRPr="00130A96" w14:paraId="6D8694C8" w14:textId="77777777" w:rsidTr="00E0281F">
        <w:trPr>
          <w:trHeight w:val="256"/>
        </w:trPr>
        <w:tc>
          <w:tcPr>
            <w:tcW w:w="3964" w:type="dxa"/>
            <w:tcBorders>
              <w:top w:val="single" w:sz="4" w:space="0" w:color="000000"/>
            </w:tcBorders>
          </w:tcPr>
          <w:p w14:paraId="6D8694C5" w14:textId="77777777" w:rsidR="00C0147E" w:rsidRPr="00130A96" w:rsidRDefault="001175EF" w:rsidP="00130A96">
            <w:pPr>
              <w:pStyle w:val="TableParagraph"/>
              <w:rPr>
                <w:b/>
              </w:rPr>
            </w:pPr>
            <w:r w:rsidRPr="00130A96">
              <w:rPr>
                <w:b/>
              </w:rPr>
              <w:t>Kūno svoris (kg)</w:t>
            </w:r>
          </w:p>
        </w:tc>
        <w:tc>
          <w:tcPr>
            <w:tcW w:w="2774" w:type="dxa"/>
            <w:tcBorders>
              <w:top w:val="single" w:sz="4" w:space="0" w:color="000000"/>
            </w:tcBorders>
          </w:tcPr>
          <w:p w14:paraId="6D8694C6" w14:textId="77777777" w:rsidR="00C0147E" w:rsidRPr="00130A96" w:rsidRDefault="00C0147E" w:rsidP="00E0281F">
            <w:pPr>
              <w:pStyle w:val="TableParagraph"/>
              <w:jc w:val="center"/>
            </w:pPr>
          </w:p>
        </w:tc>
        <w:tc>
          <w:tcPr>
            <w:tcW w:w="2263" w:type="dxa"/>
            <w:tcBorders>
              <w:top w:val="single" w:sz="4" w:space="0" w:color="000000"/>
            </w:tcBorders>
          </w:tcPr>
          <w:p w14:paraId="6D8694C7" w14:textId="77777777" w:rsidR="00C0147E" w:rsidRPr="00130A96" w:rsidRDefault="00C0147E" w:rsidP="00E0281F">
            <w:pPr>
              <w:pStyle w:val="TableParagraph"/>
              <w:jc w:val="center"/>
            </w:pPr>
          </w:p>
        </w:tc>
      </w:tr>
      <w:tr w:rsidR="00B446D0" w:rsidRPr="00130A96" w14:paraId="6D8694CC" w14:textId="77777777" w:rsidTr="00E0281F">
        <w:trPr>
          <w:trHeight w:val="249"/>
        </w:trPr>
        <w:tc>
          <w:tcPr>
            <w:tcW w:w="3964" w:type="dxa"/>
          </w:tcPr>
          <w:p w14:paraId="6D8694C9" w14:textId="012B0AA8" w:rsidR="00B446D0" w:rsidRPr="00130A96" w:rsidRDefault="00B446D0" w:rsidP="00B446D0">
            <w:pPr>
              <w:pStyle w:val="TableParagraph"/>
            </w:pPr>
            <w:r w:rsidRPr="00536FA9">
              <w:t>Pradinis rodmuo (vidurkis)</w:t>
            </w:r>
          </w:p>
        </w:tc>
        <w:tc>
          <w:tcPr>
            <w:tcW w:w="2774" w:type="dxa"/>
          </w:tcPr>
          <w:p w14:paraId="6D8694CA" w14:textId="77777777" w:rsidR="00B446D0" w:rsidRPr="00130A96" w:rsidRDefault="00B446D0" w:rsidP="00B446D0">
            <w:pPr>
              <w:pStyle w:val="TableParagraph"/>
              <w:jc w:val="center"/>
            </w:pPr>
            <w:r w:rsidRPr="00130A96">
              <w:t>92,51</w:t>
            </w:r>
          </w:p>
        </w:tc>
        <w:tc>
          <w:tcPr>
            <w:tcW w:w="2263" w:type="dxa"/>
          </w:tcPr>
          <w:p w14:paraId="6D8694CB" w14:textId="77777777" w:rsidR="00B446D0" w:rsidRPr="00130A96" w:rsidRDefault="00B446D0" w:rsidP="00B446D0">
            <w:pPr>
              <w:pStyle w:val="TableParagraph"/>
              <w:jc w:val="center"/>
            </w:pPr>
            <w:r w:rsidRPr="00130A96">
              <w:t>88,30</w:t>
            </w:r>
          </w:p>
        </w:tc>
      </w:tr>
      <w:tr w:rsidR="00B446D0" w:rsidRPr="00130A96" w14:paraId="6D8694D0" w14:textId="77777777" w:rsidTr="00E0281F">
        <w:trPr>
          <w:trHeight w:val="256"/>
        </w:trPr>
        <w:tc>
          <w:tcPr>
            <w:tcW w:w="3964" w:type="dxa"/>
          </w:tcPr>
          <w:p w14:paraId="6D8694CD" w14:textId="3D529248" w:rsidR="00B446D0" w:rsidRPr="00130A96" w:rsidRDefault="00B446D0" w:rsidP="00B446D0">
            <w:pPr>
              <w:pStyle w:val="TableParagraph"/>
            </w:pPr>
            <w:r w:rsidRPr="002B0E69">
              <w:lastRenderedPageBreak/>
              <w:t xml:space="preserve">Pokytis, palyginti su pradiniu </w:t>
            </w:r>
            <w:proofErr w:type="spellStart"/>
            <w:r w:rsidRPr="002B0E69">
              <w:t>rodmeniu</w:t>
            </w:r>
            <w:r>
              <w:rPr>
                <w:vertAlign w:val="superscript"/>
              </w:rPr>
              <w:t>b</w:t>
            </w:r>
            <w:proofErr w:type="spellEnd"/>
          </w:p>
        </w:tc>
        <w:tc>
          <w:tcPr>
            <w:tcW w:w="2774" w:type="dxa"/>
          </w:tcPr>
          <w:p w14:paraId="6D8694CE" w14:textId="77777777" w:rsidR="00B446D0" w:rsidRPr="00130A96" w:rsidRDefault="00B446D0" w:rsidP="00B446D0">
            <w:pPr>
              <w:pStyle w:val="TableParagraph"/>
              <w:jc w:val="center"/>
            </w:pPr>
            <w:r w:rsidRPr="00130A96">
              <w:t>-3,42</w:t>
            </w:r>
          </w:p>
        </w:tc>
        <w:tc>
          <w:tcPr>
            <w:tcW w:w="2263" w:type="dxa"/>
          </w:tcPr>
          <w:p w14:paraId="6D8694CF" w14:textId="77777777" w:rsidR="00B446D0" w:rsidRPr="00130A96" w:rsidRDefault="00B446D0" w:rsidP="00B446D0">
            <w:pPr>
              <w:pStyle w:val="TableParagraph"/>
              <w:jc w:val="center"/>
            </w:pPr>
            <w:r w:rsidRPr="00130A96">
              <w:t>-2,02</w:t>
            </w:r>
          </w:p>
        </w:tc>
      </w:tr>
      <w:tr w:rsidR="00B446D0" w:rsidRPr="00130A96" w14:paraId="6D8694D6" w14:textId="77777777" w:rsidTr="00E0281F">
        <w:trPr>
          <w:trHeight w:val="755"/>
        </w:trPr>
        <w:tc>
          <w:tcPr>
            <w:tcW w:w="3964" w:type="dxa"/>
            <w:tcBorders>
              <w:bottom w:val="single" w:sz="4" w:space="0" w:color="000000"/>
            </w:tcBorders>
          </w:tcPr>
          <w:p w14:paraId="7D1E7260" w14:textId="77777777" w:rsidR="00B446D0" w:rsidRDefault="00B446D0" w:rsidP="00B446D0">
            <w:pPr>
              <w:pStyle w:val="TableParagraph"/>
            </w:pPr>
            <w:r>
              <w:t xml:space="preserve">Skirtumas, </w:t>
            </w:r>
            <w:r w:rsidRPr="00137200">
              <w:t xml:space="preserve">palyginti su </w:t>
            </w:r>
            <w:r>
              <w:t>placebo</w:t>
            </w:r>
            <w:r w:rsidRPr="00137200">
              <w:t xml:space="preserve"> </w:t>
            </w:r>
            <w:proofErr w:type="spellStart"/>
            <w:r w:rsidRPr="00137200">
              <w:t>poveikiu</w:t>
            </w:r>
            <w:r>
              <w:rPr>
                <w:vertAlign w:val="superscript"/>
              </w:rPr>
              <w:t>b</w:t>
            </w:r>
            <w:proofErr w:type="spellEnd"/>
          </w:p>
          <w:p w14:paraId="6D8694D2" w14:textId="1416D386" w:rsidR="00B446D0" w:rsidRPr="00130A96" w:rsidRDefault="00B446D0" w:rsidP="00B446D0">
            <w:pPr>
              <w:pStyle w:val="TableParagraph"/>
            </w:pPr>
            <w:r w:rsidRPr="00130A96">
              <w:t>(95</w:t>
            </w:r>
            <w:r>
              <w:t> %</w:t>
            </w:r>
            <w:r w:rsidRPr="00130A96">
              <w:t xml:space="preserve"> PI)</w:t>
            </w:r>
          </w:p>
        </w:tc>
        <w:tc>
          <w:tcPr>
            <w:tcW w:w="2774" w:type="dxa"/>
            <w:tcBorders>
              <w:bottom w:val="single" w:sz="4" w:space="0" w:color="000000"/>
            </w:tcBorders>
          </w:tcPr>
          <w:p w14:paraId="6D8694D3" w14:textId="77777777" w:rsidR="00B446D0" w:rsidRPr="00130A96" w:rsidRDefault="00B446D0" w:rsidP="00B446D0">
            <w:pPr>
              <w:pStyle w:val="TableParagraph"/>
              <w:jc w:val="center"/>
            </w:pPr>
            <w:r w:rsidRPr="00130A96">
              <w:t>-1,43*</w:t>
            </w:r>
          </w:p>
          <w:p w14:paraId="6D8694D4" w14:textId="77777777" w:rsidR="00B446D0" w:rsidRPr="00130A96" w:rsidRDefault="00B446D0" w:rsidP="00B446D0">
            <w:pPr>
              <w:pStyle w:val="TableParagraph"/>
              <w:jc w:val="center"/>
            </w:pPr>
            <w:r w:rsidRPr="00130A96">
              <w:t>(-2,15, -0,69)</w:t>
            </w:r>
          </w:p>
        </w:tc>
        <w:tc>
          <w:tcPr>
            <w:tcW w:w="2263" w:type="dxa"/>
            <w:tcBorders>
              <w:bottom w:val="single" w:sz="4" w:space="0" w:color="000000"/>
            </w:tcBorders>
          </w:tcPr>
          <w:p w14:paraId="6D8694D5" w14:textId="77777777" w:rsidR="00B446D0" w:rsidRPr="00130A96" w:rsidRDefault="00B446D0" w:rsidP="00B446D0">
            <w:pPr>
              <w:pStyle w:val="TableParagraph"/>
              <w:jc w:val="center"/>
            </w:pPr>
          </w:p>
        </w:tc>
      </w:tr>
    </w:tbl>
    <w:p w14:paraId="59BE5E52" w14:textId="77777777" w:rsidR="00E14B4E" w:rsidRPr="00E14B4E" w:rsidRDefault="00E14B4E" w:rsidP="00E14B4E">
      <w:pPr>
        <w:pStyle w:val="TableParagraph"/>
        <w:rPr>
          <w:sz w:val="20"/>
          <w:szCs w:val="20"/>
        </w:rPr>
      </w:pPr>
      <w:r w:rsidRPr="00E14B4E">
        <w:rPr>
          <w:sz w:val="20"/>
          <w:szCs w:val="20"/>
        </w:rPr>
        <w:t xml:space="preserve">a Metforminas arba </w:t>
      </w:r>
      <w:proofErr w:type="spellStart"/>
      <w:r w:rsidRPr="00E14B4E">
        <w:rPr>
          <w:sz w:val="20"/>
          <w:szCs w:val="20"/>
        </w:rPr>
        <w:t>metformino</w:t>
      </w:r>
      <w:proofErr w:type="spellEnd"/>
      <w:r w:rsidRPr="00E14B4E">
        <w:rPr>
          <w:sz w:val="20"/>
          <w:szCs w:val="20"/>
        </w:rPr>
        <w:t xml:space="preserve"> hidrochloridas buvo įprastinio gydymo dalis 69,4 % ir 64,0 % atitinkamai dapagliflozino ir placebo grupių pacientų.</w:t>
      </w:r>
    </w:p>
    <w:p w14:paraId="77355504" w14:textId="6FFB1CF8" w:rsidR="00E14B4E" w:rsidRPr="00E14B4E" w:rsidRDefault="00E14B4E" w:rsidP="00E14B4E">
      <w:pPr>
        <w:pStyle w:val="TableParagraph"/>
        <w:rPr>
          <w:sz w:val="20"/>
          <w:szCs w:val="20"/>
        </w:rPr>
      </w:pPr>
      <w:r w:rsidRPr="00E14B4E">
        <w:rPr>
          <w:sz w:val="20"/>
          <w:szCs w:val="20"/>
        </w:rPr>
        <w:t>b Mažiausių kvadratų vidurkis, koreguotas pagal pradin</w:t>
      </w:r>
      <w:r w:rsidR="009F0192">
        <w:rPr>
          <w:sz w:val="20"/>
          <w:szCs w:val="20"/>
        </w:rPr>
        <w:t>į rodmenį</w:t>
      </w:r>
      <w:r w:rsidRPr="00E14B4E">
        <w:rPr>
          <w:sz w:val="20"/>
          <w:szCs w:val="20"/>
        </w:rPr>
        <w:t>.</w:t>
      </w:r>
    </w:p>
    <w:p w14:paraId="540B6380" w14:textId="7CB2BEB4" w:rsidR="00E14B4E" w:rsidRPr="00E14B4E" w:rsidRDefault="00E14B4E" w:rsidP="00E14B4E">
      <w:pPr>
        <w:pStyle w:val="TableParagraph"/>
        <w:rPr>
          <w:sz w:val="20"/>
          <w:szCs w:val="20"/>
        </w:rPr>
      </w:pPr>
      <w:r w:rsidRPr="00E14B4E">
        <w:rPr>
          <w:sz w:val="20"/>
          <w:szCs w:val="20"/>
        </w:rPr>
        <w:t xml:space="preserve">c Mažiausių kvadratų vidurkis, koreguotas pagal </w:t>
      </w:r>
      <w:r w:rsidR="009F0192" w:rsidRPr="00E14B4E">
        <w:rPr>
          <w:sz w:val="20"/>
          <w:szCs w:val="20"/>
        </w:rPr>
        <w:t>pradin</w:t>
      </w:r>
      <w:r w:rsidR="009F0192">
        <w:rPr>
          <w:sz w:val="20"/>
          <w:szCs w:val="20"/>
        </w:rPr>
        <w:t>į rodmenį</w:t>
      </w:r>
      <w:r w:rsidRPr="00E14B4E">
        <w:rPr>
          <w:sz w:val="20"/>
          <w:szCs w:val="20"/>
        </w:rPr>
        <w:t>.</w:t>
      </w:r>
    </w:p>
    <w:p w14:paraId="5746A579" w14:textId="53F518D0" w:rsidR="00E14B4E" w:rsidRPr="00E14B4E" w:rsidRDefault="00E14B4E" w:rsidP="00E14B4E">
      <w:pPr>
        <w:pStyle w:val="Pagrindinistekstas"/>
        <w:rPr>
          <w:b/>
          <w:sz w:val="20"/>
          <w:szCs w:val="20"/>
        </w:rPr>
      </w:pPr>
      <w:r w:rsidRPr="00E14B4E">
        <w:rPr>
          <w:sz w:val="20"/>
          <w:szCs w:val="20"/>
        </w:rPr>
        <w:t>* p &lt; 0,001</w:t>
      </w:r>
    </w:p>
    <w:p w14:paraId="68424058" w14:textId="77777777" w:rsidR="003C0ADC" w:rsidRDefault="003C0ADC" w:rsidP="00130A96">
      <w:pPr>
        <w:rPr>
          <w:i/>
          <w:u w:val="single"/>
        </w:rPr>
      </w:pPr>
    </w:p>
    <w:p w14:paraId="6D8694DD" w14:textId="19280BC6" w:rsidR="00C0147E" w:rsidRPr="00130A96" w:rsidRDefault="001175EF" w:rsidP="00130A96">
      <w:pPr>
        <w:rPr>
          <w:i/>
        </w:rPr>
      </w:pPr>
      <w:r w:rsidRPr="00130A96">
        <w:rPr>
          <w:i/>
          <w:u w:val="single"/>
        </w:rPr>
        <w:t xml:space="preserve">Pacientai, kurių </w:t>
      </w:r>
      <w:r w:rsidR="00A8378D">
        <w:rPr>
          <w:i/>
          <w:u w:val="single"/>
        </w:rPr>
        <w:t xml:space="preserve">pradinis </w:t>
      </w:r>
      <w:r w:rsidRPr="00130A96">
        <w:rPr>
          <w:i/>
          <w:u w:val="single"/>
        </w:rPr>
        <w:t xml:space="preserve">HbA1c </w:t>
      </w:r>
      <w:r w:rsidR="00873FCC">
        <w:rPr>
          <w:i/>
          <w:u w:val="single"/>
        </w:rPr>
        <w:t>≥ </w:t>
      </w:r>
      <w:r w:rsidRPr="00130A96">
        <w:rPr>
          <w:i/>
          <w:u w:val="single"/>
        </w:rPr>
        <w:t>9</w:t>
      </w:r>
      <w:r w:rsidR="00873FCC">
        <w:rPr>
          <w:i/>
          <w:u w:val="single"/>
        </w:rPr>
        <w:t> %</w:t>
      </w:r>
    </w:p>
    <w:p w14:paraId="6D8694DE" w14:textId="5C22382A" w:rsidR="00C0147E" w:rsidRPr="00130A96" w:rsidRDefault="001175EF" w:rsidP="00130A96">
      <w:pPr>
        <w:pStyle w:val="Pagrindinistekstas"/>
      </w:pPr>
      <w:r w:rsidRPr="00130A96">
        <w:t>Iš anksto numatyt</w:t>
      </w:r>
      <w:r w:rsidR="006D64B3">
        <w:t>os</w:t>
      </w:r>
      <w:r w:rsidRPr="00130A96">
        <w:t xml:space="preserve"> </w:t>
      </w:r>
      <w:r w:rsidR="006D64B3">
        <w:t>tiriamųjų</w:t>
      </w:r>
      <w:r w:rsidRPr="00130A96">
        <w:t xml:space="preserve">, kurių HbA1c tyrimo </w:t>
      </w:r>
      <w:r w:rsidR="00831885">
        <w:t xml:space="preserve">pradžioje </w:t>
      </w:r>
      <w:r w:rsidRPr="00130A96">
        <w:t xml:space="preserve">buvo </w:t>
      </w:r>
      <w:r w:rsidR="00873FCC">
        <w:t>≥ </w:t>
      </w:r>
      <w:r w:rsidRPr="00130A96">
        <w:t>9</w:t>
      </w:r>
      <w:r w:rsidR="00873FCC">
        <w:t> %</w:t>
      </w:r>
      <w:r w:rsidRPr="00130A96">
        <w:t>, duomenų analizė parodė, kad 10</w:t>
      </w:r>
      <w:r w:rsidR="00873FCC">
        <w:t> mg</w:t>
      </w:r>
      <w:r w:rsidRPr="00130A96">
        <w:t xml:space="preserve"> dapagliflozino </w:t>
      </w:r>
      <w:r w:rsidR="00164BDF">
        <w:t>lėmė</w:t>
      </w:r>
      <w:r w:rsidR="00164BDF" w:rsidRPr="00130A96">
        <w:t xml:space="preserve"> </w:t>
      </w:r>
      <w:r w:rsidRPr="00130A96">
        <w:t>statisti</w:t>
      </w:r>
      <w:r w:rsidR="00164BDF">
        <w:t>š</w:t>
      </w:r>
      <w:r w:rsidRPr="00130A96">
        <w:t>kai reikšmingą HbA1c koncentracijos po 24</w:t>
      </w:r>
      <w:r w:rsidR="007B304C">
        <w:t> </w:t>
      </w:r>
      <w:r w:rsidRPr="00130A96">
        <w:t xml:space="preserve">savaičių sumažėjimą taikius </w:t>
      </w:r>
      <w:proofErr w:type="spellStart"/>
      <w:r w:rsidRPr="00130A96">
        <w:t>monoterapiją</w:t>
      </w:r>
      <w:proofErr w:type="spellEnd"/>
      <w:r w:rsidRPr="00130A96">
        <w:t xml:space="preserve"> (vidutinis koreguotas pokytis, palyginus su buvusia </w:t>
      </w:r>
      <w:r w:rsidR="00767D32">
        <w:t xml:space="preserve">koncentracija </w:t>
      </w:r>
      <w:r w:rsidRPr="00130A96">
        <w:t>tyrimo</w:t>
      </w:r>
      <w:r w:rsidR="003F1327">
        <w:t xml:space="preserve"> pradžioje</w:t>
      </w:r>
      <w:r w:rsidRPr="00130A96">
        <w:t>, 10</w:t>
      </w:r>
      <w:r w:rsidR="00873FCC">
        <w:t> mg</w:t>
      </w:r>
      <w:r w:rsidRPr="00130A96">
        <w:t xml:space="preserve"> dapagliflozino vartojusiems pacientams buvo </w:t>
      </w:r>
      <w:r w:rsidR="003F1327">
        <w:t>-</w:t>
      </w:r>
      <w:r w:rsidRPr="00130A96">
        <w:t>2,04</w:t>
      </w:r>
      <w:r w:rsidR="00873FCC">
        <w:t> %</w:t>
      </w:r>
      <w:r w:rsidRPr="00130A96">
        <w:t>, o vartojusiems placeb</w:t>
      </w:r>
      <w:r w:rsidR="003F1327">
        <w:t>o</w:t>
      </w:r>
      <w:r w:rsidRPr="00130A96">
        <w:t xml:space="preserve"> –0,19</w:t>
      </w:r>
      <w:r w:rsidR="00873FCC">
        <w:t> %</w:t>
      </w:r>
      <w:r w:rsidRPr="00130A96">
        <w:t xml:space="preserve">) ir jį vartojus papildomam </w:t>
      </w:r>
      <w:r w:rsidR="00CC01AF">
        <w:t>sudėtiniam</w:t>
      </w:r>
      <w:r w:rsidR="00CC01AF" w:rsidRPr="00130A96">
        <w:t xml:space="preserve"> </w:t>
      </w:r>
      <w:r w:rsidRPr="00130A96">
        <w:t xml:space="preserve">gydymui kartu su </w:t>
      </w:r>
      <w:proofErr w:type="spellStart"/>
      <w:r w:rsidRPr="00130A96">
        <w:t>metforminu</w:t>
      </w:r>
      <w:proofErr w:type="spellEnd"/>
      <w:r w:rsidRPr="00130A96">
        <w:t xml:space="preserve"> (vidutinis koreguotas pokytis, palyginus su buvusia iki tyrimo, dapagliflozin</w:t>
      </w:r>
      <w:r w:rsidR="007B304C">
        <w:t>o</w:t>
      </w:r>
      <w:r w:rsidRPr="00130A96">
        <w:t xml:space="preserve"> vartojusiems pacientams buvo </w:t>
      </w:r>
      <w:r w:rsidR="007B304C">
        <w:t>-</w:t>
      </w:r>
      <w:r w:rsidRPr="00130A96">
        <w:t>1,32</w:t>
      </w:r>
      <w:r w:rsidR="00873FCC">
        <w:t> %</w:t>
      </w:r>
      <w:r w:rsidRPr="00130A96">
        <w:t>, o vartojusiems placeb</w:t>
      </w:r>
      <w:r w:rsidR="007B304C">
        <w:t>o -</w:t>
      </w:r>
      <w:r w:rsidRPr="00130A96">
        <w:t>0,53</w:t>
      </w:r>
      <w:r w:rsidR="00873FCC">
        <w:t> %</w:t>
      </w:r>
      <w:r w:rsidRPr="00130A96">
        <w:t>).</w:t>
      </w:r>
    </w:p>
    <w:p w14:paraId="6D8694DF" w14:textId="77777777" w:rsidR="00C0147E" w:rsidRPr="00130A96" w:rsidRDefault="00C0147E" w:rsidP="00130A96">
      <w:pPr>
        <w:pStyle w:val="Pagrindinistekstas"/>
      </w:pPr>
    </w:p>
    <w:p w14:paraId="6D8694E0" w14:textId="77777777" w:rsidR="00C0147E" w:rsidRPr="00130A96" w:rsidRDefault="001175EF" w:rsidP="00130A96">
      <w:pPr>
        <w:rPr>
          <w:i/>
        </w:rPr>
      </w:pPr>
      <w:r w:rsidRPr="00130A96">
        <w:rPr>
          <w:i/>
          <w:u w:val="single"/>
        </w:rPr>
        <w:t>Kardiovaskulinės ir inkstų komplikacijos</w:t>
      </w:r>
    </w:p>
    <w:p w14:paraId="6D8694E4" w14:textId="27D19454" w:rsidR="00C0147E" w:rsidRPr="00130A96" w:rsidRDefault="001175EF" w:rsidP="00130A96">
      <w:pPr>
        <w:pStyle w:val="Pagrindinistekstas"/>
      </w:pPr>
      <w:r w:rsidRPr="00130A96">
        <w:t>Dapagliflozino poveikio kardiovaskulinėms komplikacijoms (</w:t>
      </w:r>
      <w:r w:rsidRPr="00130A96">
        <w:rPr>
          <w:i/>
        </w:rPr>
        <w:t>DECLARE</w:t>
      </w:r>
      <w:r w:rsidRPr="00130A96">
        <w:t xml:space="preserve">) tyrimas buvo tarptautinis </w:t>
      </w:r>
      <w:proofErr w:type="spellStart"/>
      <w:r w:rsidR="00D525EB">
        <w:t>daugiacentris</w:t>
      </w:r>
      <w:proofErr w:type="spellEnd"/>
      <w:r w:rsidR="00D525EB">
        <w:t>, atsitiktinių imčių,</w:t>
      </w:r>
      <w:r w:rsidRPr="00130A96">
        <w:t xml:space="preserve"> dvigubai </w:t>
      </w:r>
      <w:r w:rsidR="00D525EB">
        <w:t>koduotas</w:t>
      </w:r>
      <w:r w:rsidRPr="00130A96">
        <w:t xml:space="preserve"> placebu kontroliuotas klinikinis tyrimas, skirtas palyginti kartu su kitais vaistiniais preparatais papildomai vartojamo dapagliflozino ir placebo įtaką kardiovaskulinėms komplikacijoms. Visi pacientai sirgo 2</w:t>
      </w:r>
      <w:r w:rsidR="00873FCC">
        <w:t> tipo</w:t>
      </w:r>
      <w:r w:rsidRPr="00130A96">
        <w:t xml:space="preserve"> cukriniu diabetu ir turėjo bent</w:t>
      </w:r>
      <w:r w:rsidR="00427599">
        <w:t xml:space="preserve"> </w:t>
      </w:r>
      <w:r w:rsidRPr="00130A96">
        <w:t>2 papildomus kardiovaskulinės rizikos faktorius (</w:t>
      </w:r>
      <w:r w:rsidR="0001078E" w:rsidRPr="0001078E">
        <w:t xml:space="preserve">amžius ≥ 55 metai vyrams ir ≥ 60 metų moterims bei vienas ar daugiau iš šių sutrikimų: </w:t>
      </w:r>
      <w:proofErr w:type="spellStart"/>
      <w:r w:rsidR="0001078E" w:rsidRPr="0001078E">
        <w:t>dislipidemija</w:t>
      </w:r>
      <w:proofErr w:type="spellEnd"/>
      <w:r w:rsidR="0001078E" w:rsidRPr="0001078E">
        <w:t xml:space="preserve">, hipertenzija arba rūkymas šiuo metu) arba jiems buvo nustatyta </w:t>
      </w:r>
      <w:r w:rsidR="0078731F">
        <w:t>širdies ir kraujagyslių</w:t>
      </w:r>
      <w:r w:rsidR="0078731F" w:rsidRPr="0001078E">
        <w:t xml:space="preserve"> </w:t>
      </w:r>
      <w:r w:rsidR="0001078E" w:rsidRPr="0001078E">
        <w:t>liga</w:t>
      </w:r>
      <w:r w:rsidRPr="00130A96">
        <w:t>.</w:t>
      </w:r>
    </w:p>
    <w:p w14:paraId="6D8694E5" w14:textId="77777777" w:rsidR="00C0147E" w:rsidRPr="00130A96" w:rsidRDefault="00C0147E" w:rsidP="00130A96">
      <w:pPr>
        <w:pStyle w:val="Pagrindinistekstas"/>
      </w:pPr>
    </w:p>
    <w:p w14:paraId="6D8694E7" w14:textId="2E3411AA" w:rsidR="00C0147E" w:rsidRDefault="001175EF" w:rsidP="00130A96">
      <w:pPr>
        <w:pStyle w:val="Pagrindinistekstas"/>
      </w:pPr>
      <w:r w:rsidRPr="00130A96">
        <w:t>6</w:t>
      </w:r>
      <w:r w:rsidR="00A70D6D">
        <w:t> </w:t>
      </w:r>
      <w:r w:rsidRPr="00130A96">
        <w:t>974 iš 17</w:t>
      </w:r>
      <w:r w:rsidR="00A70D6D">
        <w:t> </w:t>
      </w:r>
      <w:r w:rsidRPr="00130A96">
        <w:t>160 (40,6</w:t>
      </w:r>
      <w:r w:rsidR="00873FCC">
        <w:t> %</w:t>
      </w:r>
      <w:r w:rsidRPr="00130A96">
        <w:t xml:space="preserve">) </w:t>
      </w:r>
      <w:r w:rsidR="008331E5">
        <w:t>atsitiktiniu būdu atri</w:t>
      </w:r>
      <w:r w:rsidR="0045796D">
        <w:t>nktų</w:t>
      </w:r>
      <w:r w:rsidRPr="00130A96">
        <w:t xml:space="preserve"> pacientų </w:t>
      </w:r>
      <w:r w:rsidR="004E301E">
        <w:t>buvo nustatyta</w:t>
      </w:r>
      <w:r w:rsidRPr="00130A96">
        <w:t xml:space="preserve"> </w:t>
      </w:r>
      <w:r w:rsidR="005845FC">
        <w:t>širdies ir kraujagyslių</w:t>
      </w:r>
      <w:r w:rsidR="005845FC" w:rsidRPr="00130A96">
        <w:t xml:space="preserve"> </w:t>
      </w:r>
      <w:r w:rsidRPr="00130A96">
        <w:t>lig</w:t>
      </w:r>
      <w:r w:rsidR="004E301E">
        <w:t>a</w:t>
      </w:r>
      <w:r w:rsidRPr="00130A96">
        <w:t>, o 10</w:t>
      </w:r>
      <w:r w:rsidR="0045796D">
        <w:t> </w:t>
      </w:r>
      <w:r w:rsidRPr="00130A96">
        <w:t>186 (59,4</w:t>
      </w:r>
      <w:r w:rsidR="00873FCC">
        <w:t> %</w:t>
      </w:r>
      <w:r w:rsidRPr="00130A96">
        <w:t>)</w:t>
      </w:r>
      <w:r w:rsidR="00427599">
        <w:t xml:space="preserve"> </w:t>
      </w:r>
      <w:r w:rsidR="004E301E">
        <w:t>ji</w:t>
      </w:r>
      <w:r w:rsidRPr="00130A96">
        <w:t xml:space="preserve"> nebuvo diagnozuota. 8</w:t>
      </w:r>
      <w:r w:rsidR="00190E44">
        <w:t> </w:t>
      </w:r>
      <w:r w:rsidRPr="00130A96">
        <w:t>582</w:t>
      </w:r>
      <w:r w:rsidR="00190E44">
        <w:t> </w:t>
      </w:r>
      <w:r w:rsidRPr="00130A96">
        <w:t xml:space="preserve">pacientai buvo </w:t>
      </w:r>
      <w:r w:rsidR="00190E44">
        <w:t>atsitiktinai priskirti</w:t>
      </w:r>
      <w:r w:rsidRPr="00130A96">
        <w:t xml:space="preserve"> vartoti 10</w:t>
      </w:r>
      <w:r w:rsidR="00873FCC">
        <w:t> mg</w:t>
      </w:r>
      <w:r w:rsidRPr="00130A96">
        <w:t xml:space="preserve"> dapagliflozino, o 8</w:t>
      </w:r>
      <w:r w:rsidR="00190E44">
        <w:t> </w:t>
      </w:r>
      <w:r w:rsidRPr="00130A96">
        <w:t>578 – placeb</w:t>
      </w:r>
      <w:r w:rsidR="00190E44">
        <w:t>o</w:t>
      </w:r>
      <w:r w:rsidRPr="00130A96">
        <w:t>. Jie stebėti laikotarpį, kurio mediana – 4,2</w:t>
      </w:r>
      <w:r w:rsidR="00190E44">
        <w:t> </w:t>
      </w:r>
      <w:r w:rsidRPr="00130A96">
        <w:t>metų.</w:t>
      </w:r>
    </w:p>
    <w:p w14:paraId="614BBFB6" w14:textId="77777777" w:rsidR="00427599" w:rsidRPr="00130A96" w:rsidRDefault="00427599" w:rsidP="00130A96">
      <w:pPr>
        <w:pStyle w:val="Pagrindinistekstas"/>
      </w:pPr>
    </w:p>
    <w:p w14:paraId="6D8694E9" w14:textId="680D5307" w:rsidR="00C0147E" w:rsidRDefault="001175EF" w:rsidP="00130A96">
      <w:pPr>
        <w:pStyle w:val="Pagrindinistekstas"/>
      </w:pPr>
      <w:r w:rsidRPr="00130A96">
        <w:t>Tirtų pacientų vidutinis amžius buvo 63,9</w:t>
      </w:r>
      <w:r w:rsidR="00CF0B0C">
        <w:t> </w:t>
      </w:r>
      <w:r w:rsidRPr="00130A96">
        <w:t>metų, 37,4</w:t>
      </w:r>
      <w:r w:rsidR="00873FCC">
        <w:t> %</w:t>
      </w:r>
      <w:r w:rsidRPr="00130A96">
        <w:t xml:space="preserve"> buvo moterys. Iš viso 22,4</w:t>
      </w:r>
      <w:r w:rsidR="00873FCC">
        <w:t> %</w:t>
      </w:r>
      <w:r w:rsidRPr="00130A96">
        <w:t xml:space="preserve"> sirgo diabetu</w:t>
      </w:r>
      <w:r w:rsidR="00427599">
        <w:t xml:space="preserve"> </w:t>
      </w:r>
      <w:r w:rsidR="00D54BC0">
        <w:t>≤ </w:t>
      </w:r>
      <w:r w:rsidRPr="00130A96">
        <w:t>5</w:t>
      </w:r>
      <w:r w:rsidR="00CF0B0C">
        <w:t> </w:t>
      </w:r>
      <w:r w:rsidRPr="00130A96">
        <w:t>metus, vidutinė sirgimo diabetu trukmė buvo 11,9</w:t>
      </w:r>
      <w:r w:rsidR="00CF0B0C">
        <w:t> </w:t>
      </w:r>
      <w:r w:rsidRPr="00130A96">
        <w:t>metų. Vidutinė HbA1c koncentracija buvo 8,3</w:t>
      </w:r>
      <w:r w:rsidR="00873FCC">
        <w:t> %</w:t>
      </w:r>
      <w:r w:rsidRPr="00130A96">
        <w:t>, o vidutinis KMI – 32,1</w:t>
      </w:r>
      <w:r w:rsidR="00873FCC">
        <w:t> kg</w:t>
      </w:r>
      <w:r w:rsidRPr="00130A96">
        <w:t>/m</w:t>
      </w:r>
      <w:r w:rsidRPr="00130A96">
        <w:rPr>
          <w:vertAlign w:val="superscript"/>
        </w:rPr>
        <w:t>2</w:t>
      </w:r>
      <w:r w:rsidRPr="00130A96">
        <w:t>.</w:t>
      </w:r>
    </w:p>
    <w:p w14:paraId="23B06B6C" w14:textId="77777777" w:rsidR="00427599" w:rsidRPr="00130A96" w:rsidRDefault="00427599" w:rsidP="00130A96">
      <w:pPr>
        <w:pStyle w:val="Pagrindinistekstas"/>
      </w:pPr>
    </w:p>
    <w:p w14:paraId="6D8694EA" w14:textId="1CD6EB6C" w:rsidR="00C0147E" w:rsidRPr="00130A96" w:rsidRDefault="00CF0B0C" w:rsidP="00CF0B0C">
      <w:pPr>
        <w:pStyle w:val="Pagrindinistekstas"/>
      </w:pPr>
      <w:r>
        <w:t>Tyrimo pradžioje</w:t>
      </w:r>
      <w:r w:rsidR="001175EF" w:rsidRPr="00130A96">
        <w:t xml:space="preserve"> 10,0</w:t>
      </w:r>
      <w:r w:rsidR="00873FCC">
        <w:t> %</w:t>
      </w:r>
      <w:r w:rsidR="001175EF" w:rsidRPr="00130A96">
        <w:t xml:space="preserve"> pacientų anamnezėje buvo širdies nepakankamumas. Vidutinis </w:t>
      </w:r>
      <w:proofErr w:type="spellStart"/>
      <w:r w:rsidR="001175EF" w:rsidRPr="00130A96">
        <w:t>aGFG</w:t>
      </w:r>
      <w:proofErr w:type="spellEnd"/>
      <w:r w:rsidR="001175EF" w:rsidRPr="00130A96">
        <w:t xml:space="preserve"> buvo 85,2</w:t>
      </w:r>
      <w:r w:rsidR="00873FCC">
        <w:t> ml/</w:t>
      </w:r>
      <w:r w:rsidR="001175EF" w:rsidRPr="00130A96">
        <w:t>min./1,73 m</w:t>
      </w:r>
      <w:r w:rsidR="001175EF" w:rsidRPr="00130A96">
        <w:rPr>
          <w:vertAlign w:val="superscript"/>
        </w:rPr>
        <w:t>2</w:t>
      </w:r>
      <w:r w:rsidR="001175EF" w:rsidRPr="00130A96">
        <w:t>, 7,4</w:t>
      </w:r>
      <w:r w:rsidR="00873FCC">
        <w:t> %</w:t>
      </w:r>
      <w:r w:rsidR="001175EF" w:rsidRPr="00130A96">
        <w:t xml:space="preserve"> pacientų </w:t>
      </w:r>
      <w:proofErr w:type="spellStart"/>
      <w:r w:rsidR="001175EF" w:rsidRPr="00130A96">
        <w:t>aGFG</w:t>
      </w:r>
      <w:proofErr w:type="spellEnd"/>
      <w:r w:rsidR="001175EF" w:rsidRPr="00130A96">
        <w:t xml:space="preserve"> buvo </w:t>
      </w:r>
      <w:r w:rsidR="00873FCC">
        <w:t>&lt; </w:t>
      </w:r>
      <w:r w:rsidR="001175EF" w:rsidRPr="00130A96">
        <w:t>60</w:t>
      </w:r>
      <w:r w:rsidR="00873FCC">
        <w:t> ml/</w:t>
      </w:r>
      <w:r w:rsidR="001175EF" w:rsidRPr="00130A96">
        <w:t>min./1,73 m</w:t>
      </w:r>
      <w:r w:rsidR="001175EF" w:rsidRPr="00130A96">
        <w:rPr>
          <w:vertAlign w:val="superscript"/>
        </w:rPr>
        <w:t>2</w:t>
      </w:r>
      <w:r w:rsidR="001175EF" w:rsidRPr="00130A96">
        <w:t>, 30,3</w:t>
      </w:r>
      <w:r w:rsidR="00873FCC">
        <w:t> %</w:t>
      </w:r>
      <w:r w:rsidR="001175EF" w:rsidRPr="00130A96">
        <w:t xml:space="preserve"> pacientų rasta </w:t>
      </w:r>
      <w:proofErr w:type="spellStart"/>
      <w:r w:rsidR="001175EF" w:rsidRPr="00130A96">
        <w:t>mikro</w:t>
      </w:r>
      <w:proofErr w:type="spellEnd"/>
      <w:r w:rsidR="001175EF" w:rsidRPr="00130A96">
        <w:t xml:space="preserve">- arba </w:t>
      </w:r>
      <w:proofErr w:type="spellStart"/>
      <w:r w:rsidR="001175EF" w:rsidRPr="00130A96">
        <w:t>makroalbuminurija</w:t>
      </w:r>
      <w:proofErr w:type="spellEnd"/>
      <w:r w:rsidR="001175EF" w:rsidRPr="00130A96">
        <w:t xml:space="preserve">, </w:t>
      </w:r>
      <w:proofErr w:type="spellStart"/>
      <w:r w:rsidR="001175EF" w:rsidRPr="00130A96">
        <w:t>t.y</w:t>
      </w:r>
      <w:proofErr w:type="spellEnd"/>
      <w:r w:rsidR="001175EF" w:rsidRPr="00130A96">
        <w:t xml:space="preserve">. </w:t>
      </w:r>
      <w:proofErr w:type="spellStart"/>
      <w:r w:rsidR="001175EF" w:rsidRPr="00130A96">
        <w:t>albumino</w:t>
      </w:r>
      <w:proofErr w:type="spellEnd"/>
      <w:r w:rsidR="001175EF" w:rsidRPr="00130A96">
        <w:t xml:space="preserve"> ir kreatinino kiekio šlapime santykis (UACR) buvo atitinkamai nuo </w:t>
      </w:r>
      <w:r w:rsidR="00873FCC">
        <w:t>≥ </w:t>
      </w:r>
      <w:r w:rsidR="001175EF" w:rsidRPr="00130A96">
        <w:t xml:space="preserve">30 iki </w:t>
      </w:r>
      <w:r w:rsidR="00D54BC0">
        <w:t>≤ </w:t>
      </w:r>
      <w:r w:rsidR="001175EF" w:rsidRPr="00130A96">
        <w:t>300</w:t>
      </w:r>
      <w:r w:rsidR="00873FCC">
        <w:t> mg</w:t>
      </w:r>
      <w:r w:rsidR="001175EF" w:rsidRPr="00130A96">
        <w:t xml:space="preserve">/g arba </w:t>
      </w:r>
      <w:r w:rsidR="00873FCC">
        <w:t>&gt; </w:t>
      </w:r>
      <w:r w:rsidR="001175EF" w:rsidRPr="00130A96">
        <w:t>300</w:t>
      </w:r>
      <w:r w:rsidR="00873FCC">
        <w:t> mg</w:t>
      </w:r>
      <w:r w:rsidR="001175EF" w:rsidRPr="00130A96">
        <w:t>/g.</w:t>
      </w:r>
    </w:p>
    <w:p w14:paraId="6D8694EB" w14:textId="77777777" w:rsidR="00C0147E" w:rsidRPr="00130A96" w:rsidRDefault="00C0147E" w:rsidP="00130A96">
      <w:pPr>
        <w:pStyle w:val="Pagrindinistekstas"/>
      </w:pPr>
    </w:p>
    <w:p w14:paraId="6D8694EC" w14:textId="1E96749C" w:rsidR="00C0147E" w:rsidRDefault="001175EF" w:rsidP="00130A96">
      <w:pPr>
        <w:pStyle w:val="Pagrindinistekstas"/>
      </w:pPr>
      <w:r w:rsidRPr="00130A96">
        <w:t>Dauguma (98</w:t>
      </w:r>
      <w:r w:rsidR="00873FCC">
        <w:t> %</w:t>
      </w:r>
      <w:r w:rsidRPr="00130A96">
        <w:t xml:space="preserve">) pacientų </w:t>
      </w:r>
      <w:r w:rsidR="00A67846">
        <w:t>tyrimo pradžioje</w:t>
      </w:r>
      <w:r w:rsidRPr="00130A96">
        <w:t xml:space="preserve"> vartojo vieną arba kelis vaistinius preparatus nuo diabeto, įskaitant </w:t>
      </w:r>
      <w:proofErr w:type="spellStart"/>
      <w:r w:rsidRPr="00130A96">
        <w:t>metforminą</w:t>
      </w:r>
      <w:proofErr w:type="spellEnd"/>
      <w:r w:rsidRPr="00130A96">
        <w:t xml:space="preserve"> (82</w:t>
      </w:r>
      <w:r w:rsidR="00873FCC">
        <w:t> %</w:t>
      </w:r>
      <w:r w:rsidRPr="00130A96">
        <w:t>), insuliną (41</w:t>
      </w:r>
      <w:r w:rsidR="00873FCC">
        <w:t> %</w:t>
      </w:r>
      <w:r w:rsidRPr="00130A96">
        <w:t xml:space="preserve">) ir </w:t>
      </w:r>
      <w:proofErr w:type="spellStart"/>
      <w:r w:rsidRPr="00130A96">
        <w:t>sulfonilkarbamid</w:t>
      </w:r>
      <w:r w:rsidR="00D91E35">
        <w:t>o</w:t>
      </w:r>
      <w:proofErr w:type="spellEnd"/>
      <w:r w:rsidR="00D91E35">
        <w:t xml:space="preserve"> darinius</w:t>
      </w:r>
      <w:r w:rsidRPr="00130A96">
        <w:t xml:space="preserve"> (43</w:t>
      </w:r>
      <w:r w:rsidR="00873FCC">
        <w:t> %</w:t>
      </w:r>
      <w:r w:rsidRPr="00130A96">
        <w:t>).</w:t>
      </w:r>
    </w:p>
    <w:p w14:paraId="5B3EAC0D" w14:textId="77777777" w:rsidR="00427599" w:rsidRPr="00130A96" w:rsidRDefault="00427599" w:rsidP="00130A96">
      <w:pPr>
        <w:pStyle w:val="Pagrindinistekstas"/>
      </w:pPr>
    </w:p>
    <w:p w14:paraId="6D8694ED" w14:textId="3A0A3F92" w:rsidR="00C0147E" w:rsidRPr="00130A96" w:rsidRDefault="001175EF" w:rsidP="00130A96">
      <w:pPr>
        <w:pStyle w:val="Pagrindinistekstas"/>
      </w:pPr>
      <w:r w:rsidRPr="00130A96">
        <w:t>Pagrindinės vertinamosios baigtys buvo laikas iki pirmo</w:t>
      </w:r>
      <w:r w:rsidR="00DF460A">
        <w:t>jo reiškinio</w:t>
      </w:r>
      <w:r w:rsidRPr="00130A96">
        <w:t>: mirti</w:t>
      </w:r>
      <w:r w:rsidR="008620BB">
        <w:t>e</w:t>
      </w:r>
      <w:r w:rsidRPr="00130A96">
        <w:t>s</w:t>
      </w:r>
      <w:r w:rsidR="004D3F26">
        <w:t xml:space="preserve"> nuo širdies ir kraujagyslių ligų</w:t>
      </w:r>
      <w:r w:rsidRPr="00130A96">
        <w:t>, miokardo infarkt</w:t>
      </w:r>
      <w:r w:rsidR="008620BB">
        <w:t>o</w:t>
      </w:r>
      <w:r w:rsidRPr="00130A96">
        <w:t xml:space="preserve"> arba išemini</w:t>
      </w:r>
      <w:r w:rsidR="008620BB">
        <w:t>o</w:t>
      </w:r>
      <w:r w:rsidRPr="00130A96">
        <w:t xml:space="preserve"> insult</w:t>
      </w:r>
      <w:r w:rsidR="008620BB">
        <w:t>o</w:t>
      </w:r>
      <w:r w:rsidRPr="00130A96">
        <w:t xml:space="preserve"> (</w:t>
      </w:r>
      <w:r w:rsidRPr="00130A96">
        <w:rPr>
          <w:i/>
        </w:rPr>
        <w:t>MACE</w:t>
      </w:r>
      <w:r w:rsidRPr="00130A96">
        <w:t xml:space="preserve">) ir laikas iki </w:t>
      </w:r>
      <w:r w:rsidR="003F1147">
        <w:t>pirmojo sudėtinės baigties reiškinio (</w:t>
      </w:r>
      <w:r w:rsidRPr="00130A96">
        <w:t>hospitalizacijos dėl širdies nepakankamumo arba mirties</w:t>
      </w:r>
      <w:r w:rsidR="002F0298">
        <w:t xml:space="preserve"> nuo širdies ir kraujagyslių ligų</w:t>
      </w:r>
      <w:r w:rsidR="003F1147">
        <w:t>)</w:t>
      </w:r>
      <w:r w:rsidRPr="00130A96">
        <w:t>. Antrinės vertinamosios baigtys buvo sudėtinė inkstų baigtis ir mirtys dėl visų priežasčių.</w:t>
      </w:r>
    </w:p>
    <w:p w14:paraId="6D8694EE" w14:textId="77777777" w:rsidR="00C0147E" w:rsidRPr="00130A96" w:rsidRDefault="00C0147E" w:rsidP="00130A96">
      <w:pPr>
        <w:pStyle w:val="Pagrindinistekstas"/>
      </w:pPr>
    </w:p>
    <w:p w14:paraId="6D8694F0" w14:textId="106C9976" w:rsidR="00C0147E" w:rsidRDefault="00FC0294" w:rsidP="00130A96">
      <w:pPr>
        <w:pStyle w:val="Pagrindinistekstas"/>
      </w:pPr>
      <w:r w:rsidRPr="008903EC">
        <w:rPr>
          <w:i/>
        </w:rPr>
        <w:t xml:space="preserve">Didieji nepageidaujami širdies ir kraujagyslių </w:t>
      </w:r>
      <w:proofErr w:type="spellStart"/>
      <w:r w:rsidRPr="008903EC">
        <w:rPr>
          <w:i/>
        </w:rPr>
        <w:t>reiškiniai</w:t>
      </w:r>
      <w:r w:rsidR="001175EF" w:rsidRPr="00130A96">
        <w:t>Nustatyta</w:t>
      </w:r>
      <w:proofErr w:type="spellEnd"/>
      <w:r w:rsidR="001175EF" w:rsidRPr="00130A96">
        <w:t>, kad 10</w:t>
      </w:r>
      <w:r w:rsidR="00873FCC">
        <w:t> mg</w:t>
      </w:r>
      <w:r w:rsidR="001175EF" w:rsidRPr="00130A96">
        <w:t xml:space="preserve"> dapagliflozino poveikis sudėtinei </w:t>
      </w:r>
      <w:r w:rsidR="0034717E">
        <w:t xml:space="preserve">vertinamajai </w:t>
      </w:r>
      <w:r w:rsidR="001175EF" w:rsidRPr="00130A96">
        <w:t>baigčiai (</w:t>
      </w:r>
      <w:r w:rsidR="001051BF">
        <w:t xml:space="preserve"> mirtis nuo širdies ir kraujagyslių ligų</w:t>
      </w:r>
      <w:r w:rsidR="001175EF" w:rsidRPr="00130A96">
        <w:t xml:space="preserve">, miokardo infarktas, išeminis insultas) yra ne </w:t>
      </w:r>
      <w:r w:rsidR="007B441C">
        <w:t>mažesnis</w:t>
      </w:r>
      <w:r w:rsidR="007B441C" w:rsidRPr="00130A96">
        <w:t xml:space="preserve"> </w:t>
      </w:r>
      <w:r w:rsidR="007B441C">
        <w:t>už</w:t>
      </w:r>
      <w:r w:rsidR="007B441C" w:rsidRPr="00130A96">
        <w:t xml:space="preserve"> </w:t>
      </w:r>
      <w:r w:rsidR="001175EF" w:rsidRPr="00130A96">
        <w:t xml:space="preserve">placebo (vienos pusės p </w:t>
      </w:r>
      <w:r w:rsidR="00873FCC">
        <w:t>&lt; </w:t>
      </w:r>
      <w:r w:rsidR="001175EF" w:rsidRPr="00130A96">
        <w:t>0,001).</w:t>
      </w:r>
    </w:p>
    <w:p w14:paraId="6B0C59AE" w14:textId="77777777" w:rsidR="00D37909" w:rsidRPr="00130A96" w:rsidRDefault="00D37909" w:rsidP="00130A96">
      <w:pPr>
        <w:pStyle w:val="Pagrindinistekstas"/>
      </w:pPr>
    </w:p>
    <w:p w14:paraId="6D8694F1" w14:textId="04A461B4" w:rsidR="00C0147E" w:rsidRPr="00130A96" w:rsidRDefault="001175EF" w:rsidP="00130A96">
      <w:pPr>
        <w:rPr>
          <w:i/>
        </w:rPr>
      </w:pPr>
      <w:r w:rsidRPr="00130A96">
        <w:rPr>
          <w:i/>
        </w:rPr>
        <w:t>Širdies nepakankamumas ir mirt</w:t>
      </w:r>
      <w:r w:rsidR="00D13DCA">
        <w:rPr>
          <w:i/>
        </w:rPr>
        <w:t>i</w:t>
      </w:r>
      <w:r w:rsidRPr="00130A96">
        <w:rPr>
          <w:i/>
        </w:rPr>
        <w:t>s</w:t>
      </w:r>
      <w:r w:rsidR="00334A99">
        <w:rPr>
          <w:i/>
        </w:rPr>
        <w:t xml:space="preserve"> </w:t>
      </w:r>
      <w:r w:rsidR="00334A99" w:rsidRPr="007E7DFC">
        <w:rPr>
          <w:i/>
        </w:rPr>
        <w:t>nuo širdies ir kraujagyslių ligų</w:t>
      </w:r>
    </w:p>
    <w:p w14:paraId="6D8694F2" w14:textId="3E731CCD" w:rsidR="00C0147E" w:rsidRDefault="001175EF" w:rsidP="00130A96">
      <w:pPr>
        <w:pStyle w:val="Pagrindinistekstas"/>
      </w:pPr>
      <w:r w:rsidRPr="00130A96">
        <w:t>Nustatytas 10</w:t>
      </w:r>
      <w:r w:rsidR="00873FCC">
        <w:t> mg</w:t>
      </w:r>
      <w:r w:rsidRPr="00130A96">
        <w:t xml:space="preserve"> dapagliflozino pranašumas prieš placebą išvengiant sudėtinės baigties, kurią sudarė hospitalizacijos dėl širdies nepakankamumo ir </w:t>
      </w:r>
      <w:r w:rsidR="00D13DCA">
        <w:t>mirtis</w:t>
      </w:r>
      <w:r w:rsidRPr="00130A96">
        <w:t xml:space="preserve"> </w:t>
      </w:r>
      <w:r w:rsidR="00A421BE">
        <w:t>nuo širdies ir kraujagyslių ligų</w:t>
      </w:r>
      <w:r w:rsidR="00A421BE" w:rsidRPr="007C5D78" w:rsidDel="001B1233">
        <w:t xml:space="preserve"> </w:t>
      </w:r>
      <w:r w:rsidRPr="00130A96">
        <w:t>(1</w:t>
      </w:r>
      <w:r w:rsidR="00D13DCA">
        <w:t> </w:t>
      </w:r>
      <w:r w:rsidRPr="00130A96">
        <w:t xml:space="preserve">pav.). </w:t>
      </w:r>
      <w:r w:rsidR="00A12E02" w:rsidRPr="00A12E02">
        <w:t>Skirtumą gydymo grupėse nulėmė</w:t>
      </w:r>
      <w:r w:rsidRPr="00130A96">
        <w:t xml:space="preserve"> skirtingas hospitalizacijų dėl širdies nepakankamumo dažnis, o mirčių </w:t>
      </w:r>
      <w:r w:rsidR="00A421BE">
        <w:t>nuo širdies ir kraujagyslių ligų</w:t>
      </w:r>
      <w:r w:rsidR="00A421BE" w:rsidRPr="007C5D78" w:rsidDel="001B1233">
        <w:t xml:space="preserve"> </w:t>
      </w:r>
      <w:r w:rsidRPr="00130A96">
        <w:t>dažnis nesiskyrė (2</w:t>
      </w:r>
      <w:r w:rsidR="004815C0">
        <w:t> </w:t>
      </w:r>
      <w:r w:rsidRPr="00130A96">
        <w:t>pav.).</w:t>
      </w:r>
    </w:p>
    <w:p w14:paraId="7B4A4606" w14:textId="77777777" w:rsidR="00427599" w:rsidRPr="00130A96" w:rsidRDefault="00427599" w:rsidP="00130A96">
      <w:pPr>
        <w:pStyle w:val="Pagrindinistekstas"/>
      </w:pPr>
    </w:p>
    <w:p w14:paraId="6D8694F3" w14:textId="6124B060" w:rsidR="00C0147E" w:rsidRPr="00130A96" w:rsidRDefault="001175EF" w:rsidP="00130A96">
      <w:pPr>
        <w:pStyle w:val="Pagrindinistekstas"/>
      </w:pPr>
      <w:r w:rsidRPr="00130A96">
        <w:t xml:space="preserve">Dapagliflozino pranašumas prieš placebą nustatytas iki tyrimo </w:t>
      </w:r>
      <w:r w:rsidR="00DF4CB6">
        <w:t>širdies ir kraujagyslių</w:t>
      </w:r>
      <w:r w:rsidR="00DF4CB6" w:rsidRPr="00130A96">
        <w:t xml:space="preserve"> </w:t>
      </w:r>
      <w:r w:rsidRPr="00130A96">
        <w:t>ligomis sirgusiems ir jomis nesirgusiems pacientams, taip pat iki tyrimo širdies nepakankamumu sirgusiems ir juo nesirgusiems pacientams. Šis pranašumas nuosekliai pastebėtas pagrindiniuose pogrupiuose, sudarytuose pagal amžių, lytį, inkstų funkciją (</w:t>
      </w:r>
      <w:proofErr w:type="spellStart"/>
      <w:r w:rsidRPr="00130A96">
        <w:t>aGFG</w:t>
      </w:r>
      <w:proofErr w:type="spellEnd"/>
      <w:r w:rsidRPr="00130A96">
        <w:t>) ir regioną.</w:t>
      </w:r>
    </w:p>
    <w:p w14:paraId="59CA021D" w14:textId="77777777" w:rsidR="00C0147E" w:rsidRDefault="00C0147E" w:rsidP="00130A96">
      <w:pPr>
        <w:pStyle w:val="Pagrindinistekstas"/>
      </w:pPr>
    </w:p>
    <w:p w14:paraId="6D8694F5" w14:textId="578F2CCA" w:rsidR="00C0147E" w:rsidRPr="00130A96" w:rsidRDefault="00427599" w:rsidP="00427599">
      <w:pPr>
        <w:pStyle w:val="Antrat2"/>
        <w:tabs>
          <w:tab w:val="left" w:pos="450"/>
        </w:tabs>
        <w:ind w:left="0"/>
      </w:pPr>
      <w:r>
        <w:t>1</w:t>
      </w:r>
      <w:r w:rsidR="004815C0">
        <w:t> </w:t>
      </w:r>
      <w:r w:rsidR="001175EF" w:rsidRPr="00130A96">
        <w:t>pav</w:t>
      </w:r>
      <w:r w:rsidR="005135D8">
        <w:t>.</w:t>
      </w:r>
      <w:r w:rsidR="004815C0">
        <w:t>:</w:t>
      </w:r>
      <w:r w:rsidR="001175EF" w:rsidRPr="00130A96">
        <w:t xml:space="preserve"> Laikas iki pirmosios hospitalizacijos dėl širdies nepakankamumo arba mirties</w:t>
      </w:r>
      <w:r w:rsidR="00475265">
        <w:t xml:space="preserve"> nuo širdies ir kraujagyslių ligų</w:t>
      </w:r>
    </w:p>
    <w:p w14:paraId="6D8694F6" w14:textId="4057A035" w:rsidR="00C0147E" w:rsidRPr="00130A96" w:rsidRDefault="005E3031" w:rsidP="00130A96">
      <w:pPr>
        <w:pStyle w:val="Pagrindinistekstas"/>
        <w:rPr>
          <w:b/>
        </w:rPr>
      </w:pPr>
      <w:r>
        <w:rPr>
          <w:noProof/>
          <w:sz w:val="24"/>
          <w:szCs w:val="24"/>
          <w:lang w:val="en-US"/>
        </w:rPr>
        <mc:AlternateContent>
          <mc:Choice Requires="wps">
            <w:drawing>
              <wp:anchor distT="0" distB="0" distL="114300" distR="114300" simplePos="0" relativeHeight="251658752" behindDoc="0" locked="0" layoutInCell="1" allowOverlap="1" wp14:anchorId="0C2CB9F8" wp14:editId="7A6F76D4">
                <wp:simplePos x="0" y="0"/>
                <wp:positionH relativeFrom="column">
                  <wp:posOffset>-351130</wp:posOffset>
                </wp:positionH>
                <wp:positionV relativeFrom="paragraph">
                  <wp:posOffset>3246730</wp:posOffset>
                </wp:positionV>
                <wp:extent cx="963295" cy="345440"/>
                <wp:effectExtent l="0" t="0" r="8255" b="0"/>
                <wp:wrapNone/>
                <wp:docPr id="15364187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7162B" w14:textId="77777777" w:rsidR="005E3031" w:rsidRDefault="005E3031" w:rsidP="005E3031">
                            <w:pPr>
                              <w:spacing w:after="40"/>
                              <w:jc w:val="right"/>
                              <w:rPr>
                                <w:sz w:val="16"/>
                                <w:szCs w:val="16"/>
                              </w:rPr>
                            </w:pPr>
                            <w:r>
                              <w:rPr>
                                <w:sz w:val="16"/>
                                <w:szCs w:val="16"/>
                              </w:rPr>
                              <w:t>Dapagliflozinas</w:t>
                            </w:r>
                          </w:p>
                          <w:p w14:paraId="7E4A3680" w14:textId="77777777" w:rsidR="005E3031" w:rsidRDefault="005E3031" w:rsidP="005E3031">
                            <w:pPr>
                              <w:jc w:val="right"/>
                              <w:rPr>
                                <w:sz w:val="16"/>
                                <w:szCs w:val="16"/>
                              </w:rPr>
                            </w:pPr>
                            <w:r>
                              <w:rPr>
                                <w:sz w:val="16"/>
                                <w:szCs w:val="16"/>
                              </w:rPr>
                              <w:t>Placebas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CB9F8" id="_x0000_t202" coordsize="21600,21600" o:spt="202" path="m,l,21600r21600,l21600,xe">
                <v:stroke joinstyle="miter"/>
                <v:path gradientshapeok="t" o:connecttype="rect"/>
              </v:shapetype>
              <v:shape id="Text Box 10" o:spid="_x0000_s1026" type="#_x0000_t202" style="position:absolute;margin-left:-27.65pt;margin-top:255.65pt;width:75.85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" stroked="f">
                <v:textbox>
                  <w:txbxContent>
                    <w:p w14:paraId="2AE7162B" w14:textId="77777777" w:rsidR="005E3031" w:rsidRDefault="005E3031" w:rsidP="005E3031">
                      <w:pPr>
                        <w:spacing w:after="40"/>
                        <w:jc w:val="right"/>
                        <w:rPr>
                          <w:sz w:val="16"/>
                          <w:szCs w:val="16"/>
                        </w:rPr>
                      </w:pPr>
                      <w:r>
                        <w:rPr>
                          <w:sz w:val="16"/>
                          <w:szCs w:val="16"/>
                        </w:rPr>
                        <w:t>Dapagliflozinas</w:t>
                      </w:r>
                    </w:p>
                    <w:p w14:paraId="7E4A3680" w14:textId="77777777" w:rsidR="005E3031" w:rsidRDefault="005E3031" w:rsidP="005E3031">
                      <w:pPr>
                        <w:jc w:val="right"/>
                        <w:rPr>
                          <w:sz w:val="16"/>
                          <w:szCs w:val="16"/>
                        </w:rPr>
                      </w:pPr>
                      <w:r>
                        <w:rPr>
                          <w:sz w:val="16"/>
                          <w:szCs w:val="16"/>
                        </w:rPr>
                        <w:t>Placebas</w:t>
                      </w:r>
                    </w:p>
                  </w:txbxContent>
                </v:textbox>
              </v:shape>
            </w:pict>
          </mc:Fallback>
        </mc:AlternateContent>
      </w:r>
      <w:r w:rsidR="00F4478A">
        <w:rPr>
          <w:noProof/>
          <w:sz w:val="24"/>
          <w:szCs w:val="24"/>
          <w:lang w:val="en-US"/>
        </w:rPr>
        <mc:AlternateContent>
          <mc:Choice Requires="wps">
            <w:drawing>
              <wp:anchor distT="0" distB="0" distL="114300" distR="114300" simplePos="0" relativeHeight="251656704" behindDoc="0" locked="0" layoutInCell="1" allowOverlap="1" wp14:anchorId="1DD8F310" wp14:editId="666F1A39">
                <wp:simplePos x="0" y="0"/>
                <wp:positionH relativeFrom="column">
                  <wp:posOffset>1887322</wp:posOffset>
                </wp:positionH>
                <wp:positionV relativeFrom="paragraph">
                  <wp:posOffset>2873655</wp:posOffset>
                </wp:positionV>
                <wp:extent cx="1979295" cy="215900"/>
                <wp:effectExtent l="0" t="0" r="1905" b="0"/>
                <wp:wrapNone/>
                <wp:docPr id="234799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6FE0" w14:textId="77777777" w:rsidR="00F4478A" w:rsidRDefault="00F4478A" w:rsidP="00F4478A">
                            <w:pPr>
                              <w:rPr>
                                <w:b/>
                                <w:bCs/>
                                <w:sz w:val="16"/>
                                <w:szCs w:val="16"/>
                              </w:rPr>
                            </w:pPr>
                            <w:r>
                              <w:rPr>
                                <w:b/>
                                <w:bCs/>
                                <w:sz w:val="16"/>
                                <w:szCs w:val="16"/>
                              </w:rPr>
                              <w:t>Mėn. po priskyrimo atsitiktinei imčiai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8F310" id="Text Box 9" o:spid="_x0000_s1027" type="#_x0000_t202" style="position:absolute;margin-left:148.6pt;margin-top:226.25pt;width:155.85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" stroked="f">
                <v:textbox>
                  <w:txbxContent>
                    <w:p w14:paraId="26F16FE0" w14:textId="77777777" w:rsidR="00F4478A" w:rsidRDefault="00F4478A" w:rsidP="00F4478A">
                      <w:pPr>
                        <w:rPr>
                          <w:b/>
                          <w:bCs/>
                          <w:sz w:val="16"/>
                          <w:szCs w:val="16"/>
                        </w:rPr>
                      </w:pPr>
                      <w:r>
                        <w:rPr>
                          <w:b/>
                          <w:bCs/>
                          <w:sz w:val="16"/>
                          <w:szCs w:val="16"/>
                        </w:rPr>
                        <w:t>Mėn. po priskyrimo atsitiktinei imčiai</w:t>
                      </w:r>
                    </w:p>
                  </w:txbxContent>
                </v:textbox>
              </v:shape>
            </w:pict>
          </mc:Fallback>
        </mc:AlternateContent>
      </w:r>
      <w:r w:rsidR="0095655E">
        <w:rPr>
          <w:noProof/>
          <w:sz w:val="24"/>
          <w:szCs w:val="24"/>
          <w:lang w:val="en-US"/>
        </w:rPr>
        <mc:AlternateContent>
          <mc:Choice Requires="wps">
            <w:drawing>
              <wp:anchor distT="0" distB="0" distL="114300" distR="114300" simplePos="0" relativeHeight="251653632" behindDoc="0" locked="0" layoutInCell="1" allowOverlap="1" wp14:anchorId="48A1C1F2" wp14:editId="1BE6CA63">
                <wp:simplePos x="0" y="0"/>
                <wp:positionH relativeFrom="column">
                  <wp:posOffset>3745382</wp:posOffset>
                </wp:positionH>
                <wp:positionV relativeFrom="paragraph">
                  <wp:posOffset>2420112</wp:posOffset>
                </wp:positionV>
                <wp:extent cx="692785" cy="175895"/>
                <wp:effectExtent l="0" t="0" r="0" b="0"/>
                <wp:wrapNone/>
                <wp:docPr id="1379817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A4D57" w14:textId="77777777" w:rsidR="0095655E" w:rsidRDefault="0095655E" w:rsidP="0095655E">
                            <w:pPr>
                              <w:rPr>
                                <w:b/>
                                <w:bCs/>
                                <w:sz w:val="12"/>
                                <w:szCs w:val="12"/>
                              </w:rPr>
                            </w:pPr>
                            <w:r>
                              <w:rPr>
                                <w:b/>
                                <w:bCs/>
                                <w:sz w:val="12"/>
                                <w:szCs w:val="12"/>
                              </w:rPr>
                              <w:t>RS (95 % PI)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C1F2" id="Text Box 8" o:spid="_x0000_s1028" type="#_x0000_t202" style="position:absolute;margin-left:294.9pt;margin-top:190.55pt;width:54.55pt;height:1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" stroked="f">
                <v:textbox>
                  <w:txbxContent>
                    <w:p w14:paraId="009A4D57" w14:textId="77777777" w:rsidR="0095655E" w:rsidRDefault="0095655E" w:rsidP="0095655E">
                      <w:pPr>
                        <w:rPr>
                          <w:b/>
                          <w:bCs/>
                          <w:sz w:val="12"/>
                          <w:szCs w:val="12"/>
                        </w:rPr>
                      </w:pPr>
                      <w:r>
                        <w:rPr>
                          <w:b/>
                          <w:bCs/>
                          <w:sz w:val="12"/>
                          <w:szCs w:val="12"/>
                        </w:rPr>
                        <w:t>RS (95 % PI)</w:t>
                      </w:r>
                    </w:p>
                  </w:txbxContent>
                </v:textbox>
              </v:shape>
            </w:pict>
          </mc:Fallback>
        </mc:AlternateContent>
      </w:r>
      <w:r w:rsidR="005B7CFB">
        <w:rPr>
          <w:noProof/>
          <w:sz w:val="24"/>
          <w:szCs w:val="24"/>
          <w:lang w:val="en-US"/>
        </w:rPr>
        <mc:AlternateContent>
          <mc:Choice Requires="wps">
            <w:drawing>
              <wp:anchor distT="0" distB="0" distL="114300" distR="114300" simplePos="0" relativeHeight="251649536" behindDoc="0" locked="0" layoutInCell="1" allowOverlap="1" wp14:anchorId="0B8C07C0" wp14:editId="2242AB92">
                <wp:simplePos x="0" y="0"/>
                <wp:positionH relativeFrom="column">
                  <wp:posOffset>1096010</wp:posOffset>
                </wp:positionH>
                <wp:positionV relativeFrom="paragraph">
                  <wp:posOffset>142494</wp:posOffset>
                </wp:positionV>
                <wp:extent cx="716889" cy="277977"/>
                <wp:effectExtent l="0" t="0" r="7620" b="8255"/>
                <wp:wrapNone/>
                <wp:docPr id="1362485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89" cy="277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19E2" w14:textId="77777777" w:rsidR="005B7CFB" w:rsidRDefault="005B7CFB" w:rsidP="005B7CFB">
                            <w:pPr>
                              <w:rPr>
                                <w:sz w:val="12"/>
                                <w:szCs w:val="12"/>
                              </w:rPr>
                            </w:pPr>
                            <w:r>
                              <w:rPr>
                                <w:sz w:val="12"/>
                                <w:szCs w:val="12"/>
                              </w:rPr>
                              <w:t>Dapagliflozinas</w:t>
                            </w:r>
                          </w:p>
                          <w:p w14:paraId="4F77B15E" w14:textId="77777777" w:rsidR="005B7CFB" w:rsidRDefault="005B7CFB" w:rsidP="005B7CFB">
                            <w:pPr>
                              <w:rPr>
                                <w:sz w:val="12"/>
                                <w:szCs w:val="12"/>
                              </w:rPr>
                            </w:pPr>
                            <w:r>
                              <w:rPr>
                                <w:sz w:val="12"/>
                                <w:szCs w:val="12"/>
                              </w:rPr>
                              <w:t>Placebas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C07C0" id="Text Box 5" o:spid="_x0000_s1029" type="#_x0000_t202" style="position:absolute;margin-left:86.3pt;margin-top:11.2pt;width:56.45pt;height:2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" stroked="f">
                <v:textbox>
                  <w:txbxContent>
                    <w:p w14:paraId="161219E2" w14:textId="77777777" w:rsidR="005B7CFB" w:rsidRDefault="005B7CFB" w:rsidP="005B7CFB">
                      <w:pPr>
                        <w:rPr>
                          <w:sz w:val="12"/>
                          <w:szCs w:val="12"/>
                        </w:rPr>
                      </w:pPr>
                      <w:r>
                        <w:rPr>
                          <w:sz w:val="12"/>
                          <w:szCs w:val="12"/>
                        </w:rPr>
                        <w:t>Dapagliflozinas</w:t>
                      </w:r>
                    </w:p>
                    <w:p w14:paraId="4F77B15E" w14:textId="77777777" w:rsidR="005B7CFB" w:rsidRDefault="005B7CFB" w:rsidP="005B7CFB">
                      <w:pPr>
                        <w:rPr>
                          <w:sz w:val="12"/>
                          <w:szCs w:val="12"/>
                        </w:rPr>
                      </w:pPr>
                      <w:r>
                        <w:rPr>
                          <w:sz w:val="12"/>
                          <w:szCs w:val="12"/>
                        </w:rPr>
                        <w:t>Placebas</w:t>
                      </w:r>
                    </w:p>
                  </w:txbxContent>
                </v:textbox>
              </v:shape>
            </w:pict>
          </mc:Fallback>
        </mc:AlternateContent>
      </w:r>
      <w:r w:rsidR="009E051B">
        <w:rPr>
          <w:noProof/>
          <w:sz w:val="24"/>
          <w:szCs w:val="24"/>
          <w:lang w:val="en-US"/>
        </w:rPr>
        <mc:AlternateContent>
          <mc:Choice Requires="wps">
            <w:drawing>
              <wp:anchor distT="0" distB="0" distL="114300" distR="114300" simplePos="0" relativeHeight="251644416" behindDoc="0" locked="0" layoutInCell="1" allowOverlap="1" wp14:anchorId="0623B245" wp14:editId="72376431">
                <wp:simplePos x="0" y="0"/>
                <wp:positionH relativeFrom="column">
                  <wp:posOffset>123698</wp:posOffset>
                </wp:positionH>
                <wp:positionV relativeFrom="paragraph">
                  <wp:posOffset>457658</wp:posOffset>
                </wp:positionV>
                <wp:extent cx="279400" cy="1849552"/>
                <wp:effectExtent l="0" t="0" r="6350" b="0"/>
                <wp:wrapNone/>
                <wp:docPr id="946050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849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AB059" w14:textId="77777777" w:rsidR="009E051B" w:rsidRDefault="009E051B" w:rsidP="009E051B">
                            <w:pPr>
                              <w:rPr>
                                <w:b/>
                                <w:bCs/>
                                <w:sz w:val="14"/>
                                <w:szCs w:val="14"/>
                                <w:lang w:val="en-US"/>
                              </w:rPr>
                            </w:pPr>
                            <w:r>
                              <w:rPr>
                                <w:b/>
                                <w:bCs/>
                                <w:sz w:val="14"/>
                                <w:szCs w:val="14"/>
                                <w:lang w:val="en-US"/>
                              </w:rPr>
                              <w:t>Pacientai, kuriems nustatytas reiškinys (%)</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3B245" id="Text Box 4" o:spid="_x0000_s1030" type="#_x0000_t202" style="position:absolute;margin-left:9.75pt;margin-top:36.05pt;width:22pt;height:145.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" stroked="f">
                <v:textbox style="layout-flow:vertical;mso-layout-flow-alt:bottom-to-top">
                  <w:txbxContent>
                    <w:p w14:paraId="227AB059" w14:textId="77777777" w:rsidR="009E051B" w:rsidRDefault="009E051B" w:rsidP="009E051B">
                      <w:pPr>
                        <w:rPr>
                          <w:b/>
                          <w:bCs/>
                          <w:sz w:val="14"/>
                          <w:szCs w:val="14"/>
                          <w:lang w:val="en-US"/>
                        </w:rPr>
                      </w:pPr>
                      <w:r>
                        <w:rPr>
                          <w:b/>
                          <w:bCs/>
                          <w:sz w:val="14"/>
                          <w:szCs w:val="14"/>
                          <w:lang w:val="en-US"/>
                        </w:rPr>
                        <w:t>Pacientai, kuriems nustatytas reiškinys (%)</w:t>
                      </w:r>
                    </w:p>
                  </w:txbxContent>
                </v:textbox>
              </v:shape>
            </w:pict>
          </mc:Fallback>
        </mc:AlternateContent>
      </w:r>
      <w:r w:rsidR="001175EF" w:rsidRPr="00130A96">
        <w:rPr>
          <w:b/>
          <w:noProof/>
        </w:rPr>
        <w:drawing>
          <wp:inline distT="0" distB="0" distL="0" distR="0" wp14:anchorId="6D869941" wp14:editId="7BDDC3A8">
            <wp:extent cx="5542552" cy="3533775"/>
            <wp:effectExtent l="0" t="0" r="127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2552" cy="3533775"/>
                    </a:xfrm>
                    <a:prstGeom prst="rect">
                      <a:avLst/>
                    </a:prstGeom>
                  </pic:spPr>
                </pic:pic>
              </a:graphicData>
            </a:graphic>
          </wp:inline>
        </w:drawing>
      </w:r>
    </w:p>
    <w:p w14:paraId="105FD1B4" w14:textId="01992650" w:rsidR="00430ECF" w:rsidRDefault="00430ECF" w:rsidP="00130A96"/>
    <w:p w14:paraId="6D8694F7" w14:textId="1C6DC6B6" w:rsidR="00C0147E" w:rsidRPr="00135DB4" w:rsidRDefault="001175EF" w:rsidP="00130A96">
      <w:pPr>
        <w:rPr>
          <w:sz w:val="18"/>
          <w:szCs w:val="18"/>
        </w:rPr>
      </w:pPr>
      <w:r w:rsidRPr="00135DB4">
        <w:rPr>
          <w:sz w:val="18"/>
          <w:szCs w:val="18"/>
        </w:rPr>
        <w:t>Pacientų su rizika skaičius – jų skaičius tam tikro laikotarpio pradžioje.</w:t>
      </w:r>
    </w:p>
    <w:p w14:paraId="6D8694F8" w14:textId="07E7BCDE" w:rsidR="00C0147E" w:rsidRPr="00135DB4" w:rsidRDefault="001175EF" w:rsidP="00130A96">
      <w:pPr>
        <w:rPr>
          <w:sz w:val="18"/>
          <w:szCs w:val="18"/>
        </w:rPr>
      </w:pPr>
      <w:r w:rsidRPr="00135DB4">
        <w:rPr>
          <w:sz w:val="18"/>
          <w:szCs w:val="18"/>
        </w:rPr>
        <w:t xml:space="preserve">HR – (angl. </w:t>
      </w:r>
      <w:proofErr w:type="spellStart"/>
      <w:r w:rsidRPr="00135DB4">
        <w:rPr>
          <w:i/>
          <w:sz w:val="18"/>
          <w:szCs w:val="18"/>
        </w:rPr>
        <w:t>Hazard</w:t>
      </w:r>
      <w:proofErr w:type="spellEnd"/>
      <w:r w:rsidRPr="00135DB4">
        <w:rPr>
          <w:i/>
          <w:sz w:val="18"/>
          <w:szCs w:val="18"/>
        </w:rPr>
        <w:t xml:space="preserve"> </w:t>
      </w:r>
      <w:proofErr w:type="spellStart"/>
      <w:r w:rsidRPr="00135DB4">
        <w:rPr>
          <w:i/>
          <w:sz w:val="18"/>
          <w:szCs w:val="18"/>
        </w:rPr>
        <w:t>ratio</w:t>
      </w:r>
      <w:proofErr w:type="spellEnd"/>
      <w:r w:rsidRPr="00135DB4">
        <w:rPr>
          <w:sz w:val="18"/>
          <w:szCs w:val="18"/>
        </w:rPr>
        <w:t xml:space="preserve">) – rizikos santykis, CI (angl. </w:t>
      </w:r>
      <w:proofErr w:type="spellStart"/>
      <w:r w:rsidRPr="00135DB4">
        <w:rPr>
          <w:i/>
          <w:sz w:val="18"/>
          <w:szCs w:val="18"/>
        </w:rPr>
        <w:t>confidence</w:t>
      </w:r>
      <w:proofErr w:type="spellEnd"/>
      <w:r w:rsidRPr="00135DB4">
        <w:rPr>
          <w:i/>
          <w:sz w:val="18"/>
          <w:szCs w:val="18"/>
        </w:rPr>
        <w:t xml:space="preserve"> </w:t>
      </w:r>
      <w:proofErr w:type="spellStart"/>
      <w:r w:rsidRPr="00135DB4">
        <w:rPr>
          <w:i/>
          <w:sz w:val="18"/>
          <w:szCs w:val="18"/>
        </w:rPr>
        <w:t>interval</w:t>
      </w:r>
      <w:proofErr w:type="spellEnd"/>
      <w:r w:rsidRPr="00135DB4">
        <w:rPr>
          <w:sz w:val="18"/>
          <w:szCs w:val="18"/>
        </w:rPr>
        <w:t xml:space="preserve">) – </w:t>
      </w:r>
      <w:proofErr w:type="spellStart"/>
      <w:r w:rsidRPr="00135DB4">
        <w:rPr>
          <w:sz w:val="18"/>
          <w:szCs w:val="18"/>
        </w:rPr>
        <w:t>pasikliautinasis</w:t>
      </w:r>
      <w:proofErr w:type="spellEnd"/>
      <w:r w:rsidRPr="00135DB4">
        <w:rPr>
          <w:sz w:val="18"/>
          <w:szCs w:val="18"/>
        </w:rPr>
        <w:t xml:space="preserve"> intervalas</w:t>
      </w:r>
    </w:p>
    <w:p w14:paraId="6D8694F9" w14:textId="40275794" w:rsidR="00C0147E" w:rsidRPr="00130A96" w:rsidRDefault="00C0147E" w:rsidP="00130A96">
      <w:pPr>
        <w:pStyle w:val="Pagrindinistekstas"/>
      </w:pPr>
    </w:p>
    <w:p w14:paraId="6D8694FA" w14:textId="2AB61A06" w:rsidR="00C0147E" w:rsidRPr="00130A96" w:rsidRDefault="001175EF" w:rsidP="00130A96">
      <w:pPr>
        <w:pStyle w:val="Pagrindinistekstas"/>
        <w:jc w:val="both"/>
      </w:pPr>
      <w:r w:rsidRPr="00130A96">
        <w:t>Pirminių ir antrinių vertinamųjų baigčių duomenys pateikiami 2</w:t>
      </w:r>
      <w:r w:rsidR="00135DB4">
        <w:t> </w:t>
      </w:r>
      <w:r w:rsidRPr="00130A96">
        <w:t xml:space="preserve">pav. Dapagliflozino pranašumo prieš placebą pagal </w:t>
      </w:r>
      <w:r w:rsidRPr="00130A96">
        <w:rPr>
          <w:i/>
        </w:rPr>
        <w:t xml:space="preserve">MACE </w:t>
      </w:r>
      <w:r w:rsidRPr="00130A96">
        <w:t>nenustatyta (p</w:t>
      </w:r>
      <w:r w:rsidR="00873FCC">
        <w:t> = </w:t>
      </w:r>
      <w:r w:rsidRPr="00130A96">
        <w:t>0,172)</w:t>
      </w:r>
      <w:r w:rsidR="00135DB4">
        <w:t>. S</w:t>
      </w:r>
      <w:r w:rsidRPr="00130A96">
        <w:t xml:space="preserve">udėtinė inkstų vertinamoji baigtis ir mirštamumas </w:t>
      </w:r>
      <w:r w:rsidR="0046560C">
        <w:t>nuo</w:t>
      </w:r>
      <w:r w:rsidR="0046560C" w:rsidRPr="00130A96">
        <w:t xml:space="preserve"> </w:t>
      </w:r>
      <w:r w:rsidRPr="00130A96">
        <w:t>visų priežasčių nebuvo tiriami kaip patvirtinamosios testavimo procedūros dalis.</w:t>
      </w:r>
    </w:p>
    <w:p w14:paraId="72D116EB" w14:textId="7D63D318" w:rsidR="00C0147E" w:rsidRPr="00130A96" w:rsidRDefault="00D37909" w:rsidP="003C0ADC">
      <w:r>
        <w:br w:type="page"/>
      </w:r>
    </w:p>
    <w:p w14:paraId="0AC11667" w14:textId="77777777" w:rsidR="00DE31AF" w:rsidRDefault="00DE31AF" w:rsidP="00DE31AF">
      <w:pPr>
        <w:pStyle w:val="Antrat2"/>
        <w:tabs>
          <w:tab w:val="left" w:pos="450"/>
        </w:tabs>
        <w:ind w:left="0"/>
      </w:pPr>
      <w:r>
        <w:lastRenderedPageBreak/>
        <w:t>2 </w:t>
      </w:r>
      <w:r w:rsidRPr="00130A96">
        <w:t>pav.</w:t>
      </w:r>
      <w:r>
        <w:t xml:space="preserve">: </w:t>
      </w:r>
      <w:r w:rsidRPr="00130A96">
        <w:t>Gydymo poveikis pagrindinėms ir antrinėms vertinamosioms baigtims bei jų komponentams</w:t>
      </w:r>
    </w:p>
    <w:tbl>
      <w:tblPr>
        <w:tblW w:w="0" w:type="auto"/>
        <w:tblLook w:val="04A0" w:firstRow="1" w:lastRow="0" w:firstColumn="1" w:lastColumn="0" w:noHBand="0" w:noVBand="1"/>
      </w:tblPr>
      <w:tblGrid>
        <w:gridCol w:w="1866"/>
        <w:gridCol w:w="2765"/>
        <w:gridCol w:w="1269"/>
        <w:gridCol w:w="1248"/>
        <w:gridCol w:w="1112"/>
        <w:gridCol w:w="811"/>
      </w:tblGrid>
      <w:tr w:rsidR="00DE31AF" w:rsidRPr="005E0F1D" w14:paraId="0AC39FF2" w14:textId="77777777" w:rsidTr="00A83AFA">
        <w:tc>
          <w:tcPr>
            <w:tcW w:w="1892" w:type="dxa"/>
          </w:tcPr>
          <w:p w14:paraId="2C8517C1" w14:textId="77777777" w:rsidR="00DE31AF" w:rsidRPr="005E0F1D" w:rsidRDefault="00DE31AF" w:rsidP="00E7278D">
            <w:pPr>
              <w:keepNext/>
              <w:keepLines/>
              <w:kinsoku w:val="0"/>
              <w:overflowPunct w:val="0"/>
              <w:adjustRightInd w:val="0"/>
              <w:rPr>
                <w:sz w:val="14"/>
                <w:szCs w:val="14"/>
                <w:lang w:eastAsia="lt-LT"/>
              </w:rPr>
            </w:pPr>
          </w:p>
        </w:tc>
        <w:tc>
          <w:tcPr>
            <w:tcW w:w="2894" w:type="dxa"/>
            <w:vMerge w:val="restart"/>
            <w:vAlign w:val="bottom"/>
          </w:tcPr>
          <w:p w14:paraId="08ED12A5" w14:textId="77777777" w:rsidR="00DE31AF" w:rsidRPr="005E0F1D" w:rsidRDefault="00DE31AF" w:rsidP="00E7278D">
            <w:pPr>
              <w:keepNext/>
              <w:keepLines/>
              <w:kinsoku w:val="0"/>
              <w:overflowPunct w:val="0"/>
              <w:adjustRightInd w:val="0"/>
              <w:jc w:val="center"/>
              <w:rPr>
                <w:sz w:val="14"/>
                <w:szCs w:val="14"/>
                <w:lang w:eastAsia="lt-LT"/>
              </w:rPr>
            </w:pPr>
          </w:p>
          <w:p w14:paraId="09F0FB04" w14:textId="77777777" w:rsidR="00DE31AF" w:rsidRPr="005E0F1D" w:rsidRDefault="00DE31AF" w:rsidP="00E7278D">
            <w:pPr>
              <w:keepNext/>
              <w:keepLines/>
              <w:kinsoku w:val="0"/>
              <w:overflowPunct w:val="0"/>
              <w:adjustRightInd w:val="0"/>
              <w:jc w:val="center"/>
              <w:rPr>
                <w:sz w:val="14"/>
                <w:szCs w:val="14"/>
                <w:lang w:eastAsia="lt-LT"/>
              </w:rPr>
            </w:pPr>
          </w:p>
          <w:p w14:paraId="7CDA8F55" w14:textId="77777777" w:rsidR="00DE31AF" w:rsidRPr="005E0F1D" w:rsidRDefault="00DE31AF" w:rsidP="00E7278D">
            <w:pPr>
              <w:keepNext/>
              <w:keepLines/>
              <w:kinsoku w:val="0"/>
              <w:overflowPunct w:val="0"/>
              <w:adjustRightInd w:val="0"/>
              <w:jc w:val="center"/>
              <w:rPr>
                <w:sz w:val="14"/>
                <w:szCs w:val="14"/>
                <w:lang w:eastAsia="lt-LT"/>
              </w:rPr>
            </w:pPr>
          </w:p>
          <w:p w14:paraId="67B9A9A3" w14:textId="77777777" w:rsidR="00DE31AF" w:rsidRPr="005E0F1D" w:rsidRDefault="00DE31AF" w:rsidP="00E7278D">
            <w:pPr>
              <w:keepNext/>
              <w:keepLines/>
              <w:kinsoku w:val="0"/>
              <w:overflowPunct w:val="0"/>
              <w:adjustRightInd w:val="0"/>
              <w:jc w:val="center"/>
              <w:rPr>
                <w:sz w:val="14"/>
                <w:szCs w:val="14"/>
                <w:lang w:eastAsia="lt-LT"/>
              </w:rPr>
            </w:pPr>
          </w:p>
          <w:p w14:paraId="58ADB27F" w14:textId="77777777" w:rsidR="00DE31AF" w:rsidRPr="005E0F1D" w:rsidRDefault="00DE31AF" w:rsidP="00E7278D">
            <w:pPr>
              <w:keepNext/>
              <w:keepLines/>
              <w:kinsoku w:val="0"/>
              <w:overflowPunct w:val="0"/>
              <w:adjustRightInd w:val="0"/>
              <w:jc w:val="center"/>
              <w:rPr>
                <w:sz w:val="14"/>
                <w:szCs w:val="14"/>
                <w:lang w:eastAsia="lt-LT"/>
              </w:rPr>
            </w:pPr>
          </w:p>
          <w:p w14:paraId="1AA59BA3" w14:textId="77777777" w:rsidR="00DE31AF" w:rsidRPr="005E0F1D" w:rsidRDefault="00DE31AF" w:rsidP="00E7278D">
            <w:pPr>
              <w:keepNext/>
              <w:keepLines/>
              <w:kinsoku w:val="0"/>
              <w:overflowPunct w:val="0"/>
              <w:adjustRightInd w:val="0"/>
              <w:jc w:val="center"/>
              <w:rPr>
                <w:sz w:val="14"/>
                <w:szCs w:val="14"/>
                <w:lang w:eastAsia="lt-LT"/>
              </w:rPr>
            </w:pPr>
            <w:r w:rsidRPr="005E0F1D">
              <w:rPr>
                <w:noProof/>
                <w:lang w:eastAsia="lt-LT"/>
              </w:rPr>
              <w:drawing>
                <wp:anchor distT="0" distB="0" distL="114300" distR="114300" simplePos="0" relativeHeight="251677184" behindDoc="1" locked="0" layoutInCell="1" allowOverlap="1" wp14:anchorId="14632867" wp14:editId="37BF8951">
                  <wp:simplePos x="0" y="0"/>
                  <wp:positionH relativeFrom="margin">
                    <wp:posOffset>59055</wp:posOffset>
                  </wp:positionH>
                  <wp:positionV relativeFrom="margin">
                    <wp:posOffset>551180</wp:posOffset>
                  </wp:positionV>
                  <wp:extent cx="1666240" cy="3185160"/>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b="4855"/>
                          <a:stretch>
                            <a:fillRect/>
                          </a:stretch>
                        </pic:blipFill>
                        <pic:spPr bwMode="auto">
                          <a:xfrm>
                            <a:off x="0" y="0"/>
                            <a:ext cx="1666240" cy="3185160"/>
                          </a:xfrm>
                          <a:prstGeom prst="rect">
                            <a:avLst/>
                          </a:prstGeom>
                          <a:noFill/>
                        </pic:spPr>
                      </pic:pic>
                    </a:graphicData>
                  </a:graphic>
                  <wp14:sizeRelH relativeFrom="page">
                    <wp14:pctWidth>0</wp14:pctWidth>
                  </wp14:sizeRelH>
                  <wp14:sizeRelV relativeFrom="page">
                    <wp14:pctHeight>0</wp14:pctHeight>
                  </wp14:sizeRelV>
                </wp:anchor>
              </w:drawing>
            </w:r>
          </w:p>
          <w:p w14:paraId="5E508C76" w14:textId="77777777" w:rsidR="00DE31AF" w:rsidRPr="005E0F1D" w:rsidRDefault="00DE31AF" w:rsidP="00E7278D">
            <w:pPr>
              <w:keepNext/>
              <w:keepLines/>
              <w:kinsoku w:val="0"/>
              <w:overflowPunct w:val="0"/>
              <w:adjustRightInd w:val="0"/>
              <w:jc w:val="center"/>
              <w:rPr>
                <w:sz w:val="14"/>
                <w:szCs w:val="14"/>
                <w:lang w:eastAsia="lt-LT"/>
              </w:rPr>
            </w:pPr>
            <w:r w:rsidRPr="005E0F1D">
              <w:rPr>
                <w:noProof/>
                <w:lang w:eastAsia="lt-LT"/>
              </w:rPr>
              <mc:AlternateContent>
                <mc:Choice Requires="wpg">
                  <w:drawing>
                    <wp:anchor distT="0" distB="0" distL="114300" distR="114300" simplePos="0" relativeHeight="251676160" behindDoc="0" locked="0" layoutInCell="1" allowOverlap="1" wp14:anchorId="33201EF9" wp14:editId="7250FDA3">
                      <wp:simplePos x="0" y="0"/>
                      <wp:positionH relativeFrom="column">
                        <wp:posOffset>63500</wp:posOffset>
                      </wp:positionH>
                      <wp:positionV relativeFrom="paragraph">
                        <wp:posOffset>2821940</wp:posOffset>
                      </wp:positionV>
                      <wp:extent cx="1703705" cy="205105"/>
                      <wp:effectExtent l="0" t="0" r="0" b="4445"/>
                      <wp:wrapNone/>
                      <wp:docPr id="817682758" name="Group 75"/>
                      <wp:cNvGraphicFramePr/>
                      <a:graphic xmlns:a="http://schemas.openxmlformats.org/drawingml/2006/main">
                        <a:graphicData uri="http://schemas.microsoft.com/office/word/2010/wordprocessingGroup">
                          <wpg:wgp>
                            <wpg:cNvGrpSpPr/>
                            <wpg:grpSpPr bwMode="auto">
                              <a:xfrm>
                                <a:off x="0" y="0"/>
                                <a:ext cx="1703705" cy="205105"/>
                                <a:chOff x="0" y="0"/>
                                <a:chExt cx="2683" cy="323"/>
                              </a:xfrm>
                            </wpg:grpSpPr>
                            <wps:wsp>
                              <wps:cNvPr id="122416369" name="Text Box 71"/>
                              <wps:cNvSpPr txBox="1">
                                <a:spLocks noChangeArrowheads="1"/>
                              </wps:cNvSpPr>
                              <wps:spPr bwMode="auto">
                                <a:xfrm>
                                  <a:off x="0" y="0"/>
                                  <a:ext cx="1392"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5C493" w14:textId="77777777" w:rsidR="00DE31AF" w:rsidRDefault="00DE31AF" w:rsidP="00DE31AF">
                                    <w:pPr>
                                      <w:rPr>
                                        <w:sz w:val="12"/>
                                        <w:szCs w:val="12"/>
                                      </w:rPr>
                                    </w:pPr>
                                    <w:r>
                                      <w:rPr>
                                        <w:sz w:val="12"/>
                                        <w:szCs w:val="12"/>
                                      </w:rPr>
                                      <w:t>Dapagliflozinas geriau</w:t>
                                    </w:r>
                                  </w:p>
                                </w:txbxContent>
                              </wps:txbx>
                              <wps:bodyPr rot="0" vert="horz" wrap="square" lIns="91440" tIns="45720" rIns="91440" bIns="45720" anchor="t" anchorCtr="0" upright="1">
                                <a:noAutofit/>
                              </wps:bodyPr>
                            </wps:wsp>
                            <wps:wsp>
                              <wps:cNvPr id="842707826" name="Text Box 72"/>
                              <wps:cNvSpPr txBox="1">
                                <a:spLocks noChangeArrowheads="1"/>
                              </wps:cNvSpPr>
                              <wps:spPr bwMode="auto">
                                <a:xfrm>
                                  <a:off x="1643" y="3"/>
                                  <a:ext cx="104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2BB8" w14:textId="77777777" w:rsidR="00DE31AF" w:rsidRDefault="00DE31AF" w:rsidP="00DE31AF">
                                    <w:pPr>
                                      <w:rPr>
                                        <w:sz w:val="12"/>
                                        <w:szCs w:val="12"/>
                                      </w:rPr>
                                    </w:pPr>
                                    <w:r>
                                      <w:rPr>
                                        <w:sz w:val="12"/>
                                        <w:szCs w:val="12"/>
                                      </w:rPr>
                                      <w:t>Placebas geriau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01EF9" id="Group 75" o:spid="_x0000_s1031" style="position:absolute;left:0;text-align:left;margin-left:5pt;margin-top:222.2pt;width:134.15pt;height:16.15pt;z-index:251676160" coordsize="268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">
                      <v:shape id="Text Box 71" o:spid="_x0000_s1032" type="#_x0000_t202" style="position:absolute;width:139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" stroked="f">
                        <v:textbox>
                          <w:txbxContent>
                            <w:p w14:paraId="5905C493" w14:textId="77777777" w:rsidR="00DE31AF" w:rsidRDefault="00DE31AF" w:rsidP="00DE31AF">
                              <w:pPr>
                                <w:rPr>
                                  <w:sz w:val="12"/>
                                  <w:szCs w:val="12"/>
                                </w:rPr>
                              </w:pPr>
                              <w:r>
                                <w:rPr>
                                  <w:sz w:val="12"/>
                                  <w:szCs w:val="12"/>
                                </w:rPr>
                                <w:t>Dapagliflozinas geriau</w:t>
                              </w:r>
                            </w:p>
                          </w:txbxContent>
                        </v:textbox>
                      </v:shape>
                      <v:shape id="Text Box 72" o:spid="_x0000_s1033" type="#_x0000_t202" style="position:absolute;left:1643;top:3;width:104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" stroked="f">
                        <v:textbox>
                          <w:txbxContent>
                            <w:p w14:paraId="4D532BB8" w14:textId="77777777" w:rsidR="00DE31AF" w:rsidRDefault="00DE31AF" w:rsidP="00DE31AF">
                              <w:pPr>
                                <w:rPr>
                                  <w:sz w:val="12"/>
                                  <w:szCs w:val="12"/>
                                </w:rPr>
                              </w:pPr>
                              <w:r>
                                <w:rPr>
                                  <w:sz w:val="12"/>
                                  <w:szCs w:val="12"/>
                                </w:rPr>
                                <w:t>Placebas geriau</w:t>
                              </w:r>
                            </w:p>
                          </w:txbxContent>
                        </v:textbox>
                      </v:shape>
                    </v:group>
                  </w:pict>
                </mc:Fallback>
              </mc:AlternateContent>
            </w:r>
          </w:p>
        </w:tc>
        <w:tc>
          <w:tcPr>
            <w:tcW w:w="1276" w:type="dxa"/>
            <w:hideMark/>
          </w:tcPr>
          <w:p w14:paraId="53297950"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Dapagliflozinas</w:t>
            </w:r>
          </w:p>
          <w:p w14:paraId="791FC1DC"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n (%)</w:t>
            </w:r>
          </w:p>
          <w:p w14:paraId="525CFFEB"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(N = 8582)</w:t>
            </w:r>
          </w:p>
        </w:tc>
        <w:tc>
          <w:tcPr>
            <w:tcW w:w="1276" w:type="dxa"/>
            <w:hideMark/>
          </w:tcPr>
          <w:p w14:paraId="54D2C2E5"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Placebas</w:t>
            </w:r>
          </w:p>
          <w:p w14:paraId="348BB3F1"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n (%)</w:t>
            </w:r>
          </w:p>
          <w:p w14:paraId="6E82FBD7"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(N = 8578)</w:t>
            </w:r>
          </w:p>
        </w:tc>
        <w:tc>
          <w:tcPr>
            <w:tcW w:w="1134" w:type="dxa"/>
            <w:hideMark/>
          </w:tcPr>
          <w:p w14:paraId="32045866"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Rizikos santykis</w:t>
            </w:r>
          </w:p>
          <w:p w14:paraId="6BC00D1B"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(95 % PI)</w:t>
            </w:r>
          </w:p>
        </w:tc>
        <w:tc>
          <w:tcPr>
            <w:tcW w:w="818" w:type="dxa"/>
            <w:hideMark/>
          </w:tcPr>
          <w:p w14:paraId="41C3ACA9" w14:textId="77777777" w:rsidR="00DE31AF" w:rsidRPr="005E0F1D" w:rsidRDefault="00DE31AF" w:rsidP="00E7278D">
            <w:pPr>
              <w:keepNext/>
              <w:keepLines/>
              <w:kinsoku w:val="0"/>
              <w:overflowPunct w:val="0"/>
              <w:adjustRightInd w:val="0"/>
              <w:jc w:val="center"/>
              <w:rPr>
                <w:b/>
                <w:bCs/>
                <w:sz w:val="14"/>
                <w:szCs w:val="14"/>
                <w:lang w:eastAsia="lt-LT"/>
              </w:rPr>
            </w:pPr>
            <w:r w:rsidRPr="005E0F1D">
              <w:rPr>
                <w:b/>
                <w:bCs/>
                <w:sz w:val="14"/>
                <w:szCs w:val="14"/>
                <w:lang w:eastAsia="lt-LT"/>
              </w:rPr>
              <w:t>p reikšmė</w:t>
            </w:r>
          </w:p>
        </w:tc>
      </w:tr>
      <w:tr w:rsidR="00DE31AF" w:rsidRPr="005E0F1D" w14:paraId="7B9ED0DC" w14:textId="77777777" w:rsidTr="00A83AFA">
        <w:tc>
          <w:tcPr>
            <w:tcW w:w="1892" w:type="dxa"/>
            <w:hideMark/>
          </w:tcPr>
          <w:p w14:paraId="0DDBC482" w14:textId="77777777" w:rsidR="00DE31AF" w:rsidRPr="005E0F1D" w:rsidRDefault="00DE31AF" w:rsidP="00E7278D">
            <w:pPr>
              <w:keepNext/>
              <w:keepLines/>
              <w:kinsoku w:val="0"/>
              <w:overflowPunct w:val="0"/>
              <w:adjustRightInd w:val="0"/>
              <w:rPr>
                <w:b/>
                <w:bCs/>
                <w:sz w:val="16"/>
                <w:szCs w:val="16"/>
                <w:lang w:eastAsia="lt-LT"/>
              </w:rPr>
            </w:pPr>
            <w:r w:rsidRPr="005E0F1D">
              <w:rPr>
                <w:b/>
                <w:bCs/>
                <w:sz w:val="16"/>
                <w:szCs w:val="16"/>
                <w:lang w:eastAsia="lt-LT"/>
              </w:rPr>
              <w:t>Pagrindinės vertinamosios baigtys</w:t>
            </w:r>
          </w:p>
        </w:tc>
        <w:tc>
          <w:tcPr>
            <w:tcW w:w="0" w:type="auto"/>
            <w:vMerge/>
            <w:vAlign w:val="center"/>
            <w:hideMark/>
          </w:tcPr>
          <w:p w14:paraId="430E6E8B" w14:textId="77777777" w:rsidR="00DE31AF" w:rsidRPr="005E0F1D" w:rsidRDefault="00DE31AF" w:rsidP="00E7278D">
            <w:pPr>
              <w:widowControl/>
              <w:autoSpaceDE/>
              <w:autoSpaceDN/>
              <w:rPr>
                <w:sz w:val="14"/>
                <w:szCs w:val="14"/>
                <w:lang w:eastAsia="lt-LT"/>
              </w:rPr>
            </w:pPr>
          </w:p>
        </w:tc>
        <w:tc>
          <w:tcPr>
            <w:tcW w:w="1276" w:type="dxa"/>
          </w:tcPr>
          <w:p w14:paraId="1BB390A2" w14:textId="77777777" w:rsidR="00DE31AF" w:rsidRPr="005E0F1D" w:rsidRDefault="00DE31AF" w:rsidP="00E7278D">
            <w:pPr>
              <w:keepNext/>
              <w:keepLines/>
              <w:kinsoku w:val="0"/>
              <w:overflowPunct w:val="0"/>
              <w:adjustRightInd w:val="0"/>
              <w:rPr>
                <w:sz w:val="14"/>
                <w:szCs w:val="14"/>
                <w:lang w:eastAsia="lt-LT"/>
              </w:rPr>
            </w:pPr>
          </w:p>
        </w:tc>
        <w:tc>
          <w:tcPr>
            <w:tcW w:w="1276" w:type="dxa"/>
          </w:tcPr>
          <w:p w14:paraId="52C04AED" w14:textId="77777777" w:rsidR="00DE31AF" w:rsidRPr="005E0F1D" w:rsidRDefault="00DE31AF" w:rsidP="00E7278D">
            <w:pPr>
              <w:keepNext/>
              <w:keepLines/>
              <w:kinsoku w:val="0"/>
              <w:overflowPunct w:val="0"/>
              <w:adjustRightInd w:val="0"/>
              <w:rPr>
                <w:sz w:val="14"/>
                <w:szCs w:val="14"/>
                <w:lang w:eastAsia="lt-LT"/>
              </w:rPr>
            </w:pPr>
          </w:p>
        </w:tc>
        <w:tc>
          <w:tcPr>
            <w:tcW w:w="1134" w:type="dxa"/>
          </w:tcPr>
          <w:p w14:paraId="36074927" w14:textId="77777777" w:rsidR="00DE31AF" w:rsidRPr="005E0F1D" w:rsidRDefault="00DE31AF" w:rsidP="00E7278D">
            <w:pPr>
              <w:keepNext/>
              <w:keepLines/>
              <w:kinsoku w:val="0"/>
              <w:overflowPunct w:val="0"/>
              <w:adjustRightInd w:val="0"/>
              <w:rPr>
                <w:sz w:val="14"/>
                <w:szCs w:val="14"/>
                <w:lang w:eastAsia="lt-LT"/>
              </w:rPr>
            </w:pPr>
          </w:p>
        </w:tc>
        <w:tc>
          <w:tcPr>
            <w:tcW w:w="818" w:type="dxa"/>
          </w:tcPr>
          <w:p w14:paraId="508E3BF4" w14:textId="77777777" w:rsidR="00DE31AF" w:rsidRPr="005E0F1D" w:rsidRDefault="00DE31AF" w:rsidP="00E7278D">
            <w:pPr>
              <w:keepNext/>
              <w:keepLines/>
              <w:kinsoku w:val="0"/>
              <w:overflowPunct w:val="0"/>
              <w:adjustRightInd w:val="0"/>
              <w:rPr>
                <w:sz w:val="14"/>
                <w:szCs w:val="14"/>
                <w:lang w:eastAsia="lt-LT"/>
              </w:rPr>
            </w:pPr>
          </w:p>
        </w:tc>
      </w:tr>
      <w:tr w:rsidR="00DE31AF" w:rsidRPr="005E0F1D" w14:paraId="03F08E40" w14:textId="77777777" w:rsidTr="00A83AFA">
        <w:tc>
          <w:tcPr>
            <w:tcW w:w="1892" w:type="dxa"/>
            <w:hideMark/>
          </w:tcPr>
          <w:p w14:paraId="16BF843B" w14:textId="27112D73" w:rsidR="00DE31AF" w:rsidRPr="005E0F1D" w:rsidRDefault="00DE31AF" w:rsidP="00E7278D">
            <w:pPr>
              <w:keepNext/>
              <w:keepLines/>
              <w:kinsoku w:val="0"/>
              <w:overflowPunct w:val="0"/>
              <w:adjustRightInd w:val="0"/>
              <w:rPr>
                <w:b/>
                <w:bCs/>
                <w:sz w:val="14"/>
                <w:szCs w:val="14"/>
                <w:lang w:eastAsia="lt-LT"/>
              </w:rPr>
            </w:pPr>
            <w:r w:rsidRPr="005E0F1D">
              <w:rPr>
                <w:b/>
                <w:bCs/>
                <w:sz w:val="14"/>
                <w:szCs w:val="14"/>
                <w:lang w:eastAsia="lt-LT"/>
              </w:rPr>
              <w:t>Sudėtinė (hospitalizacijos dėl širdies nepakankamumo ir mirtys</w:t>
            </w:r>
            <w:r w:rsidR="002F5A09">
              <w:rPr>
                <w:b/>
                <w:bCs/>
                <w:sz w:val="14"/>
                <w:szCs w:val="14"/>
                <w:lang w:eastAsia="lt-LT"/>
              </w:rPr>
              <w:t xml:space="preserve"> </w:t>
            </w:r>
            <w:r w:rsidR="002F5A09" w:rsidRPr="007E7DFC">
              <w:rPr>
                <w:b/>
                <w:bCs/>
                <w:sz w:val="14"/>
                <w:szCs w:val="14"/>
                <w:lang w:eastAsia="lt-LT"/>
              </w:rPr>
              <w:t>nuo širdies ir kraujagyslių ligų</w:t>
            </w:r>
            <w:r w:rsidRPr="005E0F1D">
              <w:rPr>
                <w:b/>
                <w:bCs/>
                <w:sz w:val="14"/>
                <w:szCs w:val="14"/>
                <w:lang w:eastAsia="lt-LT"/>
              </w:rPr>
              <w:t>)</w:t>
            </w:r>
          </w:p>
        </w:tc>
        <w:tc>
          <w:tcPr>
            <w:tcW w:w="0" w:type="auto"/>
            <w:vMerge/>
            <w:vAlign w:val="center"/>
            <w:hideMark/>
          </w:tcPr>
          <w:p w14:paraId="4C408C19" w14:textId="77777777" w:rsidR="00DE31AF" w:rsidRPr="005E0F1D" w:rsidRDefault="00DE31AF" w:rsidP="00E7278D">
            <w:pPr>
              <w:widowControl/>
              <w:autoSpaceDE/>
              <w:autoSpaceDN/>
              <w:rPr>
                <w:sz w:val="14"/>
                <w:szCs w:val="14"/>
                <w:lang w:eastAsia="lt-LT"/>
              </w:rPr>
            </w:pPr>
          </w:p>
        </w:tc>
        <w:tc>
          <w:tcPr>
            <w:tcW w:w="1276" w:type="dxa"/>
            <w:hideMark/>
          </w:tcPr>
          <w:p w14:paraId="634B6B8E"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417 (4,9)</w:t>
            </w:r>
          </w:p>
        </w:tc>
        <w:tc>
          <w:tcPr>
            <w:tcW w:w="1276" w:type="dxa"/>
            <w:hideMark/>
          </w:tcPr>
          <w:p w14:paraId="5F6A0392"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496 (5,8)</w:t>
            </w:r>
          </w:p>
        </w:tc>
        <w:tc>
          <w:tcPr>
            <w:tcW w:w="1134" w:type="dxa"/>
            <w:hideMark/>
          </w:tcPr>
          <w:p w14:paraId="0117E1D8"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0,83 (0,73, 0,95)</w:t>
            </w:r>
          </w:p>
        </w:tc>
        <w:tc>
          <w:tcPr>
            <w:tcW w:w="818" w:type="dxa"/>
            <w:hideMark/>
          </w:tcPr>
          <w:p w14:paraId="0C3FBADE"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0,005</w:t>
            </w:r>
          </w:p>
        </w:tc>
      </w:tr>
      <w:tr w:rsidR="00DE31AF" w:rsidRPr="005E0F1D" w14:paraId="04BCCD21" w14:textId="77777777" w:rsidTr="00A83AFA">
        <w:tc>
          <w:tcPr>
            <w:tcW w:w="1892" w:type="dxa"/>
            <w:hideMark/>
          </w:tcPr>
          <w:p w14:paraId="3E8DE3B0" w14:textId="59096360" w:rsidR="00DE31AF" w:rsidRPr="005E0F1D" w:rsidRDefault="00DE31AF" w:rsidP="00E7278D">
            <w:pPr>
              <w:keepNext/>
              <w:keepLines/>
              <w:kinsoku w:val="0"/>
              <w:overflowPunct w:val="0"/>
              <w:adjustRightInd w:val="0"/>
              <w:rPr>
                <w:b/>
                <w:bCs/>
                <w:sz w:val="14"/>
                <w:szCs w:val="14"/>
                <w:lang w:eastAsia="lt-LT"/>
              </w:rPr>
            </w:pPr>
            <w:r w:rsidRPr="005E0F1D">
              <w:rPr>
                <w:b/>
                <w:bCs/>
                <w:sz w:val="14"/>
                <w:szCs w:val="14"/>
                <w:lang w:eastAsia="lt-LT"/>
              </w:rPr>
              <w:t>Sudėtinė (mirtys</w:t>
            </w:r>
            <w:r w:rsidR="0042659D">
              <w:rPr>
                <w:b/>
                <w:bCs/>
                <w:sz w:val="14"/>
                <w:szCs w:val="14"/>
                <w:lang w:eastAsia="lt-LT"/>
              </w:rPr>
              <w:t xml:space="preserve"> </w:t>
            </w:r>
            <w:r w:rsidR="0042659D" w:rsidRPr="007E7DFC">
              <w:rPr>
                <w:b/>
                <w:bCs/>
                <w:sz w:val="14"/>
                <w:szCs w:val="14"/>
                <w:lang w:eastAsia="lt-LT"/>
              </w:rPr>
              <w:t>nuo širdies ir kraujagyslių ligų</w:t>
            </w:r>
            <w:r w:rsidRPr="005E0F1D">
              <w:rPr>
                <w:b/>
                <w:bCs/>
                <w:sz w:val="14"/>
                <w:szCs w:val="14"/>
                <w:lang w:eastAsia="lt-LT"/>
              </w:rPr>
              <w:t>, miokardo infarktai, išeminiai insultai)</w:t>
            </w:r>
          </w:p>
        </w:tc>
        <w:tc>
          <w:tcPr>
            <w:tcW w:w="0" w:type="auto"/>
            <w:vMerge/>
            <w:vAlign w:val="center"/>
            <w:hideMark/>
          </w:tcPr>
          <w:p w14:paraId="64649C22" w14:textId="77777777" w:rsidR="00DE31AF" w:rsidRPr="005E0F1D" w:rsidRDefault="00DE31AF" w:rsidP="00E7278D">
            <w:pPr>
              <w:widowControl/>
              <w:autoSpaceDE/>
              <w:autoSpaceDN/>
              <w:rPr>
                <w:sz w:val="14"/>
                <w:szCs w:val="14"/>
                <w:lang w:eastAsia="lt-LT"/>
              </w:rPr>
            </w:pPr>
          </w:p>
        </w:tc>
        <w:tc>
          <w:tcPr>
            <w:tcW w:w="1276" w:type="dxa"/>
            <w:hideMark/>
          </w:tcPr>
          <w:p w14:paraId="02C6A790"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756 (8,8)</w:t>
            </w:r>
          </w:p>
        </w:tc>
        <w:tc>
          <w:tcPr>
            <w:tcW w:w="1276" w:type="dxa"/>
            <w:hideMark/>
          </w:tcPr>
          <w:p w14:paraId="1A16DF4F"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803 (9,4)</w:t>
            </w:r>
          </w:p>
        </w:tc>
        <w:tc>
          <w:tcPr>
            <w:tcW w:w="1134" w:type="dxa"/>
            <w:hideMark/>
          </w:tcPr>
          <w:p w14:paraId="7A81A2AE"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0,93 (0,84, 1,03)</w:t>
            </w:r>
          </w:p>
        </w:tc>
        <w:tc>
          <w:tcPr>
            <w:tcW w:w="818" w:type="dxa"/>
            <w:hideMark/>
          </w:tcPr>
          <w:p w14:paraId="5A4ADAE8"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0,172</w:t>
            </w:r>
          </w:p>
        </w:tc>
      </w:tr>
      <w:tr w:rsidR="00DE31AF" w:rsidRPr="005E0F1D" w14:paraId="4DB3CC19" w14:textId="77777777" w:rsidTr="00A83AFA">
        <w:tc>
          <w:tcPr>
            <w:tcW w:w="1892" w:type="dxa"/>
            <w:hideMark/>
          </w:tcPr>
          <w:p w14:paraId="5A160C1B" w14:textId="77777777" w:rsidR="00DE31AF" w:rsidRPr="005E0F1D" w:rsidRDefault="00DE31AF" w:rsidP="00E7278D">
            <w:pPr>
              <w:keepNext/>
              <w:keepLines/>
              <w:kinsoku w:val="0"/>
              <w:overflowPunct w:val="0"/>
              <w:adjustRightInd w:val="0"/>
              <w:rPr>
                <w:sz w:val="14"/>
                <w:szCs w:val="14"/>
                <w:lang w:eastAsia="lt-LT"/>
              </w:rPr>
            </w:pPr>
            <w:r w:rsidRPr="005E0F1D">
              <w:rPr>
                <w:sz w:val="14"/>
                <w:szCs w:val="14"/>
                <w:lang w:eastAsia="lt-LT"/>
              </w:rPr>
              <w:t>Sudėtinių baigčių komponentai</w:t>
            </w:r>
          </w:p>
        </w:tc>
        <w:tc>
          <w:tcPr>
            <w:tcW w:w="0" w:type="auto"/>
            <w:vMerge/>
            <w:vAlign w:val="center"/>
            <w:hideMark/>
          </w:tcPr>
          <w:p w14:paraId="1ADB4C97" w14:textId="77777777" w:rsidR="00DE31AF" w:rsidRPr="005E0F1D" w:rsidRDefault="00DE31AF" w:rsidP="00E7278D">
            <w:pPr>
              <w:widowControl/>
              <w:autoSpaceDE/>
              <w:autoSpaceDN/>
              <w:rPr>
                <w:sz w:val="14"/>
                <w:szCs w:val="14"/>
                <w:lang w:eastAsia="lt-LT"/>
              </w:rPr>
            </w:pPr>
          </w:p>
        </w:tc>
        <w:tc>
          <w:tcPr>
            <w:tcW w:w="1276" w:type="dxa"/>
          </w:tcPr>
          <w:p w14:paraId="6A15FC18" w14:textId="77777777" w:rsidR="00DE31AF" w:rsidRPr="005E0F1D" w:rsidRDefault="00DE31AF" w:rsidP="00E7278D">
            <w:pPr>
              <w:keepNext/>
              <w:keepLines/>
              <w:kinsoku w:val="0"/>
              <w:overflowPunct w:val="0"/>
              <w:adjustRightInd w:val="0"/>
              <w:jc w:val="center"/>
              <w:rPr>
                <w:sz w:val="14"/>
                <w:szCs w:val="14"/>
                <w:lang w:eastAsia="lt-LT"/>
              </w:rPr>
            </w:pPr>
          </w:p>
        </w:tc>
        <w:tc>
          <w:tcPr>
            <w:tcW w:w="1276" w:type="dxa"/>
          </w:tcPr>
          <w:p w14:paraId="68750A3F" w14:textId="77777777" w:rsidR="00DE31AF" w:rsidRPr="005E0F1D" w:rsidRDefault="00DE31AF" w:rsidP="00E7278D">
            <w:pPr>
              <w:keepNext/>
              <w:keepLines/>
              <w:kinsoku w:val="0"/>
              <w:overflowPunct w:val="0"/>
              <w:adjustRightInd w:val="0"/>
              <w:jc w:val="center"/>
              <w:rPr>
                <w:sz w:val="14"/>
                <w:szCs w:val="14"/>
                <w:lang w:eastAsia="lt-LT"/>
              </w:rPr>
            </w:pPr>
          </w:p>
        </w:tc>
        <w:tc>
          <w:tcPr>
            <w:tcW w:w="1134" w:type="dxa"/>
          </w:tcPr>
          <w:p w14:paraId="6D16F172" w14:textId="77777777" w:rsidR="00DE31AF" w:rsidRPr="005E0F1D" w:rsidRDefault="00DE31AF" w:rsidP="00E7278D">
            <w:pPr>
              <w:keepNext/>
              <w:keepLines/>
              <w:kinsoku w:val="0"/>
              <w:overflowPunct w:val="0"/>
              <w:adjustRightInd w:val="0"/>
              <w:jc w:val="center"/>
              <w:rPr>
                <w:sz w:val="14"/>
                <w:szCs w:val="14"/>
                <w:lang w:eastAsia="lt-LT"/>
              </w:rPr>
            </w:pPr>
          </w:p>
        </w:tc>
        <w:tc>
          <w:tcPr>
            <w:tcW w:w="818" w:type="dxa"/>
          </w:tcPr>
          <w:p w14:paraId="24398519" w14:textId="77777777" w:rsidR="00DE31AF" w:rsidRPr="005E0F1D" w:rsidRDefault="00DE31AF" w:rsidP="00E7278D">
            <w:pPr>
              <w:keepNext/>
              <w:keepLines/>
              <w:kinsoku w:val="0"/>
              <w:overflowPunct w:val="0"/>
              <w:adjustRightInd w:val="0"/>
              <w:jc w:val="center"/>
              <w:rPr>
                <w:sz w:val="14"/>
                <w:szCs w:val="14"/>
                <w:lang w:eastAsia="lt-LT"/>
              </w:rPr>
            </w:pPr>
          </w:p>
        </w:tc>
      </w:tr>
      <w:tr w:rsidR="00DE31AF" w:rsidRPr="005E0F1D" w14:paraId="4E835A5F" w14:textId="77777777" w:rsidTr="00A83AFA">
        <w:tc>
          <w:tcPr>
            <w:tcW w:w="1892" w:type="dxa"/>
            <w:hideMark/>
          </w:tcPr>
          <w:p w14:paraId="05A9C7E2" w14:textId="77777777"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Hospitalizacijos dėl širdies nepakankamumo</w:t>
            </w:r>
          </w:p>
        </w:tc>
        <w:tc>
          <w:tcPr>
            <w:tcW w:w="0" w:type="auto"/>
            <w:vMerge/>
            <w:vAlign w:val="center"/>
            <w:hideMark/>
          </w:tcPr>
          <w:p w14:paraId="5D65D2AF" w14:textId="77777777" w:rsidR="00DE31AF" w:rsidRPr="005E0F1D" w:rsidRDefault="00DE31AF" w:rsidP="00E7278D">
            <w:pPr>
              <w:widowControl/>
              <w:autoSpaceDE/>
              <w:autoSpaceDN/>
              <w:rPr>
                <w:sz w:val="14"/>
                <w:szCs w:val="14"/>
                <w:lang w:eastAsia="lt-LT"/>
              </w:rPr>
            </w:pPr>
          </w:p>
        </w:tc>
        <w:tc>
          <w:tcPr>
            <w:tcW w:w="1276" w:type="dxa"/>
            <w:hideMark/>
          </w:tcPr>
          <w:p w14:paraId="26507C83"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212 (2,5)</w:t>
            </w:r>
          </w:p>
        </w:tc>
        <w:tc>
          <w:tcPr>
            <w:tcW w:w="1276" w:type="dxa"/>
            <w:hideMark/>
          </w:tcPr>
          <w:p w14:paraId="78C56782"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286 (3,3)</w:t>
            </w:r>
          </w:p>
        </w:tc>
        <w:tc>
          <w:tcPr>
            <w:tcW w:w="1134" w:type="dxa"/>
            <w:hideMark/>
          </w:tcPr>
          <w:p w14:paraId="4820CFBA"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0,73 (0,61, 0,88)</w:t>
            </w:r>
          </w:p>
        </w:tc>
        <w:tc>
          <w:tcPr>
            <w:tcW w:w="818" w:type="dxa"/>
            <w:hideMark/>
          </w:tcPr>
          <w:p w14:paraId="2DCDE2D2"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&lt; 0,001</w:t>
            </w:r>
          </w:p>
        </w:tc>
      </w:tr>
      <w:tr w:rsidR="00DE31AF" w:rsidRPr="005E0F1D" w14:paraId="35132457" w14:textId="77777777" w:rsidTr="00A83AFA">
        <w:tc>
          <w:tcPr>
            <w:tcW w:w="1892" w:type="dxa"/>
            <w:hideMark/>
          </w:tcPr>
          <w:p w14:paraId="202EBE50" w14:textId="58364878"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mirtys</w:t>
            </w:r>
            <w:r w:rsidR="00A83AFA">
              <w:rPr>
                <w:sz w:val="14"/>
                <w:szCs w:val="14"/>
                <w:lang w:eastAsia="lt-LT"/>
              </w:rPr>
              <w:t xml:space="preserve"> </w:t>
            </w:r>
            <w:r w:rsidR="00A83AFA" w:rsidRPr="007E7DFC">
              <w:rPr>
                <w:sz w:val="14"/>
                <w:szCs w:val="14"/>
                <w:lang w:eastAsia="lt-LT"/>
              </w:rPr>
              <w:t>nuo širdies ir kraujagyslių ligų</w:t>
            </w:r>
          </w:p>
        </w:tc>
        <w:tc>
          <w:tcPr>
            <w:tcW w:w="0" w:type="auto"/>
            <w:vMerge/>
            <w:vAlign w:val="center"/>
            <w:hideMark/>
          </w:tcPr>
          <w:p w14:paraId="3C47C7B3" w14:textId="77777777" w:rsidR="00DE31AF" w:rsidRPr="005E0F1D" w:rsidRDefault="00DE31AF" w:rsidP="00E7278D">
            <w:pPr>
              <w:widowControl/>
              <w:autoSpaceDE/>
              <w:autoSpaceDN/>
              <w:rPr>
                <w:sz w:val="14"/>
                <w:szCs w:val="14"/>
                <w:lang w:eastAsia="lt-LT"/>
              </w:rPr>
            </w:pPr>
          </w:p>
        </w:tc>
        <w:tc>
          <w:tcPr>
            <w:tcW w:w="1276" w:type="dxa"/>
            <w:hideMark/>
          </w:tcPr>
          <w:p w14:paraId="28C4E031"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245 (2,9)</w:t>
            </w:r>
          </w:p>
        </w:tc>
        <w:tc>
          <w:tcPr>
            <w:tcW w:w="1276" w:type="dxa"/>
            <w:hideMark/>
          </w:tcPr>
          <w:p w14:paraId="23D97A30"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249 (2,9)</w:t>
            </w:r>
          </w:p>
        </w:tc>
        <w:tc>
          <w:tcPr>
            <w:tcW w:w="1134" w:type="dxa"/>
            <w:hideMark/>
          </w:tcPr>
          <w:p w14:paraId="69315ABA"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0,98 (0,82, 1,17)</w:t>
            </w:r>
          </w:p>
        </w:tc>
        <w:tc>
          <w:tcPr>
            <w:tcW w:w="818" w:type="dxa"/>
            <w:hideMark/>
          </w:tcPr>
          <w:p w14:paraId="257282DD"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0,830</w:t>
            </w:r>
          </w:p>
        </w:tc>
      </w:tr>
      <w:tr w:rsidR="00DE31AF" w:rsidRPr="005E0F1D" w14:paraId="5DB6E02E" w14:textId="77777777" w:rsidTr="00A83AFA">
        <w:tc>
          <w:tcPr>
            <w:tcW w:w="1892" w:type="dxa"/>
            <w:hideMark/>
          </w:tcPr>
          <w:p w14:paraId="3A65DF18" w14:textId="77777777"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Miokardo infarktai</w:t>
            </w:r>
          </w:p>
        </w:tc>
        <w:tc>
          <w:tcPr>
            <w:tcW w:w="0" w:type="auto"/>
            <w:vMerge/>
            <w:vAlign w:val="center"/>
            <w:hideMark/>
          </w:tcPr>
          <w:p w14:paraId="712C6C1D" w14:textId="77777777" w:rsidR="00DE31AF" w:rsidRPr="005E0F1D" w:rsidRDefault="00DE31AF" w:rsidP="00E7278D">
            <w:pPr>
              <w:widowControl/>
              <w:autoSpaceDE/>
              <w:autoSpaceDN/>
              <w:rPr>
                <w:sz w:val="14"/>
                <w:szCs w:val="14"/>
                <w:lang w:eastAsia="lt-LT"/>
              </w:rPr>
            </w:pPr>
          </w:p>
        </w:tc>
        <w:tc>
          <w:tcPr>
            <w:tcW w:w="1276" w:type="dxa"/>
            <w:hideMark/>
          </w:tcPr>
          <w:p w14:paraId="503C90EA"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393 (4,6)</w:t>
            </w:r>
          </w:p>
        </w:tc>
        <w:tc>
          <w:tcPr>
            <w:tcW w:w="1276" w:type="dxa"/>
            <w:hideMark/>
          </w:tcPr>
          <w:p w14:paraId="3E904EEE"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441 (5,1)</w:t>
            </w:r>
          </w:p>
        </w:tc>
        <w:tc>
          <w:tcPr>
            <w:tcW w:w="1134" w:type="dxa"/>
            <w:hideMark/>
          </w:tcPr>
          <w:p w14:paraId="4130C5D8"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0,89 (0,77, 1,01)</w:t>
            </w:r>
          </w:p>
        </w:tc>
        <w:tc>
          <w:tcPr>
            <w:tcW w:w="818" w:type="dxa"/>
            <w:hideMark/>
          </w:tcPr>
          <w:p w14:paraId="0722D0F4"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0,080</w:t>
            </w:r>
          </w:p>
        </w:tc>
      </w:tr>
      <w:tr w:rsidR="00DE31AF" w:rsidRPr="005E0F1D" w14:paraId="0740967D" w14:textId="77777777" w:rsidTr="00A83AFA">
        <w:tc>
          <w:tcPr>
            <w:tcW w:w="1892" w:type="dxa"/>
            <w:hideMark/>
          </w:tcPr>
          <w:p w14:paraId="4BC31FC0" w14:textId="77777777"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Išeminiai insultai</w:t>
            </w:r>
          </w:p>
        </w:tc>
        <w:tc>
          <w:tcPr>
            <w:tcW w:w="0" w:type="auto"/>
            <w:vMerge/>
            <w:vAlign w:val="center"/>
            <w:hideMark/>
          </w:tcPr>
          <w:p w14:paraId="17A5D6D4" w14:textId="77777777" w:rsidR="00DE31AF" w:rsidRPr="005E0F1D" w:rsidRDefault="00DE31AF" w:rsidP="00E7278D">
            <w:pPr>
              <w:widowControl/>
              <w:autoSpaceDE/>
              <w:autoSpaceDN/>
              <w:rPr>
                <w:sz w:val="14"/>
                <w:szCs w:val="14"/>
                <w:lang w:eastAsia="lt-LT"/>
              </w:rPr>
            </w:pPr>
          </w:p>
        </w:tc>
        <w:tc>
          <w:tcPr>
            <w:tcW w:w="1276" w:type="dxa"/>
            <w:hideMark/>
          </w:tcPr>
          <w:p w14:paraId="502F40D5"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235 (2,7)</w:t>
            </w:r>
          </w:p>
        </w:tc>
        <w:tc>
          <w:tcPr>
            <w:tcW w:w="1276" w:type="dxa"/>
            <w:hideMark/>
          </w:tcPr>
          <w:p w14:paraId="3FD6FF99"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231 (2,7)</w:t>
            </w:r>
          </w:p>
        </w:tc>
        <w:tc>
          <w:tcPr>
            <w:tcW w:w="1134" w:type="dxa"/>
            <w:hideMark/>
          </w:tcPr>
          <w:p w14:paraId="361870B7"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1,01 (0,84, 1,21)</w:t>
            </w:r>
          </w:p>
        </w:tc>
        <w:tc>
          <w:tcPr>
            <w:tcW w:w="818" w:type="dxa"/>
            <w:hideMark/>
          </w:tcPr>
          <w:p w14:paraId="62A8F80B"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0,916</w:t>
            </w:r>
          </w:p>
        </w:tc>
      </w:tr>
      <w:tr w:rsidR="00DE31AF" w:rsidRPr="005E0F1D" w14:paraId="519623D3" w14:textId="77777777" w:rsidTr="00A83AFA">
        <w:tc>
          <w:tcPr>
            <w:tcW w:w="1892" w:type="dxa"/>
            <w:hideMark/>
          </w:tcPr>
          <w:p w14:paraId="53DA00BE" w14:textId="77777777" w:rsidR="00DE31AF" w:rsidRPr="005E0F1D" w:rsidRDefault="00DE31AF" w:rsidP="00E7278D">
            <w:pPr>
              <w:keepNext/>
              <w:keepLines/>
              <w:kinsoku w:val="0"/>
              <w:overflowPunct w:val="0"/>
              <w:adjustRightInd w:val="0"/>
              <w:rPr>
                <w:b/>
                <w:bCs/>
                <w:sz w:val="16"/>
                <w:szCs w:val="16"/>
                <w:lang w:eastAsia="lt-LT"/>
              </w:rPr>
            </w:pPr>
            <w:r w:rsidRPr="005E0F1D">
              <w:rPr>
                <w:b/>
                <w:bCs/>
                <w:sz w:val="16"/>
                <w:szCs w:val="16"/>
                <w:lang w:eastAsia="lt-LT"/>
              </w:rPr>
              <w:t>Antrinės vertinamosios baigtys</w:t>
            </w:r>
          </w:p>
        </w:tc>
        <w:tc>
          <w:tcPr>
            <w:tcW w:w="0" w:type="auto"/>
            <w:vMerge/>
            <w:vAlign w:val="center"/>
            <w:hideMark/>
          </w:tcPr>
          <w:p w14:paraId="6D5B4FDD" w14:textId="77777777" w:rsidR="00DE31AF" w:rsidRPr="005E0F1D" w:rsidRDefault="00DE31AF" w:rsidP="00E7278D">
            <w:pPr>
              <w:widowControl/>
              <w:autoSpaceDE/>
              <w:autoSpaceDN/>
              <w:rPr>
                <w:sz w:val="14"/>
                <w:szCs w:val="14"/>
                <w:lang w:eastAsia="lt-LT"/>
              </w:rPr>
            </w:pPr>
          </w:p>
        </w:tc>
        <w:tc>
          <w:tcPr>
            <w:tcW w:w="1276" w:type="dxa"/>
          </w:tcPr>
          <w:p w14:paraId="6313BF21" w14:textId="77777777" w:rsidR="00DE31AF" w:rsidRPr="005E0F1D" w:rsidRDefault="00DE31AF" w:rsidP="00E7278D">
            <w:pPr>
              <w:keepNext/>
              <w:keepLines/>
              <w:kinsoku w:val="0"/>
              <w:overflowPunct w:val="0"/>
              <w:adjustRightInd w:val="0"/>
              <w:jc w:val="center"/>
              <w:rPr>
                <w:sz w:val="14"/>
                <w:szCs w:val="14"/>
                <w:lang w:eastAsia="lt-LT"/>
              </w:rPr>
            </w:pPr>
          </w:p>
        </w:tc>
        <w:tc>
          <w:tcPr>
            <w:tcW w:w="1276" w:type="dxa"/>
          </w:tcPr>
          <w:p w14:paraId="079839EC" w14:textId="77777777" w:rsidR="00DE31AF" w:rsidRPr="005E0F1D" w:rsidRDefault="00DE31AF" w:rsidP="00E7278D">
            <w:pPr>
              <w:keepNext/>
              <w:keepLines/>
              <w:kinsoku w:val="0"/>
              <w:overflowPunct w:val="0"/>
              <w:adjustRightInd w:val="0"/>
              <w:jc w:val="center"/>
              <w:rPr>
                <w:sz w:val="14"/>
                <w:szCs w:val="14"/>
                <w:lang w:eastAsia="lt-LT"/>
              </w:rPr>
            </w:pPr>
          </w:p>
        </w:tc>
        <w:tc>
          <w:tcPr>
            <w:tcW w:w="1134" w:type="dxa"/>
          </w:tcPr>
          <w:p w14:paraId="75F2B98B" w14:textId="77777777" w:rsidR="00DE31AF" w:rsidRPr="005E0F1D" w:rsidRDefault="00DE31AF" w:rsidP="00E7278D">
            <w:pPr>
              <w:keepNext/>
              <w:keepLines/>
              <w:kinsoku w:val="0"/>
              <w:overflowPunct w:val="0"/>
              <w:adjustRightInd w:val="0"/>
              <w:jc w:val="center"/>
              <w:rPr>
                <w:sz w:val="14"/>
                <w:szCs w:val="14"/>
                <w:lang w:eastAsia="lt-LT"/>
              </w:rPr>
            </w:pPr>
          </w:p>
        </w:tc>
        <w:tc>
          <w:tcPr>
            <w:tcW w:w="818" w:type="dxa"/>
          </w:tcPr>
          <w:p w14:paraId="7BC50D24" w14:textId="77777777" w:rsidR="00DE31AF" w:rsidRPr="005E0F1D" w:rsidRDefault="00DE31AF" w:rsidP="00E7278D">
            <w:pPr>
              <w:keepNext/>
              <w:keepLines/>
              <w:kinsoku w:val="0"/>
              <w:overflowPunct w:val="0"/>
              <w:adjustRightInd w:val="0"/>
              <w:jc w:val="center"/>
              <w:rPr>
                <w:sz w:val="14"/>
                <w:szCs w:val="14"/>
                <w:lang w:eastAsia="lt-LT"/>
              </w:rPr>
            </w:pPr>
          </w:p>
        </w:tc>
      </w:tr>
      <w:tr w:rsidR="00DE31AF" w:rsidRPr="005E0F1D" w14:paraId="14C271B6" w14:textId="77777777" w:rsidTr="00A83AFA">
        <w:tc>
          <w:tcPr>
            <w:tcW w:w="1892" w:type="dxa"/>
            <w:hideMark/>
          </w:tcPr>
          <w:p w14:paraId="07E93856" w14:textId="77777777" w:rsidR="00DE31AF" w:rsidRPr="005E0F1D" w:rsidRDefault="00DE31AF" w:rsidP="00E7278D">
            <w:pPr>
              <w:keepNext/>
              <w:keepLines/>
              <w:kinsoku w:val="0"/>
              <w:overflowPunct w:val="0"/>
              <w:adjustRightInd w:val="0"/>
              <w:rPr>
                <w:b/>
                <w:bCs/>
                <w:sz w:val="14"/>
                <w:szCs w:val="14"/>
                <w:lang w:eastAsia="lt-LT"/>
              </w:rPr>
            </w:pPr>
            <w:r w:rsidRPr="005E0F1D">
              <w:rPr>
                <w:b/>
                <w:bCs/>
                <w:sz w:val="14"/>
                <w:szCs w:val="14"/>
                <w:lang w:eastAsia="lt-LT"/>
              </w:rPr>
              <w:t>Sudėtinė inkstų baigtis</w:t>
            </w:r>
          </w:p>
        </w:tc>
        <w:tc>
          <w:tcPr>
            <w:tcW w:w="0" w:type="auto"/>
            <w:vMerge/>
            <w:vAlign w:val="center"/>
            <w:hideMark/>
          </w:tcPr>
          <w:p w14:paraId="1922F730" w14:textId="77777777" w:rsidR="00DE31AF" w:rsidRPr="005E0F1D" w:rsidRDefault="00DE31AF" w:rsidP="00E7278D">
            <w:pPr>
              <w:widowControl/>
              <w:autoSpaceDE/>
              <w:autoSpaceDN/>
              <w:rPr>
                <w:sz w:val="14"/>
                <w:szCs w:val="14"/>
                <w:lang w:eastAsia="lt-LT"/>
              </w:rPr>
            </w:pPr>
          </w:p>
        </w:tc>
        <w:tc>
          <w:tcPr>
            <w:tcW w:w="1276" w:type="dxa"/>
            <w:hideMark/>
          </w:tcPr>
          <w:p w14:paraId="6D71ABE6"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370 (4,3)</w:t>
            </w:r>
          </w:p>
        </w:tc>
        <w:tc>
          <w:tcPr>
            <w:tcW w:w="1276" w:type="dxa"/>
            <w:hideMark/>
          </w:tcPr>
          <w:p w14:paraId="3CDC90FD"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480 (5,6)</w:t>
            </w:r>
          </w:p>
        </w:tc>
        <w:tc>
          <w:tcPr>
            <w:tcW w:w="1134" w:type="dxa"/>
            <w:hideMark/>
          </w:tcPr>
          <w:p w14:paraId="74B30C41"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0,76 (0,67, 0,87)</w:t>
            </w:r>
          </w:p>
        </w:tc>
        <w:tc>
          <w:tcPr>
            <w:tcW w:w="818" w:type="dxa"/>
            <w:hideMark/>
          </w:tcPr>
          <w:p w14:paraId="13EA0B5C"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&lt; 0,001</w:t>
            </w:r>
          </w:p>
        </w:tc>
      </w:tr>
      <w:tr w:rsidR="00DE31AF" w:rsidRPr="005E0F1D" w14:paraId="6F50A1FA" w14:textId="77777777" w:rsidTr="00A83AFA">
        <w:tc>
          <w:tcPr>
            <w:tcW w:w="1892" w:type="dxa"/>
            <w:hideMark/>
          </w:tcPr>
          <w:p w14:paraId="029109D2" w14:textId="77777777" w:rsidR="00DE31AF" w:rsidRPr="005E0F1D" w:rsidRDefault="00DE31AF" w:rsidP="00E7278D">
            <w:pPr>
              <w:keepNext/>
              <w:keepLines/>
              <w:kinsoku w:val="0"/>
              <w:overflowPunct w:val="0"/>
              <w:adjustRightInd w:val="0"/>
              <w:rPr>
                <w:sz w:val="14"/>
                <w:szCs w:val="14"/>
                <w:lang w:eastAsia="lt-LT"/>
              </w:rPr>
            </w:pPr>
            <w:r w:rsidRPr="005E0F1D">
              <w:rPr>
                <w:sz w:val="14"/>
                <w:szCs w:val="14"/>
                <w:lang w:eastAsia="lt-LT"/>
              </w:rPr>
              <w:t>Inkstų baigties komponentai:</w:t>
            </w:r>
          </w:p>
        </w:tc>
        <w:tc>
          <w:tcPr>
            <w:tcW w:w="0" w:type="auto"/>
            <w:vMerge/>
            <w:vAlign w:val="center"/>
            <w:hideMark/>
          </w:tcPr>
          <w:p w14:paraId="11326155" w14:textId="77777777" w:rsidR="00DE31AF" w:rsidRPr="005E0F1D" w:rsidRDefault="00DE31AF" w:rsidP="00E7278D">
            <w:pPr>
              <w:widowControl/>
              <w:autoSpaceDE/>
              <w:autoSpaceDN/>
              <w:rPr>
                <w:sz w:val="14"/>
                <w:szCs w:val="14"/>
                <w:lang w:eastAsia="lt-LT"/>
              </w:rPr>
            </w:pPr>
          </w:p>
        </w:tc>
        <w:tc>
          <w:tcPr>
            <w:tcW w:w="1276" w:type="dxa"/>
          </w:tcPr>
          <w:p w14:paraId="54CCBB84" w14:textId="77777777" w:rsidR="00DE31AF" w:rsidRPr="005E0F1D" w:rsidRDefault="00DE31AF" w:rsidP="00E7278D">
            <w:pPr>
              <w:keepNext/>
              <w:keepLines/>
              <w:kinsoku w:val="0"/>
              <w:overflowPunct w:val="0"/>
              <w:adjustRightInd w:val="0"/>
              <w:jc w:val="center"/>
              <w:rPr>
                <w:sz w:val="14"/>
                <w:szCs w:val="14"/>
                <w:lang w:eastAsia="lt-LT"/>
              </w:rPr>
            </w:pPr>
          </w:p>
        </w:tc>
        <w:tc>
          <w:tcPr>
            <w:tcW w:w="1276" w:type="dxa"/>
          </w:tcPr>
          <w:p w14:paraId="4D42AC4A" w14:textId="77777777" w:rsidR="00DE31AF" w:rsidRPr="005E0F1D" w:rsidRDefault="00DE31AF" w:rsidP="00E7278D">
            <w:pPr>
              <w:keepNext/>
              <w:keepLines/>
              <w:kinsoku w:val="0"/>
              <w:overflowPunct w:val="0"/>
              <w:adjustRightInd w:val="0"/>
              <w:jc w:val="center"/>
              <w:rPr>
                <w:sz w:val="14"/>
                <w:szCs w:val="14"/>
                <w:lang w:eastAsia="lt-LT"/>
              </w:rPr>
            </w:pPr>
          </w:p>
        </w:tc>
        <w:tc>
          <w:tcPr>
            <w:tcW w:w="1134" w:type="dxa"/>
          </w:tcPr>
          <w:p w14:paraId="11D87DF5" w14:textId="77777777" w:rsidR="00DE31AF" w:rsidRPr="005E0F1D" w:rsidRDefault="00DE31AF" w:rsidP="00E7278D">
            <w:pPr>
              <w:keepNext/>
              <w:keepLines/>
              <w:kinsoku w:val="0"/>
              <w:overflowPunct w:val="0"/>
              <w:adjustRightInd w:val="0"/>
              <w:jc w:val="center"/>
              <w:rPr>
                <w:sz w:val="14"/>
                <w:szCs w:val="14"/>
                <w:lang w:eastAsia="lt-LT"/>
              </w:rPr>
            </w:pPr>
          </w:p>
        </w:tc>
        <w:tc>
          <w:tcPr>
            <w:tcW w:w="818" w:type="dxa"/>
          </w:tcPr>
          <w:p w14:paraId="3964E922" w14:textId="77777777" w:rsidR="00DE31AF" w:rsidRPr="005E0F1D" w:rsidRDefault="00DE31AF" w:rsidP="00E7278D">
            <w:pPr>
              <w:keepNext/>
              <w:keepLines/>
              <w:kinsoku w:val="0"/>
              <w:overflowPunct w:val="0"/>
              <w:adjustRightInd w:val="0"/>
              <w:jc w:val="center"/>
              <w:rPr>
                <w:sz w:val="14"/>
                <w:szCs w:val="14"/>
                <w:lang w:eastAsia="lt-LT"/>
              </w:rPr>
            </w:pPr>
          </w:p>
        </w:tc>
      </w:tr>
      <w:tr w:rsidR="00DE31AF" w:rsidRPr="005E0F1D" w14:paraId="15527E2B" w14:textId="77777777" w:rsidTr="00A83AFA">
        <w:tc>
          <w:tcPr>
            <w:tcW w:w="1892" w:type="dxa"/>
            <w:hideMark/>
          </w:tcPr>
          <w:p w14:paraId="0362F1DB" w14:textId="77777777"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Nuolatinis AGFG sumažėjimas</w:t>
            </w:r>
          </w:p>
        </w:tc>
        <w:tc>
          <w:tcPr>
            <w:tcW w:w="0" w:type="auto"/>
            <w:vMerge/>
            <w:vAlign w:val="center"/>
            <w:hideMark/>
          </w:tcPr>
          <w:p w14:paraId="05E4FFC1" w14:textId="77777777" w:rsidR="00DE31AF" w:rsidRPr="005E0F1D" w:rsidRDefault="00DE31AF" w:rsidP="00E7278D">
            <w:pPr>
              <w:widowControl/>
              <w:autoSpaceDE/>
              <w:autoSpaceDN/>
              <w:rPr>
                <w:sz w:val="14"/>
                <w:szCs w:val="14"/>
                <w:lang w:eastAsia="lt-LT"/>
              </w:rPr>
            </w:pPr>
          </w:p>
        </w:tc>
        <w:tc>
          <w:tcPr>
            <w:tcW w:w="1276" w:type="dxa"/>
            <w:hideMark/>
          </w:tcPr>
          <w:p w14:paraId="3D34547F"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120 (1,4)</w:t>
            </w:r>
          </w:p>
        </w:tc>
        <w:tc>
          <w:tcPr>
            <w:tcW w:w="1276" w:type="dxa"/>
            <w:hideMark/>
          </w:tcPr>
          <w:p w14:paraId="1B9A6D9F"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221 (2,6)</w:t>
            </w:r>
          </w:p>
        </w:tc>
        <w:tc>
          <w:tcPr>
            <w:tcW w:w="1134" w:type="dxa"/>
            <w:hideMark/>
          </w:tcPr>
          <w:p w14:paraId="0E6C2C4E"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0,54 (0,43, 0,67)</w:t>
            </w:r>
          </w:p>
        </w:tc>
        <w:tc>
          <w:tcPr>
            <w:tcW w:w="818" w:type="dxa"/>
            <w:hideMark/>
          </w:tcPr>
          <w:p w14:paraId="66EC6102"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&lt; 0,001</w:t>
            </w:r>
          </w:p>
        </w:tc>
      </w:tr>
      <w:tr w:rsidR="00DE31AF" w:rsidRPr="005E0F1D" w14:paraId="21F53348" w14:textId="77777777" w:rsidTr="00A83AFA">
        <w:tc>
          <w:tcPr>
            <w:tcW w:w="1892" w:type="dxa"/>
            <w:hideMark/>
          </w:tcPr>
          <w:p w14:paraId="18BEF571" w14:textId="77777777"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Galutinės stadijos inkstų liga</w:t>
            </w:r>
          </w:p>
        </w:tc>
        <w:tc>
          <w:tcPr>
            <w:tcW w:w="0" w:type="auto"/>
            <w:vMerge/>
            <w:vAlign w:val="center"/>
            <w:hideMark/>
          </w:tcPr>
          <w:p w14:paraId="70DA9DE7" w14:textId="77777777" w:rsidR="00DE31AF" w:rsidRPr="005E0F1D" w:rsidRDefault="00DE31AF" w:rsidP="00E7278D">
            <w:pPr>
              <w:widowControl/>
              <w:autoSpaceDE/>
              <w:autoSpaceDN/>
              <w:rPr>
                <w:sz w:val="14"/>
                <w:szCs w:val="14"/>
                <w:lang w:eastAsia="lt-LT"/>
              </w:rPr>
            </w:pPr>
          </w:p>
        </w:tc>
        <w:tc>
          <w:tcPr>
            <w:tcW w:w="1276" w:type="dxa"/>
            <w:hideMark/>
          </w:tcPr>
          <w:p w14:paraId="0DE8AD6B"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6 (&lt; 0,1)</w:t>
            </w:r>
          </w:p>
        </w:tc>
        <w:tc>
          <w:tcPr>
            <w:tcW w:w="1276" w:type="dxa"/>
            <w:hideMark/>
          </w:tcPr>
          <w:p w14:paraId="32519725"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19 (0,2)</w:t>
            </w:r>
          </w:p>
        </w:tc>
        <w:tc>
          <w:tcPr>
            <w:tcW w:w="1134" w:type="dxa"/>
            <w:hideMark/>
          </w:tcPr>
          <w:p w14:paraId="7F2045E6"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0,31 (0,13, 0,79)</w:t>
            </w:r>
          </w:p>
        </w:tc>
        <w:tc>
          <w:tcPr>
            <w:tcW w:w="818" w:type="dxa"/>
            <w:hideMark/>
          </w:tcPr>
          <w:p w14:paraId="14267222"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0,013</w:t>
            </w:r>
          </w:p>
        </w:tc>
      </w:tr>
      <w:tr w:rsidR="00DE31AF" w:rsidRPr="005E0F1D" w14:paraId="22DB764E" w14:textId="77777777" w:rsidTr="00A83AFA">
        <w:tc>
          <w:tcPr>
            <w:tcW w:w="1892" w:type="dxa"/>
            <w:hideMark/>
          </w:tcPr>
          <w:p w14:paraId="56BD1C15" w14:textId="35870154" w:rsidR="00DE31AF" w:rsidRPr="005E0F1D" w:rsidRDefault="00DE31AF" w:rsidP="00BA0A93">
            <w:pPr>
              <w:keepNext/>
              <w:keepLines/>
              <w:kinsoku w:val="0"/>
              <w:overflowPunct w:val="0"/>
              <w:adjustRightInd w:val="0"/>
              <w:ind w:left="184"/>
              <w:rPr>
                <w:sz w:val="14"/>
                <w:szCs w:val="14"/>
                <w:lang w:eastAsia="lt-LT"/>
              </w:rPr>
            </w:pPr>
            <w:r w:rsidRPr="005E0F1D">
              <w:rPr>
                <w:sz w:val="14"/>
                <w:szCs w:val="14"/>
                <w:lang w:eastAsia="lt-LT"/>
              </w:rPr>
              <w:t xml:space="preserve">Mirtis </w:t>
            </w:r>
            <w:r w:rsidR="004B6062">
              <w:rPr>
                <w:sz w:val="14"/>
                <w:szCs w:val="14"/>
                <w:lang w:eastAsia="lt-LT"/>
              </w:rPr>
              <w:t>nuo</w:t>
            </w:r>
            <w:r w:rsidR="004B6062" w:rsidRPr="005E0F1D">
              <w:rPr>
                <w:sz w:val="14"/>
                <w:szCs w:val="14"/>
                <w:lang w:eastAsia="lt-LT"/>
              </w:rPr>
              <w:t xml:space="preserve"> </w:t>
            </w:r>
            <w:r w:rsidRPr="005E0F1D">
              <w:rPr>
                <w:sz w:val="14"/>
                <w:szCs w:val="14"/>
                <w:lang w:eastAsia="lt-LT"/>
              </w:rPr>
              <w:t>inkstų ligos</w:t>
            </w:r>
          </w:p>
        </w:tc>
        <w:tc>
          <w:tcPr>
            <w:tcW w:w="0" w:type="auto"/>
            <w:vMerge/>
            <w:vAlign w:val="center"/>
            <w:hideMark/>
          </w:tcPr>
          <w:p w14:paraId="2FEB440C" w14:textId="77777777" w:rsidR="00DE31AF" w:rsidRPr="005E0F1D" w:rsidRDefault="00DE31AF" w:rsidP="00E7278D">
            <w:pPr>
              <w:widowControl/>
              <w:autoSpaceDE/>
              <w:autoSpaceDN/>
              <w:rPr>
                <w:sz w:val="14"/>
                <w:szCs w:val="14"/>
                <w:lang w:eastAsia="lt-LT"/>
              </w:rPr>
            </w:pPr>
          </w:p>
        </w:tc>
        <w:tc>
          <w:tcPr>
            <w:tcW w:w="1276" w:type="dxa"/>
            <w:hideMark/>
          </w:tcPr>
          <w:p w14:paraId="6F9E41D8"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6 (&lt; 0,1)</w:t>
            </w:r>
          </w:p>
        </w:tc>
        <w:tc>
          <w:tcPr>
            <w:tcW w:w="1276" w:type="dxa"/>
            <w:hideMark/>
          </w:tcPr>
          <w:p w14:paraId="2550F23B"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10 (0,1)</w:t>
            </w:r>
          </w:p>
        </w:tc>
        <w:tc>
          <w:tcPr>
            <w:tcW w:w="1134" w:type="dxa"/>
            <w:hideMark/>
          </w:tcPr>
          <w:p w14:paraId="2D699787"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0,60 (0,22, 1,65)</w:t>
            </w:r>
          </w:p>
        </w:tc>
        <w:tc>
          <w:tcPr>
            <w:tcW w:w="818" w:type="dxa"/>
            <w:hideMark/>
          </w:tcPr>
          <w:p w14:paraId="46E6E491"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0,324</w:t>
            </w:r>
          </w:p>
        </w:tc>
      </w:tr>
      <w:tr w:rsidR="00DE31AF" w:rsidRPr="005E0F1D" w14:paraId="63ABD45D" w14:textId="77777777" w:rsidTr="00A83AFA">
        <w:tc>
          <w:tcPr>
            <w:tcW w:w="1892" w:type="dxa"/>
            <w:hideMark/>
          </w:tcPr>
          <w:p w14:paraId="585649D4" w14:textId="77777777" w:rsidR="00DE31AF" w:rsidRPr="005E0F1D" w:rsidRDefault="00DE31AF" w:rsidP="00E7278D">
            <w:pPr>
              <w:keepNext/>
              <w:keepLines/>
              <w:kinsoku w:val="0"/>
              <w:overflowPunct w:val="0"/>
              <w:adjustRightInd w:val="0"/>
              <w:rPr>
                <w:b/>
                <w:bCs/>
                <w:sz w:val="14"/>
                <w:szCs w:val="14"/>
                <w:lang w:eastAsia="lt-LT"/>
              </w:rPr>
            </w:pPr>
            <w:r w:rsidRPr="005E0F1D">
              <w:rPr>
                <w:b/>
                <w:bCs/>
                <w:sz w:val="14"/>
                <w:szCs w:val="14"/>
                <w:lang w:eastAsia="lt-LT"/>
              </w:rPr>
              <w:t>Mirtys nuo visų priežasčių</w:t>
            </w:r>
          </w:p>
        </w:tc>
        <w:tc>
          <w:tcPr>
            <w:tcW w:w="0" w:type="auto"/>
            <w:vMerge/>
            <w:vAlign w:val="center"/>
            <w:hideMark/>
          </w:tcPr>
          <w:p w14:paraId="015B2C67" w14:textId="77777777" w:rsidR="00DE31AF" w:rsidRPr="005E0F1D" w:rsidRDefault="00DE31AF" w:rsidP="00E7278D">
            <w:pPr>
              <w:widowControl/>
              <w:autoSpaceDE/>
              <w:autoSpaceDN/>
              <w:rPr>
                <w:sz w:val="14"/>
                <w:szCs w:val="14"/>
                <w:lang w:eastAsia="lt-LT"/>
              </w:rPr>
            </w:pPr>
          </w:p>
        </w:tc>
        <w:tc>
          <w:tcPr>
            <w:tcW w:w="1276" w:type="dxa"/>
            <w:hideMark/>
          </w:tcPr>
          <w:p w14:paraId="21C30B7D"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529 (6,2)</w:t>
            </w:r>
          </w:p>
        </w:tc>
        <w:tc>
          <w:tcPr>
            <w:tcW w:w="1276" w:type="dxa"/>
            <w:hideMark/>
          </w:tcPr>
          <w:p w14:paraId="529C8A5C"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570 (6,6)</w:t>
            </w:r>
          </w:p>
        </w:tc>
        <w:tc>
          <w:tcPr>
            <w:tcW w:w="1134" w:type="dxa"/>
            <w:hideMark/>
          </w:tcPr>
          <w:p w14:paraId="5A74C97E"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0,93 (0,82, 1,04)</w:t>
            </w:r>
          </w:p>
        </w:tc>
        <w:tc>
          <w:tcPr>
            <w:tcW w:w="818" w:type="dxa"/>
            <w:hideMark/>
          </w:tcPr>
          <w:p w14:paraId="4D62D5AB" w14:textId="77777777" w:rsidR="00DE31AF" w:rsidRPr="005E0F1D" w:rsidRDefault="00DE31AF" w:rsidP="00E7278D">
            <w:pPr>
              <w:keepNext/>
              <w:keepLines/>
              <w:kinsoku w:val="0"/>
              <w:overflowPunct w:val="0"/>
              <w:adjustRightInd w:val="0"/>
              <w:jc w:val="center"/>
              <w:rPr>
                <w:sz w:val="14"/>
                <w:szCs w:val="14"/>
                <w:lang w:eastAsia="lt-LT"/>
              </w:rPr>
            </w:pPr>
            <w:r w:rsidRPr="005E0F1D">
              <w:rPr>
                <w:sz w:val="14"/>
                <w:szCs w:val="14"/>
                <w:lang w:eastAsia="lt-LT"/>
              </w:rPr>
              <w:t>0,198</w:t>
            </w:r>
          </w:p>
        </w:tc>
      </w:tr>
      <w:tr w:rsidR="00DE31AF" w:rsidRPr="005E0F1D" w14:paraId="23379C5B" w14:textId="77777777" w:rsidTr="00A83AFA">
        <w:tc>
          <w:tcPr>
            <w:tcW w:w="1892" w:type="dxa"/>
          </w:tcPr>
          <w:p w14:paraId="51FEEC6B" w14:textId="77777777" w:rsidR="00DE31AF" w:rsidRPr="005E0F1D" w:rsidRDefault="00DE31AF" w:rsidP="00E7278D">
            <w:pPr>
              <w:keepNext/>
              <w:keepLines/>
              <w:kinsoku w:val="0"/>
              <w:overflowPunct w:val="0"/>
              <w:adjustRightInd w:val="0"/>
              <w:rPr>
                <w:sz w:val="14"/>
                <w:szCs w:val="14"/>
                <w:lang w:eastAsia="lt-LT"/>
              </w:rPr>
            </w:pPr>
          </w:p>
        </w:tc>
        <w:tc>
          <w:tcPr>
            <w:tcW w:w="0" w:type="auto"/>
            <w:vMerge/>
            <w:vAlign w:val="center"/>
            <w:hideMark/>
          </w:tcPr>
          <w:p w14:paraId="3BC0AFA5" w14:textId="77777777" w:rsidR="00DE31AF" w:rsidRPr="005E0F1D" w:rsidRDefault="00DE31AF" w:rsidP="00E7278D">
            <w:pPr>
              <w:widowControl/>
              <w:autoSpaceDE/>
              <w:autoSpaceDN/>
              <w:rPr>
                <w:sz w:val="14"/>
                <w:szCs w:val="14"/>
                <w:lang w:eastAsia="lt-LT"/>
              </w:rPr>
            </w:pPr>
          </w:p>
        </w:tc>
        <w:tc>
          <w:tcPr>
            <w:tcW w:w="1276" w:type="dxa"/>
          </w:tcPr>
          <w:p w14:paraId="6A1F208F" w14:textId="77777777" w:rsidR="00DE31AF" w:rsidRPr="005E0F1D" w:rsidRDefault="00DE31AF" w:rsidP="00E7278D">
            <w:pPr>
              <w:keepNext/>
              <w:keepLines/>
              <w:kinsoku w:val="0"/>
              <w:overflowPunct w:val="0"/>
              <w:adjustRightInd w:val="0"/>
              <w:rPr>
                <w:sz w:val="14"/>
                <w:szCs w:val="14"/>
                <w:lang w:eastAsia="lt-LT"/>
              </w:rPr>
            </w:pPr>
          </w:p>
        </w:tc>
        <w:tc>
          <w:tcPr>
            <w:tcW w:w="1276" w:type="dxa"/>
          </w:tcPr>
          <w:p w14:paraId="47310310" w14:textId="77777777" w:rsidR="00DE31AF" w:rsidRPr="005E0F1D" w:rsidRDefault="00DE31AF" w:rsidP="00E7278D">
            <w:pPr>
              <w:keepNext/>
              <w:keepLines/>
              <w:kinsoku w:val="0"/>
              <w:overflowPunct w:val="0"/>
              <w:adjustRightInd w:val="0"/>
              <w:rPr>
                <w:sz w:val="14"/>
                <w:szCs w:val="14"/>
                <w:lang w:eastAsia="lt-LT"/>
              </w:rPr>
            </w:pPr>
          </w:p>
        </w:tc>
        <w:tc>
          <w:tcPr>
            <w:tcW w:w="1134" w:type="dxa"/>
          </w:tcPr>
          <w:p w14:paraId="3E4F52FB" w14:textId="77777777" w:rsidR="00DE31AF" w:rsidRPr="005E0F1D" w:rsidRDefault="00DE31AF" w:rsidP="00E7278D">
            <w:pPr>
              <w:keepNext/>
              <w:keepLines/>
              <w:kinsoku w:val="0"/>
              <w:overflowPunct w:val="0"/>
              <w:adjustRightInd w:val="0"/>
              <w:rPr>
                <w:sz w:val="14"/>
                <w:szCs w:val="14"/>
                <w:lang w:eastAsia="lt-LT"/>
              </w:rPr>
            </w:pPr>
          </w:p>
        </w:tc>
        <w:tc>
          <w:tcPr>
            <w:tcW w:w="818" w:type="dxa"/>
          </w:tcPr>
          <w:p w14:paraId="042F3CAE" w14:textId="77777777" w:rsidR="00DE31AF" w:rsidRPr="005E0F1D" w:rsidRDefault="00DE31AF" w:rsidP="00E7278D">
            <w:pPr>
              <w:keepNext/>
              <w:keepLines/>
              <w:kinsoku w:val="0"/>
              <w:overflowPunct w:val="0"/>
              <w:adjustRightInd w:val="0"/>
              <w:rPr>
                <w:sz w:val="14"/>
                <w:szCs w:val="14"/>
                <w:lang w:eastAsia="lt-LT"/>
              </w:rPr>
            </w:pPr>
          </w:p>
        </w:tc>
      </w:tr>
      <w:tr w:rsidR="00DE31AF" w:rsidRPr="005E0F1D" w14:paraId="41F5F920" w14:textId="77777777" w:rsidTr="00A83AFA">
        <w:tc>
          <w:tcPr>
            <w:tcW w:w="1892" w:type="dxa"/>
          </w:tcPr>
          <w:p w14:paraId="27760AEE" w14:textId="77777777" w:rsidR="00DE31AF" w:rsidRPr="005E0F1D" w:rsidRDefault="00DE31AF" w:rsidP="00E7278D">
            <w:pPr>
              <w:keepNext/>
              <w:keepLines/>
              <w:kinsoku w:val="0"/>
              <w:overflowPunct w:val="0"/>
              <w:adjustRightInd w:val="0"/>
              <w:rPr>
                <w:sz w:val="14"/>
                <w:szCs w:val="14"/>
                <w:lang w:eastAsia="lt-LT"/>
              </w:rPr>
            </w:pPr>
          </w:p>
        </w:tc>
        <w:tc>
          <w:tcPr>
            <w:tcW w:w="2894" w:type="dxa"/>
            <w:hideMark/>
          </w:tcPr>
          <w:p w14:paraId="768E04F4" w14:textId="77777777" w:rsidR="00DE31AF" w:rsidRPr="005E0F1D" w:rsidRDefault="00DE31AF" w:rsidP="00E7278D">
            <w:pPr>
              <w:keepNext/>
              <w:keepLines/>
              <w:kinsoku w:val="0"/>
              <w:overflowPunct w:val="0"/>
              <w:adjustRightInd w:val="0"/>
              <w:rPr>
                <w:sz w:val="14"/>
                <w:szCs w:val="14"/>
                <w:lang w:eastAsia="lt-LT"/>
              </w:rPr>
            </w:pPr>
            <w:r w:rsidRPr="005E0F1D">
              <w:rPr>
                <w:sz w:val="14"/>
                <w:szCs w:val="14"/>
                <w:lang w:eastAsia="lt-LT"/>
              </w:rPr>
              <w:t xml:space="preserve">         0,2           0,4    0,6  0,8  1  1,2  1,6</w:t>
            </w:r>
          </w:p>
        </w:tc>
        <w:tc>
          <w:tcPr>
            <w:tcW w:w="1276" w:type="dxa"/>
          </w:tcPr>
          <w:p w14:paraId="41610332" w14:textId="77777777" w:rsidR="00DE31AF" w:rsidRPr="005E0F1D" w:rsidRDefault="00DE31AF" w:rsidP="00E7278D">
            <w:pPr>
              <w:keepNext/>
              <w:keepLines/>
              <w:kinsoku w:val="0"/>
              <w:overflowPunct w:val="0"/>
              <w:adjustRightInd w:val="0"/>
              <w:rPr>
                <w:sz w:val="14"/>
                <w:szCs w:val="14"/>
                <w:lang w:eastAsia="lt-LT"/>
              </w:rPr>
            </w:pPr>
          </w:p>
        </w:tc>
        <w:tc>
          <w:tcPr>
            <w:tcW w:w="1276" w:type="dxa"/>
          </w:tcPr>
          <w:p w14:paraId="41C46710" w14:textId="77777777" w:rsidR="00DE31AF" w:rsidRPr="005E0F1D" w:rsidRDefault="00DE31AF" w:rsidP="00E7278D">
            <w:pPr>
              <w:keepNext/>
              <w:keepLines/>
              <w:kinsoku w:val="0"/>
              <w:overflowPunct w:val="0"/>
              <w:adjustRightInd w:val="0"/>
              <w:rPr>
                <w:sz w:val="14"/>
                <w:szCs w:val="14"/>
                <w:lang w:eastAsia="lt-LT"/>
              </w:rPr>
            </w:pPr>
          </w:p>
        </w:tc>
        <w:tc>
          <w:tcPr>
            <w:tcW w:w="1134" w:type="dxa"/>
          </w:tcPr>
          <w:p w14:paraId="26B298BF" w14:textId="77777777" w:rsidR="00DE31AF" w:rsidRPr="005E0F1D" w:rsidRDefault="00DE31AF" w:rsidP="00E7278D">
            <w:pPr>
              <w:keepNext/>
              <w:keepLines/>
              <w:kinsoku w:val="0"/>
              <w:overflowPunct w:val="0"/>
              <w:adjustRightInd w:val="0"/>
              <w:rPr>
                <w:sz w:val="14"/>
                <w:szCs w:val="14"/>
                <w:lang w:eastAsia="lt-LT"/>
              </w:rPr>
            </w:pPr>
          </w:p>
        </w:tc>
        <w:tc>
          <w:tcPr>
            <w:tcW w:w="818" w:type="dxa"/>
          </w:tcPr>
          <w:p w14:paraId="2C9A9940" w14:textId="77777777" w:rsidR="00DE31AF" w:rsidRPr="005E0F1D" w:rsidRDefault="00DE31AF" w:rsidP="00E7278D">
            <w:pPr>
              <w:keepNext/>
              <w:keepLines/>
              <w:kinsoku w:val="0"/>
              <w:overflowPunct w:val="0"/>
              <w:adjustRightInd w:val="0"/>
              <w:rPr>
                <w:sz w:val="14"/>
                <w:szCs w:val="14"/>
                <w:lang w:eastAsia="lt-LT"/>
              </w:rPr>
            </w:pPr>
          </w:p>
        </w:tc>
      </w:tr>
    </w:tbl>
    <w:p w14:paraId="6D8694FD" w14:textId="010BA038" w:rsidR="00C0147E" w:rsidRDefault="00C0147E" w:rsidP="00130A96">
      <w:pPr>
        <w:rPr>
          <w:b/>
        </w:rPr>
      </w:pPr>
    </w:p>
    <w:p w14:paraId="6D8694FF" w14:textId="498C9E82" w:rsidR="00C0147E" w:rsidRPr="00214058" w:rsidRDefault="001175EF" w:rsidP="00130A96">
      <w:pPr>
        <w:rPr>
          <w:sz w:val="18"/>
          <w:szCs w:val="18"/>
        </w:rPr>
      </w:pPr>
      <w:r w:rsidRPr="0000524B">
        <w:rPr>
          <w:sz w:val="18"/>
          <w:szCs w:val="18"/>
        </w:rPr>
        <w:t>Sudėtinė inkstų vertinamoji baigtis apibrėžta kaip</w:t>
      </w:r>
      <w:r w:rsidR="00ED7AD2">
        <w:rPr>
          <w:sz w:val="18"/>
          <w:szCs w:val="18"/>
        </w:rPr>
        <w:t>:</w:t>
      </w:r>
      <w:r w:rsidRPr="0000524B">
        <w:rPr>
          <w:sz w:val="18"/>
          <w:szCs w:val="18"/>
        </w:rPr>
        <w:t xml:space="preserve"> </w:t>
      </w:r>
      <w:r w:rsidR="00ED7AD2" w:rsidRPr="0000524B">
        <w:rPr>
          <w:sz w:val="18"/>
          <w:szCs w:val="18"/>
        </w:rPr>
        <w:t xml:space="preserve">patvirtintas </w:t>
      </w:r>
      <w:r w:rsidRPr="0000524B">
        <w:rPr>
          <w:sz w:val="18"/>
          <w:szCs w:val="18"/>
        </w:rPr>
        <w:t xml:space="preserve">nuolatinis </w:t>
      </w:r>
      <w:proofErr w:type="spellStart"/>
      <w:r w:rsidRPr="0000524B">
        <w:rPr>
          <w:sz w:val="18"/>
          <w:szCs w:val="18"/>
        </w:rPr>
        <w:t>aGFG</w:t>
      </w:r>
      <w:proofErr w:type="spellEnd"/>
      <w:r w:rsidRPr="0000524B">
        <w:rPr>
          <w:sz w:val="18"/>
          <w:szCs w:val="18"/>
        </w:rPr>
        <w:t xml:space="preserve"> sumažėjimas </w:t>
      </w:r>
      <w:r w:rsidR="00873FCC" w:rsidRPr="0000524B">
        <w:rPr>
          <w:sz w:val="18"/>
          <w:szCs w:val="18"/>
        </w:rPr>
        <w:t>≥ </w:t>
      </w:r>
      <w:r w:rsidRPr="0000524B">
        <w:rPr>
          <w:sz w:val="18"/>
          <w:szCs w:val="18"/>
        </w:rPr>
        <w:t>40</w:t>
      </w:r>
      <w:r w:rsidR="00873FCC" w:rsidRPr="0000524B">
        <w:rPr>
          <w:sz w:val="18"/>
          <w:szCs w:val="18"/>
        </w:rPr>
        <w:t> %</w:t>
      </w:r>
      <w:r w:rsidRPr="0000524B">
        <w:rPr>
          <w:sz w:val="18"/>
          <w:szCs w:val="18"/>
        </w:rPr>
        <w:t xml:space="preserve"> iki </w:t>
      </w:r>
      <w:proofErr w:type="spellStart"/>
      <w:r w:rsidRPr="0000524B">
        <w:rPr>
          <w:sz w:val="18"/>
          <w:szCs w:val="18"/>
        </w:rPr>
        <w:t>aGFG</w:t>
      </w:r>
      <w:proofErr w:type="spellEnd"/>
      <w:r w:rsidR="00B75E10" w:rsidRPr="0000524B">
        <w:rPr>
          <w:sz w:val="18"/>
          <w:szCs w:val="18"/>
        </w:rPr>
        <w:t xml:space="preserve"> </w:t>
      </w:r>
      <w:r w:rsidR="00873FCC" w:rsidRPr="00214058">
        <w:rPr>
          <w:sz w:val="18"/>
          <w:szCs w:val="18"/>
        </w:rPr>
        <w:t>&lt; </w:t>
      </w:r>
      <w:r w:rsidRPr="00214058">
        <w:rPr>
          <w:sz w:val="18"/>
          <w:szCs w:val="18"/>
        </w:rPr>
        <w:t>60</w:t>
      </w:r>
      <w:r w:rsidR="00873FCC" w:rsidRPr="00214058">
        <w:rPr>
          <w:sz w:val="18"/>
          <w:szCs w:val="18"/>
        </w:rPr>
        <w:t> ml/</w:t>
      </w:r>
      <w:r w:rsidRPr="00214058">
        <w:rPr>
          <w:sz w:val="18"/>
          <w:szCs w:val="18"/>
        </w:rPr>
        <w:t>min./1,73 m</w:t>
      </w:r>
      <w:r w:rsidRPr="00214058">
        <w:rPr>
          <w:sz w:val="18"/>
          <w:szCs w:val="18"/>
          <w:vertAlign w:val="superscript"/>
        </w:rPr>
        <w:t>2</w:t>
      </w:r>
      <w:r w:rsidRPr="00214058">
        <w:rPr>
          <w:sz w:val="18"/>
          <w:szCs w:val="18"/>
        </w:rPr>
        <w:t xml:space="preserve"> ir (arba) galutinės stadijos inkstų liga (dializės </w:t>
      </w:r>
      <w:r w:rsidR="00873FCC" w:rsidRPr="00214058">
        <w:rPr>
          <w:sz w:val="18"/>
          <w:szCs w:val="18"/>
        </w:rPr>
        <w:t>≥ </w:t>
      </w:r>
      <w:r w:rsidRPr="00214058">
        <w:rPr>
          <w:sz w:val="18"/>
          <w:szCs w:val="18"/>
        </w:rPr>
        <w:t xml:space="preserve">90 dienų arba inksto </w:t>
      </w:r>
      <w:r w:rsidR="00AE4324">
        <w:rPr>
          <w:sz w:val="18"/>
          <w:szCs w:val="18"/>
        </w:rPr>
        <w:t>transplantacija</w:t>
      </w:r>
      <w:r w:rsidRPr="00214058">
        <w:rPr>
          <w:sz w:val="18"/>
          <w:szCs w:val="18"/>
        </w:rPr>
        <w:t xml:space="preserve">, </w:t>
      </w:r>
      <w:r w:rsidR="005A2832" w:rsidRPr="00214058">
        <w:rPr>
          <w:sz w:val="18"/>
          <w:szCs w:val="18"/>
        </w:rPr>
        <w:t xml:space="preserve">patvirtintas </w:t>
      </w:r>
      <w:r w:rsidRPr="00214058">
        <w:rPr>
          <w:sz w:val="18"/>
          <w:szCs w:val="18"/>
        </w:rPr>
        <w:t xml:space="preserve">nuolatinis </w:t>
      </w:r>
      <w:proofErr w:type="spellStart"/>
      <w:r w:rsidRPr="00214058">
        <w:rPr>
          <w:sz w:val="18"/>
          <w:szCs w:val="18"/>
        </w:rPr>
        <w:t>aGFG</w:t>
      </w:r>
      <w:proofErr w:type="spellEnd"/>
      <w:r w:rsidRPr="00214058">
        <w:rPr>
          <w:sz w:val="18"/>
          <w:szCs w:val="18"/>
        </w:rPr>
        <w:t xml:space="preserve"> </w:t>
      </w:r>
      <w:r w:rsidR="00873FCC" w:rsidRPr="00214058">
        <w:rPr>
          <w:sz w:val="18"/>
          <w:szCs w:val="18"/>
        </w:rPr>
        <w:t>&lt; </w:t>
      </w:r>
      <w:r w:rsidRPr="00214058">
        <w:rPr>
          <w:sz w:val="18"/>
          <w:szCs w:val="18"/>
        </w:rPr>
        <w:t>15</w:t>
      </w:r>
      <w:r w:rsidR="00873FCC" w:rsidRPr="00214058">
        <w:rPr>
          <w:sz w:val="18"/>
          <w:szCs w:val="18"/>
        </w:rPr>
        <w:t> ml/</w:t>
      </w:r>
      <w:r w:rsidRPr="00214058">
        <w:rPr>
          <w:sz w:val="18"/>
          <w:szCs w:val="18"/>
        </w:rPr>
        <w:t>min./1,73 m</w:t>
      </w:r>
      <w:r w:rsidRPr="00214058">
        <w:rPr>
          <w:sz w:val="18"/>
          <w:szCs w:val="18"/>
          <w:vertAlign w:val="superscript"/>
        </w:rPr>
        <w:t>2</w:t>
      </w:r>
      <w:r w:rsidRPr="00214058">
        <w:rPr>
          <w:sz w:val="18"/>
          <w:szCs w:val="18"/>
        </w:rPr>
        <w:t xml:space="preserve">) ir (arba) </w:t>
      </w:r>
      <w:r w:rsidR="00F658C7" w:rsidRPr="00214058">
        <w:rPr>
          <w:sz w:val="18"/>
          <w:szCs w:val="18"/>
        </w:rPr>
        <w:t>inkstų sutrikimo suk</w:t>
      </w:r>
      <w:r w:rsidR="00435141" w:rsidRPr="00214058">
        <w:rPr>
          <w:sz w:val="18"/>
          <w:szCs w:val="18"/>
        </w:rPr>
        <w:t>elta</w:t>
      </w:r>
      <w:r w:rsidRPr="00214058">
        <w:rPr>
          <w:sz w:val="18"/>
          <w:szCs w:val="18"/>
        </w:rPr>
        <w:t xml:space="preserve"> arba mirtis</w:t>
      </w:r>
      <w:r w:rsidR="000365A2">
        <w:rPr>
          <w:sz w:val="18"/>
          <w:szCs w:val="18"/>
        </w:rPr>
        <w:t xml:space="preserve"> nuo </w:t>
      </w:r>
      <w:r w:rsidR="000365A2" w:rsidRPr="008903EC">
        <w:rPr>
          <w:sz w:val="18"/>
          <w:szCs w:val="18"/>
        </w:rPr>
        <w:t>širdies ir kraujagyslių ligų</w:t>
      </w:r>
      <w:r w:rsidRPr="00214058">
        <w:rPr>
          <w:sz w:val="18"/>
          <w:szCs w:val="18"/>
        </w:rPr>
        <w:t>.</w:t>
      </w:r>
    </w:p>
    <w:p w14:paraId="6D869501" w14:textId="3CCE042E" w:rsidR="00C0147E" w:rsidRPr="0000524B" w:rsidRDefault="001175EF" w:rsidP="00130A96">
      <w:pPr>
        <w:rPr>
          <w:sz w:val="18"/>
          <w:szCs w:val="18"/>
        </w:rPr>
      </w:pPr>
      <w:r w:rsidRPr="00214058">
        <w:rPr>
          <w:sz w:val="18"/>
          <w:szCs w:val="18"/>
        </w:rPr>
        <w:t xml:space="preserve">p reikšmės yra dvipusės. Antrinių vertinamųjų baigčių ir atskirų komponentų p reikšmės yra nominalios. Laikas iki pirmosios komplikacijos analizuotas </w:t>
      </w:r>
      <w:proofErr w:type="spellStart"/>
      <w:r w:rsidRPr="00214058">
        <w:rPr>
          <w:i/>
          <w:sz w:val="18"/>
          <w:szCs w:val="18"/>
        </w:rPr>
        <w:t>Cox</w:t>
      </w:r>
      <w:proofErr w:type="spellEnd"/>
      <w:r w:rsidRPr="00214058">
        <w:rPr>
          <w:i/>
          <w:sz w:val="18"/>
          <w:szCs w:val="18"/>
        </w:rPr>
        <w:t xml:space="preserve"> </w:t>
      </w:r>
      <w:r w:rsidRPr="00214058">
        <w:rPr>
          <w:sz w:val="18"/>
          <w:szCs w:val="18"/>
        </w:rPr>
        <w:t>proporcingos rizikos modeliu. Nurodytas pirmųjų komplikacijų skaičius pagal atskirus</w:t>
      </w:r>
      <w:r w:rsidRPr="0000524B">
        <w:rPr>
          <w:sz w:val="18"/>
          <w:szCs w:val="18"/>
        </w:rPr>
        <w:t xml:space="preserve"> komponentus; vėlesnių komplikacijų skaičius nepridėtas ir prie sudėtinės vertinamosios baigties komplikacijų.</w:t>
      </w:r>
    </w:p>
    <w:p w14:paraId="6D869502" w14:textId="77777777" w:rsidR="00C0147E" w:rsidRPr="0000524B" w:rsidRDefault="001175EF" w:rsidP="00130A96">
      <w:pPr>
        <w:rPr>
          <w:sz w:val="18"/>
          <w:szCs w:val="18"/>
        </w:rPr>
      </w:pPr>
      <w:r w:rsidRPr="0000524B">
        <w:rPr>
          <w:sz w:val="18"/>
          <w:szCs w:val="18"/>
        </w:rPr>
        <w:t xml:space="preserve">PI – </w:t>
      </w:r>
      <w:proofErr w:type="spellStart"/>
      <w:r w:rsidRPr="0000524B">
        <w:rPr>
          <w:sz w:val="18"/>
          <w:szCs w:val="18"/>
        </w:rPr>
        <w:t>pasikliautinasis</w:t>
      </w:r>
      <w:proofErr w:type="spellEnd"/>
      <w:r w:rsidRPr="0000524B">
        <w:rPr>
          <w:sz w:val="18"/>
          <w:szCs w:val="18"/>
        </w:rPr>
        <w:t xml:space="preserve"> intervalas</w:t>
      </w:r>
    </w:p>
    <w:p w14:paraId="6D869503" w14:textId="77777777" w:rsidR="00C0147E" w:rsidRPr="00130A96" w:rsidRDefault="00C0147E" w:rsidP="00130A96">
      <w:pPr>
        <w:pStyle w:val="Pagrindinistekstas"/>
      </w:pPr>
    </w:p>
    <w:p w14:paraId="6D869504" w14:textId="6CE6313B" w:rsidR="00C0147E" w:rsidRPr="00130A96" w:rsidRDefault="001175EF" w:rsidP="00130A96">
      <w:pPr>
        <w:rPr>
          <w:i/>
        </w:rPr>
      </w:pPr>
      <w:proofErr w:type="spellStart"/>
      <w:r w:rsidRPr="00130A96">
        <w:rPr>
          <w:i/>
        </w:rPr>
        <w:t>Nefropatija</w:t>
      </w:r>
      <w:proofErr w:type="spellEnd"/>
    </w:p>
    <w:p w14:paraId="6D869506" w14:textId="1F2B05B6" w:rsidR="00C0147E" w:rsidRDefault="001175EF" w:rsidP="00130A96">
      <w:pPr>
        <w:pStyle w:val="Pagrindinistekstas"/>
      </w:pPr>
      <w:r w:rsidRPr="00130A96">
        <w:t xml:space="preserve">Dapagliflozinas sumažino sudėtinės vertinamosios baigties, kurią sudarė patvirtintas nuolatinis </w:t>
      </w:r>
      <w:proofErr w:type="spellStart"/>
      <w:r w:rsidRPr="00130A96">
        <w:t>aGFG</w:t>
      </w:r>
      <w:proofErr w:type="spellEnd"/>
      <w:r w:rsidRPr="00130A96">
        <w:t xml:space="preserve"> sumažėjimas, galutinės stadijos inkstų liga bei </w:t>
      </w:r>
      <w:r w:rsidR="00435141" w:rsidRPr="00435141">
        <w:t xml:space="preserve">inkstų sutrikimo sukelta </w:t>
      </w:r>
      <w:r w:rsidRPr="00130A96">
        <w:t>ir mirtys</w:t>
      </w:r>
      <w:r w:rsidR="009D046A">
        <w:t xml:space="preserve"> nuo širdies ir kraujagyslių ligų</w:t>
      </w:r>
      <w:r w:rsidRPr="00130A96">
        <w:t>, atvejų skaičių.</w:t>
      </w:r>
      <w:r w:rsidR="00B75E10">
        <w:t xml:space="preserve"> </w:t>
      </w:r>
      <w:r w:rsidRPr="00130A96">
        <w:t>Skirtumą tarp grupių nulėmė inkstų komponent</w:t>
      </w:r>
      <w:r w:rsidR="00F10325">
        <w:t xml:space="preserve">ų įvykių </w:t>
      </w:r>
      <w:r w:rsidR="00767B44">
        <w:t xml:space="preserve">(nuolatinio </w:t>
      </w:r>
      <w:proofErr w:type="spellStart"/>
      <w:r w:rsidR="00767B44">
        <w:t>eGFG</w:t>
      </w:r>
      <w:proofErr w:type="spellEnd"/>
      <w:r w:rsidR="00767B44">
        <w:t xml:space="preserve"> sumažėjimo, galutinės stadijos inkstų ligos ir mirties dėl inkstų ligos) sumažėjimas</w:t>
      </w:r>
      <w:r w:rsidRPr="00130A96">
        <w:t xml:space="preserve"> (2</w:t>
      </w:r>
      <w:r w:rsidR="0086034A">
        <w:t> </w:t>
      </w:r>
      <w:r w:rsidRPr="00130A96">
        <w:t>pav.).</w:t>
      </w:r>
    </w:p>
    <w:p w14:paraId="48C8C908" w14:textId="63EA9DFB" w:rsidR="00B75E10" w:rsidRPr="00130A96" w:rsidRDefault="00B75E10" w:rsidP="00130A96">
      <w:pPr>
        <w:pStyle w:val="Pagrindinistekstas"/>
      </w:pPr>
    </w:p>
    <w:p w14:paraId="6D869507" w14:textId="032BC016" w:rsidR="00C0147E" w:rsidRPr="00130A96" w:rsidRDefault="001175EF" w:rsidP="00130A96">
      <w:pPr>
        <w:pStyle w:val="Pagrindinistekstas"/>
      </w:pPr>
      <w:r w:rsidRPr="00130A96">
        <w:t xml:space="preserve">Laiko iki </w:t>
      </w:r>
      <w:proofErr w:type="spellStart"/>
      <w:r w:rsidRPr="00130A96">
        <w:t>nefropatijos</w:t>
      </w:r>
      <w:proofErr w:type="spellEnd"/>
      <w:r w:rsidRPr="00130A96">
        <w:t xml:space="preserve"> (nuolatinio </w:t>
      </w:r>
      <w:proofErr w:type="spellStart"/>
      <w:r w:rsidRPr="00130A96">
        <w:t>aGFG</w:t>
      </w:r>
      <w:proofErr w:type="spellEnd"/>
      <w:r w:rsidRPr="00130A96">
        <w:t xml:space="preserve"> sumažėjimo, galutinės stadijos inkstų ligos arba mirties</w:t>
      </w:r>
      <w:r w:rsidR="00925F11">
        <w:t xml:space="preserve"> dėl inkstų ligos</w:t>
      </w:r>
      <w:r w:rsidRPr="00130A96">
        <w:t>) pasireiškimo rizikos santykis (RS), palyginus dapaglifloziną su placebu, buvo 0,53 (95</w:t>
      </w:r>
      <w:r w:rsidR="00873FCC">
        <w:t> %</w:t>
      </w:r>
      <w:r w:rsidRPr="00130A96">
        <w:t xml:space="preserve"> PI – nuo 0,43 iki 0,66).</w:t>
      </w:r>
    </w:p>
    <w:p w14:paraId="6D869508" w14:textId="3774A382" w:rsidR="00C0147E" w:rsidRPr="00130A96" w:rsidRDefault="00C0147E" w:rsidP="00130A96">
      <w:pPr>
        <w:pStyle w:val="Pagrindinistekstas"/>
      </w:pPr>
    </w:p>
    <w:p w14:paraId="6D86950A" w14:textId="70E3A64B" w:rsidR="00C0147E" w:rsidRPr="00130A96" w:rsidRDefault="001175EF" w:rsidP="00130A96">
      <w:pPr>
        <w:pStyle w:val="Pagrindinistekstas"/>
      </w:pPr>
      <w:r w:rsidRPr="00130A96">
        <w:t xml:space="preserve">Be to, dapagliflozinas (palyginus su placebu) sumažino nuolatinės </w:t>
      </w:r>
      <w:proofErr w:type="spellStart"/>
      <w:r w:rsidRPr="00130A96">
        <w:t>albuminurijos</w:t>
      </w:r>
      <w:proofErr w:type="spellEnd"/>
      <w:r w:rsidRPr="00130A96">
        <w:t xml:space="preserve"> pirmojo pasireiškimo riziką (RS – 0,79, 95</w:t>
      </w:r>
      <w:r w:rsidR="00873FCC">
        <w:t> %</w:t>
      </w:r>
      <w:r w:rsidRPr="00130A96">
        <w:t xml:space="preserve"> PI – nuo 0,72 iki 0,87) ir labiau sumažino </w:t>
      </w:r>
      <w:proofErr w:type="spellStart"/>
      <w:r w:rsidRPr="00130A96">
        <w:t>makroalbuminuriją</w:t>
      </w:r>
      <w:proofErr w:type="spellEnd"/>
      <w:r w:rsidRPr="00130A96">
        <w:t xml:space="preserve"> (RS – 1,82,</w:t>
      </w:r>
      <w:r w:rsidR="00B75E10">
        <w:t xml:space="preserve"> </w:t>
      </w:r>
      <w:r w:rsidRPr="00130A96">
        <w:t>95</w:t>
      </w:r>
      <w:r w:rsidR="00873FCC">
        <w:t> %</w:t>
      </w:r>
      <w:r w:rsidRPr="00130A96">
        <w:t xml:space="preserve"> PI – nuo 1,51 iki 2,20).</w:t>
      </w:r>
    </w:p>
    <w:p w14:paraId="6D86950B" w14:textId="41361804" w:rsidR="00C0147E" w:rsidRPr="00130A96" w:rsidRDefault="00C0147E" w:rsidP="00130A96">
      <w:pPr>
        <w:pStyle w:val="Pagrindinistekstas"/>
      </w:pPr>
    </w:p>
    <w:p w14:paraId="6D86950C" w14:textId="77777777" w:rsidR="00C0147E" w:rsidRDefault="001175EF" w:rsidP="00130A96">
      <w:pPr>
        <w:pStyle w:val="Pagrindinistekstas"/>
        <w:rPr>
          <w:u w:val="single"/>
        </w:rPr>
      </w:pPr>
      <w:r w:rsidRPr="00130A96">
        <w:rPr>
          <w:u w:val="single"/>
        </w:rPr>
        <w:t>Širdies nepakankamumas</w:t>
      </w:r>
    </w:p>
    <w:p w14:paraId="1A8C8D6E" w14:textId="77777777" w:rsidR="00B75E10" w:rsidRPr="00130A96" w:rsidRDefault="00B75E10" w:rsidP="00130A96">
      <w:pPr>
        <w:pStyle w:val="Pagrindinistekstas"/>
      </w:pPr>
    </w:p>
    <w:p w14:paraId="6D86950D" w14:textId="58A03EC0" w:rsidR="00C0147E" w:rsidRDefault="001175EF" w:rsidP="00130A96">
      <w:r w:rsidRPr="00130A96">
        <w:rPr>
          <w:i/>
          <w:u w:val="single"/>
        </w:rPr>
        <w:t xml:space="preserve">DAPA-HF tyrimas: širdies nepakankamumas su sumažėjusia išstūmimo frakcija (LVEF </w:t>
      </w:r>
      <w:r w:rsidR="00D54BC0">
        <w:rPr>
          <w:u w:val="single"/>
        </w:rPr>
        <w:t>≤ </w:t>
      </w:r>
      <w:r w:rsidRPr="00130A96">
        <w:rPr>
          <w:i/>
          <w:u w:val="single"/>
        </w:rPr>
        <w:t>40</w:t>
      </w:r>
      <w:r w:rsidR="00873FCC">
        <w:rPr>
          <w:i/>
          <w:u w:val="single"/>
        </w:rPr>
        <w:t> %</w:t>
      </w:r>
      <w:r w:rsidRPr="00130A96">
        <w:rPr>
          <w:i/>
          <w:u w:val="single"/>
        </w:rPr>
        <w:t>)</w:t>
      </w:r>
      <w:r w:rsidRPr="00130A96">
        <w:rPr>
          <w:i/>
        </w:rPr>
        <w:t xml:space="preserve"> </w:t>
      </w:r>
      <w:r w:rsidRPr="00130A96">
        <w:t xml:space="preserve">Dapagliflozino poveikio širdies nepakankamumo komplikacijų profilaktikai (angl. </w:t>
      </w:r>
      <w:proofErr w:type="spellStart"/>
      <w:r w:rsidRPr="00130A96">
        <w:rPr>
          <w:i/>
        </w:rPr>
        <w:t>Dapagliflozin</w:t>
      </w:r>
      <w:proofErr w:type="spellEnd"/>
      <w:r w:rsidRPr="00130A96">
        <w:rPr>
          <w:i/>
        </w:rPr>
        <w:t xml:space="preserve"> </w:t>
      </w:r>
      <w:proofErr w:type="spellStart"/>
      <w:r w:rsidRPr="00130A96">
        <w:rPr>
          <w:i/>
        </w:rPr>
        <w:t>And</w:t>
      </w:r>
      <w:proofErr w:type="spellEnd"/>
      <w:r w:rsidRPr="00130A96">
        <w:rPr>
          <w:i/>
        </w:rPr>
        <w:t xml:space="preserve"> </w:t>
      </w:r>
      <w:proofErr w:type="spellStart"/>
      <w:r w:rsidRPr="00130A96">
        <w:rPr>
          <w:i/>
        </w:rPr>
        <w:t>Prevention</w:t>
      </w:r>
      <w:proofErr w:type="spellEnd"/>
      <w:r w:rsidRPr="00130A96">
        <w:rPr>
          <w:i/>
        </w:rPr>
        <w:t xml:space="preserve"> </w:t>
      </w:r>
      <w:proofErr w:type="spellStart"/>
      <w:r w:rsidRPr="00130A96">
        <w:rPr>
          <w:i/>
        </w:rPr>
        <w:t>of</w:t>
      </w:r>
      <w:proofErr w:type="spellEnd"/>
      <w:r w:rsidRPr="00130A96">
        <w:rPr>
          <w:i/>
        </w:rPr>
        <w:t xml:space="preserve"> </w:t>
      </w:r>
      <w:proofErr w:type="spellStart"/>
      <w:r w:rsidRPr="00130A96">
        <w:rPr>
          <w:i/>
        </w:rPr>
        <w:t>Adverse</w:t>
      </w:r>
      <w:proofErr w:type="spellEnd"/>
      <w:r w:rsidRPr="00130A96">
        <w:rPr>
          <w:i/>
        </w:rPr>
        <w:t xml:space="preserve"> </w:t>
      </w:r>
      <w:proofErr w:type="spellStart"/>
      <w:r w:rsidRPr="00130A96">
        <w:rPr>
          <w:i/>
        </w:rPr>
        <w:t>outcomes</w:t>
      </w:r>
      <w:proofErr w:type="spellEnd"/>
      <w:r w:rsidRPr="00130A96">
        <w:rPr>
          <w:i/>
        </w:rPr>
        <w:t xml:space="preserve"> </w:t>
      </w:r>
      <w:proofErr w:type="spellStart"/>
      <w:r w:rsidRPr="00130A96">
        <w:rPr>
          <w:i/>
        </w:rPr>
        <w:t>in</w:t>
      </w:r>
      <w:proofErr w:type="spellEnd"/>
      <w:r w:rsidRPr="00130A96">
        <w:rPr>
          <w:i/>
        </w:rPr>
        <w:t xml:space="preserve"> </w:t>
      </w:r>
      <w:proofErr w:type="spellStart"/>
      <w:r w:rsidRPr="00130A96">
        <w:rPr>
          <w:i/>
        </w:rPr>
        <w:t>Heart</w:t>
      </w:r>
      <w:proofErr w:type="spellEnd"/>
      <w:r w:rsidRPr="00130A96">
        <w:rPr>
          <w:i/>
        </w:rPr>
        <w:t xml:space="preserve"> </w:t>
      </w:r>
      <w:proofErr w:type="spellStart"/>
      <w:r w:rsidRPr="00130A96">
        <w:rPr>
          <w:i/>
        </w:rPr>
        <w:t>Failure</w:t>
      </w:r>
      <w:proofErr w:type="spellEnd"/>
      <w:r w:rsidRPr="00130A96">
        <w:rPr>
          <w:i/>
        </w:rPr>
        <w:t xml:space="preserve">, </w:t>
      </w:r>
      <w:r w:rsidRPr="00130A96">
        <w:t xml:space="preserve">DAPA-HF) tyrimas buvo tarptautinis, </w:t>
      </w:r>
      <w:proofErr w:type="spellStart"/>
      <w:r w:rsidR="005C2371">
        <w:t>dau</w:t>
      </w:r>
      <w:r w:rsidR="00C51557">
        <w:t>giacentris</w:t>
      </w:r>
      <w:proofErr w:type="spellEnd"/>
      <w:r w:rsidR="00C51557">
        <w:t>, atsitiktinių imčių</w:t>
      </w:r>
      <w:r w:rsidRPr="00130A96">
        <w:t xml:space="preserve">, dvigubai </w:t>
      </w:r>
      <w:r w:rsidR="00C51557">
        <w:t>koduotas</w:t>
      </w:r>
      <w:r w:rsidRPr="00130A96">
        <w:t>, kontroliuotas placebu. Jame dalyvavo II</w:t>
      </w:r>
      <w:r w:rsidR="00C51557">
        <w:noBreakHyphen/>
      </w:r>
      <w:r w:rsidRPr="00130A96">
        <w:t xml:space="preserve">IV funkcinių klasių pagal Niujorko širdies asociaciją (angl. </w:t>
      </w:r>
      <w:proofErr w:type="spellStart"/>
      <w:r w:rsidRPr="00130A96">
        <w:rPr>
          <w:i/>
        </w:rPr>
        <w:t>New</w:t>
      </w:r>
      <w:proofErr w:type="spellEnd"/>
      <w:r w:rsidRPr="00130A96">
        <w:rPr>
          <w:i/>
        </w:rPr>
        <w:t xml:space="preserve"> York </w:t>
      </w:r>
      <w:proofErr w:type="spellStart"/>
      <w:r w:rsidRPr="00130A96">
        <w:rPr>
          <w:i/>
        </w:rPr>
        <w:t>Heart</w:t>
      </w:r>
      <w:proofErr w:type="spellEnd"/>
      <w:r w:rsidRPr="00130A96">
        <w:rPr>
          <w:i/>
        </w:rPr>
        <w:t xml:space="preserve"> </w:t>
      </w:r>
      <w:proofErr w:type="spellStart"/>
      <w:r w:rsidRPr="00130A96">
        <w:rPr>
          <w:i/>
        </w:rPr>
        <w:t>Association</w:t>
      </w:r>
      <w:proofErr w:type="spellEnd"/>
      <w:r w:rsidRPr="00130A96">
        <w:rPr>
          <w:i/>
        </w:rPr>
        <w:t>, NYHA</w:t>
      </w:r>
      <w:r w:rsidRPr="00130A96">
        <w:t>) su sumažėjusia (</w:t>
      </w:r>
      <w:r w:rsidR="00D54BC0">
        <w:t>≤ </w:t>
      </w:r>
      <w:r w:rsidRPr="00130A96">
        <w:t>40</w:t>
      </w:r>
      <w:r w:rsidR="00873FCC">
        <w:t> %</w:t>
      </w:r>
      <w:r w:rsidRPr="00130A96">
        <w:t xml:space="preserve">) išstūmimo frakcija (angl. </w:t>
      </w:r>
      <w:proofErr w:type="spellStart"/>
      <w:r w:rsidRPr="00130A96">
        <w:rPr>
          <w:i/>
        </w:rPr>
        <w:t>left</w:t>
      </w:r>
      <w:proofErr w:type="spellEnd"/>
      <w:r w:rsidRPr="00130A96">
        <w:rPr>
          <w:i/>
        </w:rPr>
        <w:t xml:space="preserve"> </w:t>
      </w:r>
      <w:proofErr w:type="spellStart"/>
      <w:r w:rsidRPr="00130A96">
        <w:rPr>
          <w:i/>
        </w:rPr>
        <w:t>ventricular</w:t>
      </w:r>
      <w:proofErr w:type="spellEnd"/>
      <w:r w:rsidRPr="00130A96">
        <w:rPr>
          <w:i/>
        </w:rPr>
        <w:t xml:space="preserve"> </w:t>
      </w:r>
      <w:proofErr w:type="spellStart"/>
      <w:r w:rsidRPr="00130A96">
        <w:rPr>
          <w:i/>
        </w:rPr>
        <w:t>ejection</w:t>
      </w:r>
      <w:proofErr w:type="spellEnd"/>
      <w:r w:rsidRPr="00130A96">
        <w:rPr>
          <w:i/>
        </w:rPr>
        <w:t xml:space="preserve"> </w:t>
      </w:r>
      <w:proofErr w:type="spellStart"/>
      <w:r w:rsidRPr="00130A96">
        <w:rPr>
          <w:i/>
        </w:rPr>
        <w:t>fraction</w:t>
      </w:r>
      <w:proofErr w:type="spellEnd"/>
      <w:r w:rsidRPr="00130A96">
        <w:rPr>
          <w:i/>
        </w:rPr>
        <w:t>, LVEF</w:t>
      </w:r>
      <w:r w:rsidRPr="00130A96">
        <w:t xml:space="preserve">) sirgę </w:t>
      </w:r>
      <w:r w:rsidRPr="00130A96">
        <w:lastRenderedPageBreak/>
        <w:t xml:space="preserve">pacientai. Šio tyrimo metu lygintas dapagliflozino ir placebo, vartojamų kartu su </w:t>
      </w:r>
      <w:r w:rsidR="008F7340">
        <w:t>standartiniu</w:t>
      </w:r>
      <w:r w:rsidR="008F7340" w:rsidRPr="00130A96">
        <w:t xml:space="preserve"> </w:t>
      </w:r>
      <w:r w:rsidRPr="00130A96">
        <w:t>gydymu, poveikis mirties</w:t>
      </w:r>
      <w:r w:rsidR="00A677B0">
        <w:t xml:space="preserve"> nuo širdies ir kraujagyslių ligų</w:t>
      </w:r>
      <w:r w:rsidRPr="00130A96">
        <w:t xml:space="preserve"> ir širdies nepakankamumo pasunkėjimo rizikai.</w:t>
      </w:r>
    </w:p>
    <w:p w14:paraId="1CDCD78E" w14:textId="77777777" w:rsidR="00B75E10" w:rsidRPr="00130A96" w:rsidRDefault="00B75E10" w:rsidP="00130A96"/>
    <w:p w14:paraId="6D86950E" w14:textId="51604BBC" w:rsidR="00C0147E" w:rsidRDefault="001175EF" w:rsidP="00130A96">
      <w:pPr>
        <w:pStyle w:val="Pagrindinistekstas"/>
      </w:pPr>
      <w:r w:rsidRPr="00130A96">
        <w:t>2</w:t>
      </w:r>
      <w:r w:rsidR="004B179F">
        <w:t> </w:t>
      </w:r>
      <w:r w:rsidRPr="00130A96">
        <w:t>373 iš 4</w:t>
      </w:r>
      <w:r w:rsidR="004B179F">
        <w:t> </w:t>
      </w:r>
      <w:r w:rsidRPr="00130A96">
        <w:t>744</w:t>
      </w:r>
      <w:r w:rsidR="004B179F">
        <w:t> </w:t>
      </w:r>
      <w:r w:rsidRPr="00130A96">
        <w:t xml:space="preserve">pacientų buvo </w:t>
      </w:r>
      <w:r w:rsidR="004B179F">
        <w:t xml:space="preserve">atsitiktinai </w:t>
      </w:r>
      <w:proofErr w:type="spellStart"/>
      <w:r w:rsidR="004B179F">
        <w:t>susikirstyti</w:t>
      </w:r>
      <w:proofErr w:type="spellEnd"/>
      <w:r w:rsidRPr="00130A96">
        <w:t xml:space="preserve"> vartoti 10</w:t>
      </w:r>
      <w:r w:rsidR="00873FCC">
        <w:t> mg</w:t>
      </w:r>
      <w:r w:rsidRPr="00130A96">
        <w:t xml:space="preserve"> dapagliflozino ir 2</w:t>
      </w:r>
      <w:r w:rsidR="004B179F">
        <w:t> </w:t>
      </w:r>
      <w:r w:rsidRPr="00130A96">
        <w:t>371 – placeb</w:t>
      </w:r>
      <w:r w:rsidR="004B179F">
        <w:t>o</w:t>
      </w:r>
      <w:r w:rsidRPr="00130A96">
        <w:t>. Jų stebėjimo laikotarpio mediana buvo 18</w:t>
      </w:r>
      <w:r w:rsidR="004B179F">
        <w:t> </w:t>
      </w:r>
      <w:r w:rsidRPr="00130A96">
        <w:t>mėn. Tirtų pacientų amžiaus mediana buvo 66</w:t>
      </w:r>
      <w:r w:rsidR="004B179F">
        <w:t> </w:t>
      </w:r>
      <w:r w:rsidRPr="00130A96">
        <w:t>metai, 77</w:t>
      </w:r>
      <w:r w:rsidR="00873FCC">
        <w:t> %</w:t>
      </w:r>
      <w:r w:rsidRPr="00130A96">
        <w:t xml:space="preserve"> buvo vyrai.</w:t>
      </w:r>
    </w:p>
    <w:p w14:paraId="214478E8" w14:textId="77777777" w:rsidR="00B75E10" w:rsidRPr="00130A96" w:rsidRDefault="00B75E10" w:rsidP="00130A96">
      <w:pPr>
        <w:pStyle w:val="Pagrindinistekstas"/>
      </w:pPr>
    </w:p>
    <w:p w14:paraId="6D86950F" w14:textId="16943D58" w:rsidR="00C0147E" w:rsidRPr="00130A96" w:rsidRDefault="004B179F" w:rsidP="00130A96">
      <w:pPr>
        <w:pStyle w:val="Pagrindinistekstas"/>
      </w:pPr>
      <w:r>
        <w:t>Tyrimo pradžioje</w:t>
      </w:r>
      <w:r w:rsidR="001175EF" w:rsidRPr="00130A96">
        <w:t xml:space="preserve"> 67,5</w:t>
      </w:r>
      <w:r w:rsidR="00873FCC">
        <w:t> %</w:t>
      </w:r>
      <w:r w:rsidR="001175EF" w:rsidRPr="00130A96">
        <w:t xml:space="preserve"> pacientų buvo nustatyta NYHA II</w:t>
      </w:r>
      <w:r>
        <w:t> </w:t>
      </w:r>
      <w:r w:rsidR="001175EF" w:rsidRPr="00130A96">
        <w:t>klasė, 31,6</w:t>
      </w:r>
      <w:r w:rsidR="00873FCC">
        <w:t> %</w:t>
      </w:r>
      <w:r w:rsidR="001175EF" w:rsidRPr="00130A96">
        <w:t xml:space="preserve"> – III</w:t>
      </w:r>
      <w:r>
        <w:t> </w:t>
      </w:r>
      <w:r w:rsidR="001175EF" w:rsidRPr="00130A96">
        <w:t>klasė ir 0,9</w:t>
      </w:r>
      <w:r w:rsidR="00873FCC">
        <w:t> %</w:t>
      </w:r>
      <w:r w:rsidR="001175EF" w:rsidRPr="00130A96">
        <w:t xml:space="preserve"> – IV</w:t>
      </w:r>
      <w:r>
        <w:t> </w:t>
      </w:r>
      <w:r w:rsidR="001175EF" w:rsidRPr="00130A96">
        <w:t xml:space="preserve">klasė, </w:t>
      </w:r>
      <w:r w:rsidR="001175EF" w:rsidRPr="004B179F">
        <w:rPr>
          <w:i/>
          <w:iCs/>
        </w:rPr>
        <w:t>LVEF</w:t>
      </w:r>
      <w:r w:rsidR="001175EF" w:rsidRPr="00130A96">
        <w:t xml:space="preserve"> mediana buvo 32</w:t>
      </w:r>
      <w:r w:rsidR="00873FCC">
        <w:t> %</w:t>
      </w:r>
      <w:r w:rsidR="001175EF" w:rsidRPr="00130A96">
        <w:t>. 56</w:t>
      </w:r>
      <w:r w:rsidR="00873FCC">
        <w:t> %</w:t>
      </w:r>
      <w:r w:rsidR="001175EF" w:rsidRPr="00130A96">
        <w:t xml:space="preserve"> pacientų širdies nepakankamumas buvo išeminės, 36</w:t>
      </w:r>
      <w:r w:rsidR="00873FCC">
        <w:t> %</w:t>
      </w:r>
      <w:r w:rsidR="001175EF" w:rsidRPr="00130A96">
        <w:t xml:space="preserve"> – neišeminės ir 8</w:t>
      </w:r>
      <w:r w:rsidR="00873FCC">
        <w:t> %</w:t>
      </w:r>
      <w:r w:rsidR="001175EF" w:rsidRPr="00130A96">
        <w:t xml:space="preserve"> – nežinomos kilmės. Po 42</w:t>
      </w:r>
      <w:r w:rsidR="00873FCC">
        <w:t> %</w:t>
      </w:r>
      <w:r w:rsidR="001175EF" w:rsidRPr="00130A96">
        <w:t xml:space="preserve"> abejų grupių pacientų anamnezėje buvo 2</w:t>
      </w:r>
      <w:r w:rsidR="00873FCC">
        <w:t> tipo</w:t>
      </w:r>
      <w:r w:rsidR="001175EF" w:rsidRPr="00130A96">
        <w:t xml:space="preserve"> cukrinis diabetas, dar po 3</w:t>
      </w:r>
      <w:r w:rsidR="00873FCC">
        <w:t> %</w:t>
      </w:r>
      <w:r w:rsidR="001175EF" w:rsidRPr="00130A96">
        <w:t xml:space="preserve"> abejų grupių pacientų 2</w:t>
      </w:r>
      <w:r w:rsidR="00873FCC">
        <w:t> tipo</w:t>
      </w:r>
      <w:r w:rsidR="001175EF" w:rsidRPr="00130A96">
        <w:t xml:space="preserve"> cukrinis diabetas diagnozuotas remiantis įtraukimo ir </w:t>
      </w:r>
      <w:r w:rsidR="001A1877">
        <w:t>atsitiktinės atrankos</w:t>
      </w:r>
      <w:r w:rsidR="001175EF" w:rsidRPr="00130A96">
        <w:t xml:space="preserve"> metu rasta HbA1c koncentracija </w:t>
      </w:r>
      <w:r w:rsidR="00873FCC">
        <w:t>≥ </w:t>
      </w:r>
      <w:r w:rsidR="001175EF" w:rsidRPr="00130A96">
        <w:t>6,5</w:t>
      </w:r>
      <w:r w:rsidR="00873FCC">
        <w:t> %</w:t>
      </w:r>
      <w:r w:rsidR="001175EF" w:rsidRPr="00130A96">
        <w:t>. Pacientams taikytas įprast</w:t>
      </w:r>
      <w:r w:rsidR="00270BA6">
        <w:t>a</w:t>
      </w:r>
      <w:r w:rsidR="001175EF" w:rsidRPr="00130A96">
        <w:t>s gydymas: 94</w:t>
      </w:r>
      <w:r w:rsidR="00873FCC">
        <w:t> %</w:t>
      </w:r>
      <w:r w:rsidR="001175EF" w:rsidRPr="00130A96">
        <w:t xml:space="preserve"> vartojo AKFI, ARB arba </w:t>
      </w:r>
      <w:proofErr w:type="spellStart"/>
      <w:r w:rsidR="001175EF" w:rsidRPr="00130A96">
        <w:t>angiotenzino</w:t>
      </w:r>
      <w:proofErr w:type="spellEnd"/>
      <w:r w:rsidR="001175EF" w:rsidRPr="00130A96">
        <w:t xml:space="preserve"> receptorių ir </w:t>
      </w:r>
      <w:proofErr w:type="spellStart"/>
      <w:r w:rsidR="001175EF" w:rsidRPr="00130A96">
        <w:t>neprilizino</w:t>
      </w:r>
      <w:proofErr w:type="spellEnd"/>
      <w:r w:rsidR="001175EF" w:rsidRPr="00130A96">
        <w:t xml:space="preserve"> inhibitorių (ARNI, 11</w:t>
      </w:r>
      <w:r w:rsidR="00873FCC">
        <w:t> %</w:t>
      </w:r>
      <w:r w:rsidR="001175EF" w:rsidRPr="00130A96">
        <w:t>), 96</w:t>
      </w:r>
      <w:r w:rsidR="00873FCC">
        <w:t> %</w:t>
      </w:r>
      <w:r w:rsidR="001175EF" w:rsidRPr="00130A96">
        <w:t xml:space="preserve"> – beta blokatorių, 71</w:t>
      </w:r>
      <w:r w:rsidR="00873FCC">
        <w:t> %</w:t>
      </w:r>
      <w:r w:rsidR="001175EF" w:rsidRPr="00130A96">
        <w:t xml:space="preserve"> </w:t>
      </w:r>
      <w:proofErr w:type="spellStart"/>
      <w:r w:rsidR="001175EF" w:rsidRPr="00130A96">
        <w:t>mineralokortikoidų</w:t>
      </w:r>
      <w:proofErr w:type="spellEnd"/>
      <w:r w:rsidR="001175EF" w:rsidRPr="00130A96">
        <w:t xml:space="preserve"> receptorių antagonist</w:t>
      </w:r>
      <w:r w:rsidR="001B4747">
        <w:t>o</w:t>
      </w:r>
      <w:r w:rsidR="001175EF" w:rsidRPr="00130A96">
        <w:t xml:space="preserve"> (MRA), 93</w:t>
      </w:r>
      <w:r w:rsidR="00873FCC">
        <w:t> %</w:t>
      </w:r>
      <w:r w:rsidR="001175EF" w:rsidRPr="00130A96">
        <w:t xml:space="preserve"> – diuretik</w:t>
      </w:r>
      <w:r w:rsidR="001B4747">
        <w:t>o</w:t>
      </w:r>
      <w:r w:rsidR="001175EF" w:rsidRPr="00130A96">
        <w:t>, o 26</w:t>
      </w:r>
      <w:r w:rsidR="00873FCC">
        <w:t> %</w:t>
      </w:r>
      <w:r w:rsidR="001175EF" w:rsidRPr="00130A96">
        <w:t xml:space="preserve"> turėjo implantuotą prietaisą (su </w:t>
      </w:r>
      <w:proofErr w:type="spellStart"/>
      <w:r w:rsidR="001175EF" w:rsidRPr="00130A96">
        <w:t>defibriliatoriaus</w:t>
      </w:r>
      <w:proofErr w:type="spellEnd"/>
      <w:r w:rsidR="001175EF" w:rsidRPr="00130A96">
        <w:t xml:space="preserve"> funkcija).</w:t>
      </w:r>
    </w:p>
    <w:p w14:paraId="6D869510" w14:textId="77777777" w:rsidR="00C0147E" w:rsidRPr="00130A96" w:rsidRDefault="00C0147E" w:rsidP="00130A96">
      <w:pPr>
        <w:pStyle w:val="Pagrindinistekstas"/>
      </w:pPr>
    </w:p>
    <w:p w14:paraId="6D869512" w14:textId="7DEF3F9A" w:rsidR="00C0147E" w:rsidRPr="00130A96" w:rsidRDefault="001175EF" w:rsidP="00130A96">
      <w:pPr>
        <w:pStyle w:val="Pagrindinistekstas"/>
      </w:pPr>
      <w:r w:rsidRPr="00130A96">
        <w:t xml:space="preserve">Tirtų pacientų </w:t>
      </w:r>
      <w:proofErr w:type="spellStart"/>
      <w:r w:rsidRPr="00130A96">
        <w:t>aGFG</w:t>
      </w:r>
      <w:proofErr w:type="spellEnd"/>
      <w:r w:rsidRPr="00130A96">
        <w:t xml:space="preserve"> įtraukimo metu buvo </w:t>
      </w:r>
      <w:r w:rsidR="00873FCC">
        <w:t>≥ </w:t>
      </w:r>
      <w:r w:rsidRPr="00130A96">
        <w:t>30</w:t>
      </w:r>
      <w:r w:rsidR="00873FCC">
        <w:t> ml/</w:t>
      </w:r>
      <w:r w:rsidRPr="00130A96">
        <w:t>min./1,73 m</w:t>
      </w:r>
      <w:r w:rsidRPr="00130A96">
        <w:rPr>
          <w:vertAlign w:val="superscript"/>
        </w:rPr>
        <w:t>2</w:t>
      </w:r>
      <w:r w:rsidRPr="00130A96">
        <w:t xml:space="preserve">. </w:t>
      </w:r>
      <w:proofErr w:type="spellStart"/>
      <w:r w:rsidRPr="00130A96">
        <w:t>aGFG</w:t>
      </w:r>
      <w:proofErr w:type="spellEnd"/>
      <w:r w:rsidRPr="00130A96">
        <w:t xml:space="preserve"> mediana buvo 66</w:t>
      </w:r>
      <w:r w:rsidR="00873FCC">
        <w:t> ml/</w:t>
      </w:r>
      <w:r w:rsidRPr="00130A96">
        <w:t>min./1,73 m</w:t>
      </w:r>
      <w:r w:rsidRPr="00130A96">
        <w:rPr>
          <w:vertAlign w:val="superscript"/>
        </w:rPr>
        <w:t>2</w:t>
      </w:r>
      <w:r w:rsidRPr="00130A96">
        <w:t>, 41</w:t>
      </w:r>
      <w:r w:rsidR="00873FCC">
        <w:t> %</w:t>
      </w:r>
      <w:r w:rsidRPr="00130A96">
        <w:t xml:space="preserve"> pacientų </w:t>
      </w:r>
      <w:proofErr w:type="spellStart"/>
      <w:r w:rsidRPr="00130A96">
        <w:t>aGFG</w:t>
      </w:r>
      <w:proofErr w:type="spellEnd"/>
      <w:r w:rsidRPr="00130A96">
        <w:t xml:space="preserve"> buvo </w:t>
      </w:r>
      <w:r w:rsidR="00873FCC">
        <w:t>&lt; </w:t>
      </w:r>
      <w:r w:rsidRPr="00130A96">
        <w:t>60</w:t>
      </w:r>
      <w:r w:rsidR="00873FCC">
        <w:t> ml/</w:t>
      </w:r>
      <w:r w:rsidRPr="00130A96">
        <w:t>min./1,73 m</w:t>
      </w:r>
      <w:r w:rsidRPr="00130A96">
        <w:rPr>
          <w:vertAlign w:val="superscript"/>
        </w:rPr>
        <w:t>2</w:t>
      </w:r>
      <w:r w:rsidRPr="00130A96">
        <w:t xml:space="preserve"> ir 15</w:t>
      </w:r>
      <w:r w:rsidR="00873FCC">
        <w:t> %</w:t>
      </w:r>
      <w:r w:rsidRPr="00130A96">
        <w:t xml:space="preserve"> pacientų</w:t>
      </w:r>
      <w:r w:rsidR="00B75E10">
        <w:t xml:space="preserve"> </w:t>
      </w:r>
      <w:r w:rsidR="00873FCC">
        <w:t>&lt; </w:t>
      </w:r>
      <w:r w:rsidRPr="00130A96">
        <w:t>45</w:t>
      </w:r>
      <w:r w:rsidR="00873FCC">
        <w:t> ml/</w:t>
      </w:r>
      <w:r w:rsidRPr="00130A96">
        <w:t>min./1,73 m</w:t>
      </w:r>
      <w:r w:rsidRPr="00130A96">
        <w:rPr>
          <w:vertAlign w:val="superscript"/>
        </w:rPr>
        <w:t>2</w:t>
      </w:r>
      <w:r w:rsidRPr="00130A96">
        <w:t>.</w:t>
      </w:r>
    </w:p>
    <w:p w14:paraId="6D869513" w14:textId="77777777" w:rsidR="00C0147E" w:rsidRPr="00130A96" w:rsidRDefault="00C0147E" w:rsidP="00130A96">
      <w:pPr>
        <w:pStyle w:val="Pagrindinistekstas"/>
      </w:pPr>
    </w:p>
    <w:p w14:paraId="6D869514" w14:textId="7BC0AAC5" w:rsidR="00C0147E" w:rsidRPr="00130A96" w:rsidRDefault="00F46723" w:rsidP="00130A96">
      <w:pPr>
        <w:rPr>
          <w:i/>
        </w:rPr>
      </w:pPr>
      <w:r>
        <w:rPr>
          <w:i/>
        </w:rPr>
        <w:t>M</w:t>
      </w:r>
      <w:r w:rsidR="001175EF" w:rsidRPr="00130A96">
        <w:rPr>
          <w:i/>
        </w:rPr>
        <w:t>irt</w:t>
      </w:r>
      <w:r w:rsidR="003201FA">
        <w:rPr>
          <w:i/>
        </w:rPr>
        <w:t>i</w:t>
      </w:r>
      <w:r w:rsidR="001175EF" w:rsidRPr="00130A96">
        <w:rPr>
          <w:i/>
        </w:rPr>
        <w:t>s</w:t>
      </w:r>
      <w:r>
        <w:rPr>
          <w:i/>
        </w:rPr>
        <w:t xml:space="preserve"> </w:t>
      </w:r>
      <w:r w:rsidRPr="008903EC">
        <w:rPr>
          <w:i/>
        </w:rPr>
        <w:t>nuo širdies ir kraujagyslių ligų</w:t>
      </w:r>
      <w:r w:rsidR="001175EF" w:rsidRPr="00130A96">
        <w:rPr>
          <w:i/>
        </w:rPr>
        <w:t xml:space="preserve"> ir širdies nepakankamumo pasunkėjimas</w:t>
      </w:r>
    </w:p>
    <w:p w14:paraId="6D869515" w14:textId="29643FD4" w:rsidR="00C0147E" w:rsidRPr="00130A96" w:rsidRDefault="001175EF" w:rsidP="00130A96">
      <w:pPr>
        <w:pStyle w:val="Pagrindinistekstas"/>
      </w:pPr>
      <w:r w:rsidRPr="00130A96">
        <w:t xml:space="preserve">Dapagliflozinas geriau už placebą apsaugojo nuo pagrindinės sudėtinės vertinamosios baigties, kurią sudarė mirtys </w:t>
      </w:r>
      <w:r w:rsidR="00915AFA" w:rsidRPr="007E7DFC">
        <w:t xml:space="preserve">nuo širdies ir kraujagyslių ligų </w:t>
      </w:r>
      <w:r w:rsidRPr="00130A96">
        <w:t>bei hospitalizacijos ir skubūs vizitai dėl širdies nepakankamumo (RS</w:t>
      </w:r>
      <w:r w:rsidR="00873FCC">
        <w:t> = </w:t>
      </w:r>
      <w:r w:rsidRPr="00130A96">
        <w:t>0,74, 95</w:t>
      </w:r>
      <w:r w:rsidR="00873FCC">
        <w:t> %</w:t>
      </w:r>
      <w:r w:rsidRPr="00130A96">
        <w:t xml:space="preserve"> PI – nuo 0,65 iki 0,85, p </w:t>
      </w:r>
      <w:r w:rsidR="00873FCC">
        <w:t>&lt; </w:t>
      </w:r>
      <w:r w:rsidRPr="00130A96">
        <w:t>0,0001). Šis poveikis pasireiškė anksti ir išliko viso tyrimo metu (3</w:t>
      </w:r>
      <w:r w:rsidR="00E7053A">
        <w:t> </w:t>
      </w:r>
      <w:r w:rsidRPr="00130A96">
        <w:t>pav.).</w:t>
      </w:r>
    </w:p>
    <w:p w14:paraId="300734BA" w14:textId="77777777" w:rsidR="00C0147E" w:rsidRDefault="00C0147E" w:rsidP="00130A96">
      <w:pPr>
        <w:pStyle w:val="Pagrindinistekstas"/>
      </w:pPr>
    </w:p>
    <w:p w14:paraId="6D869517" w14:textId="05F17007" w:rsidR="00C0147E" w:rsidRDefault="00B75E10" w:rsidP="00B75E10">
      <w:pPr>
        <w:pStyle w:val="Antrat2"/>
        <w:tabs>
          <w:tab w:val="left" w:pos="450"/>
        </w:tabs>
        <w:ind w:left="0"/>
      </w:pPr>
      <w:r>
        <w:t>3</w:t>
      </w:r>
      <w:r w:rsidR="005135D8">
        <w:t> </w:t>
      </w:r>
      <w:r w:rsidR="001175EF" w:rsidRPr="00130A96">
        <w:t>pav.</w:t>
      </w:r>
      <w:r w:rsidR="005135D8">
        <w:t>:</w:t>
      </w:r>
      <w:r w:rsidR="001175EF" w:rsidRPr="00130A96">
        <w:t xml:space="preserve"> Laikas iki pirmojo sudėtinės baigties (mirties</w:t>
      </w:r>
      <w:r w:rsidR="00945F54">
        <w:t xml:space="preserve"> </w:t>
      </w:r>
      <w:r w:rsidR="00945F54" w:rsidRPr="008903EC">
        <w:t>nuo širdies ir kraujagyslių ligų, hospitalizacijos dėl širdies nepakankamumo</w:t>
      </w:r>
      <w:r w:rsidR="001175EF" w:rsidRPr="00130A96">
        <w:t xml:space="preserve"> arba hospitalizacijos ar skubaus vizito dėl širdies nepakankamumo) atvejo</w:t>
      </w:r>
    </w:p>
    <w:p w14:paraId="00DE1D5B" w14:textId="77777777" w:rsidR="003C0ADC" w:rsidRPr="00130A96" w:rsidRDefault="003C0ADC" w:rsidP="00B75E10">
      <w:pPr>
        <w:pStyle w:val="Antrat2"/>
        <w:tabs>
          <w:tab w:val="left" w:pos="450"/>
        </w:tabs>
        <w:ind w:left="0"/>
      </w:pPr>
    </w:p>
    <w:p w14:paraId="6D869518" w14:textId="17907AF4" w:rsidR="00C0147E" w:rsidRPr="00130A96" w:rsidRDefault="00C51294" w:rsidP="00130A96">
      <w:pPr>
        <w:pStyle w:val="Pagrindinistekstas"/>
        <w:rPr>
          <w:b/>
        </w:rPr>
      </w:pPr>
      <w:r>
        <w:rPr>
          <w:noProof/>
          <w:sz w:val="24"/>
          <w:szCs w:val="24"/>
          <w:lang w:val="en-US"/>
        </w:rPr>
        <mc:AlternateContent>
          <mc:Choice Requires="wps">
            <w:drawing>
              <wp:anchor distT="0" distB="0" distL="114300" distR="114300" simplePos="0" relativeHeight="251665920" behindDoc="0" locked="0" layoutInCell="1" allowOverlap="1" wp14:anchorId="5F0C02E4" wp14:editId="6E7A0750">
                <wp:simplePos x="0" y="0"/>
                <wp:positionH relativeFrom="column">
                  <wp:posOffset>1901952</wp:posOffset>
                </wp:positionH>
                <wp:positionV relativeFrom="paragraph">
                  <wp:posOffset>3065373</wp:posOffset>
                </wp:positionV>
                <wp:extent cx="2228215" cy="219075"/>
                <wp:effectExtent l="0" t="0" r="635" b="9525"/>
                <wp:wrapNone/>
                <wp:docPr id="11347286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7BBEE" w14:textId="77777777" w:rsidR="00C51294" w:rsidRDefault="00C51294" w:rsidP="00C51294">
                            <w:pPr>
                              <w:rPr>
                                <w:b/>
                                <w:bCs/>
                                <w:sz w:val="16"/>
                                <w:szCs w:val="16"/>
                              </w:rPr>
                            </w:pPr>
                            <w:r>
                              <w:rPr>
                                <w:b/>
                                <w:bCs/>
                                <w:sz w:val="16"/>
                                <w:szCs w:val="16"/>
                              </w:rPr>
                              <w:t>Mėn. po priskyrimo atsitiktinei imčiai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C02E4" id="Text Box 16" o:spid="_x0000_s1034" type="#_x0000_t202" style="position:absolute;margin-left:149.75pt;margin-top:241.35pt;width:175.4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" stroked="f">
                <v:textbox>
                  <w:txbxContent>
                    <w:p w14:paraId="6AD7BBEE" w14:textId="77777777" w:rsidR="00C51294" w:rsidRDefault="00C51294" w:rsidP="00C51294">
                      <w:pPr>
                        <w:rPr>
                          <w:b/>
                          <w:bCs/>
                          <w:sz w:val="16"/>
                          <w:szCs w:val="16"/>
                        </w:rPr>
                      </w:pPr>
                      <w:r>
                        <w:rPr>
                          <w:b/>
                          <w:bCs/>
                          <w:sz w:val="16"/>
                          <w:szCs w:val="16"/>
                        </w:rPr>
                        <w:t>Mėn. po priskyrimo atsitiktinei imčiai</w:t>
                      </w:r>
                    </w:p>
                  </w:txbxContent>
                </v:textbox>
              </v:shape>
            </w:pict>
          </mc:Fallback>
        </mc:AlternateContent>
      </w:r>
      <w:r w:rsidR="00E47C79">
        <w:rPr>
          <w:noProof/>
          <w:sz w:val="24"/>
          <w:szCs w:val="24"/>
          <w:lang w:val="en-US"/>
        </w:rPr>
        <mc:AlternateContent>
          <mc:Choice Requires="wps">
            <w:drawing>
              <wp:anchor distT="0" distB="0" distL="114300" distR="114300" simplePos="0" relativeHeight="251663872" behindDoc="0" locked="0" layoutInCell="1" allowOverlap="1" wp14:anchorId="5BEE30AB" wp14:editId="496B1F89">
                <wp:simplePos x="0" y="0"/>
                <wp:positionH relativeFrom="column">
                  <wp:posOffset>2720975</wp:posOffset>
                </wp:positionH>
                <wp:positionV relativeFrom="paragraph">
                  <wp:posOffset>2640965</wp:posOffset>
                </wp:positionV>
                <wp:extent cx="315595" cy="186690"/>
                <wp:effectExtent l="0" t="0" r="8255" b="3810"/>
                <wp:wrapNone/>
                <wp:docPr id="16411152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E08D4" w14:textId="77777777" w:rsidR="00E47C79" w:rsidRDefault="00E47C79" w:rsidP="00E47C79">
                            <w:pPr>
                              <w:jc w:val="right"/>
                              <w:rPr>
                                <w:b/>
                                <w:bCs/>
                                <w:sz w:val="12"/>
                                <w:szCs w:val="12"/>
                              </w:rPr>
                            </w:pPr>
                            <w:r>
                              <w:rPr>
                                <w:b/>
                                <w:bCs/>
                                <w:sz w:val="12"/>
                                <w:szCs w:val="12"/>
                              </w:rPr>
                              <w:t>RS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E30AB" id="Text Box 15" o:spid="_x0000_s1035" type="#_x0000_t202" style="position:absolute;margin-left:214.25pt;margin-top:207.95pt;width:24.85pt;height:1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" stroked="f">
                <v:textbox>
                  <w:txbxContent>
                    <w:p w14:paraId="5BCE08D4" w14:textId="77777777" w:rsidR="00E47C79" w:rsidRDefault="00E47C79" w:rsidP="00E47C79">
                      <w:pPr>
                        <w:jc w:val="right"/>
                        <w:rPr>
                          <w:b/>
                          <w:bCs/>
                          <w:sz w:val="12"/>
                          <w:szCs w:val="12"/>
                        </w:rPr>
                      </w:pPr>
                      <w:r>
                        <w:rPr>
                          <w:b/>
                          <w:bCs/>
                          <w:sz w:val="12"/>
                          <w:szCs w:val="12"/>
                        </w:rPr>
                        <w:t>RS</w:t>
                      </w:r>
                    </w:p>
                  </w:txbxContent>
                </v:textbox>
              </v:shape>
            </w:pict>
          </mc:Fallback>
        </mc:AlternateContent>
      </w:r>
      <w:r w:rsidR="001175EF" w:rsidRPr="00130A96">
        <w:rPr>
          <w:b/>
          <w:noProof/>
        </w:rPr>
        <w:drawing>
          <wp:inline distT="0" distB="0" distL="0" distR="0" wp14:anchorId="6D869945" wp14:editId="49672B51">
            <wp:extent cx="4932666" cy="3631882"/>
            <wp:effectExtent l="0" t="0" r="1905" b="698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2666" cy="3631882"/>
                    </a:xfrm>
                    <a:prstGeom prst="rect">
                      <a:avLst/>
                    </a:prstGeom>
                  </pic:spPr>
                </pic:pic>
              </a:graphicData>
            </a:graphic>
          </wp:inline>
        </w:drawing>
      </w:r>
    </w:p>
    <w:p w14:paraId="055FEB81" w14:textId="77777777" w:rsidR="003C0ADC" w:rsidRDefault="003C0ADC" w:rsidP="00130A96">
      <w:pPr>
        <w:rPr>
          <w:sz w:val="18"/>
          <w:szCs w:val="18"/>
        </w:rPr>
      </w:pPr>
    </w:p>
    <w:p w14:paraId="6D869519" w14:textId="6E1060D6" w:rsidR="00C0147E" w:rsidRPr="00C51294" w:rsidRDefault="001175EF" w:rsidP="00130A96">
      <w:pPr>
        <w:rPr>
          <w:sz w:val="18"/>
          <w:szCs w:val="18"/>
        </w:rPr>
      </w:pPr>
      <w:r w:rsidRPr="00C51294">
        <w:rPr>
          <w:sz w:val="18"/>
          <w:szCs w:val="18"/>
        </w:rPr>
        <w:t>Skubus vizitas dėl širdies nepakankamumo apibrėžtas kaip skubus neplanuotas gydytojo atliktas ištyrimas, pvz., skubiosios pagalbos</w:t>
      </w:r>
      <w:r w:rsidR="00C51294">
        <w:rPr>
          <w:sz w:val="18"/>
          <w:szCs w:val="18"/>
        </w:rPr>
        <w:t xml:space="preserve"> </w:t>
      </w:r>
      <w:r w:rsidR="00873FCC" w:rsidRPr="00C51294">
        <w:rPr>
          <w:sz w:val="18"/>
          <w:szCs w:val="18"/>
        </w:rPr>
        <w:t>skyriuje</w:t>
      </w:r>
      <w:r w:rsidRPr="00C51294">
        <w:rPr>
          <w:sz w:val="18"/>
          <w:szCs w:val="18"/>
        </w:rPr>
        <w:t>, kai teko skirti gydymą dėl pasunkėjusio širdies nepakankamumo, išskyrus geriamųjų diuretikų dozės padidinimą.</w:t>
      </w:r>
    </w:p>
    <w:p w14:paraId="6D86951A" w14:textId="1BE2816E" w:rsidR="00C0147E" w:rsidRPr="00C51294" w:rsidRDefault="001175EF" w:rsidP="00130A96">
      <w:pPr>
        <w:rPr>
          <w:sz w:val="18"/>
          <w:szCs w:val="18"/>
        </w:rPr>
      </w:pPr>
      <w:r w:rsidRPr="00C51294">
        <w:rPr>
          <w:sz w:val="18"/>
          <w:szCs w:val="18"/>
        </w:rPr>
        <w:t>Pacientų su rizika skaičius nurodytas laikotarpio pradžioje.</w:t>
      </w:r>
    </w:p>
    <w:p w14:paraId="6D86951B" w14:textId="77777777" w:rsidR="00C0147E" w:rsidRPr="00130A96" w:rsidRDefault="00C0147E" w:rsidP="00130A96">
      <w:pPr>
        <w:pStyle w:val="Pagrindinistekstas"/>
      </w:pPr>
    </w:p>
    <w:p w14:paraId="6D86951C" w14:textId="25BB6740" w:rsidR="00C0147E" w:rsidRPr="00130A96" w:rsidRDefault="00FA4584" w:rsidP="00130A96">
      <w:pPr>
        <w:pStyle w:val="Pagrindinistekstas"/>
      </w:pPr>
      <w:r>
        <w:t>Visi trys pagrindinės sudėtinės vertinamosios baigties komponentai atskirai prisidėjo prie gydymo poveikio</w:t>
      </w:r>
      <w:r w:rsidR="001175EF" w:rsidRPr="00130A96">
        <w:t xml:space="preserve"> (4</w:t>
      </w:r>
      <w:r w:rsidR="003E4F35">
        <w:t> </w:t>
      </w:r>
      <w:r w:rsidR="001175EF" w:rsidRPr="00130A96">
        <w:t>pav.). Skubių vizitų dėl širdies nepakankamumo buvo nedaug.</w:t>
      </w:r>
    </w:p>
    <w:p w14:paraId="4C82457E" w14:textId="06521F89" w:rsidR="00C0147E" w:rsidRPr="007E7DFC" w:rsidRDefault="00C0147E" w:rsidP="00130A96">
      <w:pPr>
        <w:pStyle w:val="Pagrindinistekstas"/>
        <w:rPr>
          <w:b/>
        </w:rPr>
      </w:pPr>
    </w:p>
    <w:p w14:paraId="6D86951E" w14:textId="2B897142" w:rsidR="00C0147E" w:rsidRPr="00964890" w:rsidRDefault="00B75E10" w:rsidP="007E7DFC">
      <w:pPr>
        <w:keepNext/>
        <w:keepLines/>
      </w:pPr>
      <w:r w:rsidRPr="007E7DFC">
        <w:rPr>
          <w:b/>
        </w:rPr>
        <w:t xml:space="preserve">4 </w:t>
      </w:r>
      <w:r w:rsidR="001175EF" w:rsidRPr="007E7DFC">
        <w:rPr>
          <w:b/>
        </w:rPr>
        <w:t xml:space="preserve">pav. </w:t>
      </w:r>
      <w:r w:rsidR="00AE593B" w:rsidRPr="008903EC">
        <w:rPr>
          <w:b/>
        </w:rPr>
        <w:t>Poveikis pagrindinei sudėtinei vertinamajai baigčiai, jos komponentams ir mirštamumui nuo bet kokios priežasties</w:t>
      </w:r>
    </w:p>
    <w:p w14:paraId="6D86951F" w14:textId="77777777" w:rsidR="00C0147E" w:rsidRPr="00130A96" w:rsidRDefault="001175EF" w:rsidP="00130A96">
      <w:pPr>
        <w:pStyle w:val="Pagrindinistekstas"/>
        <w:rPr>
          <w:b/>
        </w:rPr>
      </w:pPr>
      <w:r w:rsidRPr="00130A96">
        <w:rPr>
          <w:b/>
          <w:noProof/>
        </w:rPr>
        <w:drawing>
          <wp:inline distT="0" distB="0" distL="0" distR="0" wp14:anchorId="6D869947" wp14:editId="69D91E2A">
            <wp:extent cx="5261580" cy="3901344"/>
            <wp:effectExtent l="0" t="0" r="0" b="444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61580" cy="3901344"/>
                    </a:xfrm>
                    <a:prstGeom prst="rect">
                      <a:avLst/>
                    </a:prstGeom>
                  </pic:spPr>
                </pic:pic>
              </a:graphicData>
            </a:graphic>
          </wp:inline>
        </w:drawing>
      </w:r>
    </w:p>
    <w:p w14:paraId="4983ABD2" w14:textId="77777777" w:rsidR="003C0ADC" w:rsidRDefault="003C0ADC" w:rsidP="00130A96">
      <w:pPr>
        <w:rPr>
          <w:sz w:val="18"/>
          <w:szCs w:val="18"/>
        </w:rPr>
      </w:pPr>
    </w:p>
    <w:p w14:paraId="6D869520" w14:textId="72A1F011" w:rsidR="00C0147E" w:rsidRPr="005234ED" w:rsidRDefault="001175EF" w:rsidP="00130A96">
      <w:pPr>
        <w:rPr>
          <w:sz w:val="18"/>
          <w:szCs w:val="18"/>
        </w:rPr>
      </w:pPr>
      <w:r w:rsidRPr="005234ED">
        <w:rPr>
          <w:sz w:val="18"/>
          <w:szCs w:val="18"/>
        </w:rPr>
        <w:t>Skubus vizitas dėl širdies nepakankamumo apibrėžtas kaip skubus neplanuotas gydytojo atliktas ištyrimas, pvz., skubiosios pagalbos</w:t>
      </w:r>
      <w:r w:rsidR="005234ED">
        <w:rPr>
          <w:sz w:val="18"/>
          <w:szCs w:val="18"/>
        </w:rPr>
        <w:t xml:space="preserve"> </w:t>
      </w:r>
      <w:r w:rsidR="00873FCC" w:rsidRPr="005234ED">
        <w:rPr>
          <w:sz w:val="18"/>
          <w:szCs w:val="18"/>
        </w:rPr>
        <w:t>skyriuje</w:t>
      </w:r>
      <w:r w:rsidRPr="005234ED">
        <w:rPr>
          <w:sz w:val="18"/>
          <w:szCs w:val="18"/>
        </w:rPr>
        <w:t>, kai teko skirti gydymą dėl pasunkėjusio širdies nepakankamumo, išskyrus geriamųjų diuretikų dozės padidinimą.</w:t>
      </w:r>
    </w:p>
    <w:p w14:paraId="6D869521" w14:textId="0E66FD23" w:rsidR="00C0147E" w:rsidRPr="005234ED" w:rsidRDefault="001175EF" w:rsidP="00130A96">
      <w:pPr>
        <w:rPr>
          <w:sz w:val="18"/>
          <w:szCs w:val="18"/>
        </w:rPr>
      </w:pPr>
      <w:r w:rsidRPr="005234ED">
        <w:rPr>
          <w:sz w:val="18"/>
          <w:szCs w:val="18"/>
        </w:rPr>
        <w:t xml:space="preserve">Atskirų komponentų pirmųjų </w:t>
      </w:r>
      <w:r w:rsidR="00223E17">
        <w:rPr>
          <w:sz w:val="18"/>
          <w:szCs w:val="18"/>
        </w:rPr>
        <w:t>reiškinių</w:t>
      </w:r>
      <w:r w:rsidRPr="005234ED">
        <w:rPr>
          <w:sz w:val="18"/>
          <w:szCs w:val="18"/>
        </w:rPr>
        <w:t xml:space="preserve"> skaičius yra tikrasis kiekvieno komponento pirmųjų </w:t>
      </w:r>
      <w:r w:rsidR="00223E17">
        <w:rPr>
          <w:sz w:val="18"/>
          <w:szCs w:val="18"/>
        </w:rPr>
        <w:t>reiškinių</w:t>
      </w:r>
      <w:r w:rsidRPr="005234ED">
        <w:rPr>
          <w:sz w:val="18"/>
          <w:szCs w:val="18"/>
        </w:rPr>
        <w:t xml:space="preserve"> skaičius. Jų suma neatitinka sudėtinės baigties </w:t>
      </w:r>
      <w:r w:rsidR="00223E17">
        <w:rPr>
          <w:sz w:val="18"/>
          <w:szCs w:val="18"/>
        </w:rPr>
        <w:t>reiškinių</w:t>
      </w:r>
      <w:r w:rsidRPr="005234ED">
        <w:rPr>
          <w:sz w:val="18"/>
          <w:szCs w:val="18"/>
        </w:rPr>
        <w:t xml:space="preserve"> skaičiaus.</w:t>
      </w:r>
    </w:p>
    <w:p w14:paraId="6D869522" w14:textId="77777777" w:rsidR="00C0147E" w:rsidRPr="005234ED" w:rsidRDefault="001175EF" w:rsidP="00130A96">
      <w:pPr>
        <w:rPr>
          <w:sz w:val="18"/>
          <w:szCs w:val="18"/>
        </w:rPr>
      </w:pPr>
      <w:r w:rsidRPr="005234ED">
        <w:rPr>
          <w:sz w:val="18"/>
          <w:szCs w:val="18"/>
        </w:rPr>
        <w:t>Komplikacijos dažnis atitinka ją patyrusių tiriamųjų skaičių per 100 paciento stebėjimo metų. Atskirų komponentų ir bendrojo mirštamumo p reikšmės yra nominalios.</w:t>
      </w:r>
    </w:p>
    <w:p w14:paraId="6D869523" w14:textId="77777777" w:rsidR="00C0147E" w:rsidRPr="00130A96" w:rsidRDefault="00C0147E" w:rsidP="00130A96">
      <w:pPr>
        <w:pStyle w:val="Pagrindinistekstas"/>
      </w:pPr>
    </w:p>
    <w:p w14:paraId="6D869524" w14:textId="01854203" w:rsidR="00C0147E" w:rsidRDefault="001175EF" w:rsidP="00130A96">
      <w:pPr>
        <w:pStyle w:val="Pagrindinistekstas"/>
      </w:pPr>
      <w:r w:rsidRPr="00130A96">
        <w:t xml:space="preserve">Be to, dapagliflozinas sumažino bendrą pirmų ir pakartotinių hospitalizacijų dėl širdies nepakankamumo atvejų bei mirčių </w:t>
      </w:r>
      <w:r w:rsidR="003B3EF6">
        <w:t>nuo širdies ir kraujagyslių ligų</w:t>
      </w:r>
      <w:r w:rsidR="003B3EF6" w:rsidRPr="007C5D78" w:rsidDel="00B35CC3">
        <w:t xml:space="preserve"> </w:t>
      </w:r>
      <w:r w:rsidRPr="00130A96">
        <w:t xml:space="preserve">skaičių: užfiksuoti 567 </w:t>
      </w:r>
      <w:r w:rsidR="00A64053">
        <w:t>reiškiniai</w:t>
      </w:r>
      <w:r w:rsidRPr="00130A96">
        <w:t xml:space="preserve"> dapagliflozino ir 742 – placebo grupės pacientams (dažnio santykis – 0,75</w:t>
      </w:r>
      <w:r w:rsidR="007C7A4A">
        <w:t xml:space="preserve"> [</w:t>
      </w:r>
      <w:r w:rsidRPr="00130A96">
        <w:t>95</w:t>
      </w:r>
      <w:r w:rsidR="00873FCC">
        <w:t> %</w:t>
      </w:r>
      <w:r w:rsidRPr="00130A96">
        <w:t xml:space="preserve"> PI – nuo 0,65 iki 0,88</w:t>
      </w:r>
      <w:r w:rsidR="007C7A4A">
        <w:t>];</w:t>
      </w:r>
      <w:r w:rsidRPr="00130A96">
        <w:t xml:space="preserve"> p</w:t>
      </w:r>
      <w:r w:rsidR="00873FCC">
        <w:t> = </w:t>
      </w:r>
      <w:r w:rsidRPr="00130A96">
        <w:t>0,0002).</w:t>
      </w:r>
    </w:p>
    <w:p w14:paraId="28E623E3" w14:textId="77777777" w:rsidR="00B75E10" w:rsidRPr="00130A96" w:rsidRDefault="00B75E10" w:rsidP="00130A96">
      <w:pPr>
        <w:pStyle w:val="Pagrindinistekstas"/>
      </w:pPr>
    </w:p>
    <w:p w14:paraId="6D869525" w14:textId="70423146" w:rsidR="00C0147E" w:rsidRPr="00130A96" w:rsidRDefault="001175EF" w:rsidP="00130A96">
      <w:pPr>
        <w:pStyle w:val="Pagrindinistekstas"/>
      </w:pPr>
      <w:r w:rsidRPr="00130A96">
        <w:t>Dapagliflozino palankus poveikis širdies nepakankamumui pasireiškė tiek sergant 2</w:t>
      </w:r>
      <w:r w:rsidR="00873FCC">
        <w:t> tipo</w:t>
      </w:r>
      <w:r w:rsidRPr="00130A96">
        <w:t xml:space="preserve"> cukriniu diabetu, tiek nesergant cukriniu diabetu. Dapagliflozinas sumažino pagrindinės sudėtinės vertinamosios baigties (mirčių</w:t>
      </w:r>
      <w:r w:rsidR="00440B4C">
        <w:t xml:space="preserve"> nuo širdies ir kraujagyslių ligų</w:t>
      </w:r>
      <w:r w:rsidRPr="00130A96">
        <w:t xml:space="preserve"> ir širdies nepakankamumo pasunkėjimo) atvejų riziką tiek cukriniu diabetu sirgusiems (RS</w:t>
      </w:r>
      <w:r w:rsidR="00873FCC">
        <w:t> = </w:t>
      </w:r>
      <w:r w:rsidRPr="00130A96">
        <w:t>0,75, 95</w:t>
      </w:r>
      <w:r w:rsidR="00873FCC">
        <w:t> %</w:t>
      </w:r>
      <w:r w:rsidRPr="00130A96">
        <w:t xml:space="preserve"> PI – nuo 0,63 iki 0,90), tiek juo nesirgusiems (0,73, 95</w:t>
      </w:r>
      <w:r w:rsidR="00873FCC">
        <w:t> %</w:t>
      </w:r>
      <w:r w:rsidRPr="00130A96">
        <w:t xml:space="preserve"> PI – nuo 0,60 iki 0,88) pacientams.</w:t>
      </w:r>
    </w:p>
    <w:p w14:paraId="6D869526" w14:textId="77777777" w:rsidR="00C0147E" w:rsidRPr="00130A96" w:rsidRDefault="00C0147E" w:rsidP="00130A96">
      <w:pPr>
        <w:pStyle w:val="Pagrindinistekstas"/>
      </w:pPr>
    </w:p>
    <w:p w14:paraId="6D869527" w14:textId="77777777" w:rsidR="00C0147E" w:rsidRDefault="001175EF" w:rsidP="00130A96">
      <w:pPr>
        <w:pStyle w:val="Pagrindinistekstas"/>
      </w:pPr>
      <w:r w:rsidRPr="00130A96">
        <w:t>Dapagliflozino, palyginus su placebu, palankus poveikis pagrindinei vertinamajai baigčiai užfiksuotas ir kituose pagrindiniuose pogrupiuose, sudarytuose pagal kartu taikytą širdies nepakankamumo gydymą, inkstų funkciją (</w:t>
      </w:r>
      <w:proofErr w:type="spellStart"/>
      <w:r w:rsidRPr="00130A96">
        <w:t>aGFG</w:t>
      </w:r>
      <w:proofErr w:type="spellEnd"/>
      <w:r w:rsidRPr="00130A96">
        <w:t>), amžių, lytį ir regioną.</w:t>
      </w:r>
    </w:p>
    <w:p w14:paraId="0B96662E" w14:textId="77777777" w:rsidR="009611D2" w:rsidRPr="00130A96" w:rsidRDefault="009611D2" w:rsidP="00130A96">
      <w:pPr>
        <w:pStyle w:val="Pagrindinistekstas"/>
      </w:pPr>
    </w:p>
    <w:p w14:paraId="6D869528" w14:textId="77777777" w:rsidR="00C0147E" w:rsidRPr="00130A96" w:rsidRDefault="001175EF" w:rsidP="00130A96">
      <w:pPr>
        <w:rPr>
          <w:i/>
        </w:rPr>
      </w:pPr>
      <w:r w:rsidRPr="00130A96">
        <w:rPr>
          <w:i/>
        </w:rPr>
        <w:t>Pacientų fiksuota baigtis – širdies nepakankamumo simptomai</w:t>
      </w:r>
    </w:p>
    <w:p w14:paraId="6D869529" w14:textId="36692F83" w:rsidR="00C0147E" w:rsidRPr="00130A96" w:rsidRDefault="001175EF" w:rsidP="00130A96">
      <w:pPr>
        <w:pStyle w:val="Pagrindinistekstas"/>
      </w:pPr>
      <w:r w:rsidRPr="00130A96">
        <w:t xml:space="preserve">Dapagliflozino gydomasis poveikis širdies nepakankamumo simptomams vertintas pagal Kanzaso kardiomiopatijos klausimyno bendrąjį simptomų rodiklį (angl. </w:t>
      </w:r>
      <w:proofErr w:type="spellStart"/>
      <w:r w:rsidRPr="00130A96">
        <w:rPr>
          <w:i/>
        </w:rPr>
        <w:t>Questionnaire</w:t>
      </w:r>
      <w:proofErr w:type="spellEnd"/>
      <w:r w:rsidRPr="00130A96">
        <w:rPr>
          <w:i/>
        </w:rPr>
        <w:t xml:space="preserve"> </w:t>
      </w:r>
      <w:proofErr w:type="spellStart"/>
      <w:r w:rsidRPr="00130A96">
        <w:rPr>
          <w:i/>
        </w:rPr>
        <w:t>Total</w:t>
      </w:r>
      <w:proofErr w:type="spellEnd"/>
      <w:r w:rsidRPr="00130A96">
        <w:rPr>
          <w:i/>
        </w:rPr>
        <w:t xml:space="preserve"> </w:t>
      </w:r>
      <w:proofErr w:type="spellStart"/>
      <w:r w:rsidRPr="00130A96">
        <w:rPr>
          <w:i/>
        </w:rPr>
        <w:t>Symptom</w:t>
      </w:r>
      <w:proofErr w:type="spellEnd"/>
      <w:r w:rsidRPr="00130A96">
        <w:rPr>
          <w:i/>
        </w:rPr>
        <w:t xml:space="preserve"> </w:t>
      </w:r>
      <w:proofErr w:type="spellStart"/>
      <w:r w:rsidRPr="00130A96">
        <w:rPr>
          <w:i/>
        </w:rPr>
        <w:t>Score</w:t>
      </w:r>
      <w:proofErr w:type="spellEnd"/>
      <w:r w:rsidRPr="00130A96">
        <w:rPr>
          <w:i/>
        </w:rPr>
        <w:t xml:space="preserve"> </w:t>
      </w:r>
      <w:proofErr w:type="spellStart"/>
      <w:r w:rsidRPr="00130A96">
        <w:rPr>
          <w:i/>
        </w:rPr>
        <w:t>of</w:t>
      </w:r>
      <w:proofErr w:type="spellEnd"/>
      <w:r w:rsidRPr="00130A96">
        <w:rPr>
          <w:i/>
        </w:rPr>
        <w:t xml:space="preserve"> </w:t>
      </w:r>
      <w:proofErr w:type="spellStart"/>
      <w:r w:rsidRPr="00130A96">
        <w:rPr>
          <w:i/>
        </w:rPr>
        <w:t>the</w:t>
      </w:r>
      <w:proofErr w:type="spellEnd"/>
      <w:r w:rsidRPr="00130A96">
        <w:rPr>
          <w:i/>
        </w:rPr>
        <w:t xml:space="preserve"> </w:t>
      </w:r>
      <w:proofErr w:type="spellStart"/>
      <w:r w:rsidRPr="00130A96">
        <w:rPr>
          <w:i/>
        </w:rPr>
        <w:t>Kansas</w:t>
      </w:r>
      <w:proofErr w:type="spellEnd"/>
      <w:r w:rsidRPr="00130A96">
        <w:rPr>
          <w:i/>
        </w:rPr>
        <w:t xml:space="preserve"> </w:t>
      </w:r>
      <w:proofErr w:type="spellStart"/>
      <w:r w:rsidRPr="00130A96">
        <w:rPr>
          <w:i/>
        </w:rPr>
        <w:t>City</w:t>
      </w:r>
      <w:proofErr w:type="spellEnd"/>
      <w:r w:rsidRPr="00130A96">
        <w:rPr>
          <w:i/>
        </w:rPr>
        <w:t xml:space="preserve"> </w:t>
      </w:r>
      <w:proofErr w:type="spellStart"/>
      <w:r w:rsidRPr="00130A96">
        <w:rPr>
          <w:i/>
        </w:rPr>
        <w:t>Cardiomyopathy</w:t>
      </w:r>
      <w:proofErr w:type="spellEnd"/>
      <w:r w:rsidRPr="00130A96">
        <w:rPr>
          <w:i/>
        </w:rPr>
        <w:t xml:space="preserve"> </w:t>
      </w:r>
      <w:proofErr w:type="spellStart"/>
      <w:r w:rsidRPr="00130A96">
        <w:rPr>
          <w:i/>
        </w:rPr>
        <w:t>Questionnaire</w:t>
      </w:r>
      <w:proofErr w:type="spellEnd"/>
      <w:r w:rsidRPr="00130A96">
        <w:rPr>
          <w:i/>
        </w:rPr>
        <w:t>, KCCQ-TSS</w:t>
      </w:r>
      <w:r w:rsidRPr="00130A96">
        <w:t xml:space="preserve">), į kurį įtrauktas širdies nepakankamumo </w:t>
      </w:r>
      <w:r w:rsidRPr="00130A96">
        <w:lastRenderedPageBreak/>
        <w:t xml:space="preserve">simptomų (nuovargio, periferinės edemos, dusulio ir </w:t>
      </w:r>
      <w:proofErr w:type="spellStart"/>
      <w:r w:rsidRPr="00130A96">
        <w:t>ortopnėjos</w:t>
      </w:r>
      <w:proofErr w:type="spellEnd"/>
      <w:r w:rsidRPr="00130A96">
        <w:t xml:space="preserve">) pasireiškimo dažnis ir sunkumas. Šio rodiklio </w:t>
      </w:r>
      <w:r w:rsidR="004949F9">
        <w:t>intervalas</w:t>
      </w:r>
      <w:r w:rsidR="004949F9" w:rsidRPr="00130A96">
        <w:t xml:space="preserve"> </w:t>
      </w:r>
      <w:r w:rsidRPr="00130A96">
        <w:t>yra nuo 0 iki 100, didesnis rodiklis rodo geresnę sveikatos būklę.</w:t>
      </w:r>
    </w:p>
    <w:p w14:paraId="172EC537" w14:textId="77777777" w:rsidR="00C0147E" w:rsidRDefault="00C0147E" w:rsidP="00130A96">
      <w:pPr>
        <w:pStyle w:val="Pagrindinistekstas"/>
      </w:pPr>
    </w:p>
    <w:p w14:paraId="6D86952B" w14:textId="3CCE220E" w:rsidR="00C0147E" w:rsidRPr="00130A96" w:rsidRDefault="001175EF" w:rsidP="00130A96">
      <w:pPr>
        <w:pStyle w:val="Pagrindinistekstas"/>
      </w:pPr>
      <w:r w:rsidRPr="00130A96">
        <w:t>Dapagliflozin</w:t>
      </w:r>
      <w:r w:rsidR="00F73989">
        <w:t>o</w:t>
      </w:r>
      <w:r w:rsidRPr="00130A96">
        <w:t xml:space="preserve"> vartojusiems pacientams (palyginus su vartojusiais placeb</w:t>
      </w:r>
      <w:r w:rsidR="00F73989">
        <w:t>o</w:t>
      </w:r>
      <w:r w:rsidRPr="00130A96">
        <w:t xml:space="preserve">) nustatytas statistiškai reikšmingas ir kliniškai svarbus palankus poveikis širdies nepakankamumo simptomų </w:t>
      </w:r>
      <w:r w:rsidRPr="00F73989">
        <w:rPr>
          <w:i/>
          <w:iCs/>
        </w:rPr>
        <w:t>KCCQ-TSS</w:t>
      </w:r>
      <w:r w:rsidRPr="00130A96">
        <w:t xml:space="preserve"> rodiklio pokyčiui juos įvertinus </w:t>
      </w:r>
      <w:r w:rsidR="00305A40">
        <w:t>tyrimo pradžioje</w:t>
      </w:r>
      <w:r w:rsidRPr="00130A96">
        <w:t xml:space="preserve"> ir po 8</w:t>
      </w:r>
      <w:r w:rsidR="00305A40">
        <w:t> </w:t>
      </w:r>
      <w:r w:rsidRPr="00130A96">
        <w:t>mėn. (naudos tikimybių santykis – 1,18</w:t>
      </w:r>
      <w:r w:rsidR="00305A40">
        <w:t xml:space="preserve"> [</w:t>
      </w:r>
      <w:r w:rsidRPr="00130A96">
        <w:t>95</w:t>
      </w:r>
      <w:r w:rsidR="00873FCC">
        <w:t> %</w:t>
      </w:r>
      <w:r w:rsidRPr="00130A96">
        <w:t xml:space="preserve"> PI – nuo 1,11 iki 1,26</w:t>
      </w:r>
      <w:r w:rsidR="00305A40">
        <w:t>];</w:t>
      </w:r>
      <w:r w:rsidRPr="00130A96">
        <w:t xml:space="preserve"> p </w:t>
      </w:r>
      <w:r w:rsidR="00873FCC">
        <w:t>&lt; </w:t>
      </w:r>
      <w:r w:rsidRPr="00130A96">
        <w:t>0,0001). Įtakos gautiems rezultatams turėjo retesnis simptomų pasireiškimas ir mažesn</w:t>
      </w:r>
      <w:r w:rsidR="00394F10">
        <w:t>is jų sunkumas</w:t>
      </w:r>
      <w:r w:rsidRPr="00130A96">
        <w:t>. Nustatytas palankus poveikis pagal širdies nepakankamumo simptomų palengvėjimą ir jų pasunkėjimo išvengimą.</w:t>
      </w:r>
    </w:p>
    <w:p w14:paraId="6D86952C" w14:textId="77777777" w:rsidR="00C0147E" w:rsidRPr="00130A96" w:rsidRDefault="00C0147E" w:rsidP="00130A96">
      <w:pPr>
        <w:pStyle w:val="Pagrindinistekstas"/>
      </w:pPr>
    </w:p>
    <w:p w14:paraId="6D86952E" w14:textId="777B8183" w:rsidR="00C0147E" w:rsidRDefault="001175EF" w:rsidP="00130A96">
      <w:pPr>
        <w:pStyle w:val="Pagrindinistekstas"/>
      </w:pPr>
      <w:r w:rsidRPr="00130A96">
        <w:t>Respondentų duomenų analizė parodė, kad dalis pacientų, kuriems po 8</w:t>
      </w:r>
      <w:r w:rsidR="00394F10">
        <w:t> </w:t>
      </w:r>
      <w:r w:rsidRPr="00130A96">
        <w:t>mėn. nustatytas kliniškai reikšmingai (</w:t>
      </w:r>
      <w:r w:rsidR="00873FCC">
        <w:t>≥ </w:t>
      </w:r>
      <w:r w:rsidRPr="00130A96">
        <w:t xml:space="preserve">5 taškais) pagerėjęs </w:t>
      </w:r>
      <w:r w:rsidRPr="00394F10">
        <w:rPr>
          <w:i/>
          <w:iCs/>
        </w:rPr>
        <w:t>KCCQ-TSS</w:t>
      </w:r>
      <w:r w:rsidRPr="00130A96">
        <w:t xml:space="preserve"> rodiklis, palyginus su pradiniu</w:t>
      </w:r>
      <w:r w:rsidR="006017B3">
        <w:t xml:space="preserve"> rodmeniu</w:t>
      </w:r>
      <w:r w:rsidRPr="00130A96">
        <w:t>, dapagliflozino grupėje buvo didesnė negu placebo. Dalis pacientų, kuriems nustatytas kliniškai reikšmingai</w:t>
      </w:r>
      <w:r w:rsidR="009611D2">
        <w:t xml:space="preserve"> </w:t>
      </w:r>
      <w:r w:rsidRPr="00130A96">
        <w:t>(</w:t>
      </w:r>
      <w:r w:rsidR="00873FCC">
        <w:t>≥ </w:t>
      </w:r>
      <w:r w:rsidRPr="00130A96">
        <w:t>5 taškais) pablogėjęs rodiklis, dapagliflozino grupėje buvo mažesnė negu placebo. Dapagliflozino nauda išliko ir taikant konservatyvesnes ribas didesniems kliniškai reikšmingiems pokyčiams (10</w:t>
      </w:r>
      <w:r w:rsidR="001463FB">
        <w:t> </w:t>
      </w:r>
      <w:r w:rsidRPr="00130A96">
        <w:t>lentelė).</w:t>
      </w:r>
    </w:p>
    <w:p w14:paraId="4A331AD6" w14:textId="77777777" w:rsidR="009611D2" w:rsidRPr="00130A96" w:rsidRDefault="009611D2" w:rsidP="00130A96">
      <w:pPr>
        <w:pStyle w:val="Pagrindinistekstas"/>
      </w:pPr>
    </w:p>
    <w:p w14:paraId="6D86952F" w14:textId="6B15A2D3" w:rsidR="00C0147E" w:rsidRPr="00130A96" w:rsidRDefault="001175EF" w:rsidP="00130A96">
      <w:pPr>
        <w:pStyle w:val="Antrat2"/>
        <w:ind w:left="0"/>
      </w:pPr>
      <w:r w:rsidRPr="00130A96">
        <w:t>10</w:t>
      </w:r>
      <w:r w:rsidR="001463FB">
        <w:t> </w:t>
      </w:r>
      <w:r w:rsidRPr="00130A96">
        <w:t xml:space="preserve">lentelė. Pacientų, </w:t>
      </w:r>
      <w:r w:rsidR="00FA12C3">
        <w:t>kurių</w:t>
      </w:r>
      <w:r w:rsidRPr="00130A96">
        <w:t xml:space="preserve"> </w:t>
      </w:r>
      <w:r w:rsidRPr="001463FB">
        <w:rPr>
          <w:i/>
          <w:iCs/>
        </w:rPr>
        <w:t>KCCQ-</w:t>
      </w:r>
      <w:r w:rsidR="00E364C7" w:rsidRPr="00E364C7">
        <w:t xml:space="preserve"> </w:t>
      </w:r>
      <w:r w:rsidR="00E364C7" w:rsidRPr="008903EC">
        <w:t>balas po 8 mėnesių kliniškai reikšmingai pagerėjo arba pablogėjo, skaičius ir procentinė dalis</w:t>
      </w:r>
    </w:p>
    <w:tbl>
      <w:tblPr>
        <w:tblW w:w="9205" w:type="dxa"/>
        <w:tblLayout w:type="fixed"/>
        <w:tblCellMar>
          <w:left w:w="0" w:type="dxa"/>
          <w:right w:w="0" w:type="dxa"/>
        </w:tblCellMar>
        <w:tblLook w:val="01E0" w:firstRow="1" w:lastRow="1" w:firstColumn="1" w:lastColumn="1" w:noHBand="0" w:noVBand="0"/>
      </w:tblPr>
      <w:tblGrid>
        <w:gridCol w:w="2982"/>
        <w:gridCol w:w="2104"/>
        <w:gridCol w:w="1492"/>
        <w:gridCol w:w="1316"/>
        <w:gridCol w:w="1311"/>
      </w:tblGrid>
      <w:tr w:rsidR="00C0147E" w:rsidRPr="00130A96" w14:paraId="6D869537" w14:textId="77777777" w:rsidTr="00432A1E">
        <w:trPr>
          <w:trHeight w:val="1131"/>
        </w:trPr>
        <w:tc>
          <w:tcPr>
            <w:tcW w:w="2982" w:type="dxa"/>
            <w:tcBorders>
              <w:top w:val="single" w:sz="12" w:space="0" w:color="000000"/>
              <w:bottom w:val="single" w:sz="8" w:space="0" w:color="000000"/>
            </w:tcBorders>
          </w:tcPr>
          <w:p w14:paraId="6D869530" w14:textId="77777777" w:rsidR="00C0147E" w:rsidRPr="00130A96" w:rsidRDefault="00C0147E" w:rsidP="009611D2">
            <w:pPr>
              <w:pStyle w:val="TableParagraph"/>
              <w:rPr>
                <w:b/>
              </w:rPr>
            </w:pPr>
          </w:p>
          <w:p w14:paraId="6D869531" w14:textId="5E898D9D" w:rsidR="00C0147E" w:rsidRPr="00130A96" w:rsidRDefault="001175EF" w:rsidP="009611D2">
            <w:pPr>
              <w:pStyle w:val="TableParagraph"/>
              <w:rPr>
                <w:b/>
              </w:rPr>
            </w:pPr>
            <w:r w:rsidRPr="00130A96">
              <w:rPr>
                <w:b/>
              </w:rPr>
              <w:t>Pokytis po 8</w:t>
            </w:r>
            <w:r w:rsidR="001463FB">
              <w:rPr>
                <w:b/>
              </w:rPr>
              <w:t> </w:t>
            </w:r>
            <w:r w:rsidRPr="00130A96">
              <w:rPr>
                <w:b/>
              </w:rPr>
              <w:t>mėn., palyginus su pradiniu</w:t>
            </w:r>
            <w:r w:rsidR="00CB651E">
              <w:rPr>
                <w:b/>
              </w:rPr>
              <w:t xml:space="preserve"> rodmeniu</w:t>
            </w:r>
          </w:p>
        </w:tc>
        <w:tc>
          <w:tcPr>
            <w:tcW w:w="2104" w:type="dxa"/>
            <w:tcBorders>
              <w:top w:val="single" w:sz="12" w:space="0" w:color="000000"/>
              <w:bottom w:val="single" w:sz="8" w:space="0" w:color="000000"/>
            </w:tcBorders>
          </w:tcPr>
          <w:p w14:paraId="420454D8" w14:textId="77777777" w:rsidR="009611D2" w:rsidRDefault="001175EF" w:rsidP="009611D2">
            <w:pPr>
              <w:pStyle w:val="TableParagraph"/>
              <w:jc w:val="center"/>
              <w:rPr>
                <w:b/>
              </w:rPr>
            </w:pPr>
            <w:r w:rsidRPr="00130A96">
              <w:rPr>
                <w:b/>
              </w:rPr>
              <w:t>Dapagliflozinas</w:t>
            </w:r>
          </w:p>
          <w:p w14:paraId="6D869532" w14:textId="033179BE" w:rsidR="00C0147E" w:rsidRPr="00130A96" w:rsidRDefault="001175EF" w:rsidP="009611D2">
            <w:pPr>
              <w:pStyle w:val="TableParagraph"/>
              <w:jc w:val="center"/>
              <w:rPr>
                <w:b/>
              </w:rPr>
            </w:pPr>
            <w:r w:rsidRPr="00130A96">
              <w:rPr>
                <w:b/>
              </w:rPr>
              <w:t>10</w:t>
            </w:r>
            <w:r w:rsidR="00873FCC">
              <w:rPr>
                <w:b/>
              </w:rPr>
              <w:t> mg</w:t>
            </w:r>
          </w:p>
          <w:p w14:paraId="6D869533" w14:textId="1D5CFF2F" w:rsidR="00C0147E" w:rsidRPr="00130A96" w:rsidRDefault="001175EF" w:rsidP="009611D2">
            <w:pPr>
              <w:pStyle w:val="TableParagraph"/>
              <w:jc w:val="center"/>
              <w:rPr>
                <w:b/>
              </w:rPr>
            </w:pPr>
            <w:r w:rsidRPr="00130A96">
              <w:rPr>
                <w:b/>
              </w:rPr>
              <w:t>n</w:t>
            </w:r>
            <w:r w:rsidRPr="00130A96">
              <w:rPr>
                <w:b/>
                <w:vertAlign w:val="superscript"/>
              </w:rPr>
              <w:t>a</w:t>
            </w:r>
            <w:r w:rsidR="00873FCC">
              <w:rPr>
                <w:b/>
              </w:rPr>
              <w:t> = </w:t>
            </w:r>
            <w:r w:rsidRPr="00130A96">
              <w:rPr>
                <w:b/>
              </w:rPr>
              <w:t>2</w:t>
            </w:r>
            <w:r w:rsidR="001463FB">
              <w:rPr>
                <w:b/>
              </w:rPr>
              <w:t> </w:t>
            </w:r>
            <w:r w:rsidRPr="00130A96">
              <w:rPr>
                <w:b/>
              </w:rPr>
              <w:t>086</w:t>
            </w:r>
          </w:p>
        </w:tc>
        <w:tc>
          <w:tcPr>
            <w:tcW w:w="1492" w:type="dxa"/>
            <w:tcBorders>
              <w:top w:val="single" w:sz="12" w:space="0" w:color="000000"/>
              <w:bottom w:val="single" w:sz="8" w:space="0" w:color="000000"/>
            </w:tcBorders>
          </w:tcPr>
          <w:p w14:paraId="79447E9F" w14:textId="77777777" w:rsidR="009611D2" w:rsidRDefault="001175EF" w:rsidP="009611D2">
            <w:pPr>
              <w:pStyle w:val="TableParagraph"/>
              <w:jc w:val="center"/>
              <w:rPr>
                <w:b/>
              </w:rPr>
            </w:pPr>
            <w:r w:rsidRPr="00130A96">
              <w:rPr>
                <w:b/>
              </w:rPr>
              <w:t>Placebas</w:t>
            </w:r>
          </w:p>
          <w:p w14:paraId="6D869534" w14:textId="13B66E24" w:rsidR="00C0147E" w:rsidRPr="00130A96" w:rsidRDefault="001175EF" w:rsidP="009611D2">
            <w:pPr>
              <w:pStyle w:val="TableParagraph"/>
              <w:jc w:val="center"/>
              <w:rPr>
                <w:b/>
              </w:rPr>
            </w:pPr>
            <w:r w:rsidRPr="00130A96">
              <w:rPr>
                <w:b/>
              </w:rPr>
              <w:t>n</w:t>
            </w:r>
            <w:r w:rsidRPr="00130A96">
              <w:rPr>
                <w:b/>
                <w:vertAlign w:val="superscript"/>
              </w:rPr>
              <w:t>a</w:t>
            </w:r>
            <w:r w:rsidR="00873FCC">
              <w:rPr>
                <w:b/>
              </w:rPr>
              <w:t> = </w:t>
            </w:r>
            <w:r w:rsidRPr="00130A96">
              <w:rPr>
                <w:b/>
              </w:rPr>
              <w:t>2</w:t>
            </w:r>
            <w:r w:rsidR="001463FB">
              <w:rPr>
                <w:b/>
              </w:rPr>
              <w:t> </w:t>
            </w:r>
            <w:r w:rsidRPr="00130A96">
              <w:rPr>
                <w:b/>
              </w:rPr>
              <w:t>062</w:t>
            </w:r>
          </w:p>
        </w:tc>
        <w:tc>
          <w:tcPr>
            <w:tcW w:w="1316" w:type="dxa"/>
            <w:tcBorders>
              <w:top w:val="single" w:sz="12" w:space="0" w:color="000000"/>
              <w:bottom w:val="single" w:sz="8" w:space="0" w:color="000000"/>
            </w:tcBorders>
          </w:tcPr>
          <w:p w14:paraId="6D869535" w14:textId="77777777" w:rsidR="00C0147E" w:rsidRPr="00130A96" w:rsidRDefault="00C0147E" w:rsidP="009611D2">
            <w:pPr>
              <w:pStyle w:val="TableParagraph"/>
              <w:jc w:val="center"/>
            </w:pPr>
          </w:p>
        </w:tc>
        <w:tc>
          <w:tcPr>
            <w:tcW w:w="1311" w:type="dxa"/>
            <w:tcBorders>
              <w:top w:val="single" w:sz="12" w:space="0" w:color="000000"/>
              <w:bottom w:val="single" w:sz="8" w:space="0" w:color="000000"/>
            </w:tcBorders>
          </w:tcPr>
          <w:p w14:paraId="6D869536" w14:textId="77777777" w:rsidR="00C0147E" w:rsidRPr="00130A96" w:rsidRDefault="00C0147E" w:rsidP="009611D2">
            <w:pPr>
              <w:pStyle w:val="TableParagraph"/>
              <w:jc w:val="center"/>
            </w:pPr>
          </w:p>
        </w:tc>
      </w:tr>
      <w:tr w:rsidR="00C0147E" w:rsidRPr="00130A96" w14:paraId="6D869541" w14:textId="77777777" w:rsidTr="00432A1E">
        <w:trPr>
          <w:trHeight w:val="434"/>
        </w:trPr>
        <w:tc>
          <w:tcPr>
            <w:tcW w:w="2982" w:type="dxa"/>
            <w:tcBorders>
              <w:top w:val="single" w:sz="8" w:space="0" w:color="000000"/>
              <w:bottom w:val="single" w:sz="12" w:space="0" w:color="000000"/>
            </w:tcBorders>
          </w:tcPr>
          <w:p w14:paraId="6D869538" w14:textId="77777777" w:rsidR="00C0147E" w:rsidRPr="00130A96" w:rsidRDefault="00C0147E" w:rsidP="009611D2">
            <w:pPr>
              <w:pStyle w:val="TableParagraph"/>
              <w:rPr>
                <w:b/>
              </w:rPr>
            </w:pPr>
          </w:p>
          <w:p w14:paraId="6D869539" w14:textId="77777777" w:rsidR="00C0147E" w:rsidRPr="00130A96" w:rsidRDefault="001175EF" w:rsidP="009611D2">
            <w:pPr>
              <w:pStyle w:val="TableParagraph"/>
              <w:rPr>
                <w:b/>
                <w:i/>
              </w:rPr>
            </w:pPr>
            <w:r w:rsidRPr="00130A96">
              <w:rPr>
                <w:b/>
                <w:i/>
              </w:rPr>
              <w:t>Pagerėjimas</w:t>
            </w:r>
          </w:p>
        </w:tc>
        <w:tc>
          <w:tcPr>
            <w:tcW w:w="2104" w:type="dxa"/>
            <w:tcBorders>
              <w:top w:val="single" w:sz="8" w:space="0" w:color="000000"/>
              <w:bottom w:val="single" w:sz="12" w:space="0" w:color="000000"/>
            </w:tcBorders>
          </w:tcPr>
          <w:p w14:paraId="6D86953A" w14:textId="622209A5" w:rsidR="00C0147E" w:rsidRPr="00130A96" w:rsidRDefault="001175EF" w:rsidP="009611D2">
            <w:pPr>
              <w:pStyle w:val="TableParagraph"/>
              <w:jc w:val="center"/>
              <w:rPr>
                <w:b/>
              </w:rPr>
            </w:pPr>
            <w:r w:rsidRPr="00130A96">
              <w:rPr>
                <w:b/>
              </w:rPr>
              <w:t>n (</w:t>
            </w:r>
            <w:r w:rsidR="00873FCC">
              <w:rPr>
                <w:b/>
              </w:rPr>
              <w:t> %</w:t>
            </w:r>
            <w:r w:rsidRPr="00130A96">
              <w:rPr>
                <w:b/>
              </w:rPr>
              <w:t>)</w:t>
            </w:r>
          </w:p>
          <w:p w14:paraId="6D86953B" w14:textId="466FCE51" w:rsidR="00C0147E" w:rsidRPr="00130A96" w:rsidRDefault="001175EF" w:rsidP="009611D2">
            <w:pPr>
              <w:pStyle w:val="TableParagraph"/>
              <w:jc w:val="center"/>
              <w:rPr>
                <w:b/>
              </w:rPr>
            </w:pPr>
            <w:proofErr w:type="spellStart"/>
            <w:r w:rsidRPr="00130A96">
              <w:rPr>
                <w:b/>
              </w:rPr>
              <w:t>pagerėjo</w:t>
            </w:r>
            <w:r w:rsidRPr="00130A96">
              <w:rPr>
                <w:b/>
                <w:vertAlign w:val="superscript"/>
              </w:rPr>
              <w:t>b</w:t>
            </w:r>
            <w:proofErr w:type="spellEnd"/>
          </w:p>
        </w:tc>
        <w:tc>
          <w:tcPr>
            <w:tcW w:w="1492" w:type="dxa"/>
            <w:tcBorders>
              <w:top w:val="single" w:sz="8" w:space="0" w:color="000000"/>
              <w:bottom w:val="single" w:sz="12" w:space="0" w:color="000000"/>
            </w:tcBorders>
          </w:tcPr>
          <w:p w14:paraId="6D86953C" w14:textId="74D82A96" w:rsidR="00C0147E" w:rsidRPr="00130A96" w:rsidRDefault="001175EF" w:rsidP="009611D2">
            <w:pPr>
              <w:pStyle w:val="TableParagraph"/>
              <w:jc w:val="center"/>
              <w:rPr>
                <w:b/>
              </w:rPr>
            </w:pPr>
            <w:r w:rsidRPr="00130A96">
              <w:rPr>
                <w:b/>
              </w:rPr>
              <w:t>n (</w:t>
            </w:r>
            <w:r w:rsidR="00873FCC">
              <w:rPr>
                <w:b/>
              </w:rPr>
              <w:t> %</w:t>
            </w:r>
            <w:r w:rsidRPr="00130A96">
              <w:rPr>
                <w:b/>
              </w:rPr>
              <w:t>)</w:t>
            </w:r>
          </w:p>
          <w:p w14:paraId="6D86953D" w14:textId="264F2CA0" w:rsidR="00C0147E" w:rsidRPr="00130A96" w:rsidRDefault="001175EF" w:rsidP="009611D2">
            <w:pPr>
              <w:pStyle w:val="TableParagraph"/>
              <w:jc w:val="center"/>
              <w:rPr>
                <w:b/>
              </w:rPr>
            </w:pPr>
            <w:proofErr w:type="spellStart"/>
            <w:r w:rsidRPr="00130A96">
              <w:rPr>
                <w:b/>
              </w:rPr>
              <w:t>pagerėjo</w:t>
            </w:r>
            <w:r w:rsidRPr="00130A96">
              <w:rPr>
                <w:b/>
                <w:vertAlign w:val="superscript"/>
              </w:rPr>
              <w:t>b</w:t>
            </w:r>
            <w:proofErr w:type="spellEnd"/>
          </w:p>
        </w:tc>
        <w:tc>
          <w:tcPr>
            <w:tcW w:w="1316" w:type="dxa"/>
            <w:tcBorders>
              <w:top w:val="single" w:sz="8" w:space="0" w:color="000000"/>
              <w:bottom w:val="single" w:sz="12" w:space="0" w:color="000000"/>
            </w:tcBorders>
          </w:tcPr>
          <w:p w14:paraId="3BC5F523" w14:textId="68DAA094" w:rsidR="00C12237" w:rsidRDefault="001175EF" w:rsidP="009611D2">
            <w:pPr>
              <w:pStyle w:val="TableParagraph"/>
              <w:jc w:val="center"/>
              <w:rPr>
                <w:b/>
              </w:rPr>
            </w:pPr>
            <w:r w:rsidRPr="00130A96">
              <w:rPr>
                <w:b/>
              </w:rPr>
              <w:t xml:space="preserve">Šansų </w:t>
            </w:r>
            <w:proofErr w:type="spellStart"/>
            <w:r w:rsidRPr="00130A96">
              <w:rPr>
                <w:b/>
              </w:rPr>
              <w:t>santykis</w:t>
            </w:r>
            <w:r w:rsidRPr="00130A96">
              <w:rPr>
                <w:b/>
                <w:vertAlign w:val="superscript"/>
              </w:rPr>
              <w:t>c</w:t>
            </w:r>
            <w:proofErr w:type="spellEnd"/>
          </w:p>
          <w:p w14:paraId="6D86953E" w14:textId="19E78D49" w:rsidR="00C0147E" w:rsidRPr="00130A96" w:rsidRDefault="001175EF" w:rsidP="009611D2">
            <w:pPr>
              <w:pStyle w:val="TableParagraph"/>
              <w:jc w:val="center"/>
              <w:rPr>
                <w:b/>
              </w:rPr>
            </w:pPr>
            <w:r w:rsidRPr="00130A96">
              <w:rPr>
                <w:b/>
              </w:rPr>
              <w:t>(95</w:t>
            </w:r>
            <w:r w:rsidR="00873FCC">
              <w:rPr>
                <w:b/>
              </w:rPr>
              <w:t> %</w:t>
            </w:r>
            <w:r w:rsidRPr="00130A96">
              <w:rPr>
                <w:b/>
              </w:rPr>
              <w:t xml:space="preserve"> PI)</w:t>
            </w:r>
          </w:p>
        </w:tc>
        <w:tc>
          <w:tcPr>
            <w:tcW w:w="1311" w:type="dxa"/>
            <w:tcBorders>
              <w:top w:val="single" w:sz="8" w:space="0" w:color="000000"/>
              <w:bottom w:val="single" w:sz="12" w:space="0" w:color="000000"/>
            </w:tcBorders>
          </w:tcPr>
          <w:p w14:paraId="6D869540" w14:textId="3A73002D" w:rsidR="00C0147E" w:rsidRPr="00130A96" w:rsidRDefault="001175EF" w:rsidP="009611D2">
            <w:pPr>
              <w:pStyle w:val="TableParagraph"/>
              <w:jc w:val="center"/>
              <w:rPr>
                <w:b/>
              </w:rPr>
            </w:pPr>
            <w:r w:rsidRPr="00130A96">
              <w:rPr>
                <w:b/>
              </w:rPr>
              <w:t xml:space="preserve">p </w:t>
            </w:r>
            <w:proofErr w:type="spellStart"/>
            <w:r w:rsidRPr="00130A96">
              <w:rPr>
                <w:b/>
              </w:rPr>
              <w:t>reikšmė</w:t>
            </w:r>
            <w:r w:rsidRPr="00130A96">
              <w:rPr>
                <w:b/>
                <w:vertAlign w:val="superscript"/>
              </w:rPr>
              <w:t>f</w:t>
            </w:r>
            <w:proofErr w:type="spellEnd"/>
          </w:p>
        </w:tc>
      </w:tr>
      <w:tr w:rsidR="00C0147E" w:rsidRPr="00130A96" w14:paraId="6D869548" w14:textId="77777777" w:rsidTr="00432A1E">
        <w:trPr>
          <w:trHeight w:val="545"/>
        </w:trPr>
        <w:tc>
          <w:tcPr>
            <w:tcW w:w="2982" w:type="dxa"/>
            <w:tcBorders>
              <w:top w:val="single" w:sz="12" w:space="0" w:color="000000"/>
            </w:tcBorders>
          </w:tcPr>
          <w:p w14:paraId="6D869542" w14:textId="2F309F54" w:rsidR="00C0147E" w:rsidRPr="00130A96" w:rsidRDefault="00873FCC" w:rsidP="009611D2">
            <w:pPr>
              <w:pStyle w:val="TableParagraph"/>
            </w:pPr>
            <w:r>
              <w:t>≥ </w:t>
            </w:r>
            <w:r w:rsidR="001175EF" w:rsidRPr="00130A96">
              <w:t>5 taškais</w:t>
            </w:r>
          </w:p>
        </w:tc>
        <w:tc>
          <w:tcPr>
            <w:tcW w:w="2104" w:type="dxa"/>
            <w:tcBorders>
              <w:top w:val="single" w:sz="12" w:space="0" w:color="000000"/>
            </w:tcBorders>
          </w:tcPr>
          <w:p w14:paraId="6D869543" w14:textId="77777777" w:rsidR="00C0147E" w:rsidRPr="00130A96" w:rsidRDefault="001175EF" w:rsidP="009611D2">
            <w:pPr>
              <w:pStyle w:val="TableParagraph"/>
              <w:jc w:val="center"/>
            </w:pPr>
            <w:r w:rsidRPr="00130A96">
              <w:t>933 (44,7)</w:t>
            </w:r>
          </w:p>
        </w:tc>
        <w:tc>
          <w:tcPr>
            <w:tcW w:w="1492" w:type="dxa"/>
            <w:tcBorders>
              <w:top w:val="single" w:sz="12" w:space="0" w:color="000000"/>
            </w:tcBorders>
          </w:tcPr>
          <w:p w14:paraId="6D869544" w14:textId="77777777" w:rsidR="00C0147E" w:rsidRPr="00130A96" w:rsidRDefault="001175EF" w:rsidP="009611D2">
            <w:pPr>
              <w:pStyle w:val="TableParagraph"/>
              <w:jc w:val="center"/>
            </w:pPr>
            <w:r w:rsidRPr="00130A96">
              <w:t>794 (38,5)</w:t>
            </w:r>
          </w:p>
        </w:tc>
        <w:tc>
          <w:tcPr>
            <w:tcW w:w="1316" w:type="dxa"/>
            <w:tcBorders>
              <w:top w:val="single" w:sz="12" w:space="0" w:color="000000"/>
            </w:tcBorders>
          </w:tcPr>
          <w:p w14:paraId="6D869545" w14:textId="77777777" w:rsidR="00C0147E" w:rsidRPr="00130A96" w:rsidRDefault="001175EF" w:rsidP="009611D2">
            <w:pPr>
              <w:pStyle w:val="TableParagraph"/>
              <w:jc w:val="center"/>
            </w:pPr>
            <w:r w:rsidRPr="00130A96">
              <w:t>1,14</w:t>
            </w:r>
          </w:p>
          <w:p w14:paraId="6D869546" w14:textId="77777777" w:rsidR="00C0147E" w:rsidRPr="00130A96" w:rsidRDefault="001175EF" w:rsidP="009611D2">
            <w:pPr>
              <w:pStyle w:val="TableParagraph"/>
              <w:jc w:val="center"/>
            </w:pPr>
            <w:r w:rsidRPr="00130A96">
              <w:t>(1,06, 1,22)</w:t>
            </w:r>
          </w:p>
        </w:tc>
        <w:tc>
          <w:tcPr>
            <w:tcW w:w="1311" w:type="dxa"/>
            <w:tcBorders>
              <w:top w:val="single" w:sz="12" w:space="0" w:color="000000"/>
            </w:tcBorders>
          </w:tcPr>
          <w:p w14:paraId="6D869547" w14:textId="77777777" w:rsidR="00C0147E" w:rsidRPr="00130A96" w:rsidRDefault="001175EF" w:rsidP="009611D2">
            <w:pPr>
              <w:pStyle w:val="TableParagraph"/>
              <w:jc w:val="center"/>
            </w:pPr>
            <w:r w:rsidRPr="00130A96">
              <w:t>0,0002</w:t>
            </w:r>
          </w:p>
        </w:tc>
      </w:tr>
      <w:tr w:rsidR="00C0147E" w:rsidRPr="00130A96" w14:paraId="6D86954F" w14:textId="77777777" w:rsidTr="00432A1E">
        <w:trPr>
          <w:trHeight w:val="540"/>
        </w:trPr>
        <w:tc>
          <w:tcPr>
            <w:tcW w:w="2982" w:type="dxa"/>
          </w:tcPr>
          <w:p w14:paraId="6D869549" w14:textId="4BCD4FA5" w:rsidR="00C0147E" w:rsidRPr="00130A96" w:rsidRDefault="00873FCC" w:rsidP="009611D2">
            <w:pPr>
              <w:pStyle w:val="TableParagraph"/>
            </w:pPr>
            <w:r>
              <w:t>≥ </w:t>
            </w:r>
            <w:r w:rsidR="001175EF" w:rsidRPr="00130A96">
              <w:t>10 taškų</w:t>
            </w:r>
          </w:p>
        </w:tc>
        <w:tc>
          <w:tcPr>
            <w:tcW w:w="2104" w:type="dxa"/>
          </w:tcPr>
          <w:p w14:paraId="6D86954A" w14:textId="77777777" w:rsidR="00C0147E" w:rsidRPr="00130A96" w:rsidRDefault="001175EF" w:rsidP="009611D2">
            <w:pPr>
              <w:pStyle w:val="TableParagraph"/>
              <w:jc w:val="center"/>
            </w:pPr>
            <w:r w:rsidRPr="00130A96">
              <w:t>689 (33,0)</w:t>
            </w:r>
          </w:p>
        </w:tc>
        <w:tc>
          <w:tcPr>
            <w:tcW w:w="1492" w:type="dxa"/>
          </w:tcPr>
          <w:p w14:paraId="6D86954B" w14:textId="77777777" w:rsidR="00C0147E" w:rsidRPr="00130A96" w:rsidRDefault="001175EF" w:rsidP="009611D2">
            <w:pPr>
              <w:pStyle w:val="TableParagraph"/>
              <w:jc w:val="center"/>
            </w:pPr>
            <w:r w:rsidRPr="00130A96">
              <w:t>579 (28,1)</w:t>
            </w:r>
          </w:p>
        </w:tc>
        <w:tc>
          <w:tcPr>
            <w:tcW w:w="1316" w:type="dxa"/>
          </w:tcPr>
          <w:p w14:paraId="6D86954C" w14:textId="77777777" w:rsidR="00C0147E" w:rsidRPr="00130A96" w:rsidRDefault="001175EF" w:rsidP="009611D2">
            <w:pPr>
              <w:pStyle w:val="TableParagraph"/>
              <w:jc w:val="center"/>
            </w:pPr>
            <w:r w:rsidRPr="00130A96">
              <w:t>1,13</w:t>
            </w:r>
          </w:p>
          <w:p w14:paraId="6D86954D" w14:textId="77777777" w:rsidR="00C0147E" w:rsidRPr="00130A96" w:rsidRDefault="001175EF" w:rsidP="009611D2">
            <w:pPr>
              <w:pStyle w:val="TableParagraph"/>
              <w:jc w:val="center"/>
            </w:pPr>
            <w:r w:rsidRPr="00130A96">
              <w:t>(1,05, 1,22)</w:t>
            </w:r>
          </w:p>
        </w:tc>
        <w:tc>
          <w:tcPr>
            <w:tcW w:w="1311" w:type="dxa"/>
          </w:tcPr>
          <w:p w14:paraId="6D86954E" w14:textId="77777777" w:rsidR="00C0147E" w:rsidRPr="00130A96" w:rsidRDefault="001175EF" w:rsidP="009611D2">
            <w:pPr>
              <w:pStyle w:val="TableParagraph"/>
              <w:jc w:val="center"/>
            </w:pPr>
            <w:r w:rsidRPr="00130A96">
              <w:t>0,0018</w:t>
            </w:r>
          </w:p>
        </w:tc>
      </w:tr>
      <w:tr w:rsidR="00C0147E" w:rsidRPr="00130A96" w14:paraId="6D869556" w14:textId="77777777" w:rsidTr="00432A1E">
        <w:trPr>
          <w:trHeight w:val="533"/>
        </w:trPr>
        <w:tc>
          <w:tcPr>
            <w:tcW w:w="2982" w:type="dxa"/>
            <w:tcBorders>
              <w:bottom w:val="single" w:sz="8" w:space="0" w:color="000000"/>
            </w:tcBorders>
          </w:tcPr>
          <w:p w14:paraId="6D869550" w14:textId="17371527" w:rsidR="00C0147E" w:rsidRPr="00130A96" w:rsidRDefault="00873FCC" w:rsidP="009611D2">
            <w:pPr>
              <w:pStyle w:val="TableParagraph"/>
            </w:pPr>
            <w:r>
              <w:t>≥ </w:t>
            </w:r>
            <w:r w:rsidR="001175EF" w:rsidRPr="00130A96">
              <w:t>15 taškų</w:t>
            </w:r>
          </w:p>
        </w:tc>
        <w:tc>
          <w:tcPr>
            <w:tcW w:w="2104" w:type="dxa"/>
            <w:tcBorders>
              <w:bottom w:val="single" w:sz="8" w:space="0" w:color="000000"/>
            </w:tcBorders>
          </w:tcPr>
          <w:p w14:paraId="6D869551" w14:textId="77777777" w:rsidR="00C0147E" w:rsidRPr="00130A96" w:rsidRDefault="001175EF" w:rsidP="009611D2">
            <w:pPr>
              <w:pStyle w:val="TableParagraph"/>
              <w:jc w:val="center"/>
            </w:pPr>
            <w:r w:rsidRPr="00130A96">
              <w:t>474 (22,7)</w:t>
            </w:r>
          </w:p>
        </w:tc>
        <w:tc>
          <w:tcPr>
            <w:tcW w:w="1492" w:type="dxa"/>
            <w:tcBorders>
              <w:bottom w:val="single" w:sz="8" w:space="0" w:color="000000"/>
            </w:tcBorders>
          </w:tcPr>
          <w:p w14:paraId="6D869552" w14:textId="77777777" w:rsidR="00C0147E" w:rsidRPr="00130A96" w:rsidRDefault="001175EF" w:rsidP="009611D2">
            <w:pPr>
              <w:pStyle w:val="TableParagraph"/>
              <w:jc w:val="center"/>
            </w:pPr>
            <w:r w:rsidRPr="00130A96">
              <w:t>406 (19,7)</w:t>
            </w:r>
          </w:p>
        </w:tc>
        <w:tc>
          <w:tcPr>
            <w:tcW w:w="1316" w:type="dxa"/>
            <w:tcBorders>
              <w:bottom w:val="single" w:sz="8" w:space="0" w:color="000000"/>
            </w:tcBorders>
          </w:tcPr>
          <w:p w14:paraId="6D869553" w14:textId="77777777" w:rsidR="00C0147E" w:rsidRPr="00130A96" w:rsidRDefault="001175EF" w:rsidP="009611D2">
            <w:pPr>
              <w:pStyle w:val="TableParagraph"/>
              <w:jc w:val="center"/>
            </w:pPr>
            <w:r w:rsidRPr="00130A96">
              <w:t>1,10</w:t>
            </w:r>
          </w:p>
          <w:p w14:paraId="6D869554" w14:textId="77777777" w:rsidR="00C0147E" w:rsidRPr="00130A96" w:rsidRDefault="001175EF" w:rsidP="009611D2">
            <w:pPr>
              <w:pStyle w:val="TableParagraph"/>
              <w:jc w:val="center"/>
            </w:pPr>
            <w:r w:rsidRPr="00130A96">
              <w:t>(1,01, 1,19)</w:t>
            </w:r>
          </w:p>
        </w:tc>
        <w:tc>
          <w:tcPr>
            <w:tcW w:w="1311" w:type="dxa"/>
            <w:tcBorders>
              <w:bottom w:val="single" w:sz="8" w:space="0" w:color="000000"/>
            </w:tcBorders>
          </w:tcPr>
          <w:p w14:paraId="6D869555" w14:textId="77777777" w:rsidR="00C0147E" w:rsidRPr="00130A96" w:rsidRDefault="001175EF" w:rsidP="009611D2">
            <w:pPr>
              <w:pStyle w:val="TableParagraph"/>
              <w:jc w:val="center"/>
            </w:pPr>
            <w:r w:rsidRPr="00130A96">
              <w:t>0,0300</w:t>
            </w:r>
          </w:p>
        </w:tc>
      </w:tr>
      <w:tr w:rsidR="00C0147E" w:rsidRPr="00130A96" w14:paraId="6D869560" w14:textId="77777777" w:rsidTr="00432A1E">
        <w:trPr>
          <w:trHeight w:val="839"/>
        </w:trPr>
        <w:tc>
          <w:tcPr>
            <w:tcW w:w="2982" w:type="dxa"/>
            <w:tcBorders>
              <w:top w:val="single" w:sz="8" w:space="0" w:color="000000"/>
              <w:bottom w:val="single" w:sz="8" w:space="0" w:color="000000"/>
            </w:tcBorders>
          </w:tcPr>
          <w:p w14:paraId="6D869557" w14:textId="77777777" w:rsidR="00C0147E" w:rsidRPr="00130A96" w:rsidRDefault="00C0147E" w:rsidP="009611D2">
            <w:pPr>
              <w:pStyle w:val="TableParagraph"/>
              <w:rPr>
                <w:b/>
              </w:rPr>
            </w:pPr>
          </w:p>
          <w:p w14:paraId="6D869558" w14:textId="77777777" w:rsidR="00C0147E" w:rsidRPr="00130A96" w:rsidRDefault="001175EF" w:rsidP="009611D2">
            <w:pPr>
              <w:pStyle w:val="TableParagraph"/>
              <w:rPr>
                <w:b/>
                <w:i/>
              </w:rPr>
            </w:pPr>
            <w:r w:rsidRPr="00130A96">
              <w:rPr>
                <w:b/>
                <w:i/>
              </w:rPr>
              <w:t>Pablogėjimas</w:t>
            </w:r>
          </w:p>
        </w:tc>
        <w:tc>
          <w:tcPr>
            <w:tcW w:w="2104" w:type="dxa"/>
            <w:tcBorders>
              <w:top w:val="single" w:sz="8" w:space="0" w:color="000000"/>
              <w:bottom w:val="single" w:sz="8" w:space="0" w:color="000000"/>
            </w:tcBorders>
          </w:tcPr>
          <w:p w14:paraId="6D869559" w14:textId="1F6A2AD7" w:rsidR="00C0147E" w:rsidRPr="00130A96" w:rsidRDefault="001175EF" w:rsidP="009611D2">
            <w:pPr>
              <w:pStyle w:val="TableParagraph"/>
              <w:jc w:val="center"/>
              <w:rPr>
                <w:b/>
              </w:rPr>
            </w:pPr>
            <w:r w:rsidRPr="00130A96">
              <w:rPr>
                <w:b/>
              </w:rPr>
              <w:t>n (</w:t>
            </w:r>
            <w:r w:rsidR="00873FCC">
              <w:rPr>
                <w:b/>
              </w:rPr>
              <w:t> %</w:t>
            </w:r>
            <w:r w:rsidRPr="00130A96">
              <w:rPr>
                <w:b/>
              </w:rPr>
              <w:t>)</w:t>
            </w:r>
          </w:p>
          <w:p w14:paraId="6D86955A" w14:textId="4A4ACB3F" w:rsidR="00C0147E" w:rsidRPr="00130A96" w:rsidRDefault="001175EF" w:rsidP="009611D2">
            <w:pPr>
              <w:pStyle w:val="TableParagraph"/>
              <w:jc w:val="center"/>
              <w:rPr>
                <w:b/>
              </w:rPr>
            </w:pPr>
            <w:proofErr w:type="spellStart"/>
            <w:r w:rsidRPr="00130A96">
              <w:rPr>
                <w:b/>
              </w:rPr>
              <w:t>pablogėjo</w:t>
            </w:r>
            <w:r w:rsidRPr="00130A96">
              <w:rPr>
                <w:b/>
                <w:vertAlign w:val="superscript"/>
              </w:rPr>
              <w:t>d</w:t>
            </w:r>
            <w:proofErr w:type="spellEnd"/>
          </w:p>
        </w:tc>
        <w:tc>
          <w:tcPr>
            <w:tcW w:w="1492" w:type="dxa"/>
            <w:tcBorders>
              <w:top w:val="single" w:sz="8" w:space="0" w:color="000000"/>
              <w:bottom w:val="single" w:sz="8" w:space="0" w:color="000000"/>
            </w:tcBorders>
          </w:tcPr>
          <w:p w14:paraId="6D86955B" w14:textId="0803CFAC" w:rsidR="00C0147E" w:rsidRPr="00130A96" w:rsidRDefault="001175EF" w:rsidP="009611D2">
            <w:pPr>
              <w:pStyle w:val="TableParagraph"/>
              <w:jc w:val="center"/>
              <w:rPr>
                <w:b/>
              </w:rPr>
            </w:pPr>
            <w:r w:rsidRPr="00130A96">
              <w:rPr>
                <w:b/>
              </w:rPr>
              <w:t>n (</w:t>
            </w:r>
            <w:r w:rsidR="00873FCC">
              <w:rPr>
                <w:b/>
              </w:rPr>
              <w:t> %</w:t>
            </w:r>
            <w:r w:rsidRPr="00130A96">
              <w:rPr>
                <w:b/>
              </w:rPr>
              <w:t>)</w:t>
            </w:r>
          </w:p>
          <w:p w14:paraId="6D86955C" w14:textId="32641737" w:rsidR="00C0147E" w:rsidRPr="00130A96" w:rsidRDefault="001175EF" w:rsidP="009611D2">
            <w:pPr>
              <w:pStyle w:val="TableParagraph"/>
              <w:jc w:val="center"/>
              <w:rPr>
                <w:b/>
              </w:rPr>
            </w:pPr>
            <w:proofErr w:type="spellStart"/>
            <w:r w:rsidRPr="00130A96">
              <w:rPr>
                <w:b/>
              </w:rPr>
              <w:t>pablogėjo</w:t>
            </w:r>
            <w:r w:rsidRPr="00130A96">
              <w:rPr>
                <w:b/>
                <w:vertAlign w:val="superscript"/>
              </w:rPr>
              <w:t>d</w:t>
            </w:r>
            <w:proofErr w:type="spellEnd"/>
          </w:p>
        </w:tc>
        <w:tc>
          <w:tcPr>
            <w:tcW w:w="1316" w:type="dxa"/>
            <w:tcBorders>
              <w:top w:val="single" w:sz="8" w:space="0" w:color="000000"/>
              <w:bottom w:val="single" w:sz="8" w:space="0" w:color="000000"/>
            </w:tcBorders>
          </w:tcPr>
          <w:p w14:paraId="018F35B3" w14:textId="44DB5EF7" w:rsidR="00C12237" w:rsidRDefault="001175EF" w:rsidP="009611D2">
            <w:pPr>
              <w:pStyle w:val="TableParagraph"/>
              <w:jc w:val="center"/>
              <w:rPr>
                <w:b/>
              </w:rPr>
            </w:pPr>
            <w:r w:rsidRPr="00130A96">
              <w:rPr>
                <w:b/>
              </w:rPr>
              <w:t xml:space="preserve">Šansų </w:t>
            </w:r>
            <w:proofErr w:type="spellStart"/>
            <w:r w:rsidRPr="00130A96">
              <w:rPr>
                <w:b/>
              </w:rPr>
              <w:t>santykis</w:t>
            </w:r>
            <w:r w:rsidRPr="00130A96">
              <w:rPr>
                <w:b/>
                <w:vertAlign w:val="superscript"/>
              </w:rPr>
              <w:t>e</w:t>
            </w:r>
            <w:proofErr w:type="spellEnd"/>
          </w:p>
          <w:p w14:paraId="6D86955D" w14:textId="3C5C2F3C" w:rsidR="00C0147E" w:rsidRPr="00130A96" w:rsidRDefault="001175EF" w:rsidP="009611D2">
            <w:pPr>
              <w:pStyle w:val="TableParagraph"/>
              <w:jc w:val="center"/>
              <w:rPr>
                <w:b/>
              </w:rPr>
            </w:pPr>
            <w:r w:rsidRPr="00130A96">
              <w:rPr>
                <w:b/>
              </w:rPr>
              <w:t>(95</w:t>
            </w:r>
            <w:r w:rsidR="00873FCC">
              <w:rPr>
                <w:b/>
              </w:rPr>
              <w:t> %</w:t>
            </w:r>
            <w:r w:rsidRPr="00130A96">
              <w:rPr>
                <w:b/>
              </w:rPr>
              <w:t xml:space="preserve"> CI)</w:t>
            </w:r>
          </w:p>
        </w:tc>
        <w:tc>
          <w:tcPr>
            <w:tcW w:w="1311" w:type="dxa"/>
            <w:tcBorders>
              <w:top w:val="single" w:sz="8" w:space="0" w:color="000000"/>
              <w:bottom w:val="single" w:sz="8" w:space="0" w:color="000000"/>
            </w:tcBorders>
          </w:tcPr>
          <w:p w14:paraId="6D86955F" w14:textId="2ED6F63C" w:rsidR="00C0147E" w:rsidRPr="00130A96" w:rsidRDefault="001175EF" w:rsidP="009611D2">
            <w:pPr>
              <w:pStyle w:val="TableParagraph"/>
              <w:jc w:val="center"/>
              <w:rPr>
                <w:b/>
              </w:rPr>
            </w:pPr>
            <w:r w:rsidRPr="00130A96">
              <w:rPr>
                <w:b/>
              </w:rPr>
              <w:t xml:space="preserve">p </w:t>
            </w:r>
            <w:proofErr w:type="spellStart"/>
            <w:r w:rsidRPr="00130A96">
              <w:rPr>
                <w:b/>
              </w:rPr>
              <w:t>reikšmė</w:t>
            </w:r>
            <w:r w:rsidRPr="00130A96">
              <w:rPr>
                <w:b/>
                <w:vertAlign w:val="superscript"/>
              </w:rPr>
              <w:t>f</w:t>
            </w:r>
            <w:proofErr w:type="spellEnd"/>
          </w:p>
        </w:tc>
      </w:tr>
      <w:tr w:rsidR="00C0147E" w:rsidRPr="00130A96" w14:paraId="6D869567" w14:textId="77777777" w:rsidTr="00432A1E">
        <w:trPr>
          <w:trHeight w:val="545"/>
        </w:trPr>
        <w:tc>
          <w:tcPr>
            <w:tcW w:w="2982" w:type="dxa"/>
            <w:tcBorders>
              <w:top w:val="single" w:sz="8" w:space="0" w:color="000000"/>
            </w:tcBorders>
          </w:tcPr>
          <w:p w14:paraId="6D869561" w14:textId="45B114A9" w:rsidR="00C0147E" w:rsidRPr="00130A96" w:rsidRDefault="00873FCC" w:rsidP="009611D2">
            <w:pPr>
              <w:pStyle w:val="TableParagraph"/>
            </w:pPr>
            <w:r>
              <w:t>≥ </w:t>
            </w:r>
            <w:r w:rsidR="001175EF" w:rsidRPr="00130A96">
              <w:t>5 taškais</w:t>
            </w:r>
          </w:p>
        </w:tc>
        <w:tc>
          <w:tcPr>
            <w:tcW w:w="2104" w:type="dxa"/>
            <w:tcBorders>
              <w:top w:val="single" w:sz="8" w:space="0" w:color="000000"/>
            </w:tcBorders>
          </w:tcPr>
          <w:p w14:paraId="6D869562" w14:textId="77777777" w:rsidR="00C0147E" w:rsidRPr="00130A96" w:rsidRDefault="001175EF" w:rsidP="009611D2">
            <w:pPr>
              <w:pStyle w:val="TableParagraph"/>
              <w:jc w:val="center"/>
            </w:pPr>
            <w:r w:rsidRPr="00130A96">
              <w:t>537 (25,7)</w:t>
            </w:r>
          </w:p>
        </w:tc>
        <w:tc>
          <w:tcPr>
            <w:tcW w:w="1492" w:type="dxa"/>
            <w:tcBorders>
              <w:top w:val="single" w:sz="8" w:space="0" w:color="000000"/>
            </w:tcBorders>
          </w:tcPr>
          <w:p w14:paraId="6D869563" w14:textId="77777777" w:rsidR="00C0147E" w:rsidRPr="00130A96" w:rsidRDefault="001175EF" w:rsidP="009611D2">
            <w:pPr>
              <w:pStyle w:val="TableParagraph"/>
              <w:jc w:val="center"/>
            </w:pPr>
            <w:r w:rsidRPr="00130A96">
              <w:t>693 (33,6)</w:t>
            </w:r>
          </w:p>
        </w:tc>
        <w:tc>
          <w:tcPr>
            <w:tcW w:w="1316" w:type="dxa"/>
            <w:tcBorders>
              <w:top w:val="single" w:sz="8" w:space="0" w:color="000000"/>
            </w:tcBorders>
          </w:tcPr>
          <w:p w14:paraId="6D869564" w14:textId="77777777" w:rsidR="00C0147E" w:rsidRPr="00130A96" w:rsidRDefault="001175EF" w:rsidP="009611D2">
            <w:pPr>
              <w:pStyle w:val="TableParagraph"/>
              <w:jc w:val="center"/>
            </w:pPr>
            <w:r w:rsidRPr="00130A96">
              <w:t>0,84</w:t>
            </w:r>
          </w:p>
          <w:p w14:paraId="6D869565" w14:textId="77777777" w:rsidR="00C0147E" w:rsidRPr="00130A96" w:rsidRDefault="001175EF" w:rsidP="009611D2">
            <w:pPr>
              <w:pStyle w:val="TableParagraph"/>
              <w:jc w:val="center"/>
            </w:pPr>
            <w:r w:rsidRPr="00130A96">
              <w:t>(0,78, 0,89)</w:t>
            </w:r>
          </w:p>
        </w:tc>
        <w:tc>
          <w:tcPr>
            <w:tcW w:w="1311" w:type="dxa"/>
            <w:tcBorders>
              <w:top w:val="single" w:sz="8" w:space="0" w:color="000000"/>
            </w:tcBorders>
          </w:tcPr>
          <w:p w14:paraId="6D869566" w14:textId="71ED73CA" w:rsidR="00C0147E" w:rsidRPr="00130A96" w:rsidRDefault="00873FCC" w:rsidP="009611D2">
            <w:pPr>
              <w:pStyle w:val="TableParagraph"/>
              <w:jc w:val="center"/>
            </w:pPr>
            <w:r>
              <w:t>&lt; </w:t>
            </w:r>
            <w:r w:rsidR="001175EF" w:rsidRPr="00130A96">
              <w:t>0,0001</w:t>
            </w:r>
          </w:p>
        </w:tc>
      </w:tr>
      <w:tr w:rsidR="00C0147E" w:rsidRPr="00130A96" w14:paraId="6D86956E" w14:textId="77777777" w:rsidTr="00432A1E">
        <w:trPr>
          <w:trHeight w:val="536"/>
        </w:trPr>
        <w:tc>
          <w:tcPr>
            <w:tcW w:w="2982" w:type="dxa"/>
            <w:tcBorders>
              <w:bottom w:val="single" w:sz="8" w:space="0" w:color="000000"/>
            </w:tcBorders>
          </w:tcPr>
          <w:p w14:paraId="6D869568" w14:textId="008072B8" w:rsidR="00C0147E" w:rsidRPr="00130A96" w:rsidRDefault="00873FCC" w:rsidP="009611D2">
            <w:pPr>
              <w:pStyle w:val="TableParagraph"/>
            </w:pPr>
            <w:r>
              <w:t>≥ </w:t>
            </w:r>
            <w:r w:rsidR="001175EF" w:rsidRPr="00130A96">
              <w:t>10 taškų</w:t>
            </w:r>
          </w:p>
        </w:tc>
        <w:tc>
          <w:tcPr>
            <w:tcW w:w="2104" w:type="dxa"/>
            <w:tcBorders>
              <w:bottom w:val="single" w:sz="8" w:space="0" w:color="000000"/>
            </w:tcBorders>
          </w:tcPr>
          <w:p w14:paraId="6D869569" w14:textId="77777777" w:rsidR="00C0147E" w:rsidRPr="00130A96" w:rsidRDefault="001175EF" w:rsidP="009611D2">
            <w:pPr>
              <w:pStyle w:val="TableParagraph"/>
              <w:jc w:val="center"/>
            </w:pPr>
            <w:r w:rsidRPr="00130A96">
              <w:t>395 (18,9)</w:t>
            </w:r>
          </w:p>
        </w:tc>
        <w:tc>
          <w:tcPr>
            <w:tcW w:w="1492" w:type="dxa"/>
            <w:tcBorders>
              <w:bottom w:val="single" w:sz="8" w:space="0" w:color="000000"/>
            </w:tcBorders>
          </w:tcPr>
          <w:p w14:paraId="6D86956A" w14:textId="77777777" w:rsidR="00C0147E" w:rsidRPr="00130A96" w:rsidRDefault="001175EF" w:rsidP="009611D2">
            <w:pPr>
              <w:pStyle w:val="TableParagraph"/>
              <w:jc w:val="center"/>
            </w:pPr>
            <w:r w:rsidRPr="00130A96">
              <w:t>506 (24,5)</w:t>
            </w:r>
          </w:p>
        </w:tc>
        <w:tc>
          <w:tcPr>
            <w:tcW w:w="1316" w:type="dxa"/>
            <w:tcBorders>
              <w:bottom w:val="single" w:sz="8" w:space="0" w:color="000000"/>
            </w:tcBorders>
          </w:tcPr>
          <w:p w14:paraId="6D86956B" w14:textId="77777777" w:rsidR="00C0147E" w:rsidRPr="00130A96" w:rsidRDefault="001175EF" w:rsidP="009611D2">
            <w:pPr>
              <w:pStyle w:val="TableParagraph"/>
              <w:jc w:val="center"/>
            </w:pPr>
            <w:r w:rsidRPr="00130A96">
              <w:t>0,85</w:t>
            </w:r>
          </w:p>
          <w:p w14:paraId="6D86956C" w14:textId="77777777" w:rsidR="00C0147E" w:rsidRPr="00130A96" w:rsidRDefault="001175EF" w:rsidP="009611D2">
            <w:pPr>
              <w:pStyle w:val="TableParagraph"/>
              <w:jc w:val="center"/>
            </w:pPr>
            <w:r w:rsidRPr="00130A96">
              <w:t>(0,79, 0,92)</w:t>
            </w:r>
          </w:p>
        </w:tc>
        <w:tc>
          <w:tcPr>
            <w:tcW w:w="1311" w:type="dxa"/>
            <w:tcBorders>
              <w:bottom w:val="single" w:sz="8" w:space="0" w:color="000000"/>
            </w:tcBorders>
          </w:tcPr>
          <w:p w14:paraId="6D86956D" w14:textId="71E60577" w:rsidR="00C0147E" w:rsidRPr="00130A96" w:rsidRDefault="00873FCC" w:rsidP="009611D2">
            <w:pPr>
              <w:pStyle w:val="TableParagraph"/>
              <w:jc w:val="center"/>
            </w:pPr>
            <w:r>
              <w:t>&lt; </w:t>
            </w:r>
            <w:r w:rsidR="001175EF" w:rsidRPr="00130A96">
              <w:t>0,0001</w:t>
            </w:r>
          </w:p>
        </w:tc>
      </w:tr>
    </w:tbl>
    <w:p w14:paraId="4A997277" w14:textId="70C79153" w:rsidR="00432A1E" w:rsidRPr="001F0182" w:rsidRDefault="00432A1E" w:rsidP="00432A1E">
      <w:pPr>
        <w:pStyle w:val="TableParagraph"/>
        <w:rPr>
          <w:sz w:val="18"/>
          <w:szCs w:val="18"/>
        </w:rPr>
      </w:pPr>
      <w:r w:rsidRPr="001F0182">
        <w:rPr>
          <w:sz w:val="18"/>
          <w:szCs w:val="18"/>
          <w:vertAlign w:val="superscript"/>
        </w:rPr>
        <w:t>a</w:t>
      </w:r>
      <w:r w:rsidRPr="001F0182">
        <w:rPr>
          <w:sz w:val="18"/>
          <w:szCs w:val="18"/>
        </w:rPr>
        <w:t xml:space="preserve"> Pacientų, kuriems buvo nustatytas </w:t>
      </w:r>
      <w:r w:rsidRPr="001F0182">
        <w:rPr>
          <w:i/>
          <w:iCs/>
          <w:sz w:val="18"/>
          <w:szCs w:val="18"/>
        </w:rPr>
        <w:t>KCCQ-TSS</w:t>
      </w:r>
      <w:r w:rsidRPr="001F0182">
        <w:rPr>
          <w:sz w:val="18"/>
          <w:szCs w:val="18"/>
        </w:rPr>
        <w:t xml:space="preserve"> arba kurie mirė nepraėjus 8</w:t>
      </w:r>
      <w:r w:rsidR="001F0182">
        <w:rPr>
          <w:sz w:val="18"/>
          <w:szCs w:val="18"/>
        </w:rPr>
        <w:t> </w:t>
      </w:r>
      <w:r w:rsidRPr="001F0182">
        <w:rPr>
          <w:sz w:val="18"/>
          <w:szCs w:val="18"/>
        </w:rPr>
        <w:t>mėn., skaičius.</w:t>
      </w:r>
    </w:p>
    <w:p w14:paraId="7BC915FE" w14:textId="47A28CAD" w:rsidR="00432A1E" w:rsidRPr="001F0182" w:rsidRDefault="00432A1E" w:rsidP="001F0182">
      <w:pPr>
        <w:pStyle w:val="TableParagraph"/>
        <w:ind w:left="142" w:hanging="142"/>
        <w:rPr>
          <w:sz w:val="18"/>
          <w:szCs w:val="18"/>
        </w:rPr>
      </w:pPr>
      <w:r w:rsidRPr="001F0182">
        <w:rPr>
          <w:sz w:val="18"/>
          <w:szCs w:val="18"/>
          <w:vertAlign w:val="superscript"/>
        </w:rPr>
        <w:t>b</w:t>
      </w:r>
      <w:r w:rsidRPr="001F0182">
        <w:rPr>
          <w:sz w:val="18"/>
          <w:szCs w:val="18"/>
        </w:rPr>
        <w:t xml:space="preserve"> Pacientų, kuriems nustatytas rodiklio, palyginus su pradiniu, pagerėjimas atitinkamai bent 5, 10 arba 15</w:t>
      </w:r>
      <w:r w:rsidR="001F0182">
        <w:rPr>
          <w:sz w:val="18"/>
          <w:szCs w:val="18"/>
        </w:rPr>
        <w:t> </w:t>
      </w:r>
      <w:r w:rsidRPr="001F0182">
        <w:rPr>
          <w:sz w:val="18"/>
          <w:szCs w:val="18"/>
        </w:rPr>
        <w:t>taškų, skaičius. Laikyta, kad pacientų, mirusių iki nustatyto laiko, būklė nepagerėjo.</w:t>
      </w:r>
    </w:p>
    <w:p w14:paraId="6C5DBE83" w14:textId="77777777" w:rsidR="00432A1E" w:rsidRPr="001F0182" w:rsidRDefault="00432A1E" w:rsidP="00432A1E">
      <w:pPr>
        <w:pStyle w:val="TableParagraph"/>
        <w:rPr>
          <w:sz w:val="18"/>
          <w:szCs w:val="18"/>
        </w:rPr>
      </w:pPr>
      <w:r w:rsidRPr="001F0182">
        <w:rPr>
          <w:sz w:val="18"/>
          <w:szCs w:val="18"/>
          <w:vertAlign w:val="superscript"/>
        </w:rPr>
        <w:t>c</w:t>
      </w:r>
      <w:r w:rsidRPr="001F0182">
        <w:rPr>
          <w:sz w:val="18"/>
          <w:szCs w:val="18"/>
        </w:rPr>
        <w:t xml:space="preserve"> Pagerėjimo šansų santykis &gt; 1 rodo palankesnį dapagliflozino 10 mg poveikį.</w:t>
      </w:r>
    </w:p>
    <w:p w14:paraId="63629090" w14:textId="77777777" w:rsidR="00432A1E" w:rsidRPr="001F0182" w:rsidRDefault="00432A1E" w:rsidP="001C789F">
      <w:pPr>
        <w:pStyle w:val="TableParagraph"/>
        <w:ind w:left="142" w:hanging="142"/>
        <w:rPr>
          <w:sz w:val="18"/>
          <w:szCs w:val="18"/>
        </w:rPr>
      </w:pPr>
      <w:r w:rsidRPr="001F0182">
        <w:rPr>
          <w:sz w:val="18"/>
          <w:szCs w:val="18"/>
          <w:vertAlign w:val="superscript"/>
        </w:rPr>
        <w:t>d</w:t>
      </w:r>
      <w:r w:rsidRPr="001F0182">
        <w:rPr>
          <w:sz w:val="18"/>
          <w:szCs w:val="18"/>
        </w:rPr>
        <w:t xml:space="preserve"> Pacientų, kuriems nustatytas rodiklio, palyginus su pradiniu, pablogėjimas atitinkamai bent 5 arba 10 taškų, skaičius. Laikyta, kad pacientų, mirusių iki nustatyto laiko, būklė pablogėjo.</w:t>
      </w:r>
    </w:p>
    <w:p w14:paraId="5750D095" w14:textId="77777777" w:rsidR="00432A1E" w:rsidRPr="001F0182" w:rsidRDefault="00432A1E" w:rsidP="00432A1E">
      <w:pPr>
        <w:pStyle w:val="TableParagraph"/>
        <w:rPr>
          <w:sz w:val="18"/>
          <w:szCs w:val="18"/>
        </w:rPr>
      </w:pPr>
      <w:r w:rsidRPr="001F0182">
        <w:rPr>
          <w:sz w:val="18"/>
          <w:szCs w:val="18"/>
          <w:vertAlign w:val="superscript"/>
        </w:rPr>
        <w:t>e</w:t>
      </w:r>
      <w:r w:rsidRPr="001F0182">
        <w:rPr>
          <w:sz w:val="18"/>
          <w:szCs w:val="18"/>
        </w:rPr>
        <w:t xml:space="preserve"> Pablogėjimo šansų santykis &lt; 1 rodo palankesnį dapagliflozino 10 mg poveikį.</w:t>
      </w:r>
    </w:p>
    <w:p w14:paraId="6D869576" w14:textId="525ED006" w:rsidR="00C0147E" w:rsidRPr="001F0182" w:rsidRDefault="00432A1E" w:rsidP="00432A1E">
      <w:pPr>
        <w:pStyle w:val="Pagrindinistekstas"/>
        <w:rPr>
          <w:b/>
          <w:sz w:val="18"/>
          <w:szCs w:val="18"/>
        </w:rPr>
      </w:pPr>
      <w:r w:rsidRPr="001F0182">
        <w:rPr>
          <w:sz w:val="18"/>
          <w:szCs w:val="18"/>
          <w:vertAlign w:val="superscript"/>
        </w:rPr>
        <w:t>f</w:t>
      </w:r>
      <w:r w:rsidRPr="001F0182">
        <w:rPr>
          <w:sz w:val="18"/>
          <w:szCs w:val="18"/>
        </w:rPr>
        <w:t xml:space="preserve"> p reikšmės yra nominalios.</w:t>
      </w:r>
    </w:p>
    <w:p w14:paraId="57BF69B4" w14:textId="77777777" w:rsidR="001F0182" w:rsidRPr="001F0182" w:rsidRDefault="001F0182" w:rsidP="00130A96">
      <w:pPr>
        <w:rPr>
          <w:i/>
        </w:rPr>
      </w:pPr>
    </w:p>
    <w:p w14:paraId="6D869577" w14:textId="07AB754B" w:rsidR="00C0147E" w:rsidRPr="001F0182" w:rsidRDefault="001175EF" w:rsidP="00130A96">
      <w:pPr>
        <w:rPr>
          <w:i/>
        </w:rPr>
      </w:pPr>
      <w:proofErr w:type="spellStart"/>
      <w:r w:rsidRPr="001F0182">
        <w:rPr>
          <w:i/>
        </w:rPr>
        <w:t>Nefropatija</w:t>
      </w:r>
      <w:proofErr w:type="spellEnd"/>
    </w:p>
    <w:p w14:paraId="6D869579" w14:textId="37922DE6" w:rsidR="00C0147E" w:rsidRPr="001F0182" w:rsidRDefault="001175EF" w:rsidP="00130A96">
      <w:pPr>
        <w:pStyle w:val="Pagrindinistekstas"/>
      </w:pPr>
      <w:r w:rsidRPr="001F0182">
        <w:t xml:space="preserve">Užfiksuoti keli inkstų sudėtinės baigties (patvirtintas nuolatinis </w:t>
      </w:r>
      <w:proofErr w:type="spellStart"/>
      <w:r w:rsidRPr="001F0182">
        <w:t>aGFG</w:t>
      </w:r>
      <w:proofErr w:type="spellEnd"/>
      <w:r w:rsidRPr="001F0182">
        <w:t xml:space="preserve"> sumažėjimas </w:t>
      </w:r>
      <w:r w:rsidR="00873FCC" w:rsidRPr="001F0182">
        <w:t>≥ </w:t>
      </w:r>
      <w:r w:rsidRPr="001F0182">
        <w:t>50</w:t>
      </w:r>
      <w:r w:rsidR="00873FCC" w:rsidRPr="001F0182">
        <w:t> %</w:t>
      </w:r>
      <w:r w:rsidRPr="001F0182">
        <w:t>, GSIL arba mirtis dėl inkstų ligos) atvejai. Dapagliflozino grupės pacientams jų dažnis buvo 1,2</w:t>
      </w:r>
      <w:r w:rsidR="00873FCC" w:rsidRPr="001F0182">
        <w:t> %</w:t>
      </w:r>
      <w:r w:rsidRPr="001F0182">
        <w:t>, placebo –1,6</w:t>
      </w:r>
      <w:r w:rsidR="00873FCC" w:rsidRPr="001F0182">
        <w:t> %</w:t>
      </w:r>
      <w:r w:rsidRPr="001F0182">
        <w:t>.</w:t>
      </w:r>
    </w:p>
    <w:p w14:paraId="6D86957A" w14:textId="77777777" w:rsidR="00C0147E" w:rsidRPr="00130A96" w:rsidRDefault="00C0147E" w:rsidP="00130A96">
      <w:pPr>
        <w:pStyle w:val="Pagrindinistekstas"/>
      </w:pPr>
    </w:p>
    <w:p w14:paraId="6D86957D" w14:textId="38145D0F" w:rsidR="00C0147E" w:rsidRPr="00130A96" w:rsidRDefault="001175EF" w:rsidP="00C12237">
      <w:r w:rsidRPr="00130A96">
        <w:rPr>
          <w:i/>
          <w:u w:val="single"/>
        </w:rPr>
        <w:t xml:space="preserve">DELIVER tyrimas: širdies nepakankamumas su kairiojo skilvelio išstūmimo frakcija </w:t>
      </w:r>
      <w:r w:rsidR="00873FCC">
        <w:rPr>
          <w:i/>
          <w:u w:val="single"/>
        </w:rPr>
        <w:t>&gt; </w:t>
      </w:r>
      <w:r w:rsidRPr="00130A96">
        <w:rPr>
          <w:i/>
          <w:u w:val="single"/>
        </w:rPr>
        <w:t>40</w:t>
      </w:r>
      <w:r w:rsidR="00873FCC">
        <w:rPr>
          <w:i/>
          <w:u w:val="single"/>
        </w:rPr>
        <w:t> %</w:t>
      </w:r>
      <w:r w:rsidRPr="00130A96">
        <w:rPr>
          <w:i/>
        </w:rPr>
        <w:t xml:space="preserve"> </w:t>
      </w:r>
      <w:r w:rsidRPr="00130A96">
        <w:t xml:space="preserve">Dapagliflozino poveikio vertinimo siekiant pagerinti gyvenimo kokybę širdies nepakankamumu su išlikusia išstūmimo frakcija sergantiems pacientams (angl. </w:t>
      </w:r>
      <w:proofErr w:type="spellStart"/>
      <w:r w:rsidRPr="00130A96">
        <w:rPr>
          <w:i/>
        </w:rPr>
        <w:t>Dapagliflozin</w:t>
      </w:r>
      <w:proofErr w:type="spellEnd"/>
      <w:r w:rsidRPr="00130A96">
        <w:rPr>
          <w:i/>
        </w:rPr>
        <w:t xml:space="preserve"> </w:t>
      </w:r>
      <w:proofErr w:type="spellStart"/>
      <w:r w:rsidRPr="00130A96">
        <w:rPr>
          <w:i/>
        </w:rPr>
        <w:t>Evaluation</w:t>
      </w:r>
      <w:proofErr w:type="spellEnd"/>
      <w:r w:rsidRPr="00130A96">
        <w:rPr>
          <w:i/>
        </w:rPr>
        <w:t xml:space="preserve"> to </w:t>
      </w:r>
      <w:proofErr w:type="spellStart"/>
      <w:r w:rsidRPr="00130A96">
        <w:rPr>
          <w:i/>
        </w:rPr>
        <w:t>Improve</w:t>
      </w:r>
      <w:proofErr w:type="spellEnd"/>
      <w:r w:rsidRPr="00130A96">
        <w:rPr>
          <w:i/>
        </w:rPr>
        <w:t xml:space="preserve"> </w:t>
      </w:r>
      <w:proofErr w:type="spellStart"/>
      <w:r w:rsidRPr="00130A96">
        <w:rPr>
          <w:i/>
        </w:rPr>
        <w:t>the</w:t>
      </w:r>
      <w:proofErr w:type="spellEnd"/>
      <w:r w:rsidRPr="00130A96">
        <w:rPr>
          <w:i/>
        </w:rPr>
        <w:t xml:space="preserve"> </w:t>
      </w:r>
      <w:proofErr w:type="spellStart"/>
      <w:r w:rsidRPr="00130A96">
        <w:rPr>
          <w:i/>
        </w:rPr>
        <w:t>LIVEs</w:t>
      </w:r>
      <w:proofErr w:type="spellEnd"/>
      <w:r w:rsidRPr="00130A96">
        <w:rPr>
          <w:i/>
        </w:rPr>
        <w:t xml:space="preserve"> </w:t>
      </w:r>
      <w:proofErr w:type="spellStart"/>
      <w:r w:rsidRPr="00130A96">
        <w:rPr>
          <w:i/>
        </w:rPr>
        <w:t>of</w:t>
      </w:r>
      <w:proofErr w:type="spellEnd"/>
      <w:r w:rsidRPr="00130A96">
        <w:rPr>
          <w:i/>
        </w:rPr>
        <w:t xml:space="preserve"> </w:t>
      </w:r>
      <w:proofErr w:type="spellStart"/>
      <w:r w:rsidRPr="00130A96">
        <w:rPr>
          <w:i/>
        </w:rPr>
        <w:t>Patients</w:t>
      </w:r>
      <w:proofErr w:type="spellEnd"/>
      <w:r w:rsidRPr="00130A96">
        <w:rPr>
          <w:i/>
        </w:rPr>
        <w:t xml:space="preserve"> </w:t>
      </w:r>
      <w:proofErr w:type="spellStart"/>
      <w:r w:rsidRPr="00130A96">
        <w:rPr>
          <w:i/>
        </w:rPr>
        <w:t>with</w:t>
      </w:r>
      <w:proofErr w:type="spellEnd"/>
      <w:r w:rsidRPr="00130A96">
        <w:rPr>
          <w:i/>
        </w:rPr>
        <w:t xml:space="preserve"> </w:t>
      </w:r>
      <w:proofErr w:type="spellStart"/>
      <w:r w:rsidRPr="00130A96">
        <w:rPr>
          <w:i/>
        </w:rPr>
        <w:t>PReserved</w:t>
      </w:r>
      <w:proofErr w:type="spellEnd"/>
      <w:r w:rsidRPr="00130A96">
        <w:rPr>
          <w:i/>
        </w:rPr>
        <w:t xml:space="preserve"> </w:t>
      </w:r>
      <w:proofErr w:type="spellStart"/>
      <w:r w:rsidRPr="00130A96">
        <w:rPr>
          <w:i/>
        </w:rPr>
        <w:t>Ejection</w:t>
      </w:r>
      <w:proofErr w:type="spellEnd"/>
      <w:r w:rsidRPr="00130A96">
        <w:rPr>
          <w:i/>
        </w:rPr>
        <w:t xml:space="preserve"> </w:t>
      </w:r>
      <w:proofErr w:type="spellStart"/>
      <w:r w:rsidRPr="00130A96">
        <w:rPr>
          <w:i/>
        </w:rPr>
        <w:t>Fraction</w:t>
      </w:r>
      <w:proofErr w:type="spellEnd"/>
      <w:r w:rsidRPr="00130A96">
        <w:rPr>
          <w:i/>
        </w:rPr>
        <w:t xml:space="preserve"> </w:t>
      </w:r>
      <w:proofErr w:type="spellStart"/>
      <w:r w:rsidRPr="00130A96">
        <w:rPr>
          <w:i/>
        </w:rPr>
        <w:t>Heart</w:t>
      </w:r>
      <w:proofErr w:type="spellEnd"/>
      <w:r w:rsidRPr="00130A96">
        <w:rPr>
          <w:i/>
        </w:rPr>
        <w:t xml:space="preserve"> </w:t>
      </w:r>
      <w:proofErr w:type="spellStart"/>
      <w:r w:rsidRPr="00130A96">
        <w:rPr>
          <w:i/>
        </w:rPr>
        <w:t>Failure</w:t>
      </w:r>
      <w:proofErr w:type="spellEnd"/>
      <w:r w:rsidRPr="00130A96">
        <w:t xml:space="preserve">, DELIVER) tyrimas buvo </w:t>
      </w:r>
      <w:r w:rsidRPr="00130A96">
        <w:lastRenderedPageBreak/>
        <w:t xml:space="preserve">tarptautinis, </w:t>
      </w:r>
      <w:proofErr w:type="spellStart"/>
      <w:r w:rsidRPr="00130A96">
        <w:t>daugiacentris</w:t>
      </w:r>
      <w:proofErr w:type="spellEnd"/>
      <w:r w:rsidRPr="00130A96">
        <w:t xml:space="preserve">, atsitiktinių imčių, dvigubai </w:t>
      </w:r>
      <w:r w:rsidR="00BC4AAB">
        <w:t>koduotas</w:t>
      </w:r>
      <w:r w:rsidRPr="00130A96">
        <w:t>, placebu kontroliuojamas. Jame dalyvavo</w:t>
      </w:r>
      <w:r w:rsidR="00C12237">
        <w:t xml:space="preserve"> </w:t>
      </w:r>
      <w:r w:rsidRPr="00130A96">
        <w:t>40</w:t>
      </w:r>
      <w:r w:rsidR="00B96ED0">
        <w:t> </w:t>
      </w:r>
      <w:r w:rsidRPr="00130A96">
        <w:t>metų ir vyresni pacientai, sirgę NYHA II</w:t>
      </w:r>
      <w:r w:rsidR="00B96ED0">
        <w:noBreakHyphen/>
      </w:r>
      <w:r w:rsidRPr="00130A96">
        <w:t>IV</w:t>
      </w:r>
      <w:r w:rsidR="00B96ED0">
        <w:t> </w:t>
      </w:r>
      <w:r w:rsidRPr="00130A96">
        <w:t xml:space="preserve">klasės širdies nepakankamumu su </w:t>
      </w:r>
      <w:r w:rsidRPr="00B96ED0">
        <w:rPr>
          <w:i/>
          <w:iCs/>
        </w:rPr>
        <w:t>LVEF</w:t>
      </w:r>
      <w:r w:rsidRPr="00130A96">
        <w:t xml:space="preserve"> </w:t>
      </w:r>
      <w:r w:rsidR="00873FCC">
        <w:t>&gt; </w:t>
      </w:r>
      <w:r w:rsidRPr="00130A96">
        <w:t>40</w:t>
      </w:r>
      <w:r w:rsidR="00873FCC">
        <w:t> %</w:t>
      </w:r>
      <w:r w:rsidRPr="00130A96">
        <w:t>, kuriems buvo rasta širdies struktūros pažeidimą rodančių duomenų. Šio tyrimo tikslas buvo palyginti dapagliflozino ir placebo poveikį mirties</w:t>
      </w:r>
      <w:r w:rsidR="002E7F23">
        <w:t xml:space="preserve"> nuo širdies ir kraujagyslių ligų</w:t>
      </w:r>
      <w:r w:rsidRPr="00130A96">
        <w:t xml:space="preserve"> ir širdies nepakankamumo pasunkėjimo rizikai.</w:t>
      </w:r>
    </w:p>
    <w:p w14:paraId="6D86957E" w14:textId="77777777" w:rsidR="00C0147E" w:rsidRPr="00130A96" w:rsidRDefault="00C0147E" w:rsidP="00130A96">
      <w:pPr>
        <w:pStyle w:val="Pagrindinistekstas"/>
      </w:pPr>
    </w:p>
    <w:p w14:paraId="6D86957F" w14:textId="63F2F365" w:rsidR="00C0147E" w:rsidRPr="00130A96" w:rsidRDefault="001175EF" w:rsidP="00130A96">
      <w:pPr>
        <w:pStyle w:val="Pagrindinistekstas"/>
      </w:pPr>
      <w:r w:rsidRPr="00130A96">
        <w:t>3</w:t>
      </w:r>
      <w:r w:rsidR="00042EAA">
        <w:t> </w:t>
      </w:r>
      <w:r w:rsidRPr="00130A96">
        <w:t>131 iš 6</w:t>
      </w:r>
      <w:r w:rsidR="00042EAA">
        <w:t> </w:t>
      </w:r>
      <w:r w:rsidRPr="00130A96">
        <w:t>263</w:t>
      </w:r>
      <w:r w:rsidR="00042EAA">
        <w:t> </w:t>
      </w:r>
      <w:r w:rsidRPr="00130A96">
        <w:t xml:space="preserve">pacientų buvo </w:t>
      </w:r>
      <w:r w:rsidR="00042EAA">
        <w:t>atsitiktinai suskirstyti</w:t>
      </w:r>
      <w:r w:rsidRPr="00130A96">
        <w:t xml:space="preserve"> vartoti 10</w:t>
      </w:r>
      <w:r w:rsidR="00873FCC">
        <w:t> mg</w:t>
      </w:r>
      <w:r w:rsidRPr="00130A96">
        <w:t xml:space="preserve"> dapagliflozino ir 3</w:t>
      </w:r>
      <w:r w:rsidR="00042EAA">
        <w:t> </w:t>
      </w:r>
      <w:r w:rsidRPr="00130A96">
        <w:t>132 – placeb</w:t>
      </w:r>
      <w:r w:rsidR="00042EAA">
        <w:t>o</w:t>
      </w:r>
      <w:r w:rsidRPr="00130A96">
        <w:t>. Stebėjimo laikotarpio mediana buvo 28</w:t>
      </w:r>
      <w:r w:rsidR="00042EAA">
        <w:t> </w:t>
      </w:r>
      <w:r w:rsidRPr="00130A96">
        <w:t>mėnesiai. 654</w:t>
      </w:r>
      <w:r w:rsidR="001D25C8">
        <w:t> </w:t>
      </w:r>
      <w:r w:rsidRPr="00130A96">
        <w:t>tyrime dalyvavę pacientai (10</w:t>
      </w:r>
      <w:r w:rsidR="00873FCC">
        <w:t> %</w:t>
      </w:r>
      <w:r w:rsidRPr="00130A96">
        <w:t xml:space="preserve">) sirgo </w:t>
      </w:r>
      <w:proofErr w:type="spellStart"/>
      <w:r w:rsidRPr="00130A96">
        <w:t>poūmiu</w:t>
      </w:r>
      <w:proofErr w:type="spellEnd"/>
      <w:r w:rsidRPr="00130A96">
        <w:t xml:space="preserve"> širdies nepakankamumu (buvo </w:t>
      </w:r>
      <w:r w:rsidR="004E0257" w:rsidRPr="004E0257">
        <w:t xml:space="preserve">priskirti atsitiktinei imčiai </w:t>
      </w:r>
      <w:r w:rsidRPr="00130A96">
        <w:t>hospitalizacijos dėl širdies nepakankamumo metu arba per 30</w:t>
      </w:r>
      <w:r w:rsidR="004E0257">
        <w:t> </w:t>
      </w:r>
      <w:r w:rsidRPr="00130A96">
        <w:t xml:space="preserve">dienų po </w:t>
      </w:r>
      <w:r w:rsidR="004E0257">
        <w:t>išleidimo iš ligoninės</w:t>
      </w:r>
      <w:r w:rsidRPr="00130A96">
        <w:t>). Vidutinis tirtų pacientų amžius buvo 72</w:t>
      </w:r>
      <w:r w:rsidR="004E0257">
        <w:t> </w:t>
      </w:r>
      <w:r w:rsidRPr="00130A96">
        <w:t>metai, 56</w:t>
      </w:r>
      <w:r w:rsidR="00873FCC">
        <w:t> %</w:t>
      </w:r>
      <w:r w:rsidRPr="00130A96">
        <w:t xml:space="preserve"> sudarė vyrai.</w:t>
      </w:r>
    </w:p>
    <w:p w14:paraId="6D869580" w14:textId="77777777" w:rsidR="00C0147E" w:rsidRPr="00130A96" w:rsidRDefault="00C0147E" w:rsidP="00130A96">
      <w:pPr>
        <w:pStyle w:val="Pagrindinistekstas"/>
      </w:pPr>
    </w:p>
    <w:p w14:paraId="6D869581" w14:textId="636385F2" w:rsidR="00C0147E" w:rsidRPr="00130A96" w:rsidRDefault="001175EF" w:rsidP="00130A96">
      <w:pPr>
        <w:pStyle w:val="Pagrindinistekstas"/>
      </w:pPr>
      <w:r w:rsidRPr="00130A96">
        <w:t>Iš pradžių 75</w:t>
      </w:r>
      <w:r w:rsidR="00873FCC">
        <w:t> %</w:t>
      </w:r>
      <w:r w:rsidRPr="00130A96">
        <w:t xml:space="preserve"> pacientų sirgo NYHA II</w:t>
      </w:r>
      <w:r w:rsidR="004E0257">
        <w:t> </w:t>
      </w:r>
      <w:r w:rsidRPr="00130A96">
        <w:t>klasės, 24</w:t>
      </w:r>
      <w:r w:rsidR="00873FCC">
        <w:t> %</w:t>
      </w:r>
      <w:r w:rsidRPr="00130A96">
        <w:t xml:space="preserve"> – III</w:t>
      </w:r>
      <w:r w:rsidR="004E0257">
        <w:t> </w:t>
      </w:r>
      <w:r w:rsidRPr="00130A96">
        <w:t>klasės ir 0,3</w:t>
      </w:r>
      <w:r w:rsidR="00873FCC">
        <w:t> %</w:t>
      </w:r>
      <w:r w:rsidRPr="00130A96">
        <w:t xml:space="preserve"> – IV</w:t>
      </w:r>
      <w:r w:rsidR="004E0257">
        <w:t> </w:t>
      </w:r>
      <w:r w:rsidRPr="00130A96">
        <w:t xml:space="preserve">klasės širdies nepakankamumu. </w:t>
      </w:r>
      <w:r w:rsidRPr="004E0257">
        <w:rPr>
          <w:i/>
          <w:iCs/>
        </w:rPr>
        <w:t>LVEF</w:t>
      </w:r>
      <w:r w:rsidRPr="00130A96">
        <w:t xml:space="preserve"> mediana buvo 54</w:t>
      </w:r>
      <w:r w:rsidR="00873FCC">
        <w:t> %</w:t>
      </w:r>
      <w:r w:rsidRPr="00130A96">
        <w:t>, 34</w:t>
      </w:r>
      <w:r w:rsidR="00873FCC">
        <w:t> %</w:t>
      </w:r>
      <w:r w:rsidRPr="00130A96">
        <w:t xml:space="preserve"> pacientų </w:t>
      </w:r>
      <w:r w:rsidRPr="004E0257">
        <w:rPr>
          <w:i/>
          <w:iCs/>
        </w:rPr>
        <w:t>LVEF</w:t>
      </w:r>
      <w:r w:rsidRPr="00130A96">
        <w:t xml:space="preserve"> buvo </w:t>
      </w:r>
      <w:r w:rsidR="00D54BC0">
        <w:t>≤ </w:t>
      </w:r>
      <w:r w:rsidRPr="00130A96">
        <w:t>49</w:t>
      </w:r>
      <w:r w:rsidR="00873FCC">
        <w:t> %</w:t>
      </w:r>
      <w:r w:rsidRPr="00130A96">
        <w:t>, 36</w:t>
      </w:r>
      <w:r w:rsidR="00873FCC">
        <w:t> %</w:t>
      </w:r>
      <w:r w:rsidRPr="00130A96">
        <w:t xml:space="preserve"> – 50-59</w:t>
      </w:r>
      <w:r w:rsidR="00873FCC">
        <w:t> %</w:t>
      </w:r>
      <w:r w:rsidRPr="00130A96">
        <w:t xml:space="preserve"> ir 30</w:t>
      </w:r>
      <w:r w:rsidR="00873FCC">
        <w:t> %</w:t>
      </w:r>
      <w:r w:rsidRPr="00130A96">
        <w:t xml:space="preserve"> –</w:t>
      </w:r>
      <w:r w:rsidR="007F0ACC" w:rsidRPr="0043767D">
        <w:t>≥</w:t>
      </w:r>
      <w:r w:rsidR="007F0ACC">
        <w:t> </w:t>
      </w:r>
      <w:r w:rsidRPr="00130A96">
        <w:t>60</w:t>
      </w:r>
      <w:r w:rsidR="00873FCC">
        <w:t> %</w:t>
      </w:r>
      <w:r w:rsidRPr="00130A96">
        <w:t>. Po 45</w:t>
      </w:r>
      <w:r w:rsidR="00873FCC">
        <w:t> %</w:t>
      </w:r>
      <w:r w:rsidRPr="00130A96">
        <w:t xml:space="preserve"> abejų grupių pacientų sirgo 2</w:t>
      </w:r>
      <w:r w:rsidR="00873FCC">
        <w:t> tipo</w:t>
      </w:r>
      <w:r w:rsidRPr="00130A96">
        <w:t xml:space="preserve"> cukriniu diabetu. </w:t>
      </w:r>
      <w:r w:rsidR="007F0ACC">
        <w:t>Tyrimo pradžioje</w:t>
      </w:r>
      <w:r w:rsidRPr="00130A96">
        <w:t xml:space="preserve"> tiriamieji vartojo </w:t>
      </w:r>
      <w:proofErr w:type="spellStart"/>
      <w:r w:rsidRPr="00130A96">
        <w:t>AKFi</w:t>
      </w:r>
      <w:proofErr w:type="spellEnd"/>
      <w:r w:rsidRPr="00130A96">
        <w:t>/ARB/ARNI (77</w:t>
      </w:r>
      <w:r w:rsidR="00873FCC">
        <w:t> %</w:t>
      </w:r>
      <w:r w:rsidRPr="00130A96">
        <w:t xml:space="preserve">), beta </w:t>
      </w:r>
      <w:proofErr w:type="spellStart"/>
      <w:r w:rsidRPr="00130A96">
        <w:t>adrenoblokatorių</w:t>
      </w:r>
      <w:proofErr w:type="spellEnd"/>
      <w:r w:rsidRPr="00130A96">
        <w:t xml:space="preserve"> (83</w:t>
      </w:r>
      <w:r w:rsidR="00873FCC">
        <w:t> %</w:t>
      </w:r>
      <w:r w:rsidRPr="00130A96">
        <w:t>), diuretikų (98</w:t>
      </w:r>
      <w:r w:rsidR="00873FCC">
        <w:t> %</w:t>
      </w:r>
      <w:r w:rsidRPr="00130A96">
        <w:t>) ir MRA (43</w:t>
      </w:r>
      <w:r w:rsidR="00873FCC">
        <w:t> %</w:t>
      </w:r>
      <w:r w:rsidRPr="00130A96">
        <w:t>).</w:t>
      </w:r>
    </w:p>
    <w:p w14:paraId="6D869582" w14:textId="77777777" w:rsidR="00C0147E" w:rsidRPr="00130A96" w:rsidRDefault="00C0147E" w:rsidP="00130A96">
      <w:pPr>
        <w:pStyle w:val="Pagrindinistekstas"/>
      </w:pPr>
    </w:p>
    <w:p w14:paraId="6D869583" w14:textId="74801D7B" w:rsidR="00C0147E" w:rsidRPr="00130A96" w:rsidRDefault="001175EF" w:rsidP="00130A96">
      <w:pPr>
        <w:pStyle w:val="Pagrindinistekstas"/>
      </w:pPr>
      <w:r w:rsidRPr="00130A96">
        <w:t xml:space="preserve">Vidutinis </w:t>
      </w:r>
      <w:proofErr w:type="spellStart"/>
      <w:r w:rsidRPr="00130A96">
        <w:t>aGFG</w:t>
      </w:r>
      <w:proofErr w:type="spellEnd"/>
      <w:r w:rsidRPr="00130A96">
        <w:t xml:space="preserve"> buvo 61</w:t>
      </w:r>
      <w:r w:rsidR="00873FCC">
        <w:t> ml/</w:t>
      </w:r>
      <w:r w:rsidRPr="00130A96">
        <w:t>min/1,73 m</w:t>
      </w:r>
      <w:r w:rsidRPr="00130A96">
        <w:rPr>
          <w:vertAlign w:val="superscript"/>
        </w:rPr>
        <w:t>2</w:t>
      </w:r>
      <w:r w:rsidRPr="00130A96">
        <w:t>, 49</w:t>
      </w:r>
      <w:r w:rsidR="00873FCC">
        <w:t> %</w:t>
      </w:r>
      <w:r w:rsidRPr="00130A96">
        <w:t xml:space="preserve"> pacientų </w:t>
      </w:r>
      <w:proofErr w:type="spellStart"/>
      <w:r w:rsidRPr="00130A96">
        <w:t>aGFG</w:t>
      </w:r>
      <w:proofErr w:type="spellEnd"/>
      <w:r w:rsidRPr="00130A96">
        <w:t xml:space="preserve"> buvo </w:t>
      </w:r>
      <w:r w:rsidR="00873FCC">
        <w:t>&lt; </w:t>
      </w:r>
      <w:r w:rsidRPr="00130A96">
        <w:t>60</w:t>
      </w:r>
      <w:r w:rsidR="00873FCC">
        <w:t> ml/</w:t>
      </w:r>
      <w:r w:rsidRPr="00130A96">
        <w:t>min/1,73 m</w:t>
      </w:r>
      <w:r w:rsidRPr="00130A96">
        <w:rPr>
          <w:vertAlign w:val="superscript"/>
        </w:rPr>
        <w:t>2</w:t>
      </w:r>
      <w:r w:rsidRPr="00130A96">
        <w:t>, 23</w:t>
      </w:r>
      <w:r w:rsidR="00873FCC">
        <w:t> %</w:t>
      </w:r>
      <w:r w:rsidRPr="00130A96">
        <w:t xml:space="preserve"> pacientų </w:t>
      </w:r>
      <w:r w:rsidR="00873FCC">
        <w:t>&lt; </w:t>
      </w:r>
      <w:r w:rsidRPr="00130A96">
        <w:t>45</w:t>
      </w:r>
      <w:r w:rsidR="00873FCC">
        <w:t> ml/</w:t>
      </w:r>
      <w:r w:rsidRPr="00130A96">
        <w:t>min/1,73 m</w:t>
      </w:r>
      <w:r w:rsidRPr="00130A96">
        <w:rPr>
          <w:vertAlign w:val="superscript"/>
        </w:rPr>
        <w:t>2</w:t>
      </w:r>
      <w:r w:rsidRPr="00130A96">
        <w:t xml:space="preserve"> ir 3</w:t>
      </w:r>
      <w:r w:rsidR="00873FCC">
        <w:t> %</w:t>
      </w:r>
      <w:r w:rsidRPr="00130A96">
        <w:t xml:space="preserve"> pacientų </w:t>
      </w:r>
      <w:r w:rsidR="00873FCC">
        <w:t>&lt; </w:t>
      </w:r>
      <w:r w:rsidRPr="00130A96">
        <w:t>30</w:t>
      </w:r>
      <w:r w:rsidR="00873FCC">
        <w:t> ml/</w:t>
      </w:r>
      <w:r w:rsidRPr="00130A96">
        <w:t>min/1,73 m</w:t>
      </w:r>
      <w:r w:rsidRPr="00130A96">
        <w:rPr>
          <w:vertAlign w:val="superscript"/>
        </w:rPr>
        <w:t>2</w:t>
      </w:r>
      <w:r w:rsidRPr="00130A96">
        <w:t>.</w:t>
      </w:r>
    </w:p>
    <w:p w14:paraId="6D869584" w14:textId="77777777" w:rsidR="00C0147E" w:rsidRPr="00130A96" w:rsidRDefault="00C0147E" w:rsidP="00130A96">
      <w:pPr>
        <w:pStyle w:val="Pagrindinistekstas"/>
      </w:pPr>
    </w:p>
    <w:p w14:paraId="6D869585" w14:textId="0042CB37" w:rsidR="00C0147E" w:rsidRDefault="001175EF" w:rsidP="00130A96">
      <w:pPr>
        <w:pStyle w:val="Pagrindinistekstas"/>
      </w:pPr>
      <w:r w:rsidRPr="00130A96">
        <w:t>Vartojant dapagliflozin</w:t>
      </w:r>
      <w:r w:rsidR="003170B7">
        <w:t>o</w:t>
      </w:r>
      <w:r w:rsidRPr="00130A96">
        <w:t>, palyginus su placebu, sumažėjo pagrindinės sudėtinės baigties (mirties</w:t>
      </w:r>
      <w:r w:rsidR="0038735D">
        <w:t xml:space="preserve"> nuo širdies ir kraujagyslių ligų</w:t>
      </w:r>
      <w:r w:rsidRPr="00130A96">
        <w:t xml:space="preserve">, hospitalizavimo </w:t>
      </w:r>
      <w:r w:rsidR="003170B7">
        <w:t xml:space="preserve">dėl </w:t>
      </w:r>
      <w:r w:rsidRPr="00130A96">
        <w:t>širdies nepakankamumo ar skubaus vizito dėl širdies nepakankamumo) rizika (</w:t>
      </w:r>
      <w:r w:rsidR="003170B7">
        <w:t>RS</w:t>
      </w:r>
      <w:r w:rsidRPr="00130A96">
        <w:t xml:space="preserve"> 0,82 [95</w:t>
      </w:r>
      <w:r w:rsidR="00873FCC">
        <w:t> %</w:t>
      </w:r>
      <w:r w:rsidRPr="00130A96">
        <w:t xml:space="preserve"> PI – 0,73, 0,92], p</w:t>
      </w:r>
      <w:r w:rsidR="00873FCC">
        <w:t> = </w:t>
      </w:r>
      <w:r w:rsidRPr="00130A96">
        <w:t>0,0008) (5 pav.).</w:t>
      </w:r>
    </w:p>
    <w:p w14:paraId="2C52052E" w14:textId="77777777" w:rsidR="00C12237" w:rsidRPr="00130A96" w:rsidRDefault="00C12237" w:rsidP="00130A96">
      <w:pPr>
        <w:pStyle w:val="Pagrindinistekstas"/>
      </w:pPr>
    </w:p>
    <w:p w14:paraId="6D869586" w14:textId="1D7AAA64" w:rsidR="00C0147E" w:rsidRPr="00130A96" w:rsidRDefault="00C12237" w:rsidP="003170B7">
      <w:pPr>
        <w:pStyle w:val="Antrat2"/>
        <w:keepNext/>
        <w:tabs>
          <w:tab w:val="left" w:pos="450"/>
        </w:tabs>
        <w:ind w:left="0"/>
      </w:pPr>
      <w:r>
        <w:t>5</w:t>
      </w:r>
      <w:r w:rsidR="003170B7">
        <w:t> </w:t>
      </w:r>
      <w:r w:rsidR="001175EF" w:rsidRPr="00130A96">
        <w:t>pav.</w:t>
      </w:r>
      <w:r w:rsidR="003170B7">
        <w:t>:</w:t>
      </w:r>
      <w:r w:rsidR="001175EF" w:rsidRPr="00130A96">
        <w:t xml:space="preserve"> Laikas iki pirmojo sudėtinės baigties –</w:t>
      </w:r>
      <w:r w:rsidR="008A1F8C">
        <w:t xml:space="preserve"> </w:t>
      </w:r>
      <w:r w:rsidR="001175EF" w:rsidRPr="00130A96">
        <w:t>mirties</w:t>
      </w:r>
      <w:r w:rsidR="0038735D">
        <w:t xml:space="preserve"> nuo širdies ir kraujagyslių ligų</w:t>
      </w:r>
      <w:r w:rsidR="001175EF" w:rsidRPr="00130A96">
        <w:t>, hospitalizacijos dėl širdies nepakankamumo ar skubaus vizito dėl širdies nepakankamumo – atvejo</w:t>
      </w:r>
    </w:p>
    <w:p w14:paraId="6D869588" w14:textId="659B0238" w:rsidR="00C0147E" w:rsidRPr="00130A96" w:rsidRDefault="00BF3150" w:rsidP="00130A96">
      <w:pPr>
        <w:pStyle w:val="Pagrindinistekstas"/>
        <w:rPr>
          <w:b/>
        </w:rPr>
      </w:pPr>
      <w:r>
        <w:rPr>
          <w:noProof/>
          <w:sz w:val="24"/>
          <w:szCs w:val="24"/>
          <w:lang w:val="en-US"/>
        </w:rPr>
        <mc:AlternateContent>
          <mc:Choice Requires="wps">
            <w:drawing>
              <wp:anchor distT="0" distB="0" distL="114300" distR="114300" simplePos="0" relativeHeight="251668992" behindDoc="0" locked="0" layoutInCell="1" allowOverlap="1" wp14:anchorId="3AB78B61" wp14:editId="4F9A5893">
                <wp:simplePos x="0" y="0"/>
                <wp:positionH relativeFrom="column">
                  <wp:posOffset>3138220</wp:posOffset>
                </wp:positionH>
                <wp:positionV relativeFrom="paragraph">
                  <wp:posOffset>2038960</wp:posOffset>
                </wp:positionV>
                <wp:extent cx="315595" cy="186690"/>
                <wp:effectExtent l="0" t="0" r="8255" b="3810"/>
                <wp:wrapNone/>
                <wp:docPr id="7425739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ED0F2" w14:textId="77777777" w:rsidR="00BF3150" w:rsidRDefault="00BF3150" w:rsidP="00BF3150">
                            <w:pPr>
                              <w:jc w:val="right"/>
                              <w:rPr>
                                <w:b/>
                                <w:bCs/>
                                <w:sz w:val="12"/>
                                <w:szCs w:val="12"/>
                              </w:rPr>
                            </w:pPr>
                            <w:r>
                              <w:rPr>
                                <w:b/>
                                <w:bCs/>
                                <w:sz w:val="12"/>
                                <w:szCs w:val="12"/>
                              </w:rPr>
                              <w:t>RS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78B61" id="_x0000_s1036" type="#_x0000_t202" style="position:absolute;margin-left:247.1pt;margin-top:160.55pt;width:24.85pt;height:14.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" stroked="f">
                <v:textbox>
                  <w:txbxContent>
                    <w:p w14:paraId="39AED0F2" w14:textId="77777777" w:rsidR="00BF3150" w:rsidRDefault="00BF3150" w:rsidP="00BF3150">
                      <w:pPr>
                        <w:jc w:val="right"/>
                        <w:rPr>
                          <w:b/>
                          <w:bCs/>
                          <w:sz w:val="12"/>
                          <w:szCs w:val="12"/>
                        </w:rPr>
                      </w:pPr>
                      <w:r>
                        <w:rPr>
                          <w:b/>
                          <w:bCs/>
                          <w:sz w:val="12"/>
                          <w:szCs w:val="12"/>
                        </w:rPr>
                        <w:t>RS</w:t>
                      </w:r>
                    </w:p>
                  </w:txbxContent>
                </v:textbox>
              </v:shape>
            </w:pict>
          </mc:Fallback>
        </mc:AlternateContent>
      </w:r>
      <w:r w:rsidR="00440D0D" w:rsidRPr="00440D0D">
        <w:rPr>
          <w:b/>
          <w:noProof/>
        </w:rPr>
        <w:drawing>
          <wp:inline distT="0" distB="0" distL="0" distR="0" wp14:anchorId="09F797C1" wp14:editId="5E26491A">
            <wp:extent cx="6033770" cy="3262630"/>
            <wp:effectExtent l="0" t="0" r="5080" b="0"/>
            <wp:docPr id="893326067"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26067" name="Picture 1" descr="A graph with lines and numbers&#10;&#10;AI-generated content may be incorrect."/>
                    <pic:cNvPicPr/>
                  </pic:nvPicPr>
                  <pic:blipFill>
                    <a:blip r:embed="rId14"/>
                    <a:stretch>
                      <a:fillRect/>
                    </a:stretch>
                  </pic:blipFill>
                  <pic:spPr>
                    <a:xfrm>
                      <a:off x="0" y="0"/>
                      <a:ext cx="6033770" cy="3262630"/>
                    </a:xfrm>
                    <a:prstGeom prst="rect">
                      <a:avLst/>
                    </a:prstGeom>
                  </pic:spPr>
                </pic:pic>
              </a:graphicData>
            </a:graphic>
          </wp:inline>
        </w:drawing>
      </w:r>
    </w:p>
    <w:p w14:paraId="6D86959C" w14:textId="77777777" w:rsidR="00C0147E" w:rsidRPr="00130A96" w:rsidRDefault="00C0147E" w:rsidP="00130A96">
      <w:pPr>
        <w:pStyle w:val="Pagrindinistekstas"/>
        <w:rPr>
          <w:b/>
        </w:rPr>
      </w:pPr>
    </w:p>
    <w:p w14:paraId="6D86959E" w14:textId="1BB557F2" w:rsidR="00C0147E" w:rsidRPr="00E177E1" w:rsidRDefault="001175EF" w:rsidP="00130A96">
      <w:pPr>
        <w:rPr>
          <w:sz w:val="18"/>
          <w:szCs w:val="18"/>
        </w:rPr>
      </w:pPr>
      <w:r w:rsidRPr="00E177E1">
        <w:rPr>
          <w:sz w:val="18"/>
          <w:szCs w:val="18"/>
        </w:rPr>
        <w:t>Skubus vizitas dėl širdies nepakankamumo apibrėžtas kaip skubus neplanuotas gydytojo ištyrimas (pvz., skubiosios pagalbos</w:t>
      </w:r>
      <w:r w:rsidR="00020D70" w:rsidRPr="00E177E1">
        <w:rPr>
          <w:sz w:val="18"/>
          <w:szCs w:val="18"/>
        </w:rPr>
        <w:t xml:space="preserve"> </w:t>
      </w:r>
      <w:r w:rsidR="00873FCC" w:rsidRPr="00E177E1">
        <w:rPr>
          <w:sz w:val="18"/>
          <w:szCs w:val="18"/>
        </w:rPr>
        <w:t>skyriuje</w:t>
      </w:r>
      <w:r w:rsidRPr="00E177E1">
        <w:rPr>
          <w:sz w:val="18"/>
          <w:szCs w:val="18"/>
        </w:rPr>
        <w:t>), kai reikėjo gydymo dėl pasunkėjusio širdies nepakankamumo (kitokio negu vien geriamųjų diuretikų dozės padidinimas).</w:t>
      </w:r>
    </w:p>
    <w:p w14:paraId="6D86959F" w14:textId="33F405B6" w:rsidR="00C0147E" w:rsidRPr="00E177E1" w:rsidRDefault="001175EF" w:rsidP="00130A96">
      <w:pPr>
        <w:rPr>
          <w:sz w:val="18"/>
          <w:szCs w:val="18"/>
        </w:rPr>
      </w:pPr>
      <w:r w:rsidRPr="00E177E1">
        <w:rPr>
          <w:sz w:val="18"/>
          <w:szCs w:val="18"/>
        </w:rPr>
        <w:t>Pacientų su rizika skaičius nurodytas gydymo pradžioje.</w:t>
      </w:r>
    </w:p>
    <w:p w14:paraId="6D8695A0" w14:textId="6757B58A" w:rsidR="00C0147E" w:rsidRPr="00130A96" w:rsidRDefault="00F96E32" w:rsidP="00F96E32">
      <w:r>
        <w:br w:type="page"/>
      </w:r>
    </w:p>
    <w:p w14:paraId="6D8695A1" w14:textId="7CA68AEF" w:rsidR="00C0147E" w:rsidRPr="00130A96" w:rsidRDefault="00440D0D" w:rsidP="00440D0D">
      <w:pPr>
        <w:pStyle w:val="Sraopastraipa"/>
        <w:tabs>
          <w:tab w:val="left" w:pos="450"/>
        </w:tabs>
        <w:ind w:left="0" w:firstLine="0"/>
      </w:pPr>
      <w:r>
        <w:lastRenderedPageBreak/>
        <w:t>6</w:t>
      </w:r>
      <w:r w:rsidR="00E177E1">
        <w:t> </w:t>
      </w:r>
      <w:r w:rsidR="001175EF" w:rsidRPr="00130A96">
        <w:t>pav. pavaizduota visų 3</w:t>
      </w:r>
      <w:r w:rsidR="00E177E1">
        <w:t> </w:t>
      </w:r>
      <w:r w:rsidR="001175EF" w:rsidRPr="00130A96">
        <w:t>komponentų įtaka gydomojo poveikio pagrindinei sudėtinei baigčiai.</w:t>
      </w:r>
    </w:p>
    <w:p w14:paraId="60C5A02B" w14:textId="77777777" w:rsidR="00F96E32" w:rsidRDefault="00F96E32" w:rsidP="00130A96">
      <w:pPr>
        <w:pStyle w:val="Antrat2"/>
        <w:ind w:left="0"/>
      </w:pPr>
    </w:p>
    <w:p w14:paraId="6D8695A3" w14:textId="1162505B" w:rsidR="00C0147E" w:rsidRDefault="001175EF" w:rsidP="00130A96">
      <w:pPr>
        <w:pStyle w:val="Antrat2"/>
        <w:ind w:left="0"/>
      </w:pPr>
      <w:r w:rsidRPr="00130A96">
        <w:t>6</w:t>
      </w:r>
      <w:r w:rsidR="00E177E1">
        <w:t> </w:t>
      </w:r>
      <w:r w:rsidRPr="00130A96">
        <w:t>pav.</w:t>
      </w:r>
      <w:r w:rsidR="00E177E1">
        <w:t>:</w:t>
      </w:r>
      <w:r w:rsidRPr="00130A96">
        <w:t xml:space="preserve"> Gydomasis poveikis pagrindinei </w:t>
      </w:r>
      <w:r w:rsidR="0038735D">
        <w:t xml:space="preserve">vertinamajai </w:t>
      </w:r>
      <w:r w:rsidRPr="00130A96">
        <w:t>sudėtinei baigčiai ir jos komponentams</w:t>
      </w:r>
    </w:p>
    <w:p w14:paraId="7C9511F7" w14:textId="77777777" w:rsidR="003C0ADC" w:rsidRPr="00130A96" w:rsidRDefault="003C0ADC" w:rsidP="00130A96">
      <w:pPr>
        <w:pStyle w:val="Antrat2"/>
        <w:ind w:left="0"/>
      </w:pPr>
    </w:p>
    <w:p w14:paraId="6D8695A4" w14:textId="77777777" w:rsidR="00C0147E" w:rsidRPr="00130A96" w:rsidRDefault="001175EF" w:rsidP="00130A96">
      <w:pPr>
        <w:pStyle w:val="Pagrindinistekstas"/>
        <w:rPr>
          <w:b/>
        </w:rPr>
      </w:pPr>
      <w:r w:rsidRPr="00130A96">
        <w:rPr>
          <w:b/>
          <w:noProof/>
        </w:rPr>
        <w:drawing>
          <wp:inline distT="0" distB="0" distL="0" distR="0" wp14:anchorId="6D86994D" wp14:editId="3FBA5199">
            <wp:extent cx="5484515" cy="2920936"/>
            <wp:effectExtent l="0" t="0" r="1905" b="0"/>
            <wp:docPr id="14" name="Image 14" descr="Chart, box and whisker 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hart, box and whisker chart  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4515" cy="2920936"/>
                    </a:xfrm>
                    <a:prstGeom prst="rect">
                      <a:avLst/>
                    </a:prstGeom>
                  </pic:spPr>
                </pic:pic>
              </a:graphicData>
            </a:graphic>
          </wp:inline>
        </w:drawing>
      </w:r>
    </w:p>
    <w:p w14:paraId="6D8695A5" w14:textId="77777777" w:rsidR="00C0147E" w:rsidRPr="00130A96" w:rsidRDefault="00C0147E" w:rsidP="00130A96">
      <w:pPr>
        <w:pStyle w:val="Pagrindinistekstas"/>
        <w:rPr>
          <w:b/>
        </w:rPr>
      </w:pPr>
    </w:p>
    <w:p w14:paraId="6D8695A6" w14:textId="0B5FF8CF" w:rsidR="00C0147E" w:rsidRPr="00A3004A" w:rsidRDefault="001175EF" w:rsidP="00130A96">
      <w:pPr>
        <w:rPr>
          <w:sz w:val="18"/>
          <w:szCs w:val="18"/>
        </w:rPr>
      </w:pPr>
      <w:r w:rsidRPr="00A3004A">
        <w:rPr>
          <w:sz w:val="18"/>
          <w:szCs w:val="18"/>
        </w:rPr>
        <w:t>Skubus vizitas dėl širdies nepakankamumo apibrėžtas kaip skubus neplanuotas gydytojo ištyrimas (pvz., skubiosios pagalbos</w:t>
      </w:r>
      <w:r w:rsidR="00261F2F">
        <w:rPr>
          <w:sz w:val="18"/>
          <w:szCs w:val="18"/>
        </w:rPr>
        <w:t xml:space="preserve"> </w:t>
      </w:r>
      <w:r w:rsidR="00873FCC" w:rsidRPr="00A3004A">
        <w:rPr>
          <w:sz w:val="18"/>
          <w:szCs w:val="18"/>
        </w:rPr>
        <w:t>skyriuje</w:t>
      </w:r>
      <w:r w:rsidRPr="00A3004A">
        <w:rPr>
          <w:sz w:val="18"/>
          <w:szCs w:val="18"/>
        </w:rPr>
        <w:t>), kai reikėjo gydymo dėl pasunkėjusio širdies nepakankamumo (kitokio negu vien geriamųjų diuretikų dozės padidinimas).</w:t>
      </w:r>
    </w:p>
    <w:p w14:paraId="6D8695A7" w14:textId="77777777" w:rsidR="00C0147E" w:rsidRPr="00A3004A" w:rsidRDefault="001175EF" w:rsidP="00130A96">
      <w:pPr>
        <w:rPr>
          <w:sz w:val="18"/>
          <w:szCs w:val="18"/>
        </w:rPr>
      </w:pPr>
      <w:r w:rsidRPr="00A3004A">
        <w:rPr>
          <w:sz w:val="18"/>
          <w:szCs w:val="18"/>
        </w:rPr>
        <w:t>Kiekvieno komponento pirmųjų atvejų skaičius yra faktinis; jų suma neatitinka bendro sudėtinės baigties atvejų skaičiaus.</w:t>
      </w:r>
    </w:p>
    <w:p w14:paraId="713E5B1A" w14:textId="77777777" w:rsidR="00D41DF2" w:rsidRDefault="001175EF" w:rsidP="00130A96">
      <w:pPr>
        <w:rPr>
          <w:sz w:val="18"/>
          <w:szCs w:val="18"/>
        </w:rPr>
      </w:pPr>
      <w:r w:rsidRPr="00A3004A">
        <w:rPr>
          <w:sz w:val="18"/>
          <w:szCs w:val="18"/>
        </w:rPr>
        <w:t>Atvejų dažnis pateikiamas kaip jų patyrusių pacientų skaičius per 100 paciento stebėjimo metų.</w:t>
      </w:r>
    </w:p>
    <w:p w14:paraId="6D8695A8" w14:textId="1B7306FB" w:rsidR="00C0147E" w:rsidRPr="00A3004A" w:rsidRDefault="002C4CD2" w:rsidP="00130A96">
      <w:pPr>
        <w:rPr>
          <w:sz w:val="18"/>
          <w:szCs w:val="18"/>
        </w:rPr>
      </w:pPr>
      <w:r>
        <w:rPr>
          <w:sz w:val="18"/>
          <w:szCs w:val="18"/>
        </w:rPr>
        <w:t>M</w:t>
      </w:r>
      <w:r w:rsidR="001175EF" w:rsidRPr="00A3004A">
        <w:rPr>
          <w:sz w:val="18"/>
          <w:szCs w:val="18"/>
        </w:rPr>
        <w:t>irtis</w:t>
      </w:r>
      <w:r w:rsidR="00F02E9F">
        <w:rPr>
          <w:sz w:val="18"/>
          <w:szCs w:val="18"/>
        </w:rPr>
        <w:t xml:space="preserve"> </w:t>
      </w:r>
      <w:r w:rsidR="00F02E9F" w:rsidRPr="007E7DFC">
        <w:rPr>
          <w:sz w:val="18"/>
          <w:szCs w:val="18"/>
        </w:rPr>
        <w:t>nuo širdies ir kraujagyslių ligų</w:t>
      </w:r>
      <w:r w:rsidR="001175EF" w:rsidRPr="00A3004A">
        <w:rPr>
          <w:sz w:val="18"/>
          <w:szCs w:val="18"/>
        </w:rPr>
        <w:t>, kuri čia pateikiama kaip pagrindinės baigties komponentas, taip pat patikrinta kaip antrinė baigtis atlikus formalią 1</w:t>
      </w:r>
      <w:r w:rsidR="00873FCC" w:rsidRPr="00A3004A">
        <w:rPr>
          <w:sz w:val="18"/>
          <w:szCs w:val="18"/>
        </w:rPr>
        <w:t> tipo</w:t>
      </w:r>
      <w:r w:rsidR="001175EF" w:rsidRPr="00A3004A">
        <w:rPr>
          <w:sz w:val="18"/>
          <w:szCs w:val="18"/>
        </w:rPr>
        <w:t xml:space="preserve"> klaidos kontrolę.</w:t>
      </w:r>
    </w:p>
    <w:p w14:paraId="6D8695A9" w14:textId="77777777" w:rsidR="00C0147E" w:rsidRPr="00130A96" w:rsidRDefault="00C0147E" w:rsidP="00130A96">
      <w:pPr>
        <w:pStyle w:val="Pagrindinistekstas"/>
      </w:pPr>
    </w:p>
    <w:p w14:paraId="55B97C91" w14:textId="26DF9CA2" w:rsidR="007C7413" w:rsidRPr="007C7413" w:rsidRDefault="007C7413" w:rsidP="007C7413">
      <w:pPr>
        <w:pStyle w:val="Pagrindinistekstas"/>
      </w:pPr>
      <w:r w:rsidRPr="007C7413">
        <w:t>Dapagliflozinas, palyginti su placebu, sukėlė pranašesnį poveikį vertinant širdies nepakankamumo reiškinių (įskaitant pirmas ir pakartotines hospitalizacijas dėl širdies nepakankamumo bei skubius vizitus dėl širdies nepakankamumo) ir mirčių</w:t>
      </w:r>
      <w:r w:rsidR="00A20E0E">
        <w:t xml:space="preserve"> nuo širdies ir kraujagyslių ligų</w:t>
      </w:r>
      <w:r w:rsidRPr="007C7413">
        <w:t xml:space="preserve"> sumažėjimą; nustatyta 815 reiškinių dapagliflozino ir 1 057 – placebo grupėje, dažnio santykis – 0,77 [95 % PI 0,67, 0,89], p = 0,0003).</w:t>
      </w:r>
    </w:p>
    <w:p w14:paraId="62899CCB" w14:textId="77777777" w:rsidR="00440D0D" w:rsidRPr="00130A96" w:rsidRDefault="00440D0D" w:rsidP="00130A96">
      <w:pPr>
        <w:pStyle w:val="Pagrindinistekstas"/>
      </w:pPr>
    </w:p>
    <w:p w14:paraId="6D8695AC" w14:textId="0404FE86" w:rsidR="00C0147E" w:rsidRPr="00130A96" w:rsidRDefault="001175EF" w:rsidP="00130A96">
      <w:pPr>
        <w:pStyle w:val="Pagrindinistekstas"/>
      </w:pPr>
      <w:r w:rsidRPr="00130A96">
        <w:t xml:space="preserve">Dapagliflozino poveikio pagrindinei baigčiai pranašumas prieš placebą nustatytas </w:t>
      </w:r>
      <w:r w:rsidRPr="000E4F4C">
        <w:rPr>
          <w:i/>
          <w:iCs/>
        </w:rPr>
        <w:t>LVEF</w:t>
      </w:r>
      <w:r w:rsidRPr="00130A96">
        <w:t xml:space="preserve"> </w:t>
      </w:r>
      <w:r w:rsidR="00D54BC0">
        <w:t>≤ </w:t>
      </w:r>
      <w:r w:rsidRPr="00130A96">
        <w:t>49</w:t>
      </w:r>
      <w:r w:rsidR="00873FCC">
        <w:t> %</w:t>
      </w:r>
      <w:r w:rsidRPr="00130A96">
        <w:t>, 50</w:t>
      </w:r>
      <w:r w:rsidR="000E4F4C">
        <w:noBreakHyphen/>
      </w:r>
      <w:r w:rsidRPr="00130A96">
        <w:t>59</w:t>
      </w:r>
      <w:r w:rsidR="00873FCC">
        <w:t> %</w:t>
      </w:r>
      <w:r w:rsidRPr="00130A96">
        <w:t xml:space="preserve"> ir </w:t>
      </w:r>
      <w:r w:rsidR="00873FCC">
        <w:t>≥ </w:t>
      </w:r>
      <w:r w:rsidRPr="00130A96">
        <w:t>60</w:t>
      </w:r>
      <w:r w:rsidR="00873FCC">
        <w:t> %</w:t>
      </w:r>
      <w:r w:rsidRPr="00130A96">
        <w:t xml:space="preserve"> pogrupiuose. Jis nuosekliai atsikartojo ir kituose pagrindiniuose pogrupiuose, sudarytuose, pvz., pagal amžių, lytį, NYHA klasę, NT</w:t>
      </w:r>
      <w:r w:rsidR="009804C0">
        <w:noBreakHyphen/>
      </w:r>
      <w:proofErr w:type="spellStart"/>
      <w:r w:rsidRPr="00130A96">
        <w:t>proBNP</w:t>
      </w:r>
      <w:proofErr w:type="spellEnd"/>
      <w:r w:rsidRPr="00130A96">
        <w:t xml:space="preserve"> aktyvumą, atskirai paėmus </w:t>
      </w:r>
      <w:proofErr w:type="spellStart"/>
      <w:r w:rsidRPr="00130A96">
        <w:t>poūmius</w:t>
      </w:r>
      <w:proofErr w:type="spellEnd"/>
      <w:r w:rsidRPr="00130A96">
        <w:t xml:space="preserve"> atvejus ir 2</w:t>
      </w:r>
      <w:r w:rsidR="00873FCC">
        <w:t> tipo</w:t>
      </w:r>
      <w:r w:rsidRPr="00130A96">
        <w:t xml:space="preserve"> cukriniu diabetu sirgusius pacientus.</w:t>
      </w:r>
    </w:p>
    <w:p w14:paraId="6D8695AD" w14:textId="77777777" w:rsidR="00C0147E" w:rsidRPr="00130A96" w:rsidRDefault="00C0147E" w:rsidP="00130A96">
      <w:pPr>
        <w:pStyle w:val="Pagrindinistekstas"/>
      </w:pPr>
    </w:p>
    <w:p w14:paraId="6D8695AE" w14:textId="77777777" w:rsidR="00C0147E" w:rsidRPr="00130A96" w:rsidRDefault="001175EF" w:rsidP="00130A96">
      <w:pPr>
        <w:rPr>
          <w:i/>
        </w:rPr>
      </w:pPr>
      <w:r w:rsidRPr="00130A96">
        <w:rPr>
          <w:i/>
        </w:rPr>
        <w:t>Pacientų fiksuota baigtis – širdies nepakankamumo simptomai</w:t>
      </w:r>
    </w:p>
    <w:p w14:paraId="6D8695AF" w14:textId="4AD0E7C2" w:rsidR="00C0147E" w:rsidRPr="00130A96" w:rsidRDefault="001175EF" w:rsidP="00130A96">
      <w:pPr>
        <w:pStyle w:val="Pagrindinistekstas"/>
      </w:pPr>
      <w:r w:rsidRPr="00130A96">
        <w:t xml:space="preserve">Dapagliflozinas, palyginus su placebu, statistiškai reikšmingai palengvino širdies nepakankamumo simptomus įvertinus pagal </w:t>
      </w:r>
      <w:r w:rsidRPr="00CB3F9F">
        <w:rPr>
          <w:i/>
          <w:iCs/>
        </w:rPr>
        <w:t>KCCQ-TSS</w:t>
      </w:r>
      <w:r w:rsidRPr="00130A96">
        <w:t xml:space="preserve"> pokytį per pirmuosius 8</w:t>
      </w:r>
      <w:r w:rsidR="00CB3F9F">
        <w:t> </w:t>
      </w:r>
      <w:r w:rsidRPr="00130A96">
        <w:t>mėnesius (palankaus poveikis tikimybės santykis – 1,11 [95</w:t>
      </w:r>
      <w:r w:rsidR="00873FCC">
        <w:t> %</w:t>
      </w:r>
      <w:r w:rsidRPr="00130A96">
        <w:t xml:space="preserve"> PI – 1,03, 1,21], p</w:t>
      </w:r>
      <w:r w:rsidR="00873FCC">
        <w:t> = </w:t>
      </w:r>
      <w:r w:rsidRPr="00130A96">
        <w:t>0,0086). Įtakos šiems duomenims turėjo simptomų pasireiškimo suretėjimas ir simptomų palengvėjimas.</w:t>
      </w:r>
    </w:p>
    <w:p w14:paraId="6D8695B0" w14:textId="77777777" w:rsidR="00C0147E" w:rsidRPr="00130A96" w:rsidRDefault="00C0147E" w:rsidP="00130A96">
      <w:pPr>
        <w:pStyle w:val="Pagrindinistekstas"/>
      </w:pPr>
    </w:p>
    <w:p w14:paraId="6D8695B1" w14:textId="7002E2C2" w:rsidR="00C0147E" w:rsidRDefault="001175EF" w:rsidP="00130A96">
      <w:pPr>
        <w:pStyle w:val="Pagrindinistekstas"/>
      </w:pPr>
      <w:r w:rsidRPr="00130A96">
        <w:t>Nagrinėjant į gydymą reagavusių pacientų duomenis nustatyta, kad per pirmuosius 8</w:t>
      </w:r>
      <w:r w:rsidR="00FE34C3">
        <w:t> </w:t>
      </w:r>
      <w:r w:rsidRPr="00130A96">
        <w:t>mėnesius vidutiniškai (</w:t>
      </w:r>
      <w:r w:rsidR="00873FCC">
        <w:t>≥ </w:t>
      </w:r>
      <w:r w:rsidRPr="00130A96">
        <w:t>5</w:t>
      </w:r>
      <w:r w:rsidR="00FE34C3">
        <w:t> </w:t>
      </w:r>
      <w:r w:rsidRPr="00130A96">
        <w:t>balai) arba smarkiai (</w:t>
      </w:r>
      <w:r w:rsidR="00873FCC">
        <w:t>≥ </w:t>
      </w:r>
      <w:r w:rsidRPr="00130A96">
        <w:t>14</w:t>
      </w:r>
      <w:r w:rsidR="00FE34C3">
        <w:t> </w:t>
      </w:r>
      <w:r w:rsidRPr="00130A96">
        <w:t xml:space="preserve">balų) pablogėjo mažesnės dapagliflozino grupės pacientų dalies </w:t>
      </w:r>
      <w:r w:rsidRPr="00507E9E">
        <w:rPr>
          <w:i/>
          <w:iCs/>
        </w:rPr>
        <w:t>KCCQ-TSS</w:t>
      </w:r>
      <w:r w:rsidRPr="00130A96">
        <w:t xml:space="preserve"> rodiklis negu placebo. Vidutinį pablogėjimą patyrė 24,1</w:t>
      </w:r>
      <w:r w:rsidR="00873FCC">
        <w:t> %</w:t>
      </w:r>
      <w:r w:rsidRPr="00130A96">
        <w:t xml:space="preserve"> dapagliflozin</w:t>
      </w:r>
      <w:r w:rsidR="009A008C">
        <w:t>o</w:t>
      </w:r>
      <w:r w:rsidRPr="00130A96">
        <w:t xml:space="preserve"> ir 29,1</w:t>
      </w:r>
      <w:r w:rsidR="00873FCC">
        <w:t> %</w:t>
      </w:r>
      <w:r w:rsidRPr="00130A96">
        <w:t xml:space="preserve"> placeb</w:t>
      </w:r>
      <w:r w:rsidR="009A008C">
        <w:t>o</w:t>
      </w:r>
      <w:r w:rsidRPr="00130A96">
        <w:t xml:space="preserve"> vartojusių pacientų (šansų santykis – 0,78 [95</w:t>
      </w:r>
      <w:r w:rsidR="00873FCC">
        <w:t> %</w:t>
      </w:r>
      <w:r w:rsidRPr="00130A96">
        <w:t xml:space="preserve"> PI – 0,64, 0,95]), o didelį pablogėjimą – atitinkamai 13,5</w:t>
      </w:r>
      <w:r w:rsidR="00873FCC">
        <w:t> %</w:t>
      </w:r>
      <w:r w:rsidRPr="00130A96">
        <w:t xml:space="preserve"> ir 18,4</w:t>
      </w:r>
      <w:r w:rsidR="00873FCC">
        <w:t> %</w:t>
      </w:r>
      <w:r w:rsidRPr="00130A96">
        <w:t xml:space="preserve"> pacientų (šansų santykis – 0,70 [95</w:t>
      </w:r>
      <w:r w:rsidR="00873FCC">
        <w:t> %</w:t>
      </w:r>
      <w:r w:rsidRPr="00130A96">
        <w:t xml:space="preserve"> PI – 0,55, 0,88]). Pacientų, kurių būklė šiek tiek ar vidutiniškai (</w:t>
      </w:r>
      <w:r w:rsidR="00873FCC">
        <w:t>≥ </w:t>
      </w:r>
      <w:r w:rsidRPr="00130A96">
        <w:t>13</w:t>
      </w:r>
      <w:r w:rsidR="00FE34C3">
        <w:t> </w:t>
      </w:r>
      <w:r w:rsidRPr="00130A96">
        <w:t>balų) arba labai (</w:t>
      </w:r>
      <w:r w:rsidR="00873FCC">
        <w:t>≥ </w:t>
      </w:r>
      <w:r w:rsidRPr="00130A96">
        <w:t>17</w:t>
      </w:r>
      <w:r w:rsidR="00FE34C3">
        <w:t> </w:t>
      </w:r>
      <w:r w:rsidRPr="00130A96">
        <w:t>balų) pagerėjo, dalis tarp gydymo grupių nesiskyrė.</w:t>
      </w:r>
    </w:p>
    <w:p w14:paraId="4372D515" w14:textId="77777777" w:rsidR="00440D0D" w:rsidRPr="00130A96" w:rsidRDefault="00440D0D" w:rsidP="00130A96">
      <w:pPr>
        <w:pStyle w:val="Pagrindinistekstas"/>
      </w:pPr>
    </w:p>
    <w:p w14:paraId="6D8695B2" w14:textId="5867BC97" w:rsidR="00C0147E" w:rsidRPr="00130A96" w:rsidRDefault="001175EF" w:rsidP="00130A96">
      <w:pPr>
        <w:rPr>
          <w:i/>
        </w:rPr>
      </w:pPr>
      <w:r w:rsidRPr="00130A96">
        <w:rPr>
          <w:i/>
          <w:u w:val="single"/>
        </w:rPr>
        <w:t>Širdies nepakankamumas DAPA</w:t>
      </w:r>
      <w:r w:rsidR="003635E9">
        <w:rPr>
          <w:i/>
          <w:u w:val="single"/>
        </w:rPr>
        <w:noBreakHyphen/>
      </w:r>
      <w:r w:rsidRPr="00130A96">
        <w:rPr>
          <w:i/>
          <w:u w:val="single"/>
        </w:rPr>
        <w:t>HF ir DELIVER tyrimų metu</w:t>
      </w:r>
    </w:p>
    <w:p w14:paraId="6D8695B5" w14:textId="6B88B755" w:rsidR="00C0147E" w:rsidRPr="00130A96" w:rsidRDefault="001175EF" w:rsidP="00130A96">
      <w:pPr>
        <w:pStyle w:val="Pagrindinistekstas"/>
      </w:pPr>
      <w:r w:rsidRPr="00130A96">
        <w:t>Atlikus bendrą DAPA</w:t>
      </w:r>
      <w:r w:rsidR="003635E9">
        <w:noBreakHyphen/>
      </w:r>
      <w:r w:rsidRPr="00130A96">
        <w:t>HF ir DELIVER tyrimų analizę, sudėtinės vertinamosios baigties (mirties</w:t>
      </w:r>
      <w:r w:rsidR="00145FC0">
        <w:t xml:space="preserve"> nuo </w:t>
      </w:r>
      <w:r w:rsidR="00145FC0">
        <w:lastRenderedPageBreak/>
        <w:t>širdies ir kraujagyslių ligų</w:t>
      </w:r>
      <w:r w:rsidRPr="00130A96">
        <w:t>, hospitalizacijos dėl širdies nepakankamumo ar skubaus vizito dėl širdies</w:t>
      </w:r>
      <w:r w:rsidR="00440D0D">
        <w:t xml:space="preserve"> </w:t>
      </w:r>
      <w:r w:rsidRPr="00130A96">
        <w:t xml:space="preserve">nepakankamumo) </w:t>
      </w:r>
      <w:r w:rsidR="003635E9">
        <w:t>RS</w:t>
      </w:r>
      <w:r w:rsidRPr="00130A96">
        <w:t xml:space="preserve"> vartojant dapagliflozin</w:t>
      </w:r>
      <w:r w:rsidR="003635E9">
        <w:t>o</w:t>
      </w:r>
      <w:r w:rsidRPr="00130A96">
        <w:t xml:space="preserve"> ir placeb</w:t>
      </w:r>
      <w:r w:rsidR="003635E9">
        <w:t>o</w:t>
      </w:r>
      <w:r w:rsidRPr="00130A96">
        <w:t xml:space="preserve"> buvo 0,78 (95</w:t>
      </w:r>
      <w:r w:rsidR="00873FCC">
        <w:t> %</w:t>
      </w:r>
      <w:r w:rsidRPr="00130A96">
        <w:t xml:space="preserve"> PI – 0,72, 0,85</w:t>
      </w:r>
      <w:r w:rsidR="00C70237">
        <w:t>)</w:t>
      </w:r>
      <w:r w:rsidRPr="00130A96">
        <w:t>, p</w:t>
      </w:r>
      <w:r w:rsidR="00C70237">
        <w:t> </w:t>
      </w:r>
      <w:r w:rsidR="00873FCC">
        <w:t>&lt; </w:t>
      </w:r>
      <w:r w:rsidRPr="00130A96">
        <w:t xml:space="preserve">0,0001). Gydomasis poveikis nuosekliai pasireiškė visame </w:t>
      </w:r>
      <w:r w:rsidRPr="00C70237">
        <w:rPr>
          <w:i/>
          <w:iCs/>
        </w:rPr>
        <w:t>LVEF</w:t>
      </w:r>
      <w:r w:rsidRPr="00130A96">
        <w:t xml:space="preserve"> diapazone ir nesilpnėjo dėl </w:t>
      </w:r>
      <w:r w:rsidRPr="00C70237">
        <w:rPr>
          <w:i/>
          <w:iCs/>
        </w:rPr>
        <w:t>LVEF</w:t>
      </w:r>
      <w:r w:rsidRPr="00130A96">
        <w:t>.</w:t>
      </w:r>
    </w:p>
    <w:p w14:paraId="6D8695B6" w14:textId="77777777" w:rsidR="00C0147E" w:rsidRPr="00130A96" w:rsidRDefault="00C0147E" w:rsidP="00130A96">
      <w:pPr>
        <w:pStyle w:val="Pagrindinistekstas"/>
      </w:pPr>
    </w:p>
    <w:p w14:paraId="6D8695B7" w14:textId="76EE38D4" w:rsidR="00C0147E" w:rsidRDefault="001175EF" w:rsidP="00130A96">
      <w:pPr>
        <w:pStyle w:val="Pagrindinistekstas"/>
      </w:pPr>
      <w:r w:rsidRPr="00130A96">
        <w:t>Atlikus iš anksto nustatytą bendrą DAPA-HF ir DELIVER tyrimų analizę pacientų lygyje, dapagliflozinas, palyginus su placebu, sumažino mirties</w:t>
      </w:r>
      <w:r w:rsidR="00145FC0">
        <w:t xml:space="preserve"> nuo širdies ir kraujagyslių ligų</w:t>
      </w:r>
      <w:r w:rsidRPr="00130A96">
        <w:t xml:space="preserve"> riziką (</w:t>
      </w:r>
      <w:r w:rsidR="00F52C93">
        <w:t>RS</w:t>
      </w:r>
      <w:r w:rsidRPr="00130A96">
        <w:t xml:space="preserve"> – 0,85 [95</w:t>
      </w:r>
      <w:r w:rsidR="00873FCC">
        <w:t> %</w:t>
      </w:r>
      <w:r w:rsidRPr="00130A96">
        <w:t xml:space="preserve"> </w:t>
      </w:r>
      <w:r w:rsidR="003C0ADC">
        <w:br/>
      </w:r>
      <w:r w:rsidRPr="00130A96">
        <w:t>PI – 0,75, 0,96], p</w:t>
      </w:r>
      <w:r w:rsidR="00873FCC">
        <w:t> = </w:t>
      </w:r>
      <w:r w:rsidRPr="00130A96">
        <w:t>0,0115). Įtakos šiam poveikiui turėjo abiejų tyrimų duomenys.</w:t>
      </w:r>
    </w:p>
    <w:p w14:paraId="3BFA49F6" w14:textId="77777777" w:rsidR="00440D0D" w:rsidRPr="00130A96" w:rsidRDefault="00440D0D" w:rsidP="00130A96">
      <w:pPr>
        <w:pStyle w:val="Pagrindinistekstas"/>
      </w:pPr>
    </w:p>
    <w:p w14:paraId="6D8695B8" w14:textId="77777777" w:rsidR="00C0147E" w:rsidRPr="00130A96" w:rsidRDefault="001175EF" w:rsidP="00130A96">
      <w:pPr>
        <w:pStyle w:val="Pagrindinistekstas"/>
      </w:pPr>
      <w:r w:rsidRPr="00130A96">
        <w:rPr>
          <w:u w:val="single"/>
        </w:rPr>
        <w:t>Lėtinė inkstų liga</w:t>
      </w:r>
    </w:p>
    <w:p w14:paraId="6D8695B9" w14:textId="77777777" w:rsidR="00C0147E" w:rsidRPr="00130A96" w:rsidRDefault="00C0147E" w:rsidP="00130A96">
      <w:pPr>
        <w:pStyle w:val="Pagrindinistekstas"/>
      </w:pPr>
    </w:p>
    <w:p w14:paraId="6D8695BB" w14:textId="25B41937" w:rsidR="00C0147E" w:rsidRPr="00130A96" w:rsidRDefault="001175EF" w:rsidP="00440D0D">
      <w:r w:rsidRPr="00130A96">
        <w:t xml:space="preserve">Dapagliflozino poveikio lėtine inkstų liga sergančių pacientų </w:t>
      </w:r>
      <w:r w:rsidR="00E528D2">
        <w:t xml:space="preserve">mirtingumui nuo </w:t>
      </w:r>
      <w:r w:rsidRPr="00130A96">
        <w:t xml:space="preserve">inkstų </w:t>
      </w:r>
      <w:r w:rsidR="00E528D2">
        <w:t xml:space="preserve">bei širdies ir kraujagyslių ligų </w:t>
      </w:r>
      <w:r w:rsidRPr="00130A96">
        <w:t xml:space="preserve">tyrimas (angl. </w:t>
      </w:r>
      <w:proofErr w:type="spellStart"/>
      <w:r w:rsidRPr="00130A96">
        <w:rPr>
          <w:i/>
        </w:rPr>
        <w:t>The</w:t>
      </w:r>
      <w:proofErr w:type="spellEnd"/>
      <w:r w:rsidRPr="00130A96">
        <w:rPr>
          <w:i/>
        </w:rPr>
        <w:t xml:space="preserve"> </w:t>
      </w:r>
      <w:proofErr w:type="spellStart"/>
      <w:r w:rsidRPr="00130A96">
        <w:rPr>
          <w:i/>
        </w:rPr>
        <w:t>Study</w:t>
      </w:r>
      <w:proofErr w:type="spellEnd"/>
      <w:r w:rsidRPr="00130A96">
        <w:rPr>
          <w:i/>
        </w:rPr>
        <w:t xml:space="preserve"> to </w:t>
      </w:r>
      <w:proofErr w:type="spellStart"/>
      <w:r w:rsidRPr="00130A96">
        <w:rPr>
          <w:i/>
        </w:rPr>
        <w:t>Evaluate</w:t>
      </w:r>
      <w:proofErr w:type="spellEnd"/>
      <w:r w:rsidRPr="00130A96">
        <w:rPr>
          <w:i/>
        </w:rPr>
        <w:t xml:space="preserve"> </w:t>
      </w:r>
      <w:proofErr w:type="spellStart"/>
      <w:r w:rsidRPr="00130A96">
        <w:rPr>
          <w:i/>
        </w:rPr>
        <w:t>the</w:t>
      </w:r>
      <w:proofErr w:type="spellEnd"/>
      <w:r w:rsidRPr="00130A96">
        <w:rPr>
          <w:i/>
        </w:rPr>
        <w:t xml:space="preserve"> </w:t>
      </w:r>
      <w:proofErr w:type="spellStart"/>
      <w:r w:rsidRPr="00130A96">
        <w:rPr>
          <w:i/>
        </w:rPr>
        <w:t>Effect</w:t>
      </w:r>
      <w:proofErr w:type="spellEnd"/>
      <w:r w:rsidRPr="00130A96">
        <w:rPr>
          <w:i/>
        </w:rPr>
        <w:t xml:space="preserve"> </w:t>
      </w:r>
      <w:proofErr w:type="spellStart"/>
      <w:r w:rsidRPr="00130A96">
        <w:rPr>
          <w:i/>
        </w:rPr>
        <w:t>of</w:t>
      </w:r>
      <w:proofErr w:type="spellEnd"/>
      <w:r w:rsidRPr="00130A96">
        <w:rPr>
          <w:i/>
        </w:rPr>
        <w:t xml:space="preserve"> </w:t>
      </w:r>
      <w:proofErr w:type="spellStart"/>
      <w:r w:rsidRPr="00130A96">
        <w:rPr>
          <w:i/>
        </w:rPr>
        <w:t>Dapagliflozin</w:t>
      </w:r>
      <w:proofErr w:type="spellEnd"/>
      <w:r w:rsidRPr="00130A96">
        <w:rPr>
          <w:i/>
        </w:rPr>
        <w:t xml:space="preserve"> </w:t>
      </w:r>
      <w:proofErr w:type="spellStart"/>
      <w:r w:rsidRPr="00130A96">
        <w:rPr>
          <w:i/>
        </w:rPr>
        <w:t>on</w:t>
      </w:r>
      <w:proofErr w:type="spellEnd"/>
      <w:r w:rsidRPr="00130A96">
        <w:rPr>
          <w:i/>
        </w:rPr>
        <w:t xml:space="preserve"> </w:t>
      </w:r>
      <w:proofErr w:type="spellStart"/>
      <w:r w:rsidRPr="00130A96">
        <w:rPr>
          <w:i/>
        </w:rPr>
        <w:t>Renal</w:t>
      </w:r>
      <w:proofErr w:type="spellEnd"/>
      <w:r w:rsidRPr="00130A96">
        <w:rPr>
          <w:i/>
        </w:rPr>
        <w:t xml:space="preserve"> </w:t>
      </w:r>
      <w:proofErr w:type="spellStart"/>
      <w:r w:rsidRPr="00130A96">
        <w:rPr>
          <w:i/>
        </w:rPr>
        <w:t>Outcomes</w:t>
      </w:r>
      <w:proofErr w:type="spellEnd"/>
      <w:r w:rsidRPr="00130A96">
        <w:rPr>
          <w:i/>
        </w:rPr>
        <w:t xml:space="preserve"> </w:t>
      </w:r>
      <w:proofErr w:type="spellStart"/>
      <w:r w:rsidRPr="00130A96">
        <w:rPr>
          <w:i/>
        </w:rPr>
        <w:t>and</w:t>
      </w:r>
      <w:proofErr w:type="spellEnd"/>
      <w:r w:rsidRPr="00130A96">
        <w:rPr>
          <w:i/>
        </w:rPr>
        <w:t xml:space="preserve"> </w:t>
      </w:r>
      <w:proofErr w:type="spellStart"/>
      <w:r w:rsidRPr="00130A96">
        <w:rPr>
          <w:i/>
        </w:rPr>
        <w:t>Cardiovascular</w:t>
      </w:r>
      <w:proofErr w:type="spellEnd"/>
      <w:r w:rsidRPr="00130A96">
        <w:rPr>
          <w:i/>
        </w:rPr>
        <w:t xml:space="preserve"> </w:t>
      </w:r>
      <w:proofErr w:type="spellStart"/>
      <w:r w:rsidRPr="00130A96">
        <w:rPr>
          <w:i/>
        </w:rPr>
        <w:t>Mortality</w:t>
      </w:r>
      <w:proofErr w:type="spellEnd"/>
      <w:r w:rsidRPr="00130A96">
        <w:rPr>
          <w:i/>
        </w:rPr>
        <w:t xml:space="preserve"> </w:t>
      </w:r>
      <w:proofErr w:type="spellStart"/>
      <w:r w:rsidRPr="00130A96">
        <w:rPr>
          <w:i/>
        </w:rPr>
        <w:t>in</w:t>
      </w:r>
      <w:proofErr w:type="spellEnd"/>
      <w:r w:rsidRPr="00130A96">
        <w:rPr>
          <w:i/>
        </w:rPr>
        <w:t xml:space="preserve"> </w:t>
      </w:r>
      <w:proofErr w:type="spellStart"/>
      <w:r w:rsidRPr="00130A96">
        <w:rPr>
          <w:i/>
        </w:rPr>
        <w:t>Patients</w:t>
      </w:r>
      <w:proofErr w:type="spellEnd"/>
      <w:r w:rsidRPr="00130A96">
        <w:rPr>
          <w:i/>
        </w:rPr>
        <w:t xml:space="preserve"> </w:t>
      </w:r>
      <w:proofErr w:type="spellStart"/>
      <w:r w:rsidRPr="00130A96">
        <w:rPr>
          <w:i/>
        </w:rPr>
        <w:t>with</w:t>
      </w:r>
      <w:proofErr w:type="spellEnd"/>
      <w:r w:rsidRPr="00130A96">
        <w:rPr>
          <w:i/>
        </w:rPr>
        <w:t xml:space="preserve"> </w:t>
      </w:r>
      <w:proofErr w:type="spellStart"/>
      <w:r w:rsidRPr="00130A96">
        <w:rPr>
          <w:i/>
        </w:rPr>
        <w:t>Chronic</w:t>
      </w:r>
      <w:proofErr w:type="spellEnd"/>
      <w:r w:rsidRPr="00130A96">
        <w:rPr>
          <w:i/>
        </w:rPr>
        <w:t xml:space="preserve"> </w:t>
      </w:r>
      <w:proofErr w:type="spellStart"/>
      <w:r w:rsidRPr="00130A96">
        <w:rPr>
          <w:i/>
        </w:rPr>
        <w:t>Kidney</w:t>
      </w:r>
      <w:proofErr w:type="spellEnd"/>
      <w:r w:rsidRPr="00130A96">
        <w:rPr>
          <w:i/>
        </w:rPr>
        <w:t xml:space="preserve"> </w:t>
      </w:r>
      <w:proofErr w:type="spellStart"/>
      <w:r w:rsidRPr="00130A96">
        <w:rPr>
          <w:i/>
        </w:rPr>
        <w:t>Disease</w:t>
      </w:r>
      <w:proofErr w:type="spellEnd"/>
      <w:r w:rsidRPr="00130A96">
        <w:t xml:space="preserve">, DAPA-CKD) buvo tarptautinis </w:t>
      </w:r>
      <w:proofErr w:type="spellStart"/>
      <w:r w:rsidR="007D371A">
        <w:t>daugiacentris</w:t>
      </w:r>
      <w:proofErr w:type="spellEnd"/>
      <w:r w:rsidRPr="00130A96">
        <w:t xml:space="preserve">, </w:t>
      </w:r>
      <w:r w:rsidR="007D371A">
        <w:t>atsitiktinių imčių</w:t>
      </w:r>
      <w:r w:rsidRPr="00130A96">
        <w:t xml:space="preserve">, dvigubai koduotas, kontroliuotas placebu. Jame dalyvavo lėtine inkstų liga (angl. </w:t>
      </w:r>
      <w:proofErr w:type="spellStart"/>
      <w:r w:rsidRPr="00130A96">
        <w:rPr>
          <w:i/>
        </w:rPr>
        <w:t>Chronic</w:t>
      </w:r>
      <w:proofErr w:type="spellEnd"/>
      <w:r w:rsidRPr="00130A96">
        <w:rPr>
          <w:i/>
        </w:rPr>
        <w:t xml:space="preserve"> </w:t>
      </w:r>
      <w:proofErr w:type="spellStart"/>
      <w:r w:rsidRPr="00130A96">
        <w:rPr>
          <w:i/>
        </w:rPr>
        <w:t>Kidney</w:t>
      </w:r>
      <w:proofErr w:type="spellEnd"/>
      <w:r w:rsidRPr="00130A96">
        <w:rPr>
          <w:i/>
        </w:rPr>
        <w:t xml:space="preserve"> </w:t>
      </w:r>
      <w:proofErr w:type="spellStart"/>
      <w:r w:rsidRPr="00130A96">
        <w:rPr>
          <w:i/>
        </w:rPr>
        <w:t>Disease</w:t>
      </w:r>
      <w:proofErr w:type="spellEnd"/>
      <w:r w:rsidRPr="00130A96">
        <w:t xml:space="preserve">, CKD) sirgę pacientai, </w:t>
      </w:r>
      <w:r w:rsidR="00C06F1F">
        <w:t>kurių</w:t>
      </w:r>
      <w:r w:rsidRPr="00130A96">
        <w:t xml:space="preserve"> </w:t>
      </w:r>
      <w:proofErr w:type="spellStart"/>
      <w:r w:rsidRPr="00130A96">
        <w:t>aGFG</w:t>
      </w:r>
      <w:proofErr w:type="spellEnd"/>
      <w:r w:rsidRPr="00130A96">
        <w:t xml:space="preserve"> </w:t>
      </w:r>
      <w:r w:rsidR="00C06F1F">
        <w:t xml:space="preserve">buvo </w:t>
      </w:r>
      <w:r w:rsidRPr="00130A96">
        <w:t xml:space="preserve">nuo </w:t>
      </w:r>
      <w:r w:rsidR="00873FCC">
        <w:t>≥ </w:t>
      </w:r>
      <w:r w:rsidRPr="00130A96">
        <w:t>25 iki</w:t>
      </w:r>
      <w:r w:rsidR="00440D0D">
        <w:t xml:space="preserve"> </w:t>
      </w:r>
      <w:r w:rsidR="00D54BC0">
        <w:t>≤ </w:t>
      </w:r>
      <w:r w:rsidRPr="00130A96">
        <w:t>75</w:t>
      </w:r>
      <w:r w:rsidR="00873FCC">
        <w:t> ml/</w:t>
      </w:r>
      <w:r w:rsidRPr="00130A96">
        <w:t xml:space="preserve">min/1,73 m2 ir </w:t>
      </w:r>
      <w:r w:rsidR="00C06F1F">
        <w:t xml:space="preserve">kuriems buvo </w:t>
      </w:r>
      <w:proofErr w:type="spellStart"/>
      <w:r w:rsidRPr="00130A96">
        <w:t>albuminurij</w:t>
      </w:r>
      <w:r w:rsidR="00C06F1F">
        <w:t>a</w:t>
      </w:r>
      <w:proofErr w:type="spellEnd"/>
      <w:r w:rsidRPr="00130A96">
        <w:t xml:space="preserve"> (UACR – nuo </w:t>
      </w:r>
      <w:r w:rsidR="00873FCC">
        <w:t>≥ </w:t>
      </w:r>
      <w:r w:rsidRPr="00130A96">
        <w:t xml:space="preserve">200 iki </w:t>
      </w:r>
      <w:r w:rsidR="00D54BC0">
        <w:t>≤ </w:t>
      </w:r>
      <w:r w:rsidRPr="00130A96">
        <w:t>5000</w:t>
      </w:r>
      <w:r w:rsidR="00873FCC">
        <w:t> mg</w:t>
      </w:r>
      <w:r w:rsidRPr="00130A96">
        <w:t xml:space="preserve">/g). Lygintas dapagliflozino ir placebo poveikis, papildantis įprastinį gydymą, sudėtinės baigties atvejų dažniui. Sudėtinę baigtį sudarė nuolatinis </w:t>
      </w:r>
      <w:proofErr w:type="spellStart"/>
      <w:r w:rsidRPr="00130A96">
        <w:t>aGFG</w:t>
      </w:r>
      <w:proofErr w:type="spellEnd"/>
      <w:r w:rsidRPr="00130A96">
        <w:t xml:space="preserve"> sumažėjimas </w:t>
      </w:r>
      <w:r w:rsidR="00873FCC">
        <w:t>≥ </w:t>
      </w:r>
      <w:r w:rsidRPr="00130A96">
        <w:t>50</w:t>
      </w:r>
      <w:r w:rsidR="00873FCC">
        <w:t> %</w:t>
      </w:r>
      <w:r w:rsidRPr="00130A96">
        <w:t xml:space="preserve">, galutinės stadijos inkstų liga (GSIL) (apibrėžta kaip </w:t>
      </w:r>
      <w:proofErr w:type="spellStart"/>
      <w:r w:rsidRPr="00130A96">
        <w:t>aGFG</w:t>
      </w:r>
      <w:proofErr w:type="spellEnd"/>
      <w:r w:rsidRPr="00130A96">
        <w:t xml:space="preserve"> nuolat </w:t>
      </w:r>
      <w:r w:rsidR="00873FCC">
        <w:t>&lt; </w:t>
      </w:r>
      <w:r w:rsidRPr="00130A96">
        <w:t>15</w:t>
      </w:r>
      <w:r w:rsidR="00873FCC">
        <w:t> ml/</w:t>
      </w:r>
      <w:r w:rsidRPr="00130A96">
        <w:t xml:space="preserve">min/1,73 m2, nuolatinės dializės arba inksto persodinimas) ir mirtis nuo </w:t>
      </w:r>
      <w:r w:rsidR="0032532D">
        <w:t>inkstų bei širdies ir kraujagyslių ligų</w:t>
      </w:r>
      <w:r w:rsidR="00895351">
        <w:t xml:space="preserve"> </w:t>
      </w:r>
      <w:r w:rsidRPr="00130A96">
        <w:t>.</w:t>
      </w:r>
    </w:p>
    <w:p w14:paraId="6D8695BC" w14:textId="77777777" w:rsidR="00C0147E" w:rsidRPr="00130A96" w:rsidRDefault="00C0147E" w:rsidP="00130A96">
      <w:pPr>
        <w:pStyle w:val="Pagrindinistekstas"/>
      </w:pPr>
    </w:p>
    <w:p w14:paraId="6D8695BE" w14:textId="0F9C5967" w:rsidR="00C0147E" w:rsidRPr="00130A96" w:rsidRDefault="001175EF" w:rsidP="00130A96">
      <w:pPr>
        <w:pStyle w:val="Pagrindinistekstas"/>
      </w:pPr>
      <w:r w:rsidRPr="00130A96">
        <w:t>2</w:t>
      </w:r>
      <w:r w:rsidR="00271301">
        <w:t> </w:t>
      </w:r>
      <w:r w:rsidRPr="00130A96">
        <w:t>152 iš 4</w:t>
      </w:r>
      <w:r w:rsidR="00271301">
        <w:t> </w:t>
      </w:r>
      <w:r w:rsidRPr="00130A96">
        <w:t>304</w:t>
      </w:r>
      <w:r w:rsidR="00271301">
        <w:t> </w:t>
      </w:r>
      <w:r w:rsidRPr="00130A96">
        <w:t xml:space="preserve">pacientų buvo </w:t>
      </w:r>
      <w:r w:rsidR="00271301">
        <w:t>atsitiktinai suskirstyti</w:t>
      </w:r>
      <w:r w:rsidRPr="00130A96">
        <w:t xml:space="preserve"> vartoti 10</w:t>
      </w:r>
      <w:r w:rsidR="00873FCC">
        <w:t> mg</w:t>
      </w:r>
      <w:r w:rsidRPr="00130A96">
        <w:t xml:space="preserve"> dapagliflozino, o 2</w:t>
      </w:r>
      <w:r w:rsidR="00271301">
        <w:t> </w:t>
      </w:r>
      <w:r w:rsidRPr="00130A96">
        <w:t>152 – placeb</w:t>
      </w:r>
      <w:r w:rsidR="00271301">
        <w:t>o</w:t>
      </w:r>
      <w:r w:rsidRPr="00130A96">
        <w:t>. Jie buvo stebimi laikotarpį, kurio mediana – 28,5</w:t>
      </w:r>
      <w:r w:rsidR="00271301">
        <w:t> </w:t>
      </w:r>
      <w:r w:rsidRPr="00130A96">
        <w:t xml:space="preserve">mėn. Gydymas tęstas ir tyrimo metu </w:t>
      </w:r>
      <w:proofErr w:type="spellStart"/>
      <w:r w:rsidRPr="00130A96">
        <w:t>aGFG</w:t>
      </w:r>
      <w:proofErr w:type="spellEnd"/>
      <w:r w:rsidRPr="00130A96">
        <w:t xml:space="preserve"> pasiekus</w:t>
      </w:r>
      <w:r w:rsidR="00440D0D">
        <w:t xml:space="preserve"> </w:t>
      </w:r>
      <w:r w:rsidR="00873FCC">
        <w:t>&lt; </w:t>
      </w:r>
      <w:r w:rsidRPr="00130A96">
        <w:t>25</w:t>
      </w:r>
      <w:r w:rsidR="00873FCC">
        <w:t> ml/</w:t>
      </w:r>
      <w:r w:rsidRPr="00130A96">
        <w:t>min/1,73 m</w:t>
      </w:r>
      <w:r w:rsidRPr="00271301">
        <w:rPr>
          <w:vertAlign w:val="superscript"/>
        </w:rPr>
        <w:t>2</w:t>
      </w:r>
      <w:r w:rsidRPr="00130A96">
        <w:t>; jį buvo leidžiama tęsti ir atsiradus dializių poreikiui.</w:t>
      </w:r>
    </w:p>
    <w:p w14:paraId="6D8695BF" w14:textId="77777777" w:rsidR="00C0147E" w:rsidRPr="00130A96" w:rsidRDefault="00C0147E" w:rsidP="00130A96">
      <w:pPr>
        <w:pStyle w:val="Pagrindinistekstas"/>
      </w:pPr>
    </w:p>
    <w:p w14:paraId="6D8695C1" w14:textId="59955203" w:rsidR="00C0147E" w:rsidRPr="00130A96" w:rsidRDefault="001175EF" w:rsidP="00130A96">
      <w:pPr>
        <w:pStyle w:val="Pagrindinistekstas"/>
      </w:pPr>
      <w:r w:rsidRPr="00130A96">
        <w:t>Tirtos populiacijos vidutinis amžius buvo 61,8</w:t>
      </w:r>
      <w:r w:rsidR="00B07E02">
        <w:t> </w:t>
      </w:r>
      <w:r w:rsidRPr="00130A96">
        <w:t>metų, 66,9</w:t>
      </w:r>
      <w:r w:rsidR="00873FCC">
        <w:t> %</w:t>
      </w:r>
      <w:r w:rsidRPr="00130A96">
        <w:t xml:space="preserve"> sudarė vyrai. Iš pradžių vidutinis </w:t>
      </w:r>
      <w:proofErr w:type="spellStart"/>
      <w:r w:rsidRPr="00130A96">
        <w:t>aGFG</w:t>
      </w:r>
      <w:proofErr w:type="spellEnd"/>
      <w:r w:rsidRPr="00130A96">
        <w:t xml:space="preserve"> buvo 43,1</w:t>
      </w:r>
      <w:r w:rsidR="00873FCC">
        <w:t> ml/</w:t>
      </w:r>
      <w:r w:rsidRPr="00130A96">
        <w:t>min./1,73 m</w:t>
      </w:r>
      <w:r w:rsidRPr="00B07E02">
        <w:rPr>
          <w:vertAlign w:val="superscript"/>
        </w:rPr>
        <w:t>2</w:t>
      </w:r>
      <w:r w:rsidRPr="00130A96">
        <w:t>, UACR mediana – 949,3</w:t>
      </w:r>
      <w:r w:rsidR="00873FCC">
        <w:t> mg</w:t>
      </w:r>
      <w:r w:rsidRPr="00130A96">
        <w:t>/g, 44,1</w:t>
      </w:r>
      <w:r w:rsidR="00873FCC">
        <w:t> %</w:t>
      </w:r>
      <w:r w:rsidRPr="00130A96">
        <w:t xml:space="preserve"> pacientų </w:t>
      </w:r>
      <w:proofErr w:type="spellStart"/>
      <w:r w:rsidRPr="00130A96">
        <w:t>aGFR</w:t>
      </w:r>
      <w:proofErr w:type="spellEnd"/>
      <w:r w:rsidRPr="00130A96">
        <w:t xml:space="preserve"> buvo nuo 30 iki</w:t>
      </w:r>
      <w:r w:rsidR="00440D0D">
        <w:t xml:space="preserve"> </w:t>
      </w:r>
      <w:r w:rsidR="00873FCC">
        <w:t>&lt; </w:t>
      </w:r>
      <w:r w:rsidRPr="00130A96">
        <w:t>45</w:t>
      </w:r>
      <w:r w:rsidR="00873FCC">
        <w:t> ml/</w:t>
      </w:r>
      <w:r w:rsidRPr="00130A96">
        <w:t>min./1,73 m</w:t>
      </w:r>
      <w:r w:rsidRPr="00B07E02">
        <w:rPr>
          <w:vertAlign w:val="superscript"/>
        </w:rPr>
        <w:t>2</w:t>
      </w:r>
      <w:r w:rsidRPr="00130A96">
        <w:t>, 14,5</w:t>
      </w:r>
      <w:r w:rsidR="00873FCC">
        <w:t> %</w:t>
      </w:r>
      <w:r w:rsidRPr="00130A96">
        <w:t xml:space="preserve"> pacientų </w:t>
      </w:r>
      <w:proofErr w:type="spellStart"/>
      <w:r w:rsidRPr="00130A96">
        <w:t>aGFG</w:t>
      </w:r>
      <w:proofErr w:type="spellEnd"/>
      <w:r w:rsidRPr="00130A96">
        <w:t xml:space="preserve"> buvo </w:t>
      </w:r>
      <w:r w:rsidR="00873FCC">
        <w:t>&lt; </w:t>
      </w:r>
      <w:r w:rsidRPr="00130A96">
        <w:t>30</w:t>
      </w:r>
      <w:r w:rsidR="00873FCC">
        <w:t> ml/</w:t>
      </w:r>
      <w:r w:rsidRPr="00130A96">
        <w:t>min./1,73 m</w:t>
      </w:r>
      <w:r w:rsidRPr="00B07E02">
        <w:rPr>
          <w:vertAlign w:val="superscript"/>
        </w:rPr>
        <w:t>2</w:t>
      </w:r>
      <w:r w:rsidRPr="00130A96">
        <w:t>. 67,5</w:t>
      </w:r>
      <w:r w:rsidR="00873FCC">
        <w:t> %</w:t>
      </w:r>
      <w:r w:rsidRPr="00130A96">
        <w:t xml:space="preserve"> pacientų sirgo 2</w:t>
      </w:r>
      <w:r w:rsidR="00873FCC">
        <w:t> tipo</w:t>
      </w:r>
      <w:r w:rsidRPr="00130A96">
        <w:t xml:space="preserve"> cukriniu diabetu. Taikytas įprastinis (angl. </w:t>
      </w:r>
      <w:proofErr w:type="spellStart"/>
      <w:r w:rsidRPr="00130A96">
        <w:rPr>
          <w:i/>
        </w:rPr>
        <w:t>standard</w:t>
      </w:r>
      <w:proofErr w:type="spellEnd"/>
      <w:r w:rsidRPr="00130A96">
        <w:rPr>
          <w:i/>
        </w:rPr>
        <w:t xml:space="preserve"> </w:t>
      </w:r>
      <w:proofErr w:type="spellStart"/>
      <w:r w:rsidRPr="00130A96">
        <w:rPr>
          <w:i/>
        </w:rPr>
        <w:t>of</w:t>
      </w:r>
      <w:proofErr w:type="spellEnd"/>
      <w:r w:rsidRPr="00130A96">
        <w:rPr>
          <w:i/>
        </w:rPr>
        <w:t xml:space="preserve"> care</w:t>
      </w:r>
      <w:r w:rsidRPr="00130A96">
        <w:t>, SOC) gydymas, 97</w:t>
      </w:r>
      <w:r w:rsidR="00873FCC">
        <w:t> %</w:t>
      </w:r>
      <w:r w:rsidRPr="00130A96">
        <w:t xml:space="preserve"> pacientų vartojo </w:t>
      </w:r>
      <w:proofErr w:type="spellStart"/>
      <w:r w:rsidRPr="00130A96">
        <w:t>angiotenziną</w:t>
      </w:r>
      <w:proofErr w:type="spellEnd"/>
      <w:r w:rsidRPr="00130A96">
        <w:t xml:space="preserve"> konvertuojančio fermento inhibitorių (</w:t>
      </w:r>
      <w:proofErr w:type="spellStart"/>
      <w:r w:rsidRPr="00130A96">
        <w:t>AKFi</w:t>
      </w:r>
      <w:proofErr w:type="spellEnd"/>
      <w:r w:rsidRPr="00130A96">
        <w:t xml:space="preserve">) arba </w:t>
      </w:r>
      <w:proofErr w:type="spellStart"/>
      <w:r w:rsidRPr="00130A96">
        <w:t>angiotenzino</w:t>
      </w:r>
      <w:proofErr w:type="spellEnd"/>
      <w:r w:rsidRPr="00130A96">
        <w:t xml:space="preserve"> receptorių blokatorių (ARB).</w:t>
      </w:r>
    </w:p>
    <w:p w14:paraId="6D8695C2" w14:textId="77777777" w:rsidR="00C0147E" w:rsidRPr="00130A96" w:rsidRDefault="00C0147E" w:rsidP="00130A96">
      <w:pPr>
        <w:pStyle w:val="Pagrindinistekstas"/>
      </w:pPr>
    </w:p>
    <w:p w14:paraId="6D8695C3" w14:textId="1CD91CD1" w:rsidR="00C0147E" w:rsidRPr="00130A96" w:rsidRDefault="001175EF" w:rsidP="00130A96">
      <w:pPr>
        <w:pStyle w:val="Pagrindinistekstas"/>
      </w:pPr>
      <w:r w:rsidRPr="00130A96">
        <w:t xml:space="preserve">Tyrimas nutrauktas nesulaukus planinės analizės datos dėl veiksmingumo priežasties atsižvelgus į nepriklausomo duomenų stebėjimo komiteto (angl. </w:t>
      </w:r>
      <w:r w:rsidRPr="00130A96">
        <w:rPr>
          <w:i/>
        </w:rPr>
        <w:t xml:space="preserve">Data </w:t>
      </w:r>
      <w:proofErr w:type="spellStart"/>
      <w:r w:rsidRPr="00130A96">
        <w:rPr>
          <w:i/>
        </w:rPr>
        <w:t>Monitoring</w:t>
      </w:r>
      <w:proofErr w:type="spellEnd"/>
      <w:r w:rsidRPr="00130A96">
        <w:rPr>
          <w:i/>
        </w:rPr>
        <w:t xml:space="preserve"> </w:t>
      </w:r>
      <w:proofErr w:type="spellStart"/>
      <w:r w:rsidRPr="00130A96">
        <w:rPr>
          <w:i/>
        </w:rPr>
        <w:t>Committee</w:t>
      </w:r>
      <w:proofErr w:type="spellEnd"/>
      <w:r w:rsidRPr="00130A96">
        <w:t xml:space="preserve">) rekomendaciją. Dapagliflozinas geriau už placebą apsaugojo nuo pagrindinės sudėtinės vertinamosios baigties, kurią sudarė nuolatinis </w:t>
      </w:r>
      <w:proofErr w:type="spellStart"/>
      <w:r w:rsidRPr="00130A96">
        <w:t>aGFG</w:t>
      </w:r>
      <w:proofErr w:type="spellEnd"/>
      <w:r w:rsidRPr="00130A96">
        <w:t xml:space="preserve"> sumažėjimas </w:t>
      </w:r>
      <w:r w:rsidR="00873FCC">
        <w:t>≥ </w:t>
      </w:r>
      <w:r w:rsidRPr="00130A96">
        <w:t>50</w:t>
      </w:r>
      <w:r w:rsidR="00873FCC">
        <w:t> %</w:t>
      </w:r>
      <w:r w:rsidRPr="00130A96">
        <w:t xml:space="preserve">, galutinės stadijos inkstų ligos pasireiškimas arba mirtis nuo </w:t>
      </w:r>
      <w:r w:rsidR="00895351">
        <w:t>inkstų bei širdies ir kraujagyslių ligų</w:t>
      </w:r>
      <w:r w:rsidRPr="00130A96">
        <w:t xml:space="preserve">. Įvertinus </w:t>
      </w:r>
      <w:proofErr w:type="spellStart"/>
      <w:r w:rsidRPr="00130A96">
        <w:t>Kaplan-Meier</w:t>
      </w:r>
      <w:proofErr w:type="spellEnd"/>
      <w:r w:rsidRPr="00130A96">
        <w:t xml:space="preserve"> laikotarpio iki pirmojo pagrindinės sudėtinės vertinamosios baigties pasireiškimo kreives, gydomasis poveikis nustatytas po 4</w:t>
      </w:r>
      <w:r w:rsidR="006E2481">
        <w:t> </w:t>
      </w:r>
      <w:r w:rsidRPr="00130A96">
        <w:t>mėn. ir išliko iki tyrimo pabaigos (7</w:t>
      </w:r>
      <w:r w:rsidR="006E2481">
        <w:t> </w:t>
      </w:r>
      <w:r w:rsidRPr="00130A96">
        <w:t>pav.).</w:t>
      </w:r>
    </w:p>
    <w:p w14:paraId="6876EF2A" w14:textId="189E86F6" w:rsidR="00F96E32" w:rsidRDefault="00F96E32">
      <w:r>
        <w:br w:type="page"/>
      </w:r>
    </w:p>
    <w:p w14:paraId="6D8695C5" w14:textId="3A471115" w:rsidR="00C0147E" w:rsidRDefault="001175EF" w:rsidP="00130A96">
      <w:pPr>
        <w:pStyle w:val="Antrat2"/>
        <w:ind w:left="0"/>
      </w:pPr>
      <w:r w:rsidRPr="00130A96">
        <w:lastRenderedPageBreak/>
        <w:t>7</w:t>
      </w:r>
      <w:r w:rsidR="006E2481">
        <w:t> </w:t>
      </w:r>
      <w:r w:rsidRPr="00130A96">
        <w:t>pav.</w:t>
      </w:r>
      <w:r w:rsidR="006E2481">
        <w:t>:</w:t>
      </w:r>
      <w:r w:rsidR="00202D6C" w:rsidRPr="00202D6C">
        <w:rPr>
          <w:sz w:val="24"/>
          <w:szCs w:val="24"/>
        </w:rPr>
        <w:t xml:space="preserve"> </w:t>
      </w:r>
      <w:r w:rsidRPr="00130A96">
        <w:t xml:space="preserve">Laikotarpis iki pagrindinės sudėtinės vertinamosios baigties (nuolatinio </w:t>
      </w:r>
      <w:proofErr w:type="spellStart"/>
      <w:r w:rsidRPr="00130A96">
        <w:t>aGFG</w:t>
      </w:r>
      <w:proofErr w:type="spellEnd"/>
      <w:r w:rsidRPr="00130A96">
        <w:t xml:space="preserve"> sumažėjimo </w:t>
      </w:r>
      <w:r w:rsidR="00873FCC">
        <w:t>≥ </w:t>
      </w:r>
      <w:r w:rsidRPr="00130A96">
        <w:t>50</w:t>
      </w:r>
      <w:r w:rsidR="00873FCC">
        <w:t> %</w:t>
      </w:r>
      <w:r w:rsidRPr="00130A96">
        <w:t>, galutinės stadijos inkstų ligos arba mirties nuo</w:t>
      </w:r>
      <w:r w:rsidR="0081243D" w:rsidRPr="0081243D">
        <w:t xml:space="preserve"> </w:t>
      </w:r>
      <w:r w:rsidR="0081243D">
        <w:t>inkstų bei širdies ir kraujagyslių ligų</w:t>
      </w:r>
      <w:r w:rsidRPr="00130A96">
        <w:t>)</w:t>
      </w:r>
    </w:p>
    <w:p w14:paraId="282CA9C1" w14:textId="2F43B507" w:rsidR="00440D0D" w:rsidRPr="00130A96" w:rsidRDefault="00A26AA1" w:rsidP="00130A96">
      <w:pPr>
        <w:pStyle w:val="Antrat2"/>
        <w:ind w:left="0"/>
      </w:pPr>
      <w:r>
        <w:rPr>
          <w:noProof/>
          <w:sz w:val="24"/>
          <w:szCs w:val="24"/>
          <w:lang w:val="en-US"/>
        </w:rPr>
        <mc:AlternateContent>
          <mc:Choice Requires="wps">
            <w:drawing>
              <wp:anchor distT="0" distB="0" distL="114300" distR="114300" simplePos="0" relativeHeight="251674112" behindDoc="0" locked="0" layoutInCell="1" allowOverlap="1" wp14:anchorId="00459DE6" wp14:editId="61FDBADB">
                <wp:simplePos x="0" y="0"/>
                <wp:positionH relativeFrom="column">
                  <wp:posOffset>2157984</wp:posOffset>
                </wp:positionH>
                <wp:positionV relativeFrom="paragraph">
                  <wp:posOffset>2793339</wp:posOffset>
                </wp:positionV>
                <wp:extent cx="2080260" cy="263525"/>
                <wp:effectExtent l="0" t="0" r="0" b="3175"/>
                <wp:wrapNone/>
                <wp:docPr id="13002183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72054" w14:textId="77777777" w:rsidR="00A26AA1" w:rsidRDefault="00A26AA1" w:rsidP="00A26AA1">
                            <w:pPr>
                              <w:rPr>
                                <w:b/>
                                <w:bCs/>
                                <w:sz w:val="16"/>
                                <w:szCs w:val="16"/>
                              </w:rPr>
                            </w:pPr>
                            <w:r>
                              <w:rPr>
                                <w:b/>
                                <w:bCs/>
                                <w:sz w:val="16"/>
                                <w:szCs w:val="16"/>
                              </w:rPr>
                              <w:t>Mėn. po priskyrimo atsitiktinei imčiai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9DE6" id="Text Box 18" o:spid="_x0000_s1037" type="#_x0000_t202" style="position:absolute;margin-left:169.9pt;margin-top:219.95pt;width:163.8pt;height:2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" stroked="f">
                <v:textbox>
                  <w:txbxContent>
                    <w:p w14:paraId="09C72054" w14:textId="77777777" w:rsidR="00A26AA1" w:rsidRDefault="00A26AA1" w:rsidP="00A26AA1">
                      <w:pPr>
                        <w:rPr>
                          <w:b/>
                          <w:bCs/>
                          <w:sz w:val="16"/>
                          <w:szCs w:val="16"/>
                        </w:rPr>
                      </w:pPr>
                      <w:r>
                        <w:rPr>
                          <w:b/>
                          <w:bCs/>
                          <w:sz w:val="16"/>
                          <w:szCs w:val="16"/>
                        </w:rPr>
                        <w:t>Mėn. po priskyrimo atsitiktinei imčiai</w:t>
                      </w:r>
                    </w:p>
                  </w:txbxContent>
                </v:textbox>
              </v:shape>
            </w:pict>
          </mc:Fallback>
        </mc:AlternateContent>
      </w:r>
      <w:r w:rsidR="00202D6C">
        <w:rPr>
          <w:noProof/>
          <w:sz w:val="24"/>
          <w:szCs w:val="24"/>
          <w:lang w:val="en-US"/>
        </w:rPr>
        <mc:AlternateContent>
          <mc:Choice Requires="wps">
            <w:drawing>
              <wp:anchor distT="0" distB="0" distL="114300" distR="114300" simplePos="0" relativeHeight="251672064" behindDoc="0" locked="0" layoutInCell="1" allowOverlap="1" wp14:anchorId="644DC953" wp14:editId="79A1751A">
                <wp:simplePos x="0" y="0"/>
                <wp:positionH relativeFrom="column">
                  <wp:posOffset>3079699</wp:posOffset>
                </wp:positionH>
                <wp:positionV relativeFrom="paragraph">
                  <wp:posOffset>2275230</wp:posOffset>
                </wp:positionV>
                <wp:extent cx="367030" cy="213995"/>
                <wp:effectExtent l="0" t="0" r="0" b="0"/>
                <wp:wrapNone/>
                <wp:docPr id="30101108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17429" w14:textId="77777777" w:rsidR="00202D6C" w:rsidRDefault="00202D6C" w:rsidP="00202D6C">
                            <w:pPr>
                              <w:jc w:val="right"/>
                              <w:rPr>
                                <w:b/>
                                <w:bCs/>
                                <w:sz w:val="16"/>
                                <w:szCs w:val="16"/>
                              </w:rPr>
                            </w:pPr>
                            <w:r>
                              <w:rPr>
                                <w:b/>
                                <w:bCs/>
                                <w:sz w:val="16"/>
                                <w:szCs w:val="16"/>
                              </w:rPr>
                              <w:t>RS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DC953" id="Text Box 17" o:spid="_x0000_s1038" type="#_x0000_t202" style="position:absolute;margin-left:242.5pt;margin-top:179.15pt;width:28.9pt;height:16.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" stroked="f">
                <v:textbox>
                  <w:txbxContent>
                    <w:p w14:paraId="17317429" w14:textId="77777777" w:rsidR="00202D6C" w:rsidRDefault="00202D6C" w:rsidP="00202D6C">
                      <w:pPr>
                        <w:jc w:val="right"/>
                        <w:rPr>
                          <w:b/>
                          <w:bCs/>
                          <w:sz w:val="16"/>
                          <w:szCs w:val="16"/>
                        </w:rPr>
                      </w:pPr>
                      <w:r>
                        <w:rPr>
                          <w:b/>
                          <w:bCs/>
                          <w:sz w:val="16"/>
                          <w:szCs w:val="16"/>
                        </w:rPr>
                        <w:t>RS</w:t>
                      </w:r>
                    </w:p>
                  </w:txbxContent>
                </v:textbox>
              </v:shape>
            </w:pict>
          </mc:Fallback>
        </mc:AlternateContent>
      </w:r>
      <w:r w:rsidR="00A34948" w:rsidRPr="00A34948">
        <w:rPr>
          <w:noProof/>
        </w:rPr>
        <w:drawing>
          <wp:inline distT="0" distB="0" distL="0" distR="0" wp14:anchorId="79202EDA" wp14:editId="4553F076">
            <wp:extent cx="6033770" cy="3554730"/>
            <wp:effectExtent l="0" t="0" r="5080" b="7620"/>
            <wp:docPr id="1667546359" name="Picture 1" descr="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6359" name="Picture 1" descr="A graph showing the growth of a number of people&#10;&#10;AI-generated content may be incorrect."/>
                    <pic:cNvPicPr/>
                  </pic:nvPicPr>
                  <pic:blipFill>
                    <a:blip r:embed="rId16"/>
                    <a:stretch>
                      <a:fillRect/>
                    </a:stretch>
                  </pic:blipFill>
                  <pic:spPr>
                    <a:xfrm>
                      <a:off x="0" y="0"/>
                      <a:ext cx="6033770" cy="3554730"/>
                    </a:xfrm>
                    <a:prstGeom prst="rect">
                      <a:avLst/>
                    </a:prstGeom>
                  </pic:spPr>
                </pic:pic>
              </a:graphicData>
            </a:graphic>
          </wp:inline>
        </w:drawing>
      </w:r>
    </w:p>
    <w:p w14:paraId="69E27F51" w14:textId="77777777" w:rsidR="00F96E32" w:rsidRDefault="00F96E32" w:rsidP="00130A96">
      <w:pPr>
        <w:pStyle w:val="Pagrindinistekstas"/>
        <w:rPr>
          <w:sz w:val="18"/>
          <w:szCs w:val="18"/>
        </w:rPr>
      </w:pPr>
    </w:p>
    <w:p w14:paraId="6D8695DE" w14:textId="3188D866" w:rsidR="00C0147E" w:rsidRPr="00A26AA1" w:rsidRDefault="001175EF" w:rsidP="00130A96">
      <w:pPr>
        <w:pStyle w:val="Pagrindinistekstas"/>
        <w:rPr>
          <w:sz w:val="18"/>
          <w:szCs w:val="18"/>
        </w:rPr>
      </w:pPr>
      <w:r w:rsidRPr="00A26AA1">
        <w:rPr>
          <w:sz w:val="18"/>
          <w:szCs w:val="18"/>
        </w:rPr>
        <w:t>Pacientų su rizika skaičius nurodytas laikotarpio pradžioje.</w:t>
      </w:r>
    </w:p>
    <w:p w14:paraId="6D8695DF" w14:textId="715043BE" w:rsidR="00C0147E" w:rsidRPr="00130A96" w:rsidRDefault="00C0147E" w:rsidP="00130A96">
      <w:pPr>
        <w:pStyle w:val="Pagrindinistekstas"/>
      </w:pPr>
    </w:p>
    <w:p w14:paraId="6D8695E0" w14:textId="3861066C" w:rsidR="00C0147E" w:rsidRPr="00130A96" w:rsidRDefault="001175EF" w:rsidP="00130A96">
      <w:pPr>
        <w:pStyle w:val="Pagrindinistekstas"/>
      </w:pPr>
      <w:r w:rsidRPr="00130A96">
        <w:t>Įtakos gydomajam poveikiui turėjo kiekvienas iš 4</w:t>
      </w:r>
      <w:r w:rsidR="00A26AA1">
        <w:t> </w:t>
      </w:r>
      <w:r w:rsidRPr="00130A96">
        <w:t xml:space="preserve">pagrindinės sudėtinės vertinamosios baigties komponentų. Be to, dapagliflozinas </w:t>
      </w:r>
      <w:r w:rsidR="00873FCC">
        <w:t>≥ </w:t>
      </w:r>
      <w:r w:rsidRPr="00130A96">
        <w:t>50</w:t>
      </w:r>
      <w:r w:rsidR="00873FCC">
        <w:t> %</w:t>
      </w:r>
      <w:r w:rsidRPr="00130A96">
        <w:t xml:space="preserve"> sumažino dažnį sudėtinės vertinamosios baigties, kurią sudarė nuolatinis </w:t>
      </w:r>
      <w:proofErr w:type="spellStart"/>
      <w:r w:rsidRPr="00130A96">
        <w:t>aGFG</w:t>
      </w:r>
      <w:proofErr w:type="spellEnd"/>
      <w:r w:rsidRPr="00130A96">
        <w:t xml:space="preserve"> sumažėjimas </w:t>
      </w:r>
      <w:r w:rsidR="00873FCC">
        <w:t>≥ </w:t>
      </w:r>
      <w:r w:rsidRPr="00130A96">
        <w:t>50</w:t>
      </w:r>
      <w:r w:rsidR="00873FCC">
        <w:t> %</w:t>
      </w:r>
      <w:r w:rsidRPr="00130A96">
        <w:t xml:space="preserve">, galutinės stadijos inkstų ligos pasireiškimas ir mirtis </w:t>
      </w:r>
      <w:r w:rsidR="002C3AEC">
        <w:t>n</w:t>
      </w:r>
      <w:r w:rsidR="00435D1D">
        <w:t>uo</w:t>
      </w:r>
      <w:r w:rsidR="00435D1D" w:rsidRPr="00130A96">
        <w:t xml:space="preserve"> </w:t>
      </w:r>
      <w:r w:rsidRPr="00130A96">
        <w:t xml:space="preserve">inkstų ligos, bei sudėtinės vertinamosios baigties, kurią sudarė mirtis </w:t>
      </w:r>
      <w:r w:rsidR="00565A28">
        <w:t xml:space="preserve">nuo </w:t>
      </w:r>
      <w:r w:rsidR="00435D1D">
        <w:t xml:space="preserve">širdies ir kraujagyslių ligų </w:t>
      </w:r>
      <w:r w:rsidRPr="00130A96">
        <w:t>ir hospitalizacija dėl širdies nepakankamumo. Dapagliflozinas pagerino lėtine inkstų liga sirgusių pacientų bendrą išgyvenimą ir reikšmingai sumažino dėl bet kurios priežasties mirusių pacientų dalį (8</w:t>
      </w:r>
      <w:r w:rsidR="003D1BBA">
        <w:t> </w:t>
      </w:r>
      <w:r w:rsidRPr="00130A96">
        <w:t>pav.).</w:t>
      </w:r>
    </w:p>
    <w:p w14:paraId="613DCFE4" w14:textId="468E071F" w:rsidR="00C0147E" w:rsidRDefault="003C0ADC" w:rsidP="003C0ADC">
      <w:r>
        <w:br w:type="page"/>
      </w:r>
    </w:p>
    <w:p w14:paraId="6D8695E2" w14:textId="00AAEF63" w:rsidR="00C0147E" w:rsidRDefault="001175EF" w:rsidP="003D1BBA">
      <w:pPr>
        <w:pStyle w:val="Antrat2"/>
        <w:keepNext/>
        <w:ind w:left="0"/>
      </w:pPr>
      <w:r w:rsidRPr="00130A96">
        <w:lastRenderedPageBreak/>
        <w:t>8</w:t>
      </w:r>
      <w:r w:rsidR="007F3FE2">
        <w:t> </w:t>
      </w:r>
      <w:r w:rsidRPr="00130A96">
        <w:t>pav.</w:t>
      </w:r>
      <w:r w:rsidR="007F3FE2">
        <w:t>:</w:t>
      </w:r>
      <w:r w:rsidRPr="00130A96">
        <w:t xml:space="preserve"> Gydomasis poveikis pagrindinei ir antrinėms sudėtinėms vertinamosioms baigtims, jų atskiriems komponentams ir mirčių dėl bet kurios priežasties skaičiui</w:t>
      </w:r>
    </w:p>
    <w:p w14:paraId="44C2F703" w14:textId="77777777" w:rsidR="00C32ECE" w:rsidRPr="00C32ECE" w:rsidRDefault="00C32ECE" w:rsidP="00C32ECE">
      <w:pPr>
        <w:keepNext/>
        <w:kinsoku w:val="0"/>
        <w:overflowPunct w:val="0"/>
        <w:adjustRightInd w:val="0"/>
        <w:rPr>
          <w:b/>
          <w:bCs/>
          <w:lang w:eastAsia="lt-LT"/>
        </w:rPr>
      </w:pPr>
    </w:p>
    <w:tbl>
      <w:tblPr>
        <w:tblW w:w="0" w:type="auto"/>
        <w:tblLook w:val="04A0" w:firstRow="1" w:lastRow="0" w:firstColumn="1" w:lastColumn="0" w:noHBand="0" w:noVBand="1"/>
      </w:tblPr>
      <w:tblGrid>
        <w:gridCol w:w="2307"/>
        <w:gridCol w:w="2081"/>
        <w:gridCol w:w="1429"/>
        <w:gridCol w:w="1100"/>
        <w:gridCol w:w="1211"/>
        <w:gridCol w:w="943"/>
      </w:tblGrid>
      <w:tr w:rsidR="00C32ECE" w:rsidRPr="00C32ECE" w14:paraId="2AEBCED2" w14:textId="77777777" w:rsidTr="009F1F69">
        <w:tc>
          <w:tcPr>
            <w:tcW w:w="2376" w:type="dxa"/>
            <w:hideMark/>
          </w:tcPr>
          <w:p w14:paraId="068AFF8A"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Baigtys</w:t>
            </w:r>
          </w:p>
        </w:tc>
        <w:tc>
          <w:tcPr>
            <w:tcW w:w="2127" w:type="dxa"/>
            <w:hideMark/>
          </w:tcPr>
          <w:p w14:paraId="1D7A159F"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RS (95 % PI)</w:t>
            </w:r>
          </w:p>
        </w:tc>
        <w:tc>
          <w:tcPr>
            <w:tcW w:w="2571" w:type="dxa"/>
            <w:gridSpan w:val="2"/>
            <w:hideMark/>
          </w:tcPr>
          <w:p w14:paraId="6F9C28FC"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Atvejų dažnis (tiriamųjų skaičius)</w:t>
            </w:r>
          </w:p>
        </w:tc>
        <w:tc>
          <w:tcPr>
            <w:tcW w:w="1260" w:type="dxa"/>
            <w:hideMark/>
          </w:tcPr>
          <w:p w14:paraId="54DD3C8A"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RS (95 % PI)</w:t>
            </w:r>
          </w:p>
        </w:tc>
        <w:tc>
          <w:tcPr>
            <w:tcW w:w="956" w:type="dxa"/>
            <w:hideMark/>
          </w:tcPr>
          <w:p w14:paraId="466850AD"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P reikšmė</w:t>
            </w:r>
          </w:p>
        </w:tc>
      </w:tr>
      <w:tr w:rsidR="00C32ECE" w:rsidRPr="00C32ECE" w14:paraId="0897E762" w14:textId="77777777" w:rsidTr="009F1F69">
        <w:tc>
          <w:tcPr>
            <w:tcW w:w="2376" w:type="dxa"/>
          </w:tcPr>
          <w:p w14:paraId="336A1D31" w14:textId="77777777" w:rsidR="00C32ECE" w:rsidRPr="00C32ECE" w:rsidRDefault="00C32ECE" w:rsidP="00C32ECE">
            <w:pPr>
              <w:keepNext/>
              <w:kinsoku w:val="0"/>
              <w:overflowPunct w:val="0"/>
              <w:adjustRightInd w:val="0"/>
              <w:rPr>
                <w:sz w:val="16"/>
                <w:szCs w:val="16"/>
                <w:lang w:eastAsia="lt-LT"/>
              </w:rPr>
            </w:pPr>
          </w:p>
        </w:tc>
        <w:tc>
          <w:tcPr>
            <w:tcW w:w="2127" w:type="dxa"/>
            <w:vMerge w:val="restart"/>
          </w:tcPr>
          <w:p w14:paraId="08EE9E8C" w14:textId="77777777" w:rsidR="00C32ECE" w:rsidRPr="00C32ECE" w:rsidRDefault="00C32ECE" w:rsidP="00C32ECE">
            <w:pPr>
              <w:keepNext/>
              <w:kinsoku w:val="0"/>
              <w:overflowPunct w:val="0"/>
              <w:adjustRightInd w:val="0"/>
              <w:rPr>
                <w:sz w:val="16"/>
                <w:szCs w:val="16"/>
                <w:lang w:eastAsia="lt-LT"/>
              </w:rPr>
            </w:pPr>
          </w:p>
          <w:p w14:paraId="454507BF" w14:textId="77777777" w:rsidR="00C32ECE" w:rsidRPr="00C32ECE" w:rsidRDefault="00C32ECE" w:rsidP="00C32ECE">
            <w:pPr>
              <w:keepNext/>
              <w:kinsoku w:val="0"/>
              <w:overflowPunct w:val="0"/>
              <w:adjustRightInd w:val="0"/>
              <w:rPr>
                <w:sz w:val="16"/>
                <w:szCs w:val="16"/>
                <w:lang w:eastAsia="lt-LT"/>
              </w:rPr>
            </w:pPr>
            <w:r w:rsidRPr="00C32ECE">
              <w:rPr>
                <w:noProof/>
                <w:sz w:val="16"/>
                <w:szCs w:val="16"/>
                <w:lang w:eastAsia="lt-LT"/>
              </w:rPr>
              <w:drawing>
                <wp:inline distT="0" distB="0" distL="0" distR="0" wp14:anchorId="5165B567" wp14:editId="45ED0C5B">
                  <wp:extent cx="819150" cy="44475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4447540"/>
                          </a:xfrm>
                          <a:prstGeom prst="rect">
                            <a:avLst/>
                          </a:prstGeom>
                          <a:noFill/>
                          <a:ln>
                            <a:noFill/>
                          </a:ln>
                        </pic:spPr>
                      </pic:pic>
                    </a:graphicData>
                  </a:graphic>
                </wp:inline>
              </w:drawing>
            </w:r>
          </w:p>
        </w:tc>
        <w:tc>
          <w:tcPr>
            <w:tcW w:w="1445" w:type="dxa"/>
            <w:hideMark/>
          </w:tcPr>
          <w:p w14:paraId="04470EA5"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Dapagliflozinas</w:t>
            </w:r>
          </w:p>
          <w:p w14:paraId="350984C4"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(N = 2152)</w:t>
            </w:r>
          </w:p>
        </w:tc>
        <w:tc>
          <w:tcPr>
            <w:tcW w:w="1126" w:type="dxa"/>
            <w:hideMark/>
          </w:tcPr>
          <w:p w14:paraId="49372F37"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Placebas</w:t>
            </w:r>
          </w:p>
          <w:p w14:paraId="651B2CEA"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(N = 2152)</w:t>
            </w:r>
          </w:p>
        </w:tc>
        <w:tc>
          <w:tcPr>
            <w:tcW w:w="1260" w:type="dxa"/>
          </w:tcPr>
          <w:p w14:paraId="5E970857" w14:textId="77777777" w:rsidR="00C32ECE" w:rsidRPr="00C32ECE" w:rsidRDefault="00C32ECE" w:rsidP="00C32ECE">
            <w:pPr>
              <w:keepNext/>
              <w:kinsoku w:val="0"/>
              <w:overflowPunct w:val="0"/>
              <w:adjustRightInd w:val="0"/>
              <w:jc w:val="center"/>
              <w:rPr>
                <w:sz w:val="16"/>
                <w:szCs w:val="16"/>
                <w:lang w:eastAsia="lt-LT"/>
              </w:rPr>
            </w:pPr>
          </w:p>
        </w:tc>
        <w:tc>
          <w:tcPr>
            <w:tcW w:w="956" w:type="dxa"/>
          </w:tcPr>
          <w:p w14:paraId="6327CAB2"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72BAED4A" w14:textId="77777777" w:rsidTr="009F1F69">
        <w:tc>
          <w:tcPr>
            <w:tcW w:w="2376" w:type="dxa"/>
            <w:hideMark/>
          </w:tcPr>
          <w:p w14:paraId="4694507A" w14:textId="77777777" w:rsidR="00C32ECE" w:rsidRPr="00C32ECE" w:rsidRDefault="00C32ECE" w:rsidP="00C32ECE">
            <w:pPr>
              <w:keepNext/>
              <w:kinsoku w:val="0"/>
              <w:overflowPunct w:val="0"/>
              <w:adjustRightInd w:val="0"/>
              <w:rPr>
                <w:b/>
                <w:bCs/>
                <w:sz w:val="18"/>
                <w:szCs w:val="18"/>
                <w:lang w:eastAsia="lt-LT"/>
              </w:rPr>
            </w:pPr>
            <w:r w:rsidRPr="00C32ECE">
              <w:rPr>
                <w:b/>
                <w:bCs/>
                <w:sz w:val="18"/>
                <w:szCs w:val="18"/>
                <w:lang w:eastAsia="lt-LT"/>
              </w:rPr>
              <w:t>Pagrindinė vertinamoji baigtis</w:t>
            </w:r>
          </w:p>
        </w:tc>
        <w:tc>
          <w:tcPr>
            <w:tcW w:w="0" w:type="auto"/>
            <w:vMerge/>
            <w:vAlign w:val="center"/>
            <w:hideMark/>
          </w:tcPr>
          <w:p w14:paraId="42E022CD" w14:textId="77777777" w:rsidR="00C32ECE" w:rsidRPr="00C32ECE" w:rsidRDefault="00C32ECE" w:rsidP="00C32ECE">
            <w:pPr>
              <w:widowControl/>
              <w:autoSpaceDE/>
              <w:autoSpaceDN/>
              <w:rPr>
                <w:sz w:val="16"/>
                <w:szCs w:val="16"/>
                <w:lang w:eastAsia="lt-LT"/>
              </w:rPr>
            </w:pPr>
          </w:p>
        </w:tc>
        <w:tc>
          <w:tcPr>
            <w:tcW w:w="1445" w:type="dxa"/>
          </w:tcPr>
          <w:p w14:paraId="2BA3DB14" w14:textId="77777777" w:rsidR="00C32ECE" w:rsidRPr="00C32ECE" w:rsidRDefault="00C32ECE" w:rsidP="00C32ECE">
            <w:pPr>
              <w:keepNext/>
              <w:kinsoku w:val="0"/>
              <w:overflowPunct w:val="0"/>
              <w:adjustRightInd w:val="0"/>
              <w:jc w:val="center"/>
              <w:rPr>
                <w:sz w:val="16"/>
                <w:szCs w:val="16"/>
                <w:lang w:eastAsia="lt-LT"/>
              </w:rPr>
            </w:pPr>
          </w:p>
        </w:tc>
        <w:tc>
          <w:tcPr>
            <w:tcW w:w="1126" w:type="dxa"/>
          </w:tcPr>
          <w:p w14:paraId="4818687B" w14:textId="77777777" w:rsidR="00C32ECE" w:rsidRPr="00C32ECE" w:rsidRDefault="00C32ECE" w:rsidP="00C32ECE">
            <w:pPr>
              <w:keepNext/>
              <w:kinsoku w:val="0"/>
              <w:overflowPunct w:val="0"/>
              <w:adjustRightInd w:val="0"/>
              <w:jc w:val="center"/>
              <w:rPr>
                <w:sz w:val="16"/>
                <w:szCs w:val="16"/>
                <w:lang w:eastAsia="lt-LT"/>
              </w:rPr>
            </w:pPr>
          </w:p>
        </w:tc>
        <w:tc>
          <w:tcPr>
            <w:tcW w:w="1260" w:type="dxa"/>
          </w:tcPr>
          <w:p w14:paraId="6B6D04D5" w14:textId="77777777" w:rsidR="00C32ECE" w:rsidRPr="00C32ECE" w:rsidRDefault="00C32ECE" w:rsidP="00C32ECE">
            <w:pPr>
              <w:keepNext/>
              <w:kinsoku w:val="0"/>
              <w:overflowPunct w:val="0"/>
              <w:adjustRightInd w:val="0"/>
              <w:jc w:val="center"/>
              <w:rPr>
                <w:sz w:val="16"/>
                <w:szCs w:val="16"/>
                <w:lang w:eastAsia="lt-LT"/>
              </w:rPr>
            </w:pPr>
          </w:p>
        </w:tc>
        <w:tc>
          <w:tcPr>
            <w:tcW w:w="956" w:type="dxa"/>
          </w:tcPr>
          <w:p w14:paraId="505F4A87"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2804DC02" w14:textId="77777777" w:rsidTr="009F1F69">
        <w:tc>
          <w:tcPr>
            <w:tcW w:w="2376" w:type="dxa"/>
            <w:hideMark/>
          </w:tcPr>
          <w:p w14:paraId="082E1E55" w14:textId="4055F0A2" w:rsidR="00C32ECE" w:rsidRPr="00C32ECE" w:rsidRDefault="00C32ECE" w:rsidP="00C32ECE">
            <w:pPr>
              <w:keepNext/>
              <w:kinsoku w:val="0"/>
              <w:overflowPunct w:val="0"/>
              <w:adjustRightInd w:val="0"/>
              <w:rPr>
                <w:b/>
                <w:bCs/>
                <w:sz w:val="16"/>
                <w:szCs w:val="16"/>
                <w:lang w:eastAsia="lt-LT"/>
              </w:rPr>
            </w:pPr>
            <w:r w:rsidRPr="00C32ECE">
              <w:rPr>
                <w:b/>
                <w:bCs/>
                <w:sz w:val="16"/>
                <w:szCs w:val="16"/>
                <w:lang w:eastAsia="lt-LT"/>
              </w:rPr>
              <w:t xml:space="preserve">Sudėtinė vertinamoji baigtis – nuolatinis </w:t>
            </w:r>
            <w:proofErr w:type="spellStart"/>
            <w:r w:rsidRPr="00C32ECE">
              <w:rPr>
                <w:b/>
                <w:bCs/>
                <w:sz w:val="16"/>
                <w:szCs w:val="16"/>
                <w:lang w:eastAsia="lt-LT"/>
              </w:rPr>
              <w:t>aGFG</w:t>
            </w:r>
            <w:proofErr w:type="spellEnd"/>
            <w:r w:rsidRPr="00C32ECE">
              <w:rPr>
                <w:b/>
                <w:bCs/>
                <w:sz w:val="16"/>
                <w:szCs w:val="16"/>
                <w:lang w:eastAsia="lt-LT"/>
              </w:rPr>
              <w:t xml:space="preserve"> sumažėjimas ≥ 50 %, galutinės stadijos inkstų liga arba mirtis nuo </w:t>
            </w:r>
            <w:r w:rsidR="008317F3" w:rsidRPr="007E7DFC">
              <w:rPr>
                <w:b/>
                <w:bCs/>
                <w:sz w:val="16"/>
                <w:szCs w:val="16"/>
                <w:lang w:eastAsia="lt-LT"/>
              </w:rPr>
              <w:t>inkstų bei širdies ir kraujagyslių ligų</w:t>
            </w:r>
            <w:r w:rsidRPr="00C32ECE">
              <w:rPr>
                <w:b/>
                <w:bCs/>
                <w:sz w:val="16"/>
                <w:szCs w:val="16"/>
                <w:lang w:eastAsia="lt-LT"/>
              </w:rPr>
              <w:t xml:space="preserve"> </w:t>
            </w:r>
          </w:p>
        </w:tc>
        <w:tc>
          <w:tcPr>
            <w:tcW w:w="0" w:type="auto"/>
            <w:vMerge/>
            <w:vAlign w:val="center"/>
            <w:hideMark/>
          </w:tcPr>
          <w:p w14:paraId="6C4E4C76" w14:textId="77777777" w:rsidR="00C32ECE" w:rsidRPr="00C32ECE" w:rsidRDefault="00C32ECE" w:rsidP="00C32ECE">
            <w:pPr>
              <w:widowControl/>
              <w:autoSpaceDE/>
              <w:autoSpaceDN/>
              <w:rPr>
                <w:sz w:val="16"/>
                <w:szCs w:val="16"/>
                <w:lang w:eastAsia="lt-LT"/>
              </w:rPr>
            </w:pPr>
          </w:p>
        </w:tc>
        <w:tc>
          <w:tcPr>
            <w:tcW w:w="1445" w:type="dxa"/>
            <w:hideMark/>
          </w:tcPr>
          <w:p w14:paraId="12D843CE"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197 (4,6)</w:t>
            </w:r>
          </w:p>
        </w:tc>
        <w:tc>
          <w:tcPr>
            <w:tcW w:w="1126" w:type="dxa"/>
            <w:hideMark/>
          </w:tcPr>
          <w:p w14:paraId="0DADEFE9"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312 (7,5)</w:t>
            </w:r>
          </w:p>
        </w:tc>
        <w:tc>
          <w:tcPr>
            <w:tcW w:w="1260" w:type="dxa"/>
            <w:hideMark/>
          </w:tcPr>
          <w:p w14:paraId="64D9685A" w14:textId="26C16D31"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0,61 </w:t>
            </w:r>
            <w:r w:rsidR="003C0ADC">
              <w:rPr>
                <w:sz w:val="16"/>
                <w:szCs w:val="16"/>
                <w:lang w:eastAsia="lt-LT"/>
              </w:rPr>
              <w:br/>
            </w:r>
            <w:r w:rsidRPr="00C32ECE">
              <w:rPr>
                <w:sz w:val="16"/>
                <w:szCs w:val="16"/>
                <w:lang w:eastAsia="lt-LT"/>
              </w:rPr>
              <w:t>(0,51, 0,72)</w:t>
            </w:r>
          </w:p>
        </w:tc>
        <w:tc>
          <w:tcPr>
            <w:tcW w:w="956" w:type="dxa"/>
            <w:hideMark/>
          </w:tcPr>
          <w:p w14:paraId="03853312"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&lt; 0,0001</w:t>
            </w:r>
          </w:p>
        </w:tc>
      </w:tr>
      <w:tr w:rsidR="00C32ECE" w:rsidRPr="00C32ECE" w14:paraId="3E958557" w14:textId="77777777" w:rsidTr="009F1F69">
        <w:tc>
          <w:tcPr>
            <w:tcW w:w="2376" w:type="dxa"/>
            <w:hideMark/>
          </w:tcPr>
          <w:p w14:paraId="5D79017B" w14:textId="77777777" w:rsidR="00C32ECE" w:rsidRPr="00C32ECE" w:rsidRDefault="00C32ECE" w:rsidP="00C32ECE">
            <w:pPr>
              <w:keepNext/>
              <w:kinsoku w:val="0"/>
              <w:overflowPunct w:val="0"/>
              <w:adjustRightInd w:val="0"/>
              <w:rPr>
                <w:b/>
                <w:bCs/>
                <w:sz w:val="18"/>
                <w:szCs w:val="18"/>
                <w:lang w:eastAsia="lt-LT"/>
              </w:rPr>
            </w:pPr>
            <w:r w:rsidRPr="00C32ECE">
              <w:rPr>
                <w:b/>
                <w:bCs/>
                <w:sz w:val="18"/>
                <w:szCs w:val="18"/>
                <w:lang w:eastAsia="lt-LT"/>
              </w:rPr>
              <w:t>Antrinės baigtys</w:t>
            </w:r>
          </w:p>
        </w:tc>
        <w:tc>
          <w:tcPr>
            <w:tcW w:w="0" w:type="auto"/>
            <w:vMerge/>
            <w:vAlign w:val="center"/>
            <w:hideMark/>
          </w:tcPr>
          <w:p w14:paraId="063AB3D6" w14:textId="77777777" w:rsidR="00C32ECE" w:rsidRPr="00C32ECE" w:rsidRDefault="00C32ECE" w:rsidP="00C32ECE">
            <w:pPr>
              <w:widowControl/>
              <w:autoSpaceDE/>
              <w:autoSpaceDN/>
              <w:rPr>
                <w:sz w:val="16"/>
                <w:szCs w:val="16"/>
                <w:lang w:eastAsia="lt-LT"/>
              </w:rPr>
            </w:pPr>
          </w:p>
        </w:tc>
        <w:tc>
          <w:tcPr>
            <w:tcW w:w="1445" w:type="dxa"/>
          </w:tcPr>
          <w:p w14:paraId="1511DEA7" w14:textId="77777777" w:rsidR="00C32ECE" w:rsidRPr="00C32ECE" w:rsidRDefault="00C32ECE" w:rsidP="00C32ECE">
            <w:pPr>
              <w:keepNext/>
              <w:kinsoku w:val="0"/>
              <w:overflowPunct w:val="0"/>
              <w:adjustRightInd w:val="0"/>
              <w:jc w:val="center"/>
              <w:rPr>
                <w:sz w:val="16"/>
                <w:szCs w:val="16"/>
                <w:lang w:eastAsia="lt-LT"/>
              </w:rPr>
            </w:pPr>
          </w:p>
        </w:tc>
        <w:tc>
          <w:tcPr>
            <w:tcW w:w="1126" w:type="dxa"/>
          </w:tcPr>
          <w:p w14:paraId="69977233" w14:textId="77777777" w:rsidR="00C32ECE" w:rsidRPr="00C32ECE" w:rsidRDefault="00C32ECE" w:rsidP="00C32ECE">
            <w:pPr>
              <w:keepNext/>
              <w:kinsoku w:val="0"/>
              <w:overflowPunct w:val="0"/>
              <w:adjustRightInd w:val="0"/>
              <w:jc w:val="center"/>
              <w:rPr>
                <w:sz w:val="16"/>
                <w:szCs w:val="16"/>
                <w:lang w:eastAsia="lt-LT"/>
              </w:rPr>
            </w:pPr>
          </w:p>
        </w:tc>
        <w:tc>
          <w:tcPr>
            <w:tcW w:w="1260" w:type="dxa"/>
          </w:tcPr>
          <w:p w14:paraId="7204FDF1" w14:textId="77777777" w:rsidR="00C32ECE" w:rsidRPr="00C32ECE" w:rsidRDefault="00C32ECE" w:rsidP="003C0ADC">
            <w:pPr>
              <w:keepNext/>
              <w:kinsoku w:val="0"/>
              <w:overflowPunct w:val="0"/>
              <w:adjustRightInd w:val="0"/>
              <w:jc w:val="center"/>
              <w:rPr>
                <w:sz w:val="16"/>
                <w:szCs w:val="16"/>
                <w:lang w:eastAsia="lt-LT"/>
              </w:rPr>
            </w:pPr>
          </w:p>
        </w:tc>
        <w:tc>
          <w:tcPr>
            <w:tcW w:w="956" w:type="dxa"/>
          </w:tcPr>
          <w:p w14:paraId="448F0A93"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6270BD27" w14:textId="77777777" w:rsidTr="009F1F69">
        <w:tc>
          <w:tcPr>
            <w:tcW w:w="2376" w:type="dxa"/>
            <w:hideMark/>
          </w:tcPr>
          <w:p w14:paraId="09292F94" w14:textId="77777777" w:rsidR="00C32ECE" w:rsidRPr="00C32ECE" w:rsidRDefault="00C32ECE" w:rsidP="00C32ECE">
            <w:pPr>
              <w:keepNext/>
              <w:kinsoku w:val="0"/>
              <w:overflowPunct w:val="0"/>
              <w:adjustRightInd w:val="0"/>
              <w:rPr>
                <w:b/>
                <w:bCs/>
                <w:sz w:val="16"/>
                <w:szCs w:val="16"/>
                <w:lang w:eastAsia="lt-LT"/>
              </w:rPr>
            </w:pPr>
            <w:r w:rsidRPr="00C32ECE">
              <w:rPr>
                <w:b/>
                <w:bCs/>
                <w:sz w:val="16"/>
                <w:szCs w:val="16"/>
                <w:lang w:eastAsia="lt-LT"/>
              </w:rPr>
              <w:t xml:space="preserve">Sudėtinė vertinamoji baigtis – nuolatinis </w:t>
            </w:r>
            <w:proofErr w:type="spellStart"/>
            <w:r w:rsidRPr="00C32ECE">
              <w:rPr>
                <w:b/>
                <w:bCs/>
                <w:sz w:val="16"/>
                <w:szCs w:val="16"/>
                <w:lang w:eastAsia="lt-LT"/>
              </w:rPr>
              <w:t>aGFG</w:t>
            </w:r>
            <w:proofErr w:type="spellEnd"/>
            <w:r w:rsidRPr="00C32ECE">
              <w:rPr>
                <w:b/>
                <w:bCs/>
                <w:sz w:val="16"/>
                <w:szCs w:val="16"/>
                <w:lang w:eastAsia="lt-LT"/>
              </w:rPr>
              <w:t xml:space="preserve"> sumažėjimas ≥ 50 %, galutinės stadijos inkstų liga arba mirtis nuo inkstų ligos</w:t>
            </w:r>
          </w:p>
        </w:tc>
        <w:tc>
          <w:tcPr>
            <w:tcW w:w="0" w:type="auto"/>
            <w:vMerge/>
            <w:vAlign w:val="center"/>
            <w:hideMark/>
          </w:tcPr>
          <w:p w14:paraId="0C12F37F" w14:textId="77777777" w:rsidR="00C32ECE" w:rsidRPr="00C32ECE" w:rsidRDefault="00C32ECE" w:rsidP="00C32ECE">
            <w:pPr>
              <w:widowControl/>
              <w:autoSpaceDE/>
              <w:autoSpaceDN/>
              <w:rPr>
                <w:sz w:val="16"/>
                <w:szCs w:val="16"/>
                <w:lang w:eastAsia="lt-LT"/>
              </w:rPr>
            </w:pPr>
          </w:p>
        </w:tc>
        <w:tc>
          <w:tcPr>
            <w:tcW w:w="1445" w:type="dxa"/>
            <w:hideMark/>
          </w:tcPr>
          <w:p w14:paraId="4E14017D"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142 (3,3)</w:t>
            </w:r>
          </w:p>
        </w:tc>
        <w:tc>
          <w:tcPr>
            <w:tcW w:w="1126" w:type="dxa"/>
            <w:hideMark/>
          </w:tcPr>
          <w:p w14:paraId="7089F4A5"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243 (5,8)</w:t>
            </w:r>
          </w:p>
        </w:tc>
        <w:tc>
          <w:tcPr>
            <w:tcW w:w="1260" w:type="dxa"/>
            <w:hideMark/>
          </w:tcPr>
          <w:p w14:paraId="777B4EC8" w14:textId="577DCD25"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0,56 </w:t>
            </w:r>
            <w:r w:rsidR="003C0ADC">
              <w:rPr>
                <w:sz w:val="16"/>
                <w:szCs w:val="16"/>
                <w:lang w:eastAsia="lt-LT"/>
              </w:rPr>
              <w:br/>
            </w:r>
            <w:r w:rsidRPr="00C32ECE">
              <w:rPr>
                <w:sz w:val="16"/>
                <w:szCs w:val="16"/>
                <w:lang w:eastAsia="lt-LT"/>
              </w:rPr>
              <w:t>(0,45, 0,68)</w:t>
            </w:r>
          </w:p>
        </w:tc>
        <w:tc>
          <w:tcPr>
            <w:tcW w:w="956" w:type="dxa"/>
            <w:hideMark/>
          </w:tcPr>
          <w:p w14:paraId="508A3DC6"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&lt; 0,0001</w:t>
            </w:r>
          </w:p>
        </w:tc>
      </w:tr>
      <w:tr w:rsidR="00C32ECE" w:rsidRPr="00C32ECE" w14:paraId="6E5F0E30" w14:textId="77777777" w:rsidTr="009F1F69">
        <w:tc>
          <w:tcPr>
            <w:tcW w:w="2376" w:type="dxa"/>
            <w:hideMark/>
          </w:tcPr>
          <w:p w14:paraId="1A157469" w14:textId="4FB53725" w:rsidR="00C32ECE" w:rsidRPr="00C32ECE" w:rsidRDefault="00C32ECE" w:rsidP="00C32ECE">
            <w:pPr>
              <w:keepNext/>
              <w:kinsoku w:val="0"/>
              <w:overflowPunct w:val="0"/>
              <w:adjustRightInd w:val="0"/>
              <w:rPr>
                <w:b/>
                <w:bCs/>
                <w:sz w:val="16"/>
                <w:szCs w:val="16"/>
                <w:lang w:eastAsia="lt-LT"/>
              </w:rPr>
            </w:pPr>
            <w:r w:rsidRPr="00C32ECE">
              <w:rPr>
                <w:b/>
                <w:bCs/>
                <w:sz w:val="16"/>
                <w:szCs w:val="16"/>
                <w:lang w:eastAsia="lt-LT"/>
              </w:rPr>
              <w:t xml:space="preserve">Sudėtinė vertinamoji baigtis – mirtis nuo </w:t>
            </w:r>
            <w:r w:rsidR="004661D2" w:rsidRPr="007E7DFC">
              <w:rPr>
                <w:b/>
                <w:bCs/>
                <w:sz w:val="16"/>
                <w:szCs w:val="16"/>
                <w:lang w:eastAsia="lt-LT"/>
              </w:rPr>
              <w:t xml:space="preserve">širdies ir kraujagyslių ligų </w:t>
            </w:r>
            <w:r w:rsidRPr="00C32ECE">
              <w:rPr>
                <w:b/>
                <w:bCs/>
                <w:sz w:val="16"/>
                <w:szCs w:val="16"/>
                <w:lang w:eastAsia="lt-LT"/>
              </w:rPr>
              <w:t>arba hospitalizacija dėl širdies nepakankamumo</w:t>
            </w:r>
          </w:p>
        </w:tc>
        <w:tc>
          <w:tcPr>
            <w:tcW w:w="0" w:type="auto"/>
            <w:vMerge/>
            <w:vAlign w:val="center"/>
            <w:hideMark/>
          </w:tcPr>
          <w:p w14:paraId="441FA18F" w14:textId="77777777" w:rsidR="00C32ECE" w:rsidRPr="00C32ECE" w:rsidRDefault="00C32ECE" w:rsidP="00C32ECE">
            <w:pPr>
              <w:widowControl/>
              <w:autoSpaceDE/>
              <w:autoSpaceDN/>
              <w:rPr>
                <w:sz w:val="16"/>
                <w:szCs w:val="16"/>
                <w:lang w:eastAsia="lt-LT"/>
              </w:rPr>
            </w:pPr>
          </w:p>
        </w:tc>
        <w:tc>
          <w:tcPr>
            <w:tcW w:w="1445" w:type="dxa"/>
            <w:hideMark/>
          </w:tcPr>
          <w:p w14:paraId="0C85B462"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100 (2,2)</w:t>
            </w:r>
          </w:p>
        </w:tc>
        <w:tc>
          <w:tcPr>
            <w:tcW w:w="1126" w:type="dxa"/>
            <w:hideMark/>
          </w:tcPr>
          <w:p w14:paraId="0065C762"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138 (3,0)</w:t>
            </w:r>
          </w:p>
        </w:tc>
        <w:tc>
          <w:tcPr>
            <w:tcW w:w="1260" w:type="dxa"/>
            <w:hideMark/>
          </w:tcPr>
          <w:p w14:paraId="5B9E9B6B" w14:textId="4618A1BB"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0,71 </w:t>
            </w:r>
            <w:r w:rsidR="003C0ADC">
              <w:rPr>
                <w:sz w:val="16"/>
                <w:szCs w:val="16"/>
                <w:lang w:eastAsia="lt-LT"/>
              </w:rPr>
              <w:br/>
            </w:r>
            <w:r w:rsidRPr="00C32ECE">
              <w:rPr>
                <w:sz w:val="16"/>
                <w:szCs w:val="16"/>
                <w:lang w:eastAsia="lt-LT"/>
              </w:rPr>
              <w:t>(0,55, 0,92)</w:t>
            </w:r>
          </w:p>
        </w:tc>
        <w:tc>
          <w:tcPr>
            <w:tcW w:w="956" w:type="dxa"/>
          </w:tcPr>
          <w:p w14:paraId="6EBD4723"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532F4635" w14:textId="77777777" w:rsidTr="009F1F69">
        <w:tc>
          <w:tcPr>
            <w:tcW w:w="2376" w:type="dxa"/>
            <w:hideMark/>
          </w:tcPr>
          <w:p w14:paraId="4FB026AC" w14:textId="77777777" w:rsidR="00C32ECE" w:rsidRPr="00C32ECE" w:rsidRDefault="00C32ECE" w:rsidP="00C32ECE">
            <w:pPr>
              <w:keepNext/>
              <w:kinsoku w:val="0"/>
              <w:overflowPunct w:val="0"/>
              <w:adjustRightInd w:val="0"/>
              <w:rPr>
                <w:b/>
                <w:bCs/>
                <w:sz w:val="16"/>
                <w:szCs w:val="16"/>
                <w:lang w:eastAsia="lt-LT"/>
              </w:rPr>
            </w:pPr>
            <w:r w:rsidRPr="00C32ECE">
              <w:rPr>
                <w:b/>
                <w:bCs/>
                <w:sz w:val="16"/>
                <w:szCs w:val="16"/>
                <w:lang w:eastAsia="lt-LT"/>
              </w:rPr>
              <w:t>Mirtys nuo visų priežasčių</w:t>
            </w:r>
          </w:p>
        </w:tc>
        <w:tc>
          <w:tcPr>
            <w:tcW w:w="0" w:type="auto"/>
            <w:vMerge/>
            <w:vAlign w:val="center"/>
            <w:hideMark/>
          </w:tcPr>
          <w:p w14:paraId="33C8693B" w14:textId="77777777" w:rsidR="00C32ECE" w:rsidRPr="00C32ECE" w:rsidRDefault="00C32ECE" w:rsidP="00C32ECE">
            <w:pPr>
              <w:widowControl/>
              <w:autoSpaceDE/>
              <w:autoSpaceDN/>
              <w:rPr>
                <w:sz w:val="16"/>
                <w:szCs w:val="16"/>
                <w:lang w:eastAsia="lt-LT"/>
              </w:rPr>
            </w:pPr>
          </w:p>
        </w:tc>
        <w:tc>
          <w:tcPr>
            <w:tcW w:w="1445" w:type="dxa"/>
            <w:hideMark/>
          </w:tcPr>
          <w:p w14:paraId="2A79C09F"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101 (2,2)</w:t>
            </w:r>
          </w:p>
        </w:tc>
        <w:tc>
          <w:tcPr>
            <w:tcW w:w="1126" w:type="dxa"/>
            <w:hideMark/>
          </w:tcPr>
          <w:p w14:paraId="1BDF527B"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146 (3,1)</w:t>
            </w:r>
          </w:p>
        </w:tc>
        <w:tc>
          <w:tcPr>
            <w:tcW w:w="1260" w:type="dxa"/>
            <w:hideMark/>
          </w:tcPr>
          <w:p w14:paraId="616BED6E" w14:textId="6C961CD8"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0,69 </w:t>
            </w:r>
            <w:r w:rsidR="003C0ADC">
              <w:rPr>
                <w:sz w:val="16"/>
                <w:szCs w:val="16"/>
                <w:lang w:eastAsia="lt-LT"/>
              </w:rPr>
              <w:br/>
            </w:r>
            <w:r w:rsidRPr="00C32ECE">
              <w:rPr>
                <w:sz w:val="16"/>
                <w:szCs w:val="16"/>
                <w:lang w:eastAsia="lt-LT"/>
              </w:rPr>
              <w:t>(0,53, 0,88)</w:t>
            </w:r>
          </w:p>
        </w:tc>
        <w:tc>
          <w:tcPr>
            <w:tcW w:w="956" w:type="dxa"/>
          </w:tcPr>
          <w:p w14:paraId="0480905F"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1E70E0FC" w14:textId="77777777" w:rsidTr="009F1F69">
        <w:tc>
          <w:tcPr>
            <w:tcW w:w="2376" w:type="dxa"/>
            <w:hideMark/>
          </w:tcPr>
          <w:p w14:paraId="57A533D9" w14:textId="77777777" w:rsidR="00C32ECE" w:rsidRPr="00C32ECE" w:rsidRDefault="00C32ECE" w:rsidP="00C32ECE">
            <w:pPr>
              <w:keepNext/>
              <w:kinsoku w:val="0"/>
              <w:overflowPunct w:val="0"/>
              <w:adjustRightInd w:val="0"/>
              <w:rPr>
                <w:b/>
                <w:bCs/>
                <w:sz w:val="16"/>
                <w:szCs w:val="16"/>
                <w:lang w:eastAsia="lt-LT"/>
              </w:rPr>
            </w:pPr>
            <w:r w:rsidRPr="00C32ECE">
              <w:rPr>
                <w:b/>
                <w:bCs/>
                <w:sz w:val="16"/>
                <w:szCs w:val="16"/>
                <w:lang w:eastAsia="lt-LT"/>
              </w:rPr>
              <w:t>Sudėtinių vertinamųjų baigčių komponentai</w:t>
            </w:r>
          </w:p>
        </w:tc>
        <w:tc>
          <w:tcPr>
            <w:tcW w:w="0" w:type="auto"/>
            <w:vMerge/>
            <w:vAlign w:val="center"/>
            <w:hideMark/>
          </w:tcPr>
          <w:p w14:paraId="77C2E871" w14:textId="77777777" w:rsidR="00C32ECE" w:rsidRPr="00C32ECE" w:rsidRDefault="00C32ECE" w:rsidP="00C32ECE">
            <w:pPr>
              <w:widowControl/>
              <w:autoSpaceDE/>
              <w:autoSpaceDN/>
              <w:rPr>
                <w:sz w:val="16"/>
                <w:szCs w:val="16"/>
                <w:lang w:eastAsia="lt-LT"/>
              </w:rPr>
            </w:pPr>
          </w:p>
        </w:tc>
        <w:tc>
          <w:tcPr>
            <w:tcW w:w="1445" w:type="dxa"/>
          </w:tcPr>
          <w:p w14:paraId="0B5C2460" w14:textId="77777777" w:rsidR="00C32ECE" w:rsidRPr="00C32ECE" w:rsidRDefault="00C32ECE" w:rsidP="00C32ECE">
            <w:pPr>
              <w:keepNext/>
              <w:kinsoku w:val="0"/>
              <w:overflowPunct w:val="0"/>
              <w:adjustRightInd w:val="0"/>
              <w:jc w:val="center"/>
              <w:rPr>
                <w:sz w:val="16"/>
                <w:szCs w:val="16"/>
                <w:lang w:eastAsia="lt-LT"/>
              </w:rPr>
            </w:pPr>
          </w:p>
        </w:tc>
        <w:tc>
          <w:tcPr>
            <w:tcW w:w="1126" w:type="dxa"/>
          </w:tcPr>
          <w:p w14:paraId="68EC2AF3" w14:textId="77777777" w:rsidR="00C32ECE" w:rsidRPr="00C32ECE" w:rsidRDefault="00C32ECE" w:rsidP="00C32ECE">
            <w:pPr>
              <w:keepNext/>
              <w:kinsoku w:val="0"/>
              <w:overflowPunct w:val="0"/>
              <w:adjustRightInd w:val="0"/>
              <w:jc w:val="center"/>
              <w:rPr>
                <w:sz w:val="16"/>
                <w:szCs w:val="16"/>
                <w:lang w:eastAsia="lt-LT"/>
              </w:rPr>
            </w:pPr>
          </w:p>
        </w:tc>
        <w:tc>
          <w:tcPr>
            <w:tcW w:w="1260" w:type="dxa"/>
          </w:tcPr>
          <w:p w14:paraId="47388F55" w14:textId="77777777" w:rsidR="00C32ECE" w:rsidRPr="00C32ECE" w:rsidRDefault="00C32ECE" w:rsidP="003C0ADC">
            <w:pPr>
              <w:keepNext/>
              <w:kinsoku w:val="0"/>
              <w:overflowPunct w:val="0"/>
              <w:adjustRightInd w:val="0"/>
              <w:jc w:val="center"/>
              <w:rPr>
                <w:sz w:val="16"/>
                <w:szCs w:val="16"/>
                <w:lang w:eastAsia="lt-LT"/>
              </w:rPr>
            </w:pPr>
          </w:p>
        </w:tc>
        <w:tc>
          <w:tcPr>
            <w:tcW w:w="956" w:type="dxa"/>
          </w:tcPr>
          <w:p w14:paraId="5FDF8EA9"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54008E89" w14:textId="77777777" w:rsidTr="009F1F69">
        <w:tc>
          <w:tcPr>
            <w:tcW w:w="2376" w:type="dxa"/>
            <w:hideMark/>
          </w:tcPr>
          <w:p w14:paraId="6B73D320"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 xml:space="preserve">Nuolatinis </w:t>
            </w:r>
            <w:proofErr w:type="spellStart"/>
            <w:r w:rsidRPr="00C32ECE">
              <w:rPr>
                <w:sz w:val="16"/>
                <w:szCs w:val="16"/>
                <w:lang w:eastAsia="lt-LT"/>
              </w:rPr>
              <w:t>aGFG</w:t>
            </w:r>
            <w:proofErr w:type="spellEnd"/>
            <w:r w:rsidRPr="00C32ECE">
              <w:rPr>
                <w:sz w:val="16"/>
                <w:szCs w:val="16"/>
                <w:lang w:eastAsia="lt-LT"/>
              </w:rPr>
              <w:t xml:space="preserve"> sumažėjimas ≥ 50 %</w:t>
            </w:r>
          </w:p>
        </w:tc>
        <w:tc>
          <w:tcPr>
            <w:tcW w:w="0" w:type="auto"/>
            <w:vMerge/>
            <w:vAlign w:val="center"/>
            <w:hideMark/>
          </w:tcPr>
          <w:p w14:paraId="55775993" w14:textId="77777777" w:rsidR="00C32ECE" w:rsidRPr="00C32ECE" w:rsidRDefault="00C32ECE" w:rsidP="00C32ECE">
            <w:pPr>
              <w:widowControl/>
              <w:autoSpaceDE/>
              <w:autoSpaceDN/>
              <w:rPr>
                <w:sz w:val="16"/>
                <w:szCs w:val="16"/>
                <w:lang w:eastAsia="lt-LT"/>
              </w:rPr>
            </w:pPr>
          </w:p>
        </w:tc>
        <w:tc>
          <w:tcPr>
            <w:tcW w:w="1445" w:type="dxa"/>
            <w:hideMark/>
          </w:tcPr>
          <w:p w14:paraId="5EB44C6B"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112 (2,6)</w:t>
            </w:r>
          </w:p>
        </w:tc>
        <w:tc>
          <w:tcPr>
            <w:tcW w:w="1126" w:type="dxa"/>
            <w:hideMark/>
          </w:tcPr>
          <w:p w14:paraId="45E493EA"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201 (4,8)</w:t>
            </w:r>
          </w:p>
        </w:tc>
        <w:tc>
          <w:tcPr>
            <w:tcW w:w="1260" w:type="dxa"/>
            <w:hideMark/>
          </w:tcPr>
          <w:p w14:paraId="6D0B5930" w14:textId="3105A94F"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0,53 </w:t>
            </w:r>
            <w:r w:rsidR="003C0ADC">
              <w:rPr>
                <w:sz w:val="16"/>
                <w:szCs w:val="16"/>
                <w:lang w:eastAsia="lt-LT"/>
              </w:rPr>
              <w:br/>
            </w:r>
            <w:r w:rsidRPr="00C32ECE">
              <w:rPr>
                <w:sz w:val="16"/>
                <w:szCs w:val="16"/>
                <w:lang w:eastAsia="lt-LT"/>
              </w:rPr>
              <w:t>(0,42, 0,67)</w:t>
            </w:r>
          </w:p>
        </w:tc>
        <w:tc>
          <w:tcPr>
            <w:tcW w:w="956" w:type="dxa"/>
          </w:tcPr>
          <w:p w14:paraId="676976D4"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17756A3A" w14:textId="77777777" w:rsidTr="009F1F69">
        <w:tc>
          <w:tcPr>
            <w:tcW w:w="2376" w:type="dxa"/>
            <w:hideMark/>
          </w:tcPr>
          <w:p w14:paraId="346910B6"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Galutinės stadijos inkstų liga</w:t>
            </w:r>
          </w:p>
        </w:tc>
        <w:tc>
          <w:tcPr>
            <w:tcW w:w="0" w:type="auto"/>
            <w:vMerge/>
            <w:vAlign w:val="center"/>
            <w:hideMark/>
          </w:tcPr>
          <w:p w14:paraId="3DB2E205" w14:textId="77777777" w:rsidR="00C32ECE" w:rsidRPr="00C32ECE" w:rsidRDefault="00C32ECE" w:rsidP="00C32ECE">
            <w:pPr>
              <w:widowControl/>
              <w:autoSpaceDE/>
              <w:autoSpaceDN/>
              <w:rPr>
                <w:sz w:val="16"/>
                <w:szCs w:val="16"/>
                <w:lang w:eastAsia="lt-LT"/>
              </w:rPr>
            </w:pPr>
          </w:p>
        </w:tc>
        <w:tc>
          <w:tcPr>
            <w:tcW w:w="1445" w:type="dxa"/>
            <w:hideMark/>
          </w:tcPr>
          <w:p w14:paraId="1295B3BC"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109 (2,5)</w:t>
            </w:r>
          </w:p>
        </w:tc>
        <w:tc>
          <w:tcPr>
            <w:tcW w:w="1126" w:type="dxa"/>
            <w:hideMark/>
          </w:tcPr>
          <w:p w14:paraId="141CE594"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161 (3,8)</w:t>
            </w:r>
          </w:p>
        </w:tc>
        <w:tc>
          <w:tcPr>
            <w:tcW w:w="1260" w:type="dxa"/>
            <w:hideMark/>
          </w:tcPr>
          <w:p w14:paraId="33A00DAC" w14:textId="71D878D8"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0,64 </w:t>
            </w:r>
            <w:r w:rsidR="003C0ADC">
              <w:rPr>
                <w:sz w:val="16"/>
                <w:szCs w:val="16"/>
                <w:lang w:eastAsia="lt-LT"/>
              </w:rPr>
              <w:br/>
            </w:r>
            <w:r w:rsidRPr="00C32ECE">
              <w:rPr>
                <w:sz w:val="16"/>
                <w:szCs w:val="16"/>
                <w:lang w:eastAsia="lt-LT"/>
              </w:rPr>
              <w:t>(0,50, 0,82)</w:t>
            </w:r>
          </w:p>
        </w:tc>
        <w:tc>
          <w:tcPr>
            <w:tcW w:w="956" w:type="dxa"/>
          </w:tcPr>
          <w:p w14:paraId="1E394E16"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27E653F3" w14:textId="77777777" w:rsidTr="009F1F69">
        <w:tc>
          <w:tcPr>
            <w:tcW w:w="2376" w:type="dxa"/>
            <w:hideMark/>
          </w:tcPr>
          <w:p w14:paraId="0E78EA72" w14:textId="77777777" w:rsidR="00C32ECE" w:rsidRPr="00C32ECE" w:rsidRDefault="00C32ECE" w:rsidP="00C32ECE">
            <w:pPr>
              <w:keepNext/>
              <w:kinsoku w:val="0"/>
              <w:overflowPunct w:val="0"/>
              <w:adjustRightInd w:val="0"/>
              <w:rPr>
                <w:sz w:val="16"/>
                <w:szCs w:val="16"/>
                <w:lang w:eastAsia="lt-LT"/>
              </w:rPr>
            </w:pPr>
            <w:proofErr w:type="spellStart"/>
            <w:r w:rsidRPr="00C32ECE">
              <w:rPr>
                <w:sz w:val="16"/>
                <w:szCs w:val="16"/>
                <w:lang w:eastAsia="lt-LT"/>
              </w:rPr>
              <w:t>aGFG</w:t>
            </w:r>
            <w:proofErr w:type="spellEnd"/>
            <w:r w:rsidRPr="00C32ECE">
              <w:rPr>
                <w:sz w:val="16"/>
                <w:szCs w:val="16"/>
                <w:lang w:eastAsia="lt-LT"/>
              </w:rPr>
              <w:t xml:space="preserve"> nuolat 15 ml/min./1,73 m</w:t>
            </w:r>
            <w:r w:rsidRPr="00C32ECE">
              <w:rPr>
                <w:sz w:val="16"/>
                <w:szCs w:val="16"/>
                <w:vertAlign w:val="superscript"/>
                <w:lang w:eastAsia="lt-LT"/>
              </w:rPr>
              <w:t>2</w:t>
            </w:r>
          </w:p>
        </w:tc>
        <w:tc>
          <w:tcPr>
            <w:tcW w:w="0" w:type="auto"/>
            <w:vMerge/>
            <w:vAlign w:val="center"/>
            <w:hideMark/>
          </w:tcPr>
          <w:p w14:paraId="4FC6D3CE" w14:textId="77777777" w:rsidR="00C32ECE" w:rsidRPr="00C32ECE" w:rsidRDefault="00C32ECE" w:rsidP="00C32ECE">
            <w:pPr>
              <w:widowControl/>
              <w:autoSpaceDE/>
              <w:autoSpaceDN/>
              <w:rPr>
                <w:sz w:val="16"/>
                <w:szCs w:val="16"/>
                <w:lang w:eastAsia="lt-LT"/>
              </w:rPr>
            </w:pPr>
          </w:p>
        </w:tc>
        <w:tc>
          <w:tcPr>
            <w:tcW w:w="1445" w:type="dxa"/>
            <w:hideMark/>
          </w:tcPr>
          <w:p w14:paraId="19B86F1D"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84 (1,9)</w:t>
            </w:r>
          </w:p>
        </w:tc>
        <w:tc>
          <w:tcPr>
            <w:tcW w:w="1126" w:type="dxa"/>
            <w:hideMark/>
          </w:tcPr>
          <w:p w14:paraId="538B66E1"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120 (2,8)</w:t>
            </w:r>
          </w:p>
        </w:tc>
        <w:tc>
          <w:tcPr>
            <w:tcW w:w="1260" w:type="dxa"/>
            <w:hideMark/>
          </w:tcPr>
          <w:p w14:paraId="25F69A2F" w14:textId="4FCE83FC"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0,67 </w:t>
            </w:r>
            <w:r w:rsidR="003C0ADC">
              <w:rPr>
                <w:sz w:val="16"/>
                <w:szCs w:val="16"/>
                <w:lang w:eastAsia="lt-LT"/>
              </w:rPr>
              <w:br/>
            </w:r>
            <w:r w:rsidRPr="00C32ECE">
              <w:rPr>
                <w:sz w:val="16"/>
                <w:szCs w:val="16"/>
                <w:lang w:eastAsia="lt-LT"/>
              </w:rPr>
              <w:t>(0,51, 0,88)</w:t>
            </w:r>
          </w:p>
        </w:tc>
        <w:tc>
          <w:tcPr>
            <w:tcW w:w="956" w:type="dxa"/>
          </w:tcPr>
          <w:p w14:paraId="0085CBC1"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7B762788" w14:textId="77777777" w:rsidTr="009F1F69">
        <w:tc>
          <w:tcPr>
            <w:tcW w:w="2376" w:type="dxa"/>
            <w:hideMark/>
          </w:tcPr>
          <w:p w14:paraId="4A2F6AE4"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Nuolatinės dializės</w:t>
            </w:r>
          </w:p>
        </w:tc>
        <w:tc>
          <w:tcPr>
            <w:tcW w:w="0" w:type="auto"/>
            <w:vMerge/>
            <w:vAlign w:val="center"/>
            <w:hideMark/>
          </w:tcPr>
          <w:p w14:paraId="18249B76" w14:textId="77777777" w:rsidR="00C32ECE" w:rsidRPr="00C32ECE" w:rsidRDefault="00C32ECE" w:rsidP="00C32ECE">
            <w:pPr>
              <w:widowControl/>
              <w:autoSpaceDE/>
              <w:autoSpaceDN/>
              <w:rPr>
                <w:sz w:val="16"/>
                <w:szCs w:val="16"/>
                <w:lang w:eastAsia="lt-LT"/>
              </w:rPr>
            </w:pPr>
          </w:p>
        </w:tc>
        <w:tc>
          <w:tcPr>
            <w:tcW w:w="1445" w:type="dxa"/>
            <w:hideMark/>
          </w:tcPr>
          <w:p w14:paraId="4F6CCBF1"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68 (1,5)</w:t>
            </w:r>
          </w:p>
        </w:tc>
        <w:tc>
          <w:tcPr>
            <w:tcW w:w="1126" w:type="dxa"/>
            <w:hideMark/>
          </w:tcPr>
          <w:p w14:paraId="1BD8C0BC"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99 (2,2)</w:t>
            </w:r>
          </w:p>
        </w:tc>
        <w:tc>
          <w:tcPr>
            <w:tcW w:w="1260" w:type="dxa"/>
            <w:hideMark/>
          </w:tcPr>
          <w:p w14:paraId="65669A27" w14:textId="180022BA"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0,66 </w:t>
            </w:r>
            <w:r w:rsidR="003C0ADC">
              <w:rPr>
                <w:sz w:val="16"/>
                <w:szCs w:val="16"/>
                <w:lang w:eastAsia="lt-LT"/>
              </w:rPr>
              <w:br/>
            </w:r>
            <w:r w:rsidRPr="00C32ECE">
              <w:rPr>
                <w:sz w:val="16"/>
                <w:szCs w:val="16"/>
                <w:lang w:eastAsia="lt-LT"/>
              </w:rPr>
              <w:t>(0,48, 0,90)</w:t>
            </w:r>
          </w:p>
        </w:tc>
        <w:tc>
          <w:tcPr>
            <w:tcW w:w="956" w:type="dxa"/>
          </w:tcPr>
          <w:p w14:paraId="2C34AA4D"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35BC1AFA" w14:textId="77777777" w:rsidTr="009F1F69">
        <w:tc>
          <w:tcPr>
            <w:tcW w:w="2376" w:type="dxa"/>
            <w:hideMark/>
          </w:tcPr>
          <w:p w14:paraId="7ED78B42"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Inksto transplantacija</w:t>
            </w:r>
          </w:p>
        </w:tc>
        <w:tc>
          <w:tcPr>
            <w:tcW w:w="0" w:type="auto"/>
            <w:vMerge/>
            <w:vAlign w:val="center"/>
            <w:hideMark/>
          </w:tcPr>
          <w:p w14:paraId="2E0650BF" w14:textId="77777777" w:rsidR="00C32ECE" w:rsidRPr="00C32ECE" w:rsidRDefault="00C32ECE" w:rsidP="00C32ECE">
            <w:pPr>
              <w:widowControl/>
              <w:autoSpaceDE/>
              <w:autoSpaceDN/>
              <w:rPr>
                <w:sz w:val="16"/>
                <w:szCs w:val="16"/>
                <w:lang w:eastAsia="lt-LT"/>
              </w:rPr>
            </w:pPr>
          </w:p>
        </w:tc>
        <w:tc>
          <w:tcPr>
            <w:tcW w:w="1445" w:type="dxa"/>
            <w:hideMark/>
          </w:tcPr>
          <w:p w14:paraId="43548D46"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3 (0,1)</w:t>
            </w:r>
          </w:p>
        </w:tc>
        <w:tc>
          <w:tcPr>
            <w:tcW w:w="1126" w:type="dxa"/>
            <w:hideMark/>
          </w:tcPr>
          <w:p w14:paraId="1DBC80C3"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8 (0,2)</w:t>
            </w:r>
          </w:p>
        </w:tc>
        <w:tc>
          <w:tcPr>
            <w:tcW w:w="1260" w:type="dxa"/>
          </w:tcPr>
          <w:p w14:paraId="63A47382" w14:textId="77777777" w:rsidR="00C32ECE" w:rsidRPr="00C32ECE" w:rsidRDefault="00C32ECE" w:rsidP="003C0ADC">
            <w:pPr>
              <w:keepNext/>
              <w:kinsoku w:val="0"/>
              <w:overflowPunct w:val="0"/>
              <w:adjustRightInd w:val="0"/>
              <w:jc w:val="center"/>
              <w:rPr>
                <w:sz w:val="16"/>
                <w:szCs w:val="16"/>
                <w:lang w:eastAsia="lt-LT"/>
              </w:rPr>
            </w:pPr>
          </w:p>
        </w:tc>
        <w:tc>
          <w:tcPr>
            <w:tcW w:w="956" w:type="dxa"/>
          </w:tcPr>
          <w:p w14:paraId="36F024AF"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555EFDDD" w14:textId="77777777" w:rsidTr="009F1F69">
        <w:tc>
          <w:tcPr>
            <w:tcW w:w="2376" w:type="dxa"/>
            <w:hideMark/>
          </w:tcPr>
          <w:p w14:paraId="0C63B4A7" w14:textId="761157F6" w:rsidR="00C32ECE" w:rsidRPr="00C32ECE" w:rsidRDefault="00C32ECE" w:rsidP="00C32ECE">
            <w:pPr>
              <w:keepNext/>
              <w:kinsoku w:val="0"/>
              <w:overflowPunct w:val="0"/>
              <w:adjustRightInd w:val="0"/>
              <w:rPr>
                <w:sz w:val="16"/>
                <w:szCs w:val="16"/>
                <w:lang w:eastAsia="lt-LT"/>
              </w:rPr>
            </w:pPr>
            <w:r w:rsidRPr="00C32ECE">
              <w:rPr>
                <w:sz w:val="16"/>
                <w:szCs w:val="16"/>
                <w:lang w:eastAsia="lt-LT"/>
              </w:rPr>
              <w:t xml:space="preserve">Mirtys nuo </w:t>
            </w:r>
            <w:r w:rsidR="009F1F69" w:rsidRPr="007E7DFC">
              <w:rPr>
                <w:sz w:val="16"/>
                <w:szCs w:val="16"/>
                <w:lang w:eastAsia="lt-LT"/>
              </w:rPr>
              <w:t xml:space="preserve">širdies ir kraujagyslių </w:t>
            </w:r>
            <w:r w:rsidRPr="00C32ECE">
              <w:rPr>
                <w:sz w:val="16"/>
                <w:szCs w:val="16"/>
                <w:lang w:eastAsia="lt-LT"/>
              </w:rPr>
              <w:t>ligų</w:t>
            </w:r>
          </w:p>
        </w:tc>
        <w:tc>
          <w:tcPr>
            <w:tcW w:w="0" w:type="auto"/>
            <w:vMerge/>
            <w:vAlign w:val="center"/>
            <w:hideMark/>
          </w:tcPr>
          <w:p w14:paraId="68161740" w14:textId="77777777" w:rsidR="00C32ECE" w:rsidRPr="00C32ECE" w:rsidRDefault="00C32ECE" w:rsidP="00C32ECE">
            <w:pPr>
              <w:widowControl/>
              <w:autoSpaceDE/>
              <w:autoSpaceDN/>
              <w:rPr>
                <w:sz w:val="16"/>
                <w:szCs w:val="16"/>
                <w:lang w:eastAsia="lt-LT"/>
              </w:rPr>
            </w:pPr>
          </w:p>
        </w:tc>
        <w:tc>
          <w:tcPr>
            <w:tcW w:w="1445" w:type="dxa"/>
            <w:hideMark/>
          </w:tcPr>
          <w:p w14:paraId="3286CF03"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65 (1,4)</w:t>
            </w:r>
          </w:p>
        </w:tc>
        <w:tc>
          <w:tcPr>
            <w:tcW w:w="1126" w:type="dxa"/>
            <w:hideMark/>
          </w:tcPr>
          <w:p w14:paraId="78C07AFB"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80 (1,7)</w:t>
            </w:r>
          </w:p>
        </w:tc>
        <w:tc>
          <w:tcPr>
            <w:tcW w:w="1260" w:type="dxa"/>
            <w:hideMark/>
          </w:tcPr>
          <w:p w14:paraId="0B3AE7AC" w14:textId="07C1CBE3"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0,81 </w:t>
            </w:r>
            <w:r w:rsidR="003C0ADC">
              <w:rPr>
                <w:sz w:val="16"/>
                <w:szCs w:val="16"/>
                <w:lang w:eastAsia="lt-LT"/>
              </w:rPr>
              <w:br/>
            </w:r>
            <w:r w:rsidRPr="00C32ECE">
              <w:rPr>
                <w:sz w:val="16"/>
                <w:szCs w:val="16"/>
                <w:lang w:eastAsia="lt-LT"/>
              </w:rPr>
              <w:t>(0,58, 1,12)</w:t>
            </w:r>
          </w:p>
        </w:tc>
        <w:tc>
          <w:tcPr>
            <w:tcW w:w="956" w:type="dxa"/>
          </w:tcPr>
          <w:p w14:paraId="6DD667F4"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0F433B5C" w14:textId="77777777" w:rsidTr="009F1F69">
        <w:tc>
          <w:tcPr>
            <w:tcW w:w="2376" w:type="dxa"/>
            <w:hideMark/>
          </w:tcPr>
          <w:p w14:paraId="383DFBCD"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Mirtys nuo inkstų ligų</w:t>
            </w:r>
          </w:p>
        </w:tc>
        <w:tc>
          <w:tcPr>
            <w:tcW w:w="0" w:type="auto"/>
            <w:vMerge/>
            <w:vAlign w:val="center"/>
            <w:hideMark/>
          </w:tcPr>
          <w:p w14:paraId="3CF1AC42" w14:textId="77777777" w:rsidR="00C32ECE" w:rsidRPr="00C32ECE" w:rsidRDefault="00C32ECE" w:rsidP="00C32ECE">
            <w:pPr>
              <w:widowControl/>
              <w:autoSpaceDE/>
              <w:autoSpaceDN/>
              <w:rPr>
                <w:sz w:val="16"/>
                <w:szCs w:val="16"/>
                <w:lang w:eastAsia="lt-LT"/>
              </w:rPr>
            </w:pPr>
          </w:p>
        </w:tc>
        <w:tc>
          <w:tcPr>
            <w:tcW w:w="1445" w:type="dxa"/>
            <w:hideMark/>
          </w:tcPr>
          <w:p w14:paraId="1E6A3014"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2 (0,0)</w:t>
            </w:r>
          </w:p>
        </w:tc>
        <w:tc>
          <w:tcPr>
            <w:tcW w:w="1126" w:type="dxa"/>
            <w:hideMark/>
          </w:tcPr>
          <w:p w14:paraId="6AC32968"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6 (0,1)</w:t>
            </w:r>
          </w:p>
        </w:tc>
        <w:tc>
          <w:tcPr>
            <w:tcW w:w="1260" w:type="dxa"/>
          </w:tcPr>
          <w:p w14:paraId="5C18792F" w14:textId="77777777" w:rsidR="00C32ECE" w:rsidRPr="00C32ECE" w:rsidRDefault="00C32ECE" w:rsidP="003C0ADC">
            <w:pPr>
              <w:keepNext/>
              <w:kinsoku w:val="0"/>
              <w:overflowPunct w:val="0"/>
              <w:adjustRightInd w:val="0"/>
              <w:jc w:val="center"/>
              <w:rPr>
                <w:sz w:val="16"/>
                <w:szCs w:val="16"/>
                <w:lang w:eastAsia="lt-LT"/>
              </w:rPr>
            </w:pPr>
          </w:p>
        </w:tc>
        <w:tc>
          <w:tcPr>
            <w:tcW w:w="956" w:type="dxa"/>
          </w:tcPr>
          <w:p w14:paraId="31EDEA53"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7450D64F" w14:textId="77777777" w:rsidTr="009F1F69">
        <w:tc>
          <w:tcPr>
            <w:tcW w:w="2376" w:type="dxa"/>
            <w:hideMark/>
          </w:tcPr>
          <w:p w14:paraId="2148FDA8"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Hospitalizacijos dėl širdies nepakankamumo</w:t>
            </w:r>
          </w:p>
        </w:tc>
        <w:tc>
          <w:tcPr>
            <w:tcW w:w="0" w:type="auto"/>
            <w:vMerge/>
            <w:vAlign w:val="center"/>
            <w:hideMark/>
          </w:tcPr>
          <w:p w14:paraId="0837E994" w14:textId="77777777" w:rsidR="00C32ECE" w:rsidRPr="00C32ECE" w:rsidRDefault="00C32ECE" w:rsidP="00C32ECE">
            <w:pPr>
              <w:widowControl/>
              <w:autoSpaceDE/>
              <w:autoSpaceDN/>
              <w:rPr>
                <w:sz w:val="16"/>
                <w:szCs w:val="16"/>
                <w:lang w:eastAsia="lt-LT"/>
              </w:rPr>
            </w:pPr>
          </w:p>
        </w:tc>
        <w:tc>
          <w:tcPr>
            <w:tcW w:w="1445" w:type="dxa"/>
            <w:hideMark/>
          </w:tcPr>
          <w:p w14:paraId="64089A8C"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37 (0,8)</w:t>
            </w:r>
          </w:p>
        </w:tc>
        <w:tc>
          <w:tcPr>
            <w:tcW w:w="1126" w:type="dxa"/>
            <w:hideMark/>
          </w:tcPr>
          <w:p w14:paraId="391DC726" w14:textId="77777777" w:rsidR="00C32ECE" w:rsidRPr="00C32ECE" w:rsidRDefault="00C32ECE" w:rsidP="00C32ECE">
            <w:pPr>
              <w:keepNext/>
              <w:kinsoku w:val="0"/>
              <w:overflowPunct w:val="0"/>
              <w:adjustRightInd w:val="0"/>
              <w:jc w:val="center"/>
              <w:rPr>
                <w:sz w:val="16"/>
                <w:szCs w:val="16"/>
                <w:lang w:eastAsia="lt-LT"/>
              </w:rPr>
            </w:pPr>
            <w:r w:rsidRPr="00C32ECE">
              <w:rPr>
                <w:sz w:val="16"/>
                <w:szCs w:val="16"/>
                <w:lang w:eastAsia="lt-LT"/>
              </w:rPr>
              <w:t>71 (1,6)</w:t>
            </w:r>
          </w:p>
        </w:tc>
        <w:tc>
          <w:tcPr>
            <w:tcW w:w="1260" w:type="dxa"/>
            <w:hideMark/>
          </w:tcPr>
          <w:p w14:paraId="466DD1EC" w14:textId="7D2886F1" w:rsidR="00C32ECE" w:rsidRPr="00C32ECE" w:rsidRDefault="00C32ECE" w:rsidP="003C0ADC">
            <w:pPr>
              <w:keepNext/>
              <w:kinsoku w:val="0"/>
              <w:overflowPunct w:val="0"/>
              <w:adjustRightInd w:val="0"/>
              <w:jc w:val="center"/>
              <w:rPr>
                <w:sz w:val="16"/>
                <w:szCs w:val="16"/>
                <w:lang w:eastAsia="lt-LT"/>
              </w:rPr>
            </w:pPr>
            <w:r w:rsidRPr="00C32ECE">
              <w:rPr>
                <w:sz w:val="16"/>
                <w:szCs w:val="16"/>
                <w:lang w:eastAsia="lt-LT"/>
              </w:rPr>
              <w:t xml:space="preserve">0,51 </w:t>
            </w:r>
            <w:r w:rsidR="003C0ADC">
              <w:rPr>
                <w:sz w:val="16"/>
                <w:szCs w:val="16"/>
                <w:lang w:eastAsia="lt-LT"/>
              </w:rPr>
              <w:br/>
            </w:r>
            <w:r w:rsidRPr="00C32ECE">
              <w:rPr>
                <w:sz w:val="16"/>
                <w:szCs w:val="16"/>
                <w:lang w:eastAsia="lt-LT"/>
              </w:rPr>
              <w:t>(0,34, 0,76)</w:t>
            </w:r>
          </w:p>
        </w:tc>
        <w:tc>
          <w:tcPr>
            <w:tcW w:w="956" w:type="dxa"/>
          </w:tcPr>
          <w:p w14:paraId="7E1B31C2" w14:textId="77777777" w:rsidR="00C32ECE" w:rsidRPr="00C32ECE" w:rsidRDefault="00C32ECE" w:rsidP="00C32ECE">
            <w:pPr>
              <w:keepNext/>
              <w:kinsoku w:val="0"/>
              <w:overflowPunct w:val="0"/>
              <w:adjustRightInd w:val="0"/>
              <w:jc w:val="center"/>
              <w:rPr>
                <w:sz w:val="16"/>
                <w:szCs w:val="16"/>
                <w:lang w:eastAsia="lt-LT"/>
              </w:rPr>
            </w:pPr>
          </w:p>
        </w:tc>
      </w:tr>
      <w:tr w:rsidR="00C32ECE" w:rsidRPr="00C32ECE" w14:paraId="26818C82" w14:textId="77777777" w:rsidTr="009F1F69">
        <w:tc>
          <w:tcPr>
            <w:tcW w:w="2376" w:type="dxa"/>
          </w:tcPr>
          <w:p w14:paraId="5C3A9832" w14:textId="77777777" w:rsidR="00C32ECE" w:rsidRPr="00C32ECE" w:rsidRDefault="00C32ECE" w:rsidP="00C32ECE">
            <w:pPr>
              <w:keepNext/>
              <w:kinsoku w:val="0"/>
              <w:overflowPunct w:val="0"/>
              <w:adjustRightInd w:val="0"/>
              <w:rPr>
                <w:sz w:val="16"/>
                <w:szCs w:val="16"/>
                <w:lang w:eastAsia="lt-LT"/>
              </w:rPr>
            </w:pPr>
          </w:p>
        </w:tc>
        <w:tc>
          <w:tcPr>
            <w:tcW w:w="2127" w:type="dxa"/>
            <w:hideMark/>
          </w:tcPr>
          <w:p w14:paraId="4EEDADF9" w14:textId="77777777" w:rsidR="00C32ECE" w:rsidRPr="00C32ECE" w:rsidRDefault="00C32ECE" w:rsidP="00C32ECE">
            <w:pPr>
              <w:keepNext/>
              <w:kinsoku w:val="0"/>
              <w:overflowPunct w:val="0"/>
              <w:adjustRightInd w:val="0"/>
              <w:rPr>
                <w:sz w:val="16"/>
                <w:szCs w:val="16"/>
                <w:lang w:eastAsia="lt-LT"/>
              </w:rPr>
            </w:pPr>
            <w:r w:rsidRPr="00C32ECE">
              <w:rPr>
                <w:sz w:val="16"/>
                <w:szCs w:val="16"/>
                <w:lang w:eastAsia="lt-LT"/>
              </w:rPr>
              <w:t>0,34         0,7    1  1,2</w:t>
            </w:r>
          </w:p>
        </w:tc>
        <w:tc>
          <w:tcPr>
            <w:tcW w:w="1445" w:type="dxa"/>
          </w:tcPr>
          <w:p w14:paraId="0F38144F" w14:textId="77777777" w:rsidR="00C32ECE" w:rsidRPr="00C32ECE" w:rsidRDefault="00C32ECE" w:rsidP="00C32ECE">
            <w:pPr>
              <w:keepNext/>
              <w:kinsoku w:val="0"/>
              <w:overflowPunct w:val="0"/>
              <w:adjustRightInd w:val="0"/>
              <w:rPr>
                <w:sz w:val="16"/>
                <w:szCs w:val="16"/>
                <w:lang w:eastAsia="lt-LT"/>
              </w:rPr>
            </w:pPr>
          </w:p>
        </w:tc>
        <w:tc>
          <w:tcPr>
            <w:tcW w:w="1126" w:type="dxa"/>
          </w:tcPr>
          <w:p w14:paraId="756FCEEC" w14:textId="77777777" w:rsidR="00C32ECE" w:rsidRPr="00C32ECE" w:rsidRDefault="00C32ECE" w:rsidP="00C32ECE">
            <w:pPr>
              <w:keepNext/>
              <w:kinsoku w:val="0"/>
              <w:overflowPunct w:val="0"/>
              <w:adjustRightInd w:val="0"/>
              <w:rPr>
                <w:sz w:val="16"/>
                <w:szCs w:val="16"/>
                <w:lang w:eastAsia="lt-LT"/>
              </w:rPr>
            </w:pPr>
          </w:p>
        </w:tc>
        <w:tc>
          <w:tcPr>
            <w:tcW w:w="1260" w:type="dxa"/>
          </w:tcPr>
          <w:p w14:paraId="5D6224BA" w14:textId="77777777" w:rsidR="00C32ECE" w:rsidRPr="00C32ECE" w:rsidRDefault="00C32ECE" w:rsidP="00C32ECE">
            <w:pPr>
              <w:keepNext/>
              <w:kinsoku w:val="0"/>
              <w:overflowPunct w:val="0"/>
              <w:adjustRightInd w:val="0"/>
              <w:rPr>
                <w:sz w:val="16"/>
                <w:szCs w:val="16"/>
                <w:lang w:eastAsia="lt-LT"/>
              </w:rPr>
            </w:pPr>
          </w:p>
        </w:tc>
        <w:tc>
          <w:tcPr>
            <w:tcW w:w="956" w:type="dxa"/>
          </w:tcPr>
          <w:p w14:paraId="1927CA1D" w14:textId="77777777" w:rsidR="00C32ECE" w:rsidRPr="00C32ECE" w:rsidRDefault="00C32ECE" w:rsidP="00C32ECE">
            <w:pPr>
              <w:keepNext/>
              <w:kinsoku w:val="0"/>
              <w:overflowPunct w:val="0"/>
              <w:adjustRightInd w:val="0"/>
              <w:rPr>
                <w:sz w:val="16"/>
                <w:szCs w:val="16"/>
                <w:lang w:eastAsia="lt-LT"/>
              </w:rPr>
            </w:pPr>
          </w:p>
        </w:tc>
      </w:tr>
      <w:tr w:rsidR="00C32ECE" w:rsidRPr="00C32ECE" w14:paraId="339760B4" w14:textId="77777777" w:rsidTr="009F1F69">
        <w:tc>
          <w:tcPr>
            <w:tcW w:w="5948" w:type="dxa"/>
            <w:gridSpan w:val="3"/>
            <w:hideMark/>
          </w:tcPr>
          <w:p w14:paraId="52F82620" w14:textId="77777777" w:rsidR="00C32ECE" w:rsidRPr="00C32ECE" w:rsidRDefault="00C32ECE" w:rsidP="00C32ECE">
            <w:pPr>
              <w:keepNext/>
              <w:kinsoku w:val="0"/>
              <w:overflowPunct w:val="0"/>
              <w:adjustRightInd w:val="0"/>
              <w:ind w:left="1985"/>
              <w:rPr>
                <w:sz w:val="16"/>
                <w:szCs w:val="16"/>
                <w:lang w:eastAsia="lt-LT"/>
              </w:rPr>
            </w:pPr>
            <w:r w:rsidRPr="00C32ECE">
              <w:rPr>
                <w:sz w:val="16"/>
                <w:szCs w:val="16"/>
                <w:lang w:eastAsia="lt-LT"/>
              </w:rPr>
              <w:t>Dapagliflozinas geriau  Placebas geriau</w:t>
            </w:r>
          </w:p>
        </w:tc>
        <w:tc>
          <w:tcPr>
            <w:tcW w:w="1126" w:type="dxa"/>
          </w:tcPr>
          <w:p w14:paraId="14DB7DBB" w14:textId="77777777" w:rsidR="00C32ECE" w:rsidRPr="00C32ECE" w:rsidRDefault="00C32ECE" w:rsidP="00C32ECE">
            <w:pPr>
              <w:keepNext/>
              <w:kinsoku w:val="0"/>
              <w:overflowPunct w:val="0"/>
              <w:adjustRightInd w:val="0"/>
              <w:rPr>
                <w:sz w:val="16"/>
                <w:szCs w:val="16"/>
                <w:lang w:eastAsia="lt-LT"/>
              </w:rPr>
            </w:pPr>
          </w:p>
        </w:tc>
        <w:tc>
          <w:tcPr>
            <w:tcW w:w="1260" w:type="dxa"/>
          </w:tcPr>
          <w:p w14:paraId="43733C2F" w14:textId="77777777" w:rsidR="00C32ECE" w:rsidRPr="00C32ECE" w:rsidRDefault="00C32ECE" w:rsidP="00C32ECE">
            <w:pPr>
              <w:keepNext/>
              <w:kinsoku w:val="0"/>
              <w:overflowPunct w:val="0"/>
              <w:adjustRightInd w:val="0"/>
              <w:rPr>
                <w:sz w:val="16"/>
                <w:szCs w:val="16"/>
                <w:lang w:eastAsia="lt-LT"/>
              </w:rPr>
            </w:pPr>
          </w:p>
        </w:tc>
        <w:tc>
          <w:tcPr>
            <w:tcW w:w="956" w:type="dxa"/>
          </w:tcPr>
          <w:p w14:paraId="36D8BB54" w14:textId="77777777" w:rsidR="00C32ECE" w:rsidRPr="00C32ECE" w:rsidRDefault="00C32ECE" w:rsidP="00C32ECE">
            <w:pPr>
              <w:keepNext/>
              <w:kinsoku w:val="0"/>
              <w:overflowPunct w:val="0"/>
              <w:adjustRightInd w:val="0"/>
              <w:rPr>
                <w:sz w:val="16"/>
                <w:szCs w:val="16"/>
                <w:lang w:eastAsia="lt-LT"/>
              </w:rPr>
            </w:pPr>
          </w:p>
        </w:tc>
      </w:tr>
    </w:tbl>
    <w:p w14:paraId="6D8695E4" w14:textId="77777777" w:rsidR="00C0147E" w:rsidRPr="00130A96" w:rsidRDefault="00C0147E" w:rsidP="00130A96">
      <w:pPr>
        <w:pStyle w:val="Pagrindinistekstas"/>
        <w:rPr>
          <w:b/>
        </w:rPr>
      </w:pPr>
    </w:p>
    <w:p w14:paraId="6D8695E5" w14:textId="77777777" w:rsidR="00C0147E" w:rsidRPr="00A62BA3" w:rsidRDefault="001175EF" w:rsidP="00130A96">
      <w:pPr>
        <w:rPr>
          <w:sz w:val="18"/>
          <w:szCs w:val="18"/>
        </w:rPr>
      </w:pPr>
      <w:r w:rsidRPr="00A62BA3">
        <w:rPr>
          <w:sz w:val="18"/>
          <w:szCs w:val="18"/>
        </w:rPr>
        <w:t>Atskirų komponentų pirmųjų atvejų skaičius – tai tikrasis pirmųjų kiekvieno komponento atvejų skaičius (jų suma neatitinka sudėtinės baigties atvejų skaičiaus).</w:t>
      </w:r>
    </w:p>
    <w:p w14:paraId="6D8695E6" w14:textId="77777777" w:rsidR="00C0147E" w:rsidRPr="00A62BA3" w:rsidRDefault="001175EF" w:rsidP="00130A96">
      <w:pPr>
        <w:rPr>
          <w:sz w:val="18"/>
          <w:szCs w:val="18"/>
        </w:rPr>
      </w:pPr>
      <w:r w:rsidRPr="00A62BA3">
        <w:rPr>
          <w:sz w:val="18"/>
          <w:szCs w:val="18"/>
        </w:rPr>
        <w:t>Atvejų dažnis rodo juos patyrusių tiriamųjų skaičių per 100 paciento stebėjimo metų.</w:t>
      </w:r>
    </w:p>
    <w:p w14:paraId="6D8695E7" w14:textId="274122C8" w:rsidR="00C0147E" w:rsidRPr="00A62BA3" w:rsidRDefault="001175EF" w:rsidP="00130A96">
      <w:pPr>
        <w:rPr>
          <w:sz w:val="18"/>
          <w:szCs w:val="18"/>
        </w:rPr>
      </w:pPr>
      <w:r w:rsidRPr="00A62BA3">
        <w:rPr>
          <w:sz w:val="18"/>
          <w:szCs w:val="18"/>
        </w:rPr>
        <w:t>Rizikos santykių įverčiai nepateikiami pogrupiuose, kuriuose iš viso (abejose grupėse kartu paėmus) užfiksuota mažiau kaip 15</w:t>
      </w:r>
      <w:r w:rsidR="00A62BA3">
        <w:rPr>
          <w:sz w:val="18"/>
          <w:szCs w:val="18"/>
        </w:rPr>
        <w:t> </w:t>
      </w:r>
      <w:r w:rsidRPr="00A62BA3">
        <w:rPr>
          <w:sz w:val="18"/>
          <w:szCs w:val="18"/>
        </w:rPr>
        <w:t>atvejų.</w:t>
      </w:r>
    </w:p>
    <w:p w14:paraId="6D8695E8" w14:textId="77777777" w:rsidR="00C0147E" w:rsidRPr="00130A96" w:rsidRDefault="00C0147E" w:rsidP="00130A96">
      <w:pPr>
        <w:pStyle w:val="Pagrindinistekstas"/>
      </w:pPr>
    </w:p>
    <w:p w14:paraId="6D8695EB" w14:textId="12686A30" w:rsidR="00C0147E" w:rsidRPr="00130A96" w:rsidRDefault="001175EF" w:rsidP="00130A96">
      <w:pPr>
        <w:pStyle w:val="Pagrindinistekstas"/>
      </w:pPr>
      <w:r w:rsidRPr="00130A96">
        <w:t>Dapagliflozino nauda nuosekliai pasireiškė lėtine inkstų liga sirgusiems pacientams, kurie sirgo 2</w:t>
      </w:r>
      <w:r w:rsidR="00873FCC">
        <w:t> tipo</w:t>
      </w:r>
      <w:r w:rsidRPr="00130A96">
        <w:t xml:space="preserve"> cukriniu diabetu arba juo nesirgo. Dapagliflozinas </w:t>
      </w:r>
      <w:r w:rsidR="00873FCC">
        <w:t>≥ </w:t>
      </w:r>
      <w:r w:rsidRPr="00130A96">
        <w:t>50</w:t>
      </w:r>
      <w:r w:rsidR="00873FCC">
        <w:t> %</w:t>
      </w:r>
      <w:r w:rsidRPr="00130A96">
        <w:t xml:space="preserve"> sumažino dažnį pagrindinės sudėtinės vertinamosios baigties, kurią sudarė nuolatinis </w:t>
      </w:r>
      <w:proofErr w:type="spellStart"/>
      <w:r w:rsidRPr="00130A96">
        <w:t>aGFG</w:t>
      </w:r>
      <w:proofErr w:type="spellEnd"/>
      <w:r w:rsidRPr="00130A96">
        <w:t xml:space="preserve"> sumažėjimas, galutinės stadijos inkstų ligos pasireiškimas ir mirtis nuo</w:t>
      </w:r>
      <w:r w:rsidR="00920B5E" w:rsidRPr="00920B5E">
        <w:t xml:space="preserve"> </w:t>
      </w:r>
      <w:r w:rsidR="00920B5E">
        <w:t>inkstų bei širdies ir kraujagyslių ligų</w:t>
      </w:r>
      <w:r w:rsidRPr="00130A96">
        <w:t>. 2</w:t>
      </w:r>
      <w:r w:rsidR="00873FCC">
        <w:t> tipo</w:t>
      </w:r>
      <w:r w:rsidRPr="00130A96">
        <w:t xml:space="preserve"> cukriniu diabetu sirgusiems</w:t>
      </w:r>
      <w:r w:rsidR="00985DBA">
        <w:t xml:space="preserve"> </w:t>
      </w:r>
      <w:r w:rsidRPr="00130A96">
        <w:t xml:space="preserve">žmonėms </w:t>
      </w:r>
      <w:r w:rsidR="008243F8">
        <w:t>RS</w:t>
      </w:r>
      <w:r w:rsidRPr="00130A96">
        <w:t xml:space="preserve"> buvo 0,64 (95</w:t>
      </w:r>
      <w:r w:rsidR="00873FCC">
        <w:t> %</w:t>
      </w:r>
      <w:r w:rsidRPr="00130A96">
        <w:t xml:space="preserve"> PI – nuo 0,52 iki 0,79), o juo nesirgusiems pacientams – 0,50 (95</w:t>
      </w:r>
      <w:r w:rsidR="00873FCC">
        <w:t> %</w:t>
      </w:r>
      <w:r w:rsidRPr="00130A96">
        <w:t xml:space="preserve"> PI</w:t>
      </w:r>
      <w:r w:rsidR="0083413D">
        <w:t> </w:t>
      </w:r>
      <w:r w:rsidRPr="00130A96">
        <w:t>– nuo 0,35 iki 0,72).</w:t>
      </w:r>
    </w:p>
    <w:p w14:paraId="6D8695EC" w14:textId="77777777" w:rsidR="00C0147E" w:rsidRPr="00130A96" w:rsidRDefault="00C0147E" w:rsidP="00130A96">
      <w:pPr>
        <w:pStyle w:val="Pagrindinistekstas"/>
      </w:pPr>
    </w:p>
    <w:p w14:paraId="6D8695ED" w14:textId="77777777" w:rsidR="00C0147E" w:rsidRDefault="001175EF" w:rsidP="00130A96">
      <w:pPr>
        <w:pStyle w:val="Pagrindinistekstas"/>
      </w:pPr>
      <w:r w:rsidRPr="00130A96">
        <w:t xml:space="preserve">Palankesnis dapagliflozino, palyginus su placebu, poveikis pagrindinei sudėtinei vertinamajai baigčiai taip pat nuosekliai pasireiškė pagrindiniuose pogrupiuose, sudarytuose pagal </w:t>
      </w:r>
      <w:proofErr w:type="spellStart"/>
      <w:r w:rsidRPr="00130A96">
        <w:t>aGFG</w:t>
      </w:r>
      <w:proofErr w:type="spellEnd"/>
      <w:r w:rsidRPr="00130A96">
        <w:t>, amžių, lytį ir regioną.</w:t>
      </w:r>
    </w:p>
    <w:p w14:paraId="7176FD8C" w14:textId="77777777" w:rsidR="008243F8" w:rsidRPr="00130A96" w:rsidRDefault="008243F8" w:rsidP="00130A96">
      <w:pPr>
        <w:pStyle w:val="Pagrindinistekstas"/>
      </w:pPr>
    </w:p>
    <w:p w14:paraId="6D8695EE" w14:textId="77777777" w:rsidR="00C0147E" w:rsidRPr="00130A96" w:rsidRDefault="001175EF" w:rsidP="00130A96">
      <w:pPr>
        <w:pStyle w:val="Pagrindinistekstas"/>
      </w:pPr>
      <w:r w:rsidRPr="00130A96">
        <w:rPr>
          <w:u w:val="single"/>
        </w:rPr>
        <w:t>Vaikų populiacija</w:t>
      </w:r>
    </w:p>
    <w:p w14:paraId="6D8695EF" w14:textId="77777777" w:rsidR="00C0147E" w:rsidRPr="00130A96" w:rsidRDefault="00C0147E" w:rsidP="00130A96">
      <w:pPr>
        <w:pStyle w:val="Pagrindinistekstas"/>
      </w:pPr>
    </w:p>
    <w:p w14:paraId="6D8695F0" w14:textId="2EAC957A" w:rsidR="00C0147E" w:rsidRPr="008243F8" w:rsidRDefault="001175EF" w:rsidP="00130A96">
      <w:pPr>
        <w:rPr>
          <w:i/>
          <w:u w:val="single"/>
        </w:rPr>
      </w:pPr>
      <w:r w:rsidRPr="008243F8">
        <w:rPr>
          <w:i/>
          <w:u w:val="single"/>
        </w:rPr>
        <w:t>2</w:t>
      </w:r>
      <w:r w:rsidR="00873FCC" w:rsidRPr="008243F8">
        <w:rPr>
          <w:i/>
          <w:u w:val="single"/>
        </w:rPr>
        <w:t> tipo</w:t>
      </w:r>
      <w:r w:rsidRPr="008243F8">
        <w:rPr>
          <w:i/>
          <w:u w:val="single"/>
        </w:rPr>
        <w:t xml:space="preserve"> cukrinis diabetas</w:t>
      </w:r>
    </w:p>
    <w:p w14:paraId="6D8695F1" w14:textId="5625F801" w:rsidR="00C0147E" w:rsidRDefault="001175EF" w:rsidP="00130A96">
      <w:pPr>
        <w:pStyle w:val="Pagrindinistekstas"/>
      </w:pPr>
      <w:r w:rsidRPr="00130A96">
        <w:t>10</w:t>
      </w:r>
      <w:r w:rsidR="005E3979">
        <w:noBreakHyphen/>
      </w:r>
      <w:r w:rsidRPr="00130A96">
        <w:t>24</w:t>
      </w:r>
      <w:r w:rsidR="005E3979">
        <w:t> </w:t>
      </w:r>
      <w:r w:rsidRPr="00130A96">
        <w:t>metų pacientų, sergančių 2</w:t>
      </w:r>
      <w:r w:rsidR="00873FCC">
        <w:t> tipo</w:t>
      </w:r>
      <w:r w:rsidRPr="00130A96">
        <w:t xml:space="preserve"> cukriniu diabetu, klinikinio tyrimo metu 39 buvo </w:t>
      </w:r>
      <w:r w:rsidR="005E3979">
        <w:t>atsitiktinai suskirstyti</w:t>
      </w:r>
      <w:r w:rsidRPr="00130A96">
        <w:t xml:space="preserve"> vartoti 10</w:t>
      </w:r>
      <w:r w:rsidR="00873FCC">
        <w:t> mg</w:t>
      </w:r>
      <w:r w:rsidRPr="00130A96">
        <w:t xml:space="preserve"> dapagliflozino ir 33 – placeb</w:t>
      </w:r>
      <w:r w:rsidR="005E3979">
        <w:t>o</w:t>
      </w:r>
      <w:r w:rsidRPr="00130A96">
        <w:t xml:space="preserve"> </w:t>
      </w:r>
      <w:r w:rsidR="00815AD6">
        <w:t>(</w:t>
      </w:r>
      <w:proofErr w:type="spellStart"/>
      <w:r w:rsidRPr="00130A96">
        <w:t>metformino</w:t>
      </w:r>
      <w:proofErr w:type="spellEnd"/>
      <w:r w:rsidRPr="00130A96">
        <w:t xml:space="preserve">, insulino arba </w:t>
      </w:r>
      <w:proofErr w:type="spellStart"/>
      <w:r w:rsidRPr="00130A96">
        <w:t>metformino</w:t>
      </w:r>
      <w:proofErr w:type="spellEnd"/>
      <w:r w:rsidRPr="00130A96">
        <w:t xml:space="preserve"> ir insulino derinio poveikiui papildyti</w:t>
      </w:r>
      <w:r w:rsidR="00815AD6">
        <w:t>)</w:t>
      </w:r>
      <w:r w:rsidRPr="00130A96">
        <w:t xml:space="preserve">. </w:t>
      </w:r>
      <w:r w:rsidR="00815AD6">
        <w:t>Atsitiktinės atrankos</w:t>
      </w:r>
      <w:r w:rsidRPr="00130A96">
        <w:t xml:space="preserve"> metu 74</w:t>
      </w:r>
      <w:r w:rsidR="00873FCC">
        <w:t> %</w:t>
      </w:r>
      <w:r w:rsidRPr="00130A96">
        <w:t xml:space="preserve"> pacientų buvo jaunesni kaip </w:t>
      </w:r>
      <w:r w:rsidRPr="00130A96">
        <w:lastRenderedPageBreak/>
        <w:t>18</w:t>
      </w:r>
      <w:r w:rsidR="00815AD6">
        <w:t> </w:t>
      </w:r>
      <w:r w:rsidRPr="00130A96">
        <w:t>metų. Koreguotas vidutinis HbA1c pokytis vartojus dapagliflozin</w:t>
      </w:r>
      <w:r w:rsidR="00AA1C95">
        <w:t>o</w:t>
      </w:r>
      <w:r w:rsidRPr="00130A96">
        <w:t xml:space="preserve"> (palyginus su placebu) nuo tyrimo pradžios iki 24</w:t>
      </w:r>
      <w:r w:rsidR="00AA1C95">
        <w:t> </w:t>
      </w:r>
      <w:r w:rsidRPr="00130A96">
        <w:t>savaitės buvo -0,75</w:t>
      </w:r>
      <w:r w:rsidR="00873FCC">
        <w:t> %</w:t>
      </w:r>
      <w:r w:rsidRPr="00130A96">
        <w:t xml:space="preserve"> (95</w:t>
      </w:r>
      <w:r w:rsidR="00873FCC">
        <w:t> %</w:t>
      </w:r>
      <w:r w:rsidRPr="00130A96">
        <w:t xml:space="preserve"> PI -1,65, 0,15). Koreguotas vidutinis HbA1c, palyginus su pradiniu, pokytis jaunesnių kaip 18</w:t>
      </w:r>
      <w:r w:rsidR="00AA1C95">
        <w:t> </w:t>
      </w:r>
      <w:r w:rsidRPr="00130A96">
        <w:t>metų tiriamųjų, vartojusių dapagliflozin</w:t>
      </w:r>
      <w:r w:rsidR="00AA1C95">
        <w:t>o</w:t>
      </w:r>
      <w:r w:rsidRPr="00130A96">
        <w:t xml:space="preserve"> (palyginus su placebu), grupėje buvo -0,59</w:t>
      </w:r>
      <w:r w:rsidR="00873FCC">
        <w:t> %</w:t>
      </w:r>
      <w:r w:rsidRPr="00130A96">
        <w:t xml:space="preserve"> (95</w:t>
      </w:r>
      <w:r w:rsidR="00873FCC">
        <w:t> %</w:t>
      </w:r>
      <w:r w:rsidRPr="00130A96">
        <w:t xml:space="preserve"> PI -1,66, 0,48). 18</w:t>
      </w:r>
      <w:r w:rsidR="00E32C8B">
        <w:t> </w:t>
      </w:r>
      <w:r w:rsidRPr="00130A96">
        <w:t>metų ir vyresniems tiriamiesiems, vartojusiems dapagliflozin</w:t>
      </w:r>
      <w:r w:rsidR="00E32C8B">
        <w:t>o</w:t>
      </w:r>
      <w:r w:rsidRPr="00130A96">
        <w:t>, HbA1c, palyginus su pradiniu, vidutiniškai 1,52</w:t>
      </w:r>
      <w:r w:rsidR="00873FCC">
        <w:t> %</w:t>
      </w:r>
      <w:r w:rsidRPr="00130A96">
        <w:t xml:space="preserve"> sumažėjo (n</w:t>
      </w:r>
      <w:r w:rsidR="00873FCC">
        <w:t> = </w:t>
      </w:r>
      <w:r w:rsidRPr="00130A96">
        <w:t>9), o vartojusiems placeb</w:t>
      </w:r>
      <w:r w:rsidR="00E32C8B">
        <w:t>o</w:t>
      </w:r>
      <w:r w:rsidRPr="00130A96">
        <w:t xml:space="preserve"> – vidutiniškai 0,17</w:t>
      </w:r>
      <w:r w:rsidR="00873FCC">
        <w:t> %</w:t>
      </w:r>
      <w:r w:rsidRPr="00130A96">
        <w:t xml:space="preserve"> padidėjo (n</w:t>
      </w:r>
      <w:r w:rsidR="00873FCC">
        <w:t> = </w:t>
      </w:r>
      <w:r w:rsidRPr="00130A96">
        <w:t xml:space="preserve">6). Veiksmingumas ir saugumas buvo panašūs </w:t>
      </w:r>
      <w:r w:rsidR="004B3C38">
        <w:t>į</w:t>
      </w:r>
      <w:r w:rsidRPr="00130A96">
        <w:t xml:space="preserve"> dapagliflozin</w:t>
      </w:r>
      <w:r w:rsidR="004B3C38">
        <w:t>o</w:t>
      </w:r>
      <w:r w:rsidRPr="00130A96">
        <w:t xml:space="preserve"> vartojusiems suaugusiesiems. Saugumą ir toleravimą papildomai patvirtinto 28</w:t>
      </w:r>
      <w:r w:rsidR="002B2D96">
        <w:t> </w:t>
      </w:r>
      <w:r w:rsidRPr="00130A96">
        <w:t>savaičių tęstinis saugumo tyrimas.</w:t>
      </w:r>
    </w:p>
    <w:p w14:paraId="465B680C" w14:textId="77777777" w:rsidR="00985DBA" w:rsidRPr="00130A96" w:rsidRDefault="00985DBA" w:rsidP="00130A96">
      <w:pPr>
        <w:pStyle w:val="Pagrindinistekstas"/>
      </w:pPr>
    </w:p>
    <w:p w14:paraId="6D8695F2" w14:textId="77777777" w:rsidR="00C0147E" w:rsidRPr="002B2D96" w:rsidRDefault="001175EF" w:rsidP="00130A96">
      <w:pPr>
        <w:rPr>
          <w:i/>
          <w:u w:val="single"/>
        </w:rPr>
      </w:pPr>
      <w:r w:rsidRPr="002B2D96">
        <w:rPr>
          <w:i/>
          <w:u w:val="single"/>
        </w:rPr>
        <w:t>Širdies nepakankamumas ir lėtinė inkstų liga</w:t>
      </w:r>
    </w:p>
    <w:p w14:paraId="6D8695F3" w14:textId="0D3278F1" w:rsidR="00C0147E" w:rsidRPr="00130A96" w:rsidRDefault="001175EF" w:rsidP="00130A96">
      <w:pPr>
        <w:pStyle w:val="Pagrindinistekstas"/>
      </w:pPr>
      <w:r w:rsidRPr="00130A96">
        <w:t>Europos vaistų agentūra atleido nuo įpareigojimo pateikti dapagliflozino tyrimų kardiovaskulinių komplikacijų profilaktikai su visais vaikų, sergančių lėtiniu širdies nepakankamumu ir lėtine inkstų liga, populiacijos pogrupiais duomenis (vartojimo vaikams informacija pateikiama 4.2</w:t>
      </w:r>
      <w:r w:rsidR="00873FCC">
        <w:t> skyriuje</w:t>
      </w:r>
      <w:r w:rsidRPr="00130A96">
        <w:t>).</w:t>
      </w:r>
    </w:p>
    <w:p w14:paraId="6D8695F4" w14:textId="77777777" w:rsidR="00C0147E" w:rsidRPr="00130A96" w:rsidRDefault="00C0147E" w:rsidP="00130A96">
      <w:pPr>
        <w:pStyle w:val="Pagrindinistekstas"/>
      </w:pPr>
    </w:p>
    <w:p w14:paraId="6D8695F5" w14:textId="77777777" w:rsidR="00C0147E" w:rsidRPr="00130A96" w:rsidRDefault="001175EF" w:rsidP="00985DBA">
      <w:pPr>
        <w:pStyle w:val="Antrat2"/>
        <w:numPr>
          <w:ilvl w:val="1"/>
          <w:numId w:val="16"/>
        </w:numPr>
        <w:tabs>
          <w:tab w:val="left" w:pos="852"/>
        </w:tabs>
        <w:ind w:left="567"/>
      </w:pPr>
      <w:proofErr w:type="spellStart"/>
      <w:r w:rsidRPr="00130A96">
        <w:t>Farmakokinetinės</w:t>
      </w:r>
      <w:proofErr w:type="spellEnd"/>
      <w:r w:rsidRPr="00130A96">
        <w:t xml:space="preserve"> savybės</w:t>
      </w:r>
    </w:p>
    <w:p w14:paraId="6D8695F6" w14:textId="77777777" w:rsidR="00C0147E" w:rsidRPr="00130A96" w:rsidRDefault="00C0147E" w:rsidP="00130A96">
      <w:pPr>
        <w:pStyle w:val="Pagrindinistekstas"/>
        <w:rPr>
          <w:b/>
        </w:rPr>
      </w:pPr>
    </w:p>
    <w:p w14:paraId="6D8695F7" w14:textId="77777777" w:rsidR="00C0147E" w:rsidRPr="0094725D" w:rsidRDefault="001175EF" w:rsidP="00130A96">
      <w:pPr>
        <w:pStyle w:val="Pagrindinistekstas"/>
      </w:pPr>
      <w:r w:rsidRPr="0094725D">
        <w:rPr>
          <w:u w:val="single"/>
        </w:rPr>
        <w:t>Absorbcija</w:t>
      </w:r>
    </w:p>
    <w:p w14:paraId="6D8695F8" w14:textId="77777777" w:rsidR="00C0147E" w:rsidRPr="0094725D" w:rsidRDefault="00C0147E" w:rsidP="00130A96">
      <w:pPr>
        <w:pStyle w:val="Pagrindinistekstas"/>
      </w:pPr>
    </w:p>
    <w:p w14:paraId="205F6951" w14:textId="77777777" w:rsidR="008B6808" w:rsidRDefault="001175EF" w:rsidP="00130A96">
      <w:pPr>
        <w:pStyle w:val="Pagrindinistekstas"/>
      </w:pPr>
      <w:r w:rsidRPr="0094725D">
        <w:t>Per burną pavartotas dapagliflozinas absorbuojamas greitai ir gerai. Didžiausia nevalgius pavartoto dapagliflozino koncentracija plazmoje</w:t>
      </w:r>
      <w:r w:rsidRPr="00130A96">
        <w:t xml:space="preserve"> (</w:t>
      </w:r>
      <w:proofErr w:type="spellStart"/>
      <w:r w:rsidRPr="00130A96">
        <w:t>C</w:t>
      </w:r>
      <w:r w:rsidRPr="00D54BC0">
        <w:rPr>
          <w:vertAlign w:val="subscript"/>
        </w:rPr>
        <w:t>max</w:t>
      </w:r>
      <w:proofErr w:type="spellEnd"/>
      <w:r w:rsidRPr="00130A96">
        <w:t>) paprastai susidaro per 2</w:t>
      </w:r>
      <w:r w:rsidR="008B6808">
        <w:t> </w:t>
      </w:r>
      <w:r w:rsidRPr="00130A96">
        <w:t>val.</w:t>
      </w:r>
    </w:p>
    <w:p w14:paraId="6D8695F9" w14:textId="4963CEA5" w:rsidR="00C0147E" w:rsidRDefault="001175EF" w:rsidP="00130A96">
      <w:pPr>
        <w:pStyle w:val="Pagrindinistekstas"/>
      </w:pPr>
      <w:r w:rsidRPr="00130A96">
        <w:t xml:space="preserve">Geometrinis </w:t>
      </w:r>
      <w:proofErr w:type="spellStart"/>
      <w:r w:rsidRPr="00130A96">
        <w:t>pusiausvyrinės</w:t>
      </w:r>
      <w:proofErr w:type="spellEnd"/>
      <w:r w:rsidRPr="00130A96">
        <w:t xml:space="preserve"> </w:t>
      </w:r>
      <w:r w:rsidR="0056553C">
        <w:t xml:space="preserve">apykaitos </w:t>
      </w:r>
      <w:r w:rsidRPr="00130A96">
        <w:t>dapagliflozino</w:t>
      </w:r>
      <w:r w:rsidR="00F96E55">
        <w:t xml:space="preserve"> </w:t>
      </w:r>
      <w:proofErr w:type="spellStart"/>
      <w:r w:rsidR="00D54BC0">
        <w:t>C</w:t>
      </w:r>
      <w:r w:rsidR="00873FCC" w:rsidRPr="00D54BC0">
        <w:rPr>
          <w:vertAlign w:val="subscript"/>
        </w:rPr>
        <w:t>m</w:t>
      </w:r>
      <w:r w:rsidRPr="00D54BC0">
        <w:rPr>
          <w:vertAlign w:val="subscript"/>
        </w:rPr>
        <w:t>ax</w:t>
      </w:r>
      <w:proofErr w:type="spellEnd"/>
      <w:r w:rsidRPr="00130A96">
        <w:t xml:space="preserve"> vidurkis vartojant 10</w:t>
      </w:r>
      <w:r w:rsidR="00873FCC">
        <w:t> mg</w:t>
      </w:r>
      <w:r w:rsidRPr="00130A96">
        <w:t xml:space="preserve"> 1</w:t>
      </w:r>
      <w:r w:rsidR="0056553C">
        <w:t> </w:t>
      </w:r>
      <w:r w:rsidRPr="00130A96">
        <w:t xml:space="preserve">kartą per parą </w:t>
      </w:r>
      <w:r w:rsidR="0056553C">
        <w:t>buvo</w:t>
      </w:r>
      <w:r w:rsidRPr="00130A96">
        <w:t xml:space="preserve"> 158</w:t>
      </w:r>
      <w:r w:rsidR="00F96E55">
        <w:t> </w:t>
      </w:r>
      <w:proofErr w:type="spellStart"/>
      <w:r w:rsidRPr="00130A96">
        <w:t>ng</w:t>
      </w:r>
      <w:proofErr w:type="spellEnd"/>
      <w:r w:rsidRPr="00130A96">
        <w:t xml:space="preserve">/ml, </w:t>
      </w:r>
      <w:proofErr w:type="spellStart"/>
      <w:r w:rsidRPr="00130A96">
        <w:t>AUC</w:t>
      </w:r>
      <w:r w:rsidRPr="00D54BC0">
        <w:rPr>
          <w:vertAlign w:val="subscript"/>
        </w:rPr>
        <w:t>τ</w:t>
      </w:r>
      <w:proofErr w:type="spellEnd"/>
      <w:r w:rsidRPr="00130A96">
        <w:t xml:space="preserve"> – 628</w:t>
      </w:r>
      <w:r w:rsidR="00F96E55">
        <w:t> </w:t>
      </w:r>
      <w:proofErr w:type="spellStart"/>
      <w:r w:rsidRPr="00130A96">
        <w:t>ng</w:t>
      </w:r>
      <w:proofErr w:type="spellEnd"/>
      <w:r w:rsidRPr="00130A96">
        <w:t>*val./ml. Absoliutus dapagliflozino biologinis prieinamumas pavartojus 10</w:t>
      </w:r>
      <w:r w:rsidR="00873FCC">
        <w:t> mg</w:t>
      </w:r>
      <w:r w:rsidRPr="00130A96">
        <w:t xml:space="preserve"> dozę per burną yra 78</w:t>
      </w:r>
      <w:r w:rsidR="00873FCC">
        <w:t> %</w:t>
      </w:r>
      <w:r w:rsidRPr="00130A96">
        <w:t>. Riebus maistas sukelia dapagliflozino</w:t>
      </w:r>
      <w:r w:rsidR="00CF275C">
        <w:t xml:space="preserve"> </w:t>
      </w:r>
      <w:proofErr w:type="spellStart"/>
      <w:r w:rsidR="00D54BC0">
        <w:t>C</w:t>
      </w:r>
      <w:r w:rsidR="00873FCC" w:rsidRPr="00D54BC0">
        <w:rPr>
          <w:vertAlign w:val="subscript"/>
        </w:rPr>
        <w:t>m</w:t>
      </w:r>
      <w:r w:rsidRPr="00D54BC0">
        <w:rPr>
          <w:vertAlign w:val="subscript"/>
        </w:rPr>
        <w:t>ax</w:t>
      </w:r>
      <w:proofErr w:type="spellEnd"/>
      <w:r w:rsidRPr="00130A96">
        <w:t xml:space="preserve"> sumažėjimą iki 50</w:t>
      </w:r>
      <w:r w:rsidR="00873FCC">
        <w:t> %</w:t>
      </w:r>
      <w:r w:rsidRPr="00130A96">
        <w:t xml:space="preserve"> ir </w:t>
      </w:r>
      <w:proofErr w:type="spellStart"/>
      <w:r w:rsidRPr="00130A96">
        <w:t>T</w:t>
      </w:r>
      <w:r w:rsidRPr="00D54BC0">
        <w:rPr>
          <w:vertAlign w:val="subscript"/>
        </w:rPr>
        <w:t>max</w:t>
      </w:r>
      <w:proofErr w:type="spellEnd"/>
      <w:r w:rsidRPr="00130A96">
        <w:t xml:space="preserve"> pailgėjimą maždaug 1</w:t>
      </w:r>
      <w:r w:rsidR="00F96E55">
        <w:t> </w:t>
      </w:r>
      <w:r w:rsidRPr="00130A96">
        <w:t>val., tačiau neturi įtakos AUC (palyginus su susidarančiu nevalgius). Šie pokyčiai nelaikomi reikšmingais klini</w:t>
      </w:r>
      <w:r w:rsidR="00742676">
        <w:t>š</w:t>
      </w:r>
      <w:r w:rsidRPr="00130A96">
        <w:t xml:space="preserve">kai, todėl </w:t>
      </w:r>
      <w:proofErr w:type="spellStart"/>
      <w:r w:rsidR="00873FCC">
        <w:t>Dapagliflozin</w:t>
      </w:r>
      <w:proofErr w:type="spellEnd"/>
      <w:r w:rsidR="00873FCC">
        <w:t xml:space="preserve"> Olpha</w:t>
      </w:r>
      <w:r w:rsidRPr="00130A96">
        <w:t xml:space="preserve"> galima vartoti valgant arba kitu laiku.</w:t>
      </w:r>
    </w:p>
    <w:p w14:paraId="4B3C8C54" w14:textId="77777777" w:rsidR="0094725D" w:rsidRPr="00130A96" w:rsidRDefault="0094725D" w:rsidP="00130A96">
      <w:pPr>
        <w:pStyle w:val="Pagrindinistekstas"/>
      </w:pPr>
    </w:p>
    <w:p w14:paraId="6D8695FA" w14:textId="77777777" w:rsidR="00C0147E" w:rsidRPr="00130A96" w:rsidRDefault="001175EF" w:rsidP="00130A96">
      <w:pPr>
        <w:pStyle w:val="Pagrindinistekstas"/>
      </w:pPr>
      <w:r w:rsidRPr="00130A96">
        <w:rPr>
          <w:u w:val="single"/>
        </w:rPr>
        <w:t>Pasiskirstymas</w:t>
      </w:r>
    </w:p>
    <w:p w14:paraId="6D8695FB" w14:textId="77777777" w:rsidR="00C0147E" w:rsidRPr="00130A96" w:rsidRDefault="00C0147E" w:rsidP="00130A96">
      <w:pPr>
        <w:pStyle w:val="Pagrindinistekstas"/>
      </w:pPr>
    </w:p>
    <w:p w14:paraId="6D8695FC" w14:textId="6AB9680D" w:rsidR="00C0147E" w:rsidRPr="00130A96" w:rsidRDefault="001175EF" w:rsidP="00130A96">
      <w:pPr>
        <w:pStyle w:val="Pagrindinistekstas"/>
      </w:pPr>
      <w:r w:rsidRPr="00130A96">
        <w:t>Maždaug 91</w:t>
      </w:r>
      <w:r w:rsidR="00873FCC">
        <w:t> %</w:t>
      </w:r>
      <w:r w:rsidRPr="00130A96">
        <w:t xml:space="preserve"> dapagliflozino būna prisijungusio prie plazmos baltymų. Sergant įvairiomis ligomis (pvz., sutrikus inkstų ar kepenų funkcijai), prie baltymų prisijungęs jo kiekis nepakinta. Vidutinis </w:t>
      </w:r>
      <w:proofErr w:type="spellStart"/>
      <w:r w:rsidRPr="00130A96">
        <w:t>pusiausvyrin</w:t>
      </w:r>
      <w:r w:rsidR="000E6002">
        <w:t>ės</w:t>
      </w:r>
      <w:proofErr w:type="spellEnd"/>
      <w:r w:rsidR="000E6002">
        <w:t xml:space="preserve"> apykaitos</w:t>
      </w:r>
      <w:r w:rsidRPr="00130A96">
        <w:t xml:space="preserve"> dapagliflozino pasiskirstymo tūris </w:t>
      </w:r>
      <w:r w:rsidR="000E6002">
        <w:t>buvo</w:t>
      </w:r>
      <w:r w:rsidRPr="00130A96">
        <w:t xml:space="preserve"> 118</w:t>
      </w:r>
      <w:r w:rsidR="00F96E55">
        <w:t> </w:t>
      </w:r>
      <w:r w:rsidRPr="00130A96">
        <w:t>litrų.</w:t>
      </w:r>
    </w:p>
    <w:p w14:paraId="6D8695FD" w14:textId="77777777" w:rsidR="00C0147E" w:rsidRPr="00130A96" w:rsidRDefault="00C0147E" w:rsidP="00130A96">
      <w:pPr>
        <w:pStyle w:val="Pagrindinistekstas"/>
      </w:pPr>
    </w:p>
    <w:p w14:paraId="6D8695FE" w14:textId="77777777" w:rsidR="00C0147E" w:rsidRPr="00130A96" w:rsidRDefault="001175EF" w:rsidP="00130A96">
      <w:pPr>
        <w:pStyle w:val="Pagrindinistekstas"/>
      </w:pPr>
      <w:proofErr w:type="spellStart"/>
      <w:r w:rsidRPr="00130A96">
        <w:rPr>
          <w:u w:val="single"/>
        </w:rPr>
        <w:t>Biotransformacija</w:t>
      </w:r>
      <w:proofErr w:type="spellEnd"/>
    </w:p>
    <w:p w14:paraId="6D8695FF" w14:textId="77777777" w:rsidR="00C0147E" w:rsidRPr="00130A96" w:rsidRDefault="00C0147E" w:rsidP="00130A96">
      <w:pPr>
        <w:pStyle w:val="Pagrindinistekstas"/>
      </w:pPr>
    </w:p>
    <w:p w14:paraId="6D869601" w14:textId="1220AC53" w:rsidR="00C0147E" w:rsidRDefault="001175EF" w:rsidP="00130A96">
      <w:pPr>
        <w:pStyle w:val="Pagrindinistekstas"/>
      </w:pPr>
      <w:r w:rsidRPr="00130A96">
        <w:t xml:space="preserve">Dapagliflozinas ekstensyviai </w:t>
      </w:r>
      <w:proofErr w:type="spellStart"/>
      <w:r w:rsidRPr="00130A96">
        <w:t>metabolizuojamas</w:t>
      </w:r>
      <w:proofErr w:type="spellEnd"/>
      <w:r w:rsidRPr="00130A96">
        <w:t>, daugiausia į neaktyvų metabolitą – dapagliflozino 3</w:t>
      </w:r>
      <w:r w:rsidR="00E46956">
        <w:noBreakHyphen/>
      </w:r>
      <w:r w:rsidRPr="00130A96">
        <w:t>O</w:t>
      </w:r>
      <w:r w:rsidR="00E46956">
        <w:noBreakHyphen/>
      </w:r>
      <w:r w:rsidRPr="00130A96">
        <w:t>gliukuronidą. Dapagliflozino 3</w:t>
      </w:r>
      <w:r w:rsidR="00E46956" w:rsidRPr="00E46956">
        <w:noBreakHyphen/>
      </w:r>
      <w:r w:rsidRPr="00130A96">
        <w:t>O</w:t>
      </w:r>
      <w:r w:rsidR="00E46956">
        <w:noBreakHyphen/>
      </w:r>
      <w:r w:rsidRPr="00130A96">
        <w:t>gliukuronidas ir kiti metabolitai neturi įtakos gliukozės koncentraciją mažinančiam poveikiui. Dapagliflozino 3</w:t>
      </w:r>
      <w:r w:rsidR="004A581C">
        <w:noBreakHyphen/>
      </w:r>
      <w:r w:rsidRPr="00130A96">
        <w:t>O</w:t>
      </w:r>
      <w:r w:rsidR="004A581C">
        <w:noBreakHyphen/>
      </w:r>
      <w:r w:rsidRPr="00130A96">
        <w:t>gliukuronido susidarymą katalizuoja</w:t>
      </w:r>
      <w:r w:rsidR="0094725D">
        <w:t xml:space="preserve"> </w:t>
      </w:r>
      <w:r w:rsidRPr="00130A96">
        <w:t>UGT1A9 (fermentas, kurio yra kepenyse ir inkstuose), o nuo CYP priklausomo metabolizmo žmogaus organizme sąlygojamas klirensas yra nedidelis.</w:t>
      </w:r>
    </w:p>
    <w:p w14:paraId="270CB026" w14:textId="77777777" w:rsidR="0094725D" w:rsidRPr="00130A96" w:rsidRDefault="0094725D" w:rsidP="00130A96">
      <w:pPr>
        <w:pStyle w:val="Pagrindinistekstas"/>
      </w:pPr>
    </w:p>
    <w:p w14:paraId="6D869602" w14:textId="77777777" w:rsidR="00C0147E" w:rsidRPr="00130A96" w:rsidRDefault="001175EF" w:rsidP="00130A96">
      <w:pPr>
        <w:pStyle w:val="Pagrindinistekstas"/>
      </w:pPr>
      <w:r w:rsidRPr="00130A96">
        <w:rPr>
          <w:u w:val="single"/>
        </w:rPr>
        <w:t>Eliminacija</w:t>
      </w:r>
    </w:p>
    <w:p w14:paraId="6D869603" w14:textId="77777777" w:rsidR="00C0147E" w:rsidRPr="00130A96" w:rsidRDefault="00C0147E" w:rsidP="00130A96">
      <w:pPr>
        <w:pStyle w:val="Pagrindinistekstas"/>
      </w:pPr>
    </w:p>
    <w:p w14:paraId="6D869606" w14:textId="08109F9A" w:rsidR="00C0147E" w:rsidRPr="00130A96" w:rsidRDefault="001175EF" w:rsidP="00130A96">
      <w:pPr>
        <w:pStyle w:val="Pagrindinistekstas"/>
      </w:pPr>
      <w:r w:rsidRPr="00130A96">
        <w:t xml:space="preserve">Dapagliflozino vidutinis </w:t>
      </w:r>
      <w:r w:rsidR="004A581C">
        <w:t>galutinis</w:t>
      </w:r>
      <w:r w:rsidRPr="00130A96">
        <w:t xml:space="preserve"> pusin</w:t>
      </w:r>
      <w:r w:rsidR="004A581C">
        <w:t>ės eliminacijos</w:t>
      </w:r>
      <w:r w:rsidRPr="00130A96">
        <w:t xml:space="preserve"> periodas sveikų asmenų, pavartojusių vieną 10</w:t>
      </w:r>
      <w:r w:rsidR="00873FCC">
        <w:t> mg</w:t>
      </w:r>
      <w:r w:rsidRPr="00130A96">
        <w:t xml:space="preserve"> dozę per burną, plazmoje (t</w:t>
      </w:r>
      <w:r w:rsidRPr="00F96E55">
        <w:rPr>
          <w:vertAlign w:val="subscript"/>
        </w:rPr>
        <w:t>1/2</w:t>
      </w:r>
      <w:r w:rsidRPr="00130A96">
        <w:t>) yra 12,9</w:t>
      </w:r>
      <w:r w:rsidR="004A581C">
        <w:t> </w:t>
      </w:r>
      <w:r w:rsidRPr="00130A96">
        <w:t>val. Į veną pavartoto dapagliflozino vidutinis bendras sisteminis</w:t>
      </w:r>
      <w:r w:rsidR="0094725D">
        <w:t xml:space="preserve"> </w:t>
      </w:r>
      <w:r w:rsidRPr="00130A96">
        <w:t>klirensas yra 207</w:t>
      </w:r>
      <w:r w:rsidR="00873FCC">
        <w:t> ml/</w:t>
      </w:r>
      <w:r w:rsidRPr="00130A96">
        <w:t>min. Daugiausia dapagliflozino ir su juo susijusių metabolitų eliminuojama išskiriant su šlapimu, nepakitęs dapagliflozinas jame sudaro mažiau kaip 2</w:t>
      </w:r>
      <w:r w:rsidR="00873FCC">
        <w:t> %</w:t>
      </w:r>
      <w:r w:rsidRPr="00130A96">
        <w:t>. Pavartojus 50</w:t>
      </w:r>
      <w:r w:rsidR="00873FCC">
        <w:t> mg</w:t>
      </w:r>
      <w:r w:rsidRPr="00130A96">
        <w:t xml:space="preserve"> </w:t>
      </w:r>
      <w:r w:rsidRPr="00130A96">
        <w:rPr>
          <w:vertAlign w:val="superscript"/>
        </w:rPr>
        <w:t>14</w:t>
      </w:r>
      <w:r w:rsidRPr="00130A96">
        <w:t xml:space="preserve">C žymėto dapagliflozino, </w:t>
      </w:r>
      <w:r w:rsidR="005A37AB">
        <w:t>nustatyta</w:t>
      </w:r>
      <w:r w:rsidRPr="00130A96">
        <w:t xml:space="preserve"> 96</w:t>
      </w:r>
      <w:r w:rsidR="00873FCC">
        <w:t> %</w:t>
      </w:r>
      <w:r w:rsidRPr="00130A96">
        <w:t xml:space="preserve"> radioaktyvumo (75</w:t>
      </w:r>
      <w:r w:rsidR="00873FCC">
        <w:t> %</w:t>
      </w:r>
      <w:r w:rsidRPr="00130A96">
        <w:t xml:space="preserve"> šlapime ir 21</w:t>
      </w:r>
      <w:r w:rsidR="00873FCC">
        <w:t> %</w:t>
      </w:r>
      <w:r w:rsidRPr="00130A96">
        <w:t xml:space="preserve"> išmatose). Maždaug 15</w:t>
      </w:r>
      <w:r w:rsidR="00873FCC">
        <w:t> %</w:t>
      </w:r>
      <w:r w:rsidRPr="00130A96">
        <w:t xml:space="preserve"> išmatose randamo kiekio sudaro nepakitęs dapagliflozinas.</w:t>
      </w:r>
    </w:p>
    <w:p w14:paraId="6D869607" w14:textId="77777777" w:rsidR="00C0147E" w:rsidRPr="00130A96" w:rsidRDefault="00C0147E" w:rsidP="00130A96">
      <w:pPr>
        <w:pStyle w:val="Pagrindinistekstas"/>
      </w:pPr>
    </w:p>
    <w:p w14:paraId="6D869608" w14:textId="77777777" w:rsidR="00C0147E" w:rsidRDefault="001175EF" w:rsidP="00130A96">
      <w:pPr>
        <w:pStyle w:val="Pagrindinistekstas"/>
        <w:rPr>
          <w:u w:val="single"/>
        </w:rPr>
      </w:pPr>
      <w:r w:rsidRPr="00130A96">
        <w:rPr>
          <w:u w:val="single"/>
        </w:rPr>
        <w:t>Tiesinis pobūdis</w:t>
      </w:r>
    </w:p>
    <w:p w14:paraId="5928AC4B" w14:textId="77777777" w:rsidR="0094725D" w:rsidRPr="00130A96" w:rsidRDefault="0094725D" w:rsidP="00130A96">
      <w:pPr>
        <w:pStyle w:val="Pagrindinistekstas"/>
      </w:pPr>
    </w:p>
    <w:p w14:paraId="6D869609" w14:textId="09D57DDA" w:rsidR="00C0147E" w:rsidRPr="00130A96" w:rsidRDefault="001175EF" w:rsidP="00130A96">
      <w:pPr>
        <w:pStyle w:val="Pagrindinistekstas"/>
      </w:pPr>
      <w:r w:rsidRPr="00130A96">
        <w:t>Dapagliflozino ekspozicija didėja proporcingai jo dozės didinimui diapazone nuo 0,1 iki 500</w:t>
      </w:r>
      <w:r w:rsidR="00873FCC">
        <w:t> mg</w:t>
      </w:r>
      <w:r w:rsidRPr="00130A96">
        <w:t xml:space="preserve">. Kartotinai jo vartojant </w:t>
      </w:r>
      <w:r w:rsidR="00172019">
        <w:t xml:space="preserve">kasdien </w:t>
      </w:r>
      <w:r w:rsidRPr="00130A96">
        <w:t>iki 24</w:t>
      </w:r>
      <w:r w:rsidR="00CF7522">
        <w:t> </w:t>
      </w:r>
      <w:r w:rsidRPr="00130A96">
        <w:t>savaičių, farmakokinetika nepakito.</w:t>
      </w:r>
    </w:p>
    <w:p w14:paraId="06D62EBA" w14:textId="77777777" w:rsidR="0083413D" w:rsidRDefault="0083413D" w:rsidP="00130A96">
      <w:pPr>
        <w:pStyle w:val="Pagrindinistekstas"/>
      </w:pPr>
    </w:p>
    <w:p w14:paraId="4B0DF591" w14:textId="77777777" w:rsidR="00BB5365" w:rsidRDefault="00BB5365" w:rsidP="00130A96">
      <w:pPr>
        <w:pStyle w:val="Pagrindinistekstas"/>
      </w:pPr>
    </w:p>
    <w:p w14:paraId="219E0DA6" w14:textId="77777777" w:rsidR="00BB5365" w:rsidRDefault="00BB5365" w:rsidP="00130A96">
      <w:pPr>
        <w:pStyle w:val="Pagrindinistekstas"/>
        <w:rPr>
          <w:u w:val="single"/>
        </w:rPr>
      </w:pPr>
    </w:p>
    <w:p w14:paraId="6D86960B" w14:textId="45AFDDA0" w:rsidR="00C0147E" w:rsidRDefault="00172019" w:rsidP="00130A96">
      <w:pPr>
        <w:pStyle w:val="Pagrindinistekstas"/>
        <w:rPr>
          <w:u w:val="single"/>
        </w:rPr>
      </w:pPr>
      <w:r>
        <w:rPr>
          <w:u w:val="single"/>
        </w:rPr>
        <w:lastRenderedPageBreak/>
        <w:t>Ypatingos</w:t>
      </w:r>
      <w:r w:rsidR="001175EF" w:rsidRPr="00130A96">
        <w:rPr>
          <w:u w:val="single"/>
        </w:rPr>
        <w:t xml:space="preserve"> populiacijos</w:t>
      </w:r>
    </w:p>
    <w:p w14:paraId="61706CCF" w14:textId="77777777" w:rsidR="0094725D" w:rsidRPr="00130A96" w:rsidRDefault="0094725D" w:rsidP="00130A96">
      <w:pPr>
        <w:pStyle w:val="Pagrindinistekstas"/>
      </w:pPr>
    </w:p>
    <w:p w14:paraId="6D86960C" w14:textId="77777777" w:rsidR="00C0147E" w:rsidRPr="00130A96" w:rsidRDefault="001175EF" w:rsidP="00130A96">
      <w:pPr>
        <w:rPr>
          <w:i/>
        </w:rPr>
      </w:pPr>
      <w:r w:rsidRPr="00130A96">
        <w:rPr>
          <w:i/>
          <w:u w:val="single"/>
        </w:rPr>
        <w:t>Sutrikusi inkstų funkcija</w:t>
      </w:r>
    </w:p>
    <w:p w14:paraId="6D86960E" w14:textId="36ADF5DE" w:rsidR="00C0147E" w:rsidRPr="00130A96" w:rsidRDefault="001175EF" w:rsidP="00130A96">
      <w:pPr>
        <w:pStyle w:val="Pagrindinistekstas"/>
      </w:pPr>
      <w:r w:rsidRPr="00130A96">
        <w:t xml:space="preserve">Esant </w:t>
      </w:r>
      <w:proofErr w:type="spellStart"/>
      <w:r w:rsidRPr="00130A96">
        <w:t>pusiausvyrinei</w:t>
      </w:r>
      <w:proofErr w:type="spellEnd"/>
      <w:r w:rsidRPr="00130A96">
        <w:t xml:space="preserve"> </w:t>
      </w:r>
      <w:r w:rsidR="009671F6">
        <w:t>apykaitai</w:t>
      </w:r>
      <w:r w:rsidRPr="00130A96">
        <w:t xml:space="preserve"> (7</w:t>
      </w:r>
      <w:r w:rsidR="009671F6">
        <w:t> dienas</w:t>
      </w:r>
      <w:r w:rsidRPr="00130A96">
        <w:t xml:space="preserve"> vartojus 20</w:t>
      </w:r>
      <w:r w:rsidR="00873FCC">
        <w:t> mg</w:t>
      </w:r>
      <w:r w:rsidRPr="00130A96">
        <w:t xml:space="preserve"> dapagliflozino 1</w:t>
      </w:r>
      <w:r w:rsidR="009671F6">
        <w:t> </w:t>
      </w:r>
      <w:r w:rsidRPr="00130A96">
        <w:t>kartą per parą), 2</w:t>
      </w:r>
      <w:r w:rsidR="00873FCC">
        <w:t> tipo</w:t>
      </w:r>
      <w:r w:rsidRPr="00130A96">
        <w:t xml:space="preserve"> cukriniu diabetu sirgusiems asmenims, kuri</w:t>
      </w:r>
      <w:r w:rsidR="00EA32F6">
        <w:t>ems buvo lengvas, vidutinio sunkumo ar sunkus</w:t>
      </w:r>
      <w:r w:rsidRPr="00130A96">
        <w:t xml:space="preserve"> inkstų funkcij</w:t>
      </w:r>
      <w:r w:rsidR="00EA32F6">
        <w:t>os</w:t>
      </w:r>
      <w:r w:rsidRPr="00130A96">
        <w:t xml:space="preserve"> </w:t>
      </w:r>
      <w:r w:rsidR="00EA32F6">
        <w:t xml:space="preserve">sutrikimas </w:t>
      </w:r>
      <w:r w:rsidRPr="00130A96">
        <w:t xml:space="preserve">(pagal </w:t>
      </w:r>
      <w:proofErr w:type="spellStart"/>
      <w:r w:rsidRPr="00130A96">
        <w:t>joheksolio</w:t>
      </w:r>
      <w:proofErr w:type="spellEnd"/>
      <w:r w:rsidRPr="00130A96">
        <w:t xml:space="preserve"> plazmos klirensą) sisteminė dapagliflozino ekspozicija buvo atitinkamai 32</w:t>
      </w:r>
      <w:r w:rsidR="00873FCC">
        <w:t> %</w:t>
      </w:r>
      <w:r w:rsidRPr="00130A96">
        <w:t>, 60</w:t>
      </w:r>
      <w:r w:rsidR="00873FCC">
        <w:t> %</w:t>
      </w:r>
      <w:r w:rsidRPr="00130A96">
        <w:t xml:space="preserve"> ir 87</w:t>
      </w:r>
      <w:r w:rsidR="00873FCC">
        <w:t> %</w:t>
      </w:r>
      <w:r w:rsidRPr="00130A96">
        <w:t xml:space="preserve"> didesnė negu sirgusiems 2</w:t>
      </w:r>
      <w:r w:rsidR="00873FCC">
        <w:t> tipo</w:t>
      </w:r>
      <w:r w:rsidRPr="00130A96">
        <w:t xml:space="preserve"> cukriniu diabetu ir turėjusiems normalią inkstų funkciją.</w:t>
      </w:r>
      <w:r w:rsidR="0094725D">
        <w:t xml:space="preserve"> </w:t>
      </w:r>
      <w:r w:rsidRPr="00130A96">
        <w:t xml:space="preserve">Gliukozės </w:t>
      </w:r>
      <w:r w:rsidR="00340EE3">
        <w:t>koncentracija</w:t>
      </w:r>
      <w:r w:rsidR="00D1712B">
        <w:t xml:space="preserve"> šlapime</w:t>
      </w:r>
      <w:r w:rsidRPr="00130A96">
        <w:t xml:space="preserve"> </w:t>
      </w:r>
      <w:r w:rsidR="00D1712B">
        <w:t>24 val. laikotarpiu</w:t>
      </w:r>
      <w:r w:rsidRPr="00130A96">
        <w:t xml:space="preserve"> esant </w:t>
      </w:r>
      <w:proofErr w:type="spellStart"/>
      <w:r w:rsidRPr="00130A96">
        <w:t>pusiausvyrinei</w:t>
      </w:r>
      <w:proofErr w:type="spellEnd"/>
      <w:r w:rsidRPr="00130A96">
        <w:t xml:space="preserve"> koncentracijai labai priklausė nuo inkstų funkcijos: 2</w:t>
      </w:r>
      <w:r w:rsidR="00873FCC">
        <w:t> tipo</w:t>
      </w:r>
      <w:r w:rsidRPr="00130A96">
        <w:t xml:space="preserve"> cukriniu diabetu sirgusių pacientų, </w:t>
      </w:r>
      <w:r w:rsidR="003355DC" w:rsidRPr="00130A96">
        <w:t>kuri</w:t>
      </w:r>
      <w:r w:rsidR="003355DC">
        <w:t>ems buvo lengvas, vidutinio sunkumo ar sunkus</w:t>
      </w:r>
      <w:r w:rsidR="003355DC" w:rsidRPr="00130A96">
        <w:t xml:space="preserve"> inkstų funkcij</w:t>
      </w:r>
      <w:r w:rsidR="003355DC">
        <w:t>os</w:t>
      </w:r>
      <w:r w:rsidR="003355DC" w:rsidRPr="00130A96">
        <w:t xml:space="preserve"> </w:t>
      </w:r>
      <w:r w:rsidR="003355DC">
        <w:t>sutrikimas</w:t>
      </w:r>
      <w:r w:rsidRPr="00130A96">
        <w:t>, paros šlapime rasta atitinkamai 85</w:t>
      </w:r>
      <w:r w:rsidR="00F663D9">
        <w:t> </w:t>
      </w:r>
      <w:r w:rsidRPr="00130A96">
        <w:t>g, 52</w:t>
      </w:r>
      <w:r w:rsidR="00F663D9">
        <w:t> </w:t>
      </w:r>
      <w:r w:rsidRPr="00130A96">
        <w:t>g, 18</w:t>
      </w:r>
      <w:r w:rsidR="00F663D9">
        <w:t> </w:t>
      </w:r>
      <w:r w:rsidRPr="00130A96">
        <w:t>g ir 11</w:t>
      </w:r>
      <w:r w:rsidR="00F663D9">
        <w:t> </w:t>
      </w:r>
      <w:r w:rsidRPr="00130A96">
        <w:t xml:space="preserve">g gliukozės. Hemodializės įtaka dapagliflozino ekspozicijai nežinoma. Susilpnėjusios inkstų funkcijos poveikis sisteminei ekspozicijai vertintas naudojant </w:t>
      </w:r>
      <w:proofErr w:type="spellStart"/>
      <w:r w:rsidRPr="00130A96">
        <w:t>populiacinės</w:t>
      </w:r>
      <w:proofErr w:type="spellEnd"/>
      <w:r w:rsidRPr="00130A96">
        <w:t xml:space="preserve"> farmakokinetikos modelį. Kaip ir buvo tikėtasi atsižvelgiant į ankstesnius duomenis, sumodeliuotas AUC lėtine inkstų liga sergantiems pacientams buvo didesnis negu turintiems normalią inkstų funkciją; lėtinę inkstų ligą turintiems pacientams, kurie serga ir neserga 2</w:t>
      </w:r>
      <w:r w:rsidR="00873FCC">
        <w:t> tipo</w:t>
      </w:r>
      <w:r w:rsidRPr="00130A96">
        <w:t xml:space="preserve"> cukriniu diabetu, jis reikšmingai nesiskyrė.</w:t>
      </w:r>
    </w:p>
    <w:p w14:paraId="6D86960F" w14:textId="77777777" w:rsidR="00C0147E" w:rsidRPr="00130A96" w:rsidRDefault="00C0147E" w:rsidP="00130A96">
      <w:pPr>
        <w:pStyle w:val="Pagrindinistekstas"/>
      </w:pPr>
    </w:p>
    <w:p w14:paraId="6D869610" w14:textId="77777777" w:rsidR="00C0147E" w:rsidRDefault="001175EF" w:rsidP="00130A96">
      <w:pPr>
        <w:rPr>
          <w:i/>
          <w:u w:val="single"/>
        </w:rPr>
      </w:pPr>
      <w:r w:rsidRPr="00130A96">
        <w:rPr>
          <w:i/>
          <w:u w:val="single"/>
        </w:rPr>
        <w:t>Sutrikusi kepenų funkcija</w:t>
      </w:r>
    </w:p>
    <w:p w14:paraId="6D869611" w14:textId="05007660" w:rsidR="00C0147E" w:rsidRPr="00130A96" w:rsidRDefault="001175EF" w:rsidP="00130A96">
      <w:pPr>
        <w:pStyle w:val="Pagrindinistekstas"/>
      </w:pPr>
      <w:r w:rsidRPr="00130A96">
        <w:t xml:space="preserve">Asmenų, </w:t>
      </w:r>
      <w:r w:rsidR="00FB7B12" w:rsidRPr="00FB7B12">
        <w:t xml:space="preserve">kuriems yra lengvas ar vidutinio sunkumo kepenų funkcijos sutrikimas </w:t>
      </w:r>
      <w:r w:rsidRPr="00130A96">
        <w:t>(</w:t>
      </w:r>
      <w:proofErr w:type="spellStart"/>
      <w:r w:rsidRPr="00130A96">
        <w:t>Child</w:t>
      </w:r>
      <w:r w:rsidR="00FB7B12">
        <w:noBreakHyphen/>
      </w:r>
      <w:r w:rsidRPr="00130A96">
        <w:t>Pugh</w:t>
      </w:r>
      <w:proofErr w:type="spellEnd"/>
      <w:r w:rsidRPr="00130A96">
        <w:t xml:space="preserve"> A ir B</w:t>
      </w:r>
      <w:r w:rsidR="00FB7B12">
        <w:t> </w:t>
      </w:r>
      <w:r w:rsidRPr="00130A96">
        <w:t>klasių), dapagliflozino vidutinis</w:t>
      </w:r>
      <w:r>
        <w:t xml:space="preserve"> </w:t>
      </w:r>
      <w:proofErr w:type="spellStart"/>
      <w:r w:rsidR="00D54BC0">
        <w:t>C</w:t>
      </w:r>
      <w:r w:rsidR="00873FCC" w:rsidRPr="00D54BC0">
        <w:rPr>
          <w:vertAlign w:val="subscript"/>
        </w:rPr>
        <w:t>m</w:t>
      </w:r>
      <w:r w:rsidRPr="00D54BC0">
        <w:rPr>
          <w:vertAlign w:val="subscript"/>
        </w:rPr>
        <w:t>ax</w:t>
      </w:r>
      <w:proofErr w:type="spellEnd"/>
      <w:r w:rsidRPr="00130A96">
        <w:t xml:space="preserve"> </w:t>
      </w:r>
      <w:r w:rsidR="00FB7B12">
        <w:t>buvo</w:t>
      </w:r>
      <w:r w:rsidRPr="00130A96">
        <w:t xml:space="preserve"> iki 12</w:t>
      </w:r>
      <w:r w:rsidR="00873FCC">
        <w:t> %</w:t>
      </w:r>
      <w:r w:rsidRPr="00130A96">
        <w:t>, o AUC – iki 36</w:t>
      </w:r>
      <w:r w:rsidR="00873FCC">
        <w:t> %</w:t>
      </w:r>
      <w:r w:rsidRPr="00130A96">
        <w:t xml:space="preserve"> didesnis negu atitinkamiems sveikiems kontrolinės grupės asmenims. Šie skirtumai klini</w:t>
      </w:r>
      <w:r w:rsidR="00FB7B12">
        <w:t>š</w:t>
      </w:r>
      <w:r w:rsidRPr="00130A96">
        <w:t xml:space="preserve">kai </w:t>
      </w:r>
      <w:r w:rsidR="00CE0B32">
        <w:t>nereikšmingi</w:t>
      </w:r>
      <w:r w:rsidRPr="00130A96">
        <w:t xml:space="preserve">. Asmenų, </w:t>
      </w:r>
      <w:r w:rsidR="00FB7B12" w:rsidRPr="00FB7B12">
        <w:t xml:space="preserve">kuriems yra </w:t>
      </w:r>
      <w:r w:rsidR="00FB7B12">
        <w:t>sunkus</w:t>
      </w:r>
      <w:r w:rsidR="00FB7B12" w:rsidRPr="00FB7B12">
        <w:t xml:space="preserve"> kepenų funkcijos sutrikimas </w:t>
      </w:r>
      <w:r w:rsidRPr="00130A96">
        <w:t>(</w:t>
      </w:r>
      <w:proofErr w:type="spellStart"/>
      <w:r w:rsidRPr="00130A96">
        <w:t>Child</w:t>
      </w:r>
      <w:r w:rsidR="00FB7B12">
        <w:noBreakHyphen/>
      </w:r>
      <w:r w:rsidRPr="00130A96">
        <w:t>Pugh</w:t>
      </w:r>
      <w:proofErr w:type="spellEnd"/>
      <w:r w:rsidRPr="00130A96">
        <w:t xml:space="preserve"> C</w:t>
      </w:r>
      <w:r w:rsidR="00FB7B12">
        <w:t> </w:t>
      </w:r>
      <w:r w:rsidRPr="00130A96">
        <w:t>klasės), dapagliflozino vidutinis</w:t>
      </w:r>
      <w:r>
        <w:t xml:space="preserve"> </w:t>
      </w:r>
      <w:proofErr w:type="spellStart"/>
      <w:r w:rsidR="00D54BC0">
        <w:t>C</w:t>
      </w:r>
      <w:r w:rsidR="00873FCC" w:rsidRPr="00D54BC0">
        <w:rPr>
          <w:vertAlign w:val="subscript"/>
        </w:rPr>
        <w:t>m</w:t>
      </w:r>
      <w:r w:rsidRPr="00D54BC0">
        <w:rPr>
          <w:vertAlign w:val="subscript"/>
        </w:rPr>
        <w:t>ax</w:t>
      </w:r>
      <w:proofErr w:type="spellEnd"/>
      <w:r w:rsidRPr="00130A96">
        <w:t xml:space="preserve"> yra 40</w:t>
      </w:r>
      <w:r w:rsidR="00873FCC">
        <w:t> %</w:t>
      </w:r>
      <w:r w:rsidRPr="00130A96">
        <w:t>, o AUC 67</w:t>
      </w:r>
      <w:r w:rsidR="00873FCC">
        <w:t> %</w:t>
      </w:r>
      <w:r w:rsidRPr="00130A96">
        <w:t xml:space="preserve"> didesnis negu atitinkamiems sveikiems kontrolinės grupės asmenims.</w:t>
      </w:r>
    </w:p>
    <w:p w14:paraId="6D869612" w14:textId="77777777" w:rsidR="00C0147E" w:rsidRPr="00130A96" w:rsidRDefault="00C0147E" w:rsidP="00130A96">
      <w:pPr>
        <w:pStyle w:val="Pagrindinistekstas"/>
      </w:pPr>
    </w:p>
    <w:p w14:paraId="6D869613" w14:textId="3DAEAE36" w:rsidR="00C0147E" w:rsidRPr="00130A96" w:rsidRDefault="001175EF" w:rsidP="00130A96">
      <w:pPr>
        <w:rPr>
          <w:i/>
        </w:rPr>
      </w:pPr>
      <w:r w:rsidRPr="00130A96">
        <w:rPr>
          <w:i/>
          <w:u w:val="single"/>
        </w:rPr>
        <w:t xml:space="preserve">Senyvi (65 metų ir vyresni) </w:t>
      </w:r>
      <w:r w:rsidR="0094725D">
        <w:rPr>
          <w:i/>
          <w:u w:val="single"/>
        </w:rPr>
        <w:t>pacientai</w:t>
      </w:r>
    </w:p>
    <w:p w14:paraId="6D869614" w14:textId="460C4540" w:rsidR="00C0147E" w:rsidRPr="00130A96" w:rsidRDefault="001175EF" w:rsidP="00130A96">
      <w:pPr>
        <w:pStyle w:val="Pagrindinistekstas"/>
      </w:pPr>
      <w:r w:rsidRPr="00130A96">
        <w:t>Vien dėl amžiaus asmen</w:t>
      </w:r>
      <w:r w:rsidR="00985973">
        <w:t>ims</w:t>
      </w:r>
      <w:r w:rsidRPr="00130A96">
        <w:t xml:space="preserve"> iki 70</w:t>
      </w:r>
      <w:r w:rsidR="00985973">
        <w:t> </w:t>
      </w:r>
      <w:r w:rsidRPr="00130A96">
        <w:t>metų ekspozicija klini</w:t>
      </w:r>
      <w:r w:rsidR="00985973">
        <w:t>š</w:t>
      </w:r>
      <w:r w:rsidRPr="00130A96">
        <w:t xml:space="preserve">kai </w:t>
      </w:r>
      <w:r w:rsidR="00B60343">
        <w:t>nereikšminga</w:t>
      </w:r>
      <w:r w:rsidRPr="00130A96">
        <w:t>. Vis dėlto galima tikėtis ekspozicijos padidėjimo dėl su amžiumi susijusio inkstų funkcijos silpnėjimo. Duomenų daryti išvadoms dėl vyresnių kaip 70</w:t>
      </w:r>
      <w:r w:rsidR="00C05AB4">
        <w:t> </w:t>
      </w:r>
      <w:r w:rsidRPr="00130A96">
        <w:t>metų pacientų ekspozicijos nepakanka.</w:t>
      </w:r>
    </w:p>
    <w:p w14:paraId="6D869615" w14:textId="77777777" w:rsidR="00C0147E" w:rsidRPr="00130A96" w:rsidRDefault="00C0147E" w:rsidP="00130A96">
      <w:pPr>
        <w:pStyle w:val="Pagrindinistekstas"/>
      </w:pPr>
    </w:p>
    <w:p w14:paraId="6D869616" w14:textId="77777777" w:rsidR="00C0147E" w:rsidRPr="00130A96" w:rsidRDefault="001175EF" w:rsidP="00130A96">
      <w:pPr>
        <w:rPr>
          <w:i/>
        </w:rPr>
      </w:pPr>
      <w:r w:rsidRPr="00130A96">
        <w:rPr>
          <w:i/>
          <w:u w:val="single"/>
        </w:rPr>
        <w:t>Vaikų populiacija</w:t>
      </w:r>
    </w:p>
    <w:p w14:paraId="6D869617" w14:textId="0719C408" w:rsidR="00C0147E" w:rsidRPr="00130A96" w:rsidRDefault="001175EF" w:rsidP="00130A96">
      <w:pPr>
        <w:pStyle w:val="Pagrindinistekstas"/>
      </w:pPr>
      <w:r w:rsidRPr="00130A96">
        <w:t>Farmakokinetika ir farmakodinamika (</w:t>
      </w:r>
      <w:proofErr w:type="spellStart"/>
      <w:r w:rsidRPr="00130A96">
        <w:t>gliukozurija</w:t>
      </w:r>
      <w:proofErr w:type="spellEnd"/>
      <w:r w:rsidRPr="00130A96">
        <w:t>) 2</w:t>
      </w:r>
      <w:r w:rsidR="00873FCC">
        <w:t> tipo</w:t>
      </w:r>
      <w:r w:rsidRPr="00130A96">
        <w:t xml:space="preserve"> cukriniu diabetu sirgusiems 10</w:t>
      </w:r>
      <w:r w:rsidR="00C05AB4">
        <w:noBreakHyphen/>
      </w:r>
      <w:r w:rsidRPr="00130A96">
        <w:t>17</w:t>
      </w:r>
      <w:r w:rsidR="00C05AB4">
        <w:t> </w:t>
      </w:r>
      <w:r w:rsidRPr="00130A96">
        <w:t xml:space="preserve">metų </w:t>
      </w:r>
      <w:r w:rsidR="00C05AB4">
        <w:t>pacientams</w:t>
      </w:r>
      <w:r w:rsidRPr="00130A96">
        <w:t xml:space="preserve"> buvo panaši </w:t>
      </w:r>
      <w:r w:rsidR="003F36CF">
        <w:t>į</w:t>
      </w:r>
      <w:r w:rsidRPr="00130A96">
        <w:t xml:space="preserve"> 2</w:t>
      </w:r>
      <w:r w:rsidR="00873FCC">
        <w:t> tipo</w:t>
      </w:r>
      <w:r w:rsidRPr="00130A96">
        <w:t xml:space="preserve"> cukriniu diabetu </w:t>
      </w:r>
      <w:r w:rsidR="003F36CF">
        <w:t>sergantiems</w:t>
      </w:r>
      <w:r w:rsidRPr="00130A96">
        <w:t xml:space="preserve"> suaugusiesiems.</w:t>
      </w:r>
    </w:p>
    <w:p w14:paraId="6D869618" w14:textId="77777777" w:rsidR="00C0147E" w:rsidRPr="00130A96" w:rsidRDefault="00C0147E" w:rsidP="00130A96">
      <w:pPr>
        <w:pStyle w:val="Pagrindinistekstas"/>
      </w:pPr>
    </w:p>
    <w:p w14:paraId="6D869619" w14:textId="77777777" w:rsidR="00C0147E" w:rsidRPr="00130A96" w:rsidRDefault="001175EF" w:rsidP="00130A96">
      <w:pPr>
        <w:rPr>
          <w:i/>
        </w:rPr>
      </w:pPr>
      <w:r w:rsidRPr="00130A96">
        <w:rPr>
          <w:i/>
          <w:u w:val="single"/>
        </w:rPr>
        <w:t>Lytis</w:t>
      </w:r>
    </w:p>
    <w:p w14:paraId="6D86961A" w14:textId="02301F93" w:rsidR="00C0147E" w:rsidRPr="00130A96" w:rsidRDefault="001175EF" w:rsidP="00130A96">
      <w:pPr>
        <w:pStyle w:val="Pagrindinistekstas"/>
      </w:pPr>
      <w:r w:rsidRPr="00130A96">
        <w:t xml:space="preserve">Apskaičiuota, vidutinis dapagliflozino </w:t>
      </w:r>
      <w:proofErr w:type="spellStart"/>
      <w:r w:rsidRPr="00130A96">
        <w:t>AUC</w:t>
      </w:r>
      <w:r w:rsidRPr="00D54BC0">
        <w:rPr>
          <w:vertAlign w:val="subscript"/>
        </w:rPr>
        <w:t>ss</w:t>
      </w:r>
      <w:proofErr w:type="spellEnd"/>
      <w:r w:rsidRPr="00130A96">
        <w:t xml:space="preserve"> esant </w:t>
      </w:r>
      <w:proofErr w:type="spellStart"/>
      <w:r w:rsidRPr="00130A96">
        <w:t>pusiausvyrinei</w:t>
      </w:r>
      <w:proofErr w:type="spellEnd"/>
      <w:r w:rsidRPr="00130A96">
        <w:t xml:space="preserve"> koncentracijai moterims yra maždaug 22</w:t>
      </w:r>
      <w:r w:rsidR="00873FCC">
        <w:t> %</w:t>
      </w:r>
      <w:r w:rsidRPr="00130A96">
        <w:t xml:space="preserve"> didesnis negu vyrams.</w:t>
      </w:r>
    </w:p>
    <w:p w14:paraId="6D86961B" w14:textId="77777777" w:rsidR="00C0147E" w:rsidRPr="00130A96" w:rsidRDefault="00C0147E" w:rsidP="00130A96">
      <w:pPr>
        <w:pStyle w:val="Pagrindinistekstas"/>
      </w:pPr>
    </w:p>
    <w:p w14:paraId="6D86961C" w14:textId="77777777" w:rsidR="00C0147E" w:rsidRPr="00130A96" w:rsidRDefault="001175EF" w:rsidP="00130A96">
      <w:pPr>
        <w:rPr>
          <w:i/>
        </w:rPr>
      </w:pPr>
      <w:r w:rsidRPr="00130A96">
        <w:rPr>
          <w:i/>
          <w:u w:val="single"/>
        </w:rPr>
        <w:t>Rasė</w:t>
      </w:r>
    </w:p>
    <w:p w14:paraId="6D86961D" w14:textId="77F0E2DC" w:rsidR="00C0147E" w:rsidRDefault="001175EF" w:rsidP="00130A96">
      <w:pPr>
        <w:pStyle w:val="Pagrindinistekstas"/>
      </w:pPr>
      <w:r w:rsidRPr="00130A96">
        <w:t xml:space="preserve">Klinikai reikšmingų sisteminės ekspozicijos skirtumų tarp </w:t>
      </w:r>
      <w:r w:rsidR="008851BC">
        <w:t>baltaodžių</w:t>
      </w:r>
      <w:r w:rsidRPr="00130A96">
        <w:t>, juod</w:t>
      </w:r>
      <w:r w:rsidR="008851BC">
        <w:t>aodžių</w:t>
      </w:r>
      <w:r w:rsidRPr="00130A96">
        <w:t xml:space="preserve"> ir azijiečių rasių </w:t>
      </w:r>
      <w:r w:rsidR="00B60343">
        <w:t xml:space="preserve">atstovų </w:t>
      </w:r>
      <w:r w:rsidRPr="00130A96">
        <w:t>nenustatyta.</w:t>
      </w:r>
    </w:p>
    <w:p w14:paraId="44F9DB38" w14:textId="77777777" w:rsidR="0094725D" w:rsidRPr="00130A96" w:rsidRDefault="0094725D" w:rsidP="00130A96">
      <w:pPr>
        <w:pStyle w:val="Pagrindinistekstas"/>
      </w:pPr>
    </w:p>
    <w:p w14:paraId="6D86961E" w14:textId="77777777" w:rsidR="00C0147E" w:rsidRPr="00130A96" w:rsidRDefault="001175EF" w:rsidP="00130A96">
      <w:pPr>
        <w:rPr>
          <w:i/>
        </w:rPr>
      </w:pPr>
      <w:r w:rsidRPr="00130A96">
        <w:rPr>
          <w:i/>
          <w:u w:val="single"/>
        </w:rPr>
        <w:t>Kūno svoris</w:t>
      </w:r>
    </w:p>
    <w:p w14:paraId="6D86961F" w14:textId="4EAD93C1" w:rsidR="00C0147E" w:rsidRDefault="001175EF" w:rsidP="00130A96">
      <w:pPr>
        <w:pStyle w:val="Pagrindinistekstas"/>
      </w:pPr>
      <w:r w:rsidRPr="00130A96">
        <w:t>Nustatyta, kad didėjant svoriui dapagliflozino ekspozicija mažėja, todėl mažo svorio pacientų ekspozicija gali būti šiek tiek didesnė, o didelio – šiek tiek mažesnė. Vis dėlto šie ekspozicijos skirtumai klini</w:t>
      </w:r>
      <w:r w:rsidR="008E1A3C">
        <w:t>š</w:t>
      </w:r>
      <w:r w:rsidRPr="00130A96">
        <w:t xml:space="preserve">kai </w:t>
      </w:r>
      <w:r w:rsidR="00B60343">
        <w:t>nereikšmingi</w:t>
      </w:r>
      <w:r w:rsidRPr="00130A96">
        <w:t>.</w:t>
      </w:r>
    </w:p>
    <w:p w14:paraId="4714D852" w14:textId="77777777" w:rsidR="0094725D" w:rsidRPr="00130A96" w:rsidRDefault="0094725D" w:rsidP="00130A96">
      <w:pPr>
        <w:pStyle w:val="Pagrindinistekstas"/>
      </w:pPr>
    </w:p>
    <w:p w14:paraId="6D869621" w14:textId="77777777" w:rsidR="00C0147E" w:rsidRPr="00130A96" w:rsidRDefault="001175EF" w:rsidP="0094725D">
      <w:pPr>
        <w:pStyle w:val="Antrat2"/>
        <w:numPr>
          <w:ilvl w:val="1"/>
          <w:numId w:val="16"/>
        </w:numPr>
        <w:tabs>
          <w:tab w:val="left" w:pos="852"/>
        </w:tabs>
        <w:ind w:left="567"/>
      </w:pPr>
      <w:proofErr w:type="spellStart"/>
      <w:r w:rsidRPr="00130A96">
        <w:t>Ikiklinikinių</w:t>
      </w:r>
      <w:proofErr w:type="spellEnd"/>
      <w:r w:rsidRPr="00130A96">
        <w:t xml:space="preserve"> saugumo tyrimų duomenys</w:t>
      </w:r>
    </w:p>
    <w:p w14:paraId="6D869622" w14:textId="77777777" w:rsidR="00C0147E" w:rsidRPr="00130A96" w:rsidRDefault="00C0147E" w:rsidP="00130A96">
      <w:pPr>
        <w:pStyle w:val="Pagrindinistekstas"/>
        <w:rPr>
          <w:b/>
        </w:rPr>
      </w:pPr>
    </w:p>
    <w:p w14:paraId="6D869623" w14:textId="68008FD4" w:rsidR="00C0147E" w:rsidRPr="00130A96" w:rsidRDefault="001175EF" w:rsidP="00130A96">
      <w:pPr>
        <w:pStyle w:val="Pagrindinistekstas"/>
      </w:pPr>
      <w:r w:rsidRPr="00130A96">
        <w:t xml:space="preserve">Įprastų farmakologinio saugumo, kartotinių dozių toksiškumo, </w:t>
      </w:r>
      <w:proofErr w:type="spellStart"/>
      <w:r w:rsidRPr="00130A96">
        <w:t>genotoksiškumo</w:t>
      </w:r>
      <w:proofErr w:type="spellEnd"/>
      <w:r w:rsidRPr="00130A96">
        <w:t xml:space="preserve">, galimo </w:t>
      </w:r>
      <w:proofErr w:type="spellStart"/>
      <w:r w:rsidRPr="00130A96">
        <w:t>kancerogeniškumo</w:t>
      </w:r>
      <w:proofErr w:type="spellEnd"/>
      <w:r w:rsidRPr="00130A96">
        <w:t xml:space="preserve"> ir poveikio vaisingumui </w:t>
      </w:r>
      <w:proofErr w:type="spellStart"/>
      <w:r w:rsidRPr="00130A96">
        <w:t>ikiklinikinių</w:t>
      </w:r>
      <w:proofErr w:type="spellEnd"/>
      <w:r w:rsidRPr="00130A96">
        <w:t xml:space="preserve"> tyrimų duomenys specifinio pavojaus žmogui nerodo. 2</w:t>
      </w:r>
      <w:r w:rsidR="0095195B">
        <w:t> </w:t>
      </w:r>
      <w:r w:rsidRPr="00130A96">
        <w:t xml:space="preserve">metų trukmės </w:t>
      </w:r>
      <w:proofErr w:type="spellStart"/>
      <w:r w:rsidRPr="00130A96">
        <w:t>kancerogeniškumo</w:t>
      </w:r>
      <w:proofErr w:type="spellEnd"/>
      <w:r w:rsidRPr="00130A96">
        <w:t xml:space="preserve"> tyrimų metu jokia dapagliflozino dozė navikų pelėms ir žiurkėms nesukėlė.</w:t>
      </w:r>
    </w:p>
    <w:p w14:paraId="6D869624" w14:textId="77777777" w:rsidR="00C0147E" w:rsidRPr="00130A96" w:rsidRDefault="00C0147E" w:rsidP="00130A96">
      <w:pPr>
        <w:pStyle w:val="Pagrindinistekstas"/>
      </w:pPr>
    </w:p>
    <w:p w14:paraId="6D869625" w14:textId="77777777" w:rsidR="00C0147E" w:rsidRPr="00130A96" w:rsidRDefault="001175EF" w:rsidP="00130A96">
      <w:pPr>
        <w:pStyle w:val="Pagrindinistekstas"/>
      </w:pPr>
      <w:r w:rsidRPr="00130A96">
        <w:rPr>
          <w:u w:val="single"/>
        </w:rPr>
        <w:t>Toksinis poveikis reprodukcijai ir vystymuisi</w:t>
      </w:r>
    </w:p>
    <w:p w14:paraId="6D869626" w14:textId="77777777" w:rsidR="00C0147E" w:rsidRPr="00130A96" w:rsidRDefault="00C0147E" w:rsidP="00130A96">
      <w:pPr>
        <w:pStyle w:val="Pagrindinistekstas"/>
      </w:pPr>
    </w:p>
    <w:p w14:paraId="6D869627" w14:textId="740A2E4C" w:rsidR="00C0147E" w:rsidRDefault="001175EF" w:rsidP="00130A96">
      <w:pPr>
        <w:pStyle w:val="Pagrindinistekstas"/>
      </w:pPr>
      <w:r w:rsidRPr="00130A96">
        <w:t>Tiesioginis dapagliflozino skyrimas nujunkomiems žiurkių jaunikliams</w:t>
      </w:r>
      <w:r w:rsidR="0095195B">
        <w:t xml:space="preserve"> ir</w:t>
      </w:r>
      <w:r w:rsidRPr="00130A96">
        <w:t xml:space="preserve"> netiesioginė jo ekspozicija vaikingumo laikotarpio pabaigoje (antrąjį ir trečiąjį nėštumo trimestrus pagal žmogaus inkstų </w:t>
      </w:r>
      <w:r w:rsidRPr="00130A96">
        <w:lastRenderedPageBreak/>
        <w:t xml:space="preserve">vystymąsi atitinkančiu laiku) ir taip pat žindymo laikotarpiu </w:t>
      </w:r>
      <w:proofErr w:type="spellStart"/>
      <w:r w:rsidRPr="00130A96">
        <w:t>palikuonims</w:t>
      </w:r>
      <w:proofErr w:type="spellEnd"/>
      <w:r w:rsidRPr="00130A96">
        <w:t xml:space="preserve"> </w:t>
      </w:r>
      <w:r w:rsidR="0089447C">
        <w:t>lėmė</w:t>
      </w:r>
      <w:r w:rsidR="0089447C" w:rsidRPr="00130A96">
        <w:t xml:space="preserve"> </w:t>
      </w:r>
      <w:r w:rsidRPr="00130A96">
        <w:t>inkstų geldelių ir kanalėlių išsiplėtimo padažnėjimą ir (arba) pasunkėjimą (kiekvienu iš šių atvejų).</w:t>
      </w:r>
    </w:p>
    <w:p w14:paraId="399F8078" w14:textId="77777777" w:rsidR="0094725D" w:rsidRPr="00130A96" w:rsidRDefault="0094725D" w:rsidP="00130A96">
      <w:pPr>
        <w:pStyle w:val="Pagrindinistekstas"/>
      </w:pPr>
    </w:p>
    <w:p w14:paraId="228CE08E" w14:textId="77777777" w:rsidR="001F2521" w:rsidRPr="001F2521" w:rsidRDefault="001175EF" w:rsidP="001F2521">
      <w:pPr>
        <w:pStyle w:val="Pagrindinistekstas"/>
        <w:kinsoku w:val="0"/>
        <w:overflowPunct w:val="0"/>
        <w:rPr>
          <w:lang w:eastAsia="lt-LT"/>
        </w:rPr>
      </w:pPr>
      <w:r w:rsidRPr="00130A96">
        <w:t>Toksinio poveikio jaunikliams tyrimo metu dapagliflozino skiriant tiesiogiai žiurkių jaunikliams nuo 21</w:t>
      </w:r>
      <w:r w:rsidR="003A2D9F">
        <w:noBreakHyphen/>
      </w:r>
      <w:r w:rsidRPr="00130A96">
        <w:t>os iki 90</w:t>
      </w:r>
      <w:r w:rsidR="003A2D9F">
        <w:noBreakHyphen/>
      </w:r>
      <w:r w:rsidRPr="00130A96">
        <w:t xml:space="preserve">os jų gyvenimo dienos, išsiplėtusios inkstų geldelės ir išsiplėtę inkstų kanalėliai </w:t>
      </w:r>
      <w:r w:rsidR="003A2D9F">
        <w:t>nustatyti</w:t>
      </w:r>
      <w:r w:rsidRPr="00130A96">
        <w:t xml:space="preserve"> visų dozių grupių gyvūnams. Mažiausios tirtos dozės sukelta ekspozicija jaunikliams 15 ar daugiau kartų viršijo susidarančią žmogui vartojant didžiausią rekomenduojamą dozę. Šie radiniai visų dozių grupėse buvo susiję su nuo dozės priklausomu inkstų svorio padidėjimu ir </w:t>
      </w:r>
      <w:proofErr w:type="spellStart"/>
      <w:r w:rsidRPr="00130A96">
        <w:t>makroskopiniu</w:t>
      </w:r>
      <w:proofErr w:type="spellEnd"/>
      <w:r w:rsidRPr="00130A96">
        <w:t xml:space="preserve"> inkstų padidėjimu. Žiurkių jauniklių inkstų geldelių ir inkstų kanalėlių išsiplėtimas </w:t>
      </w:r>
      <w:r w:rsidR="001F2521" w:rsidRPr="001F2521">
        <w:rPr>
          <w:lang w:eastAsia="lt-LT"/>
        </w:rPr>
        <w:t>nevisiškai atsistatė</w:t>
      </w:r>
      <w:r w:rsidR="001F2521" w:rsidRPr="001F2521">
        <w:rPr>
          <w:spacing w:val="-3"/>
          <w:lang w:eastAsia="lt-LT"/>
        </w:rPr>
        <w:t xml:space="preserve"> per </w:t>
      </w:r>
      <w:r w:rsidR="001F2521" w:rsidRPr="001F2521">
        <w:rPr>
          <w:lang w:eastAsia="lt-LT"/>
        </w:rPr>
        <w:t>maždaug 1 mėn. atsigavimo laikotarpį.</w:t>
      </w:r>
    </w:p>
    <w:p w14:paraId="6D869629" w14:textId="118F6A33" w:rsidR="00C0147E" w:rsidRPr="00130A96" w:rsidRDefault="00C0147E" w:rsidP="00130A96">
      <w:pPr>
        <w:pStyle w:val="Pagrindinistekstas"/>
      </w:pPr>
    </w:p>
    <w:p w14:paraId="6D86962B" w14:textId="339594E8" w:rsidR="00C0147E" w:rsidRPr="00130A96" w:rsidRDefault="001175EF" w:rsidP="00130A96">
      <w:pPr>
        <w:pStyle w:val="Pagrindinistekstas"/>
      </w:pPr>
      <w:r w:rsidRPr="00130A96">
        <w:t xml:space="preserve">Poveikio </w:t>
      </w:r>
      <w:proofErr w:type="spellStart"/>
      <w:r w:rsidRPr="00130A96">
        <w:t>prenataliniam</w:t>
      </w:r>
      <w:proofErr w:type="spellEnd"/>
      <w:r w:rsidRPr="00130A96">
        <w:t xml:space="preserve"> ir </w:t>
      </w:r>
      <w:proofErr w:type="spellStart"/>
      <w:r w:rsidRPr="00130A96">
        <w:t>postnataliniam</w:t>
      </w:r>
      <w:proofErr w:type="spellEnd"/>
      <w:r w:rsidRPr="00130A96">
        <w:t xml:space="preserve"> vystymuisi atskiro tyrimo metu vaikingoms žiurkių patelėms </w:t>
      </w:r>
      <w:r w:rsidR="00441E6D">
        <w:t>skirta</w:t>
      </w:r>
      <w:r w:rsidRPr="00130A96">
        <w:t xml:space="preserve"> dapagliflozino nuo 6-os vaikingumo dienos iki 21-os dienos po atsivedimo – tokiu būdu buvo sukelta netiesioginė jo ekspozicija </w:t>
      </w:r>
      <w:proofErr w:type="spellStart"/>
      <w:r w:rsidRPr="00130A96">
        <w:t>palikuonims</w:t>
      </w:r>
      <w:proofErr w:type="spellEnd"/>
      <w:r w:rsidRPr="00130A96">
        <w:t xml:space="preserve"> </w:t>
      </w:r>
      <w:proofErr w:type="spellStart"/>
      <w:r w:rsidRPr="00130A96">
        <w:rPr>
          <w:i/>
        </w:rPr>
        <w:t>in</w:t>
      </w:r>
      <w:proofErr w:type="spellEnd"/>
      <w:r w:rsidRPr="00130A96">
        <w:rPr>
          <w:i/>
        </w:rPr>
        <w:t xml:space="preserve"> </w:t>
      </w:r>
      <w:proofErr w:type="spellStart"/>
      <w:r w:rsidRPr="00130A96">
        <w:rPr>
          <w:i/>
        </w:rPr>
        <w:t>utero</w:t>
      </w:r>
      <w:proofErr w:type="spellEnd"/>
      <w:r w:rsidRPr="00130A96">
        <w:rPr>
          <w:i/>
        </w:rPr>
        <w:t xml:space="preserve"> </w:t>
      </w:r>
      <w:r w:rsidRPr="00130A96">
        <w:t xml:space="preserve">ir žindymo laikotarpiu (kartu atliktas satelitinis dapagliflozino ekspozicijos piene ir </w:t>
      </w:r>
      <w:proofErr w:type="spellStart"/>
      <w:r w:rsidRPr="00130A96">
        <w:t>palikuonims</w:t>
      </w:r>
      <w:proofErr w:type="spellEnd"/>
      <w:r w:rsidRPr="00130A96">
        <w:t xml:space="preserve"> tyrimas). Dapagliflozino gavusių patelių suaugusiems </w:t>
      </w:r>
      <w:proofErr w:type="spellStart"/>
      <w:r w:rsidRPr="00130A96">
        <w:t>palikuonims</w:t>
      </w:r>
      <w:proofErr w:type="spellEnd"/>
      <w:r w:rsidRPr="00130A96">
        <w:t xml:space="preserve"> inkstų geldelių išsiplėtimas </w:t>
      </w:r>
      <w:r w:rsidR="00F714C9">
        <w:t>nustatytas</w:t>
      </w:r>
      <w:r w:rsidRPr="00130A96">
        <w:t xml:space="preserve"> dažniau </w:t>
      </w:r>
      <w:r w:rsidR="008C7580">
        <w:t>arba</w:t>
      </w:r>
      <w:r w:rsidRPr="00130A96">
        <w:t xml:space="preserve"> sunkesnio laipsnio, tačiau tik didžiausios tirtos dozės grupėje, kai dapagliflozino ekspozicija patelėms 1</w:t>
      </w:r>
      <w:r w:rsidR="008C7580">
        <w:t> </w:t>
      </w:r>
      <w:r w:rsidRPr="00130A96">
        <w:t>415</w:t>
      </w:r>
      <w:r w:rsidR="008C7580">
        <w:t> </w:t>
      </w:r>
      <w:r w:rsidRPr="00130A96">
        <w:t xml:space="preserve">kartų, o jų </w:t>
      </w:r>
      <w:proofErr w:type="spellStart"/>
      <w:r w:rsidRPr="00130A96">
        <w:t>palikuonims</w:t>
      </w:r>
      <w:proofErr w:type="spellEnd"/>
      <w:r w:rsidRPr="00130A96">
        <w:t xml:space="preserve"> – 137</w:t>
      </w:r>
      <w:r w:rsidR="008C7580">
        <w:t> </w:t>
      </w:r>
      <w:r w:rsidRPr="00130A96">
        <w:t>kartus viršijo susidarančią žmogui vartojant didžiausią rekomenduojamą dozę.</w:t>
      </w:r>
      <w:r w:rsidR="0094725D">
        <w:t xml:space="preserve"> </w:t>
      </w:r>
      <w:r w:rsidRPr="00130A96">
        <w:t xml:space="preserve">Kitoks toksinis poveikis vystymuisi pasireiškė tik su doze susijusiu palikuonių kūno svorio sumažėjimu, pasireiškusiu tik nuo </w:t>
      </w:r>
      <w:r w:rsidR="00873FCC">
        <w:t>≥ </w:t>
      </w:r>
      <w:r w:rsidRPr="00130A96">
        <w:t>15</w:t>
      </w:r>
      <w:r w:rsidR="00873FCC">
        <w:t> mg</w:t>
      </w:r>
      <w:r w:rsidRPr="00130A96">
        <w:t xml:space="preserve">/kg paros dozių (palikuonių ekspozicija tuomet </w:t>
      </w:r>
      <w:r w:rsidR="00873FCC">
        <w:t>≥ </w:t>
      </w:r>
      <w:r w:rsidRPr="00130A96">
        <w:t>29</w:t>
      </w:r>
      <w:r w:rsidR="00236301">
        <w:t> </w:t>
      </w:r>
      <w:r w:rsidRPr="00130A96">
        <w:t>kartų viršijo susidarančią žmogui vartojant didžiausią rekomenduojamą dozę). Toksinis poveikis vaikingai ar atsivedusiai patelei nustatytas tik tiriant didžiausią dozę ir pasireiškė tik trumpalaikiu kūno svorio ir maisto suvartojimo sumažėjimu. Tiriant toksinį poveikį reprodukcijai mažiausios kenksmingo poveikio nesukėlusios dozės (</w:t>
      </w:r>
      <w:r w:rsidRPr="00C74FBB">
        <w:rPr>
          <w:iCs/>
        </w:rPr>
        <w:t>angl</w:t>
      </w:r>
      <w:r w:rsidRPr="00130A96">
        <w:rPr>
          <w:i/>
        </w:rPr>
        <w:t xml:space="preserve">. </w:t>
      </w:r>
      <w:proofErr w:type="spellStart"/>
      <w:r w:rsidRPr="00130A96">
        <w:rPr>
          <w:i/>
        </w:rPr>
        <w:t>no</w:t>
      </w:r>
      <w:proofErr w:type="spellEnd"/>
      <w:r w:rsidRPr="00130A96">
        <w:rPr>
          <w:i/>
        </w:rPr>
        <w:t xml:space="preserve"> </w:t>
      </w:r>
      <w:proofErr w:type="spellStart"/>
      <w:r w:rsidRPr="00130A96">
        <w:rPr>
          <w:i/>
        </w:rPr>
        <w:t>observed</w:t>
      </w:r>
      <w:proofErr w:type="spellEnd"/>
      <w:r w:rsidRPr="00130A96">
        <w:rPr>
          <w:i/>
        </w:rPr>
        <w:t xml:space="preserve"> </w:t>
      </w:r>
      <w:proofErr w:type="spellStart"/>
      <w:r w:rsidRPr="00130A96">
        <w:rPr>
          <w:i/>
        </w:rPr>
        <w:t>adverse</w:t>
      </w:r>
      <w:proofErr w:type="spellEnd"/>
      <w:r w:rsidRPr="00130A96">
        <w:rPr>
          <w:i/>
        </w:rPr>
        <w:t xml:space="preserve"> </w:t>
      </w:r>
      <w:proofErr w:type="spellStart"/>
      <w:r w:rsidRPr="00130A96">
        <w:rPr>
          <w:i/>
        </w:rPr>
        <w:t>effect</w:t>
      </w:r>
      <w:proofErr w:type="spellEnd"/>
      <w:r w:rsidRPr="00130A96">
        <w:rPr>
          <w:i/>
        </w:rPr>
        <w:t xml:space="preserve"> </w:t>
      </w:r>
      <w:proofErr w:type="spellStart"/>
      <w:r w:rsidRPr="00130A96">
        <w:rPr>
          <w:i/>
        </w:rPr>
        <w:t>level</w:t>
      </w:r>
      <w:proofErr w:type="spellEnd"/>
      <w:r w:rsidR="00C74FBB" w:rsidRPr="00C74FBB">
        <w:rPr>
          <w:iCs/>
        </w:rPr>
        <w:t>,</w:t>
      </w:r>
      <w:r w:rsidR="00C74FBB">
        <w:rPr>
          <w:i/>
        </w:rPr>
        <w:t xml:space="preserve"> </w:t>
      </w:r>
      <w:r w:rsidR="00C74FBB" w:rsidRPr="00C74FBB">
        <w:rPr>
          <w:i/>
          <w:iCs/>
        </w:rPr>
        <w:t>NOAEL</w:t>
      </w:r>
      <w:r w:rsidRPr="00130A96">
        <w:t>) sukelta sisteminė ekspozicija vaikingai ar atsivedusiai patelei maždaug 19</w:t>
      </w:r>
      <w:r w:rsidR="00C74FBB">
        <w:t> </w:t>
      </w:r>
      <w:r w:rsidRPr="00130A96">
        <w:t>kartų viršijo susidarančią žmogui vartojant didžiausią rekomenduojamą dozę.</w:t>
      </w:r>
    </w:p>
    <w:p w14:paraId="6D86962C" w14:textId="77777777" w:rsidR="00C0147E" w:rsidRPr="00130A96" w:rsidRDefault="00C0147E" w:rsidP="00130A96">
      <w:pPr>
        <w:pStyle w:val="Pagrindinistekstas"/>
      </w:pPr>
    </w:p>
    <w:p w14:paraId="6D86962D" w14:textId="1FFBB9F1" w:rsidR="00C0147E" w:rsidRPr="00130A96" w:rsidRDefault="001175EF" w:rsidP="00130A96">
      <w:pPr>
        <w:pStyle w:val="Pagrindinistekstas"/>
      </w:pPr>
      <w:r w:rsidRPr="00130A96">
        <w:t xml:space="preserve">Papildomų poveikio žiurkių ir triušių embrionų ir vaisių vystymuisi tyrimų metu dapagliflozino buvo </w:t>
      </w:r>
      <w:r w:rsidR="00B64A7C">
        <w:t>skiriama</w:t>
      </w:r>
      <w:r w:rsidRPr="00130A96">
        <w:t xml:space="preserve"> intervalais, atitinkančiais pagrindinius kiekvienos rūšies </w:t>
      </w:r>
      <w:proofErr w:type="spellStart"/>
      <w:r w:rsidRPr="00130A96">
        <w:t>organogenezės</w:t>
      </w:r>
      <w:proofErr w:type="spellEnd"/>
      <w:r w:rsidRPr="00130A96">
        <w:t xml:space="preserve"> laikotarpius. Jokios tirtos dozės toksinio poveikio vaikingoms triušių patelėms ar jų atsivestų jauniklių vystymuisi nenustatyta (didžiausios tirtos dozės sukelta sisteminė ekspozicija maždaug 1</w:t>
      </w:r>
      <w:r w:rsidR="00B64A7C">
        <w:t> </w:t>
      </w:r>
      <w:r w:rsidRPr="00130A96">
        <w:t>191</w:t>
      </w:r>
      <w:r w:rsidR="00B64A7C">
        <w:t> </w:t>
      </w:r>
      <w:r w:rsidRPr="00130A96">
        <w:t>kartų viršijo susidarančią žmogui vartojant didžiausią rekomenduojamą dozę). Ekspozicijai iki 1</w:t>
      </w:r>
      <w:r w:rsidR="00B64A7C">
        <w:t> </w:t>
      </w:r>
      <w:r w:rsidRPr="00130A96">
        <w:t>441</w:t>
      </w:r>
      <w:r w:rsidR="00B64A7C">
        <w:t> </w:t>
      </w:r>
      <w:r w:rsidRPr="00130A96">
        <w:t xml:space="preserve">karto viršijus susidarančią žmogui vartojant didžiausią rekomenduojamą dozę, embrionų žuvimo ar </w:t>
      </w:r>
      <w:proofErr w:type="spellStart"/>
      <w:r w:rsidRPr="00130A96">
        <w:t>teratogeninio</w:t>
      </w:r>
      <w:proofErr w:type="spellEnd"/>
      <w:r w:rsidRPr="00130A96">
        <w:t xml:space="preserve"> poveikio </w:t>
      </w:r>
      <w:r w:rsidR="003B3344">
        <w:t>žiurkėms</w:t>
      </w:r>
      <w:r w:rsidRPr="00130A96">
        <w:t xml:space="preserve"> dapagliflozinas nesukėlė.</w:t>
      </w:r>
    </w:p>
    <w:p w14:paraId="6D86962E" w14:textId="77777777" w:rsidR="00C0147E" w:rsidRPr="00130A96" w:rsidRDefault="00C0147E" w:rsidP="00130A96">
      <w:pPr>
        <w:pStyle w:val="Pagrindinistekstas"/>
      </w:pPr>
    </w:p>
    <w:p w14:paraId="6D86962F" w14:textId="77777777" w:rsidR="00C0147E" w:rsidRPr="00130A96" w:rsidRDefault="00C0147E" w:rsidP="00130A96">
      <w:pPr>
        <w:pStyle w:val="Pagrindinistekstas"/>
      </w:pPr>
    </w:p>
    <w:p w14:paraId="6D869630" w14:textId="77777777" w:rsidR="00C0147E" w:rsidRPr="00130A96" w:rsidRDefault="001175EF" w:rsidP="0094725D">
      <w:pPr>
        <w:pStyle w:val="Antrat1"/>
        <w:numPr>
          <w:ilvl w:val="0"/>
          <w:numId w:val="16"/>
        </w:numPr>
        <w:tabs>
          <w:tab w:val="left" w:pos="852"/>
        </w:tabs>
        <w:spacing w:before="0"/>
        <w:ind w:left="567"/>
      </w:pPr>
      <w:r w:rsidRPr="00130A96">
        <w:t>FARMACINĖ INFORMACIJA</w:t>
      </w:r>
    </w:p>
    <w:p w14:paraId="6D869631" w14:textId="77777777" w:rsidR="00C0147E" w:rsidRPr="00130A96" w:rsidRDefault="00C0147E" w:rsidP="00130A96">
      <w:pPr>
        <w:pStyle w:val="Pagrindinistekstas"/>
        <w:rPr>
          <w:b/>
        </w:rPr>
      </w:pPr>
    </w:p>
    <w:p w14:paraId="6D869632" w14:textId="77777777" w:rsidR="00C0147E" w:rsidRPr="00130A96" w:rsidRDefault="001175EF" w:rsidP="0094725D">
      <w:pPr>
        <w:pStyle w:val="Antrat2"/>
        <w:numPr>
          <w:ilvl w:val="1"/>
          <w:numId w:val="16"/>
        </w:numPr>
        <w:tabs>
          <w:tab w:val="left" w:pos="852"/>
        </w:tabs>
        <w:ind w:left="567"/>
      </w:pPr>
      <w:r w:rsidRPr="00130A96">
        <w:t>Pagalbinių medžiagų sąrašas</w:t>
      </w:r>
    </w:p>
    <w:p w14:paraId="6D869633" w14:textId="77777777" w:rsidR="00C0147E" w:rsidRPr="00130A96" w:rsidRDefault="00C0147E" w:rsidP="00130A96">
      <w:pPr>
        <w:pStyle w:val="Pagrindinistekstas"/>
        <w:rPr>
          <w:b/>
        </w:rPr>
      </w:pPr>
    </w:p>
    <w:p w14:paraId="6D869634" w14:textId="77777777" w:rsidR="00C0147E" w:rsidRPr="00130A96" w:rsidRDefault="001175EF" w:rsidP="00130A96">
      <w:pPr>
        <w:pStyle w:val="Pagrindinistekstas"/>
      </w:pPr>
      <w:r w:rsidRPr="00130A96">
        <w:rPr>
          <w:u w:val="single"/>
        </w:rPr>
        <w:t>Tabletės šerdis</w:t>
      </w:r>
    </w:p>
    <w:p w14:paraId="5118F49E" w14:textId="3DBE0083" w:rsidR="0094725D" w:rsidRDefault="001175EF" w:rsidP="00130A96">
      <w:pPr>
        <w:pStyle w:val="Pagrindinistekstas"/>
      </w:pPr>
      <w:proofErr w:type="spellStart"/>
      <w:r w:rsidRPr="00130A96">
        <w:t>Mikrokristalinė</w:t>
      </w:r>
      <w:proofErr w:type="spellEnd"/>
      <w:r w:rsidRPr="00130A96">
        <w:t xml:space="preserve"> celiuliozė</w:t>
      </w:r>
    </w:p>
    <w:p w14:paraId="6D869636" w14:textId="23E98827" w:rsidR="00C0147E" w:rsidRPr="00130A96" w:rsidRDefault="001175EF" w:rsidP="00130A96">
      <w:pPr>
        <w:pStyle w:val="Pagrindinistekstas"/>
      </w:pPr>
      <w:r w:rsidRPr="00130A96">
        <w:t>Laktozė</w:t>
      </w:r>
    </w:p>
    <w:p w14:paraId="21E1F876" w14:textId="6FAA1EAD" w:rsidR="0094725D" w:rsidRDefault="001175EF" w:rsidP="00130A96">
      <w:pPr>
        <w:pStyle w:val="Pagrindinistekstas"/>
      </w:pPr>
      <w:proofErr w:type="spellStart"/>
      <w:r w:rsidRPr="00130A96">
        <w:t>Krospovidonas</w:t>
      </w:r>
      <w:proofErr w:type="spellEnd"/>
      <w:r w:rsidR="00CD391A">
        <w:t> </w:t>
      </w:r>
      <w:r w:rsidRPr="00130A96">
        <w:t>(</w:t>
      </w:r>
      <w:r w:rsidR="00CD391A">
        <w:t>A tipo</w:t>
      </w:r>
      <w:r w:rsidRPr="00130A96">
        <w:t>)</w:t>
      </w:r>
    </w:p>
    <w:p w14:paraId="3A2C07F6" w14:textId="04016E7D" w:rsidR="00B46C61" w:rsidRDefault="00342879" w:rsidP="00130A96">
      <w:pPr>
        <w:pStyle w:val="Pagrindinistekstas"/>
      </w:pPr>
      <w:r>
        <w:t>B</w:t>
      </w:r>
      <w:r w:rsidRPr="00B46C61">
        <w:t xml:space="preserve">evandenis </w:t>
      </w:r>
      <w:r>
        <w:t>k</w:t>
      </w:r>
      <w:r w:rsidR="00B46C61" w:rsidRPr="00B46C61">
        <w:t>oloidinis silicio dioksidas</w:t>
      </w:r>
    </w:p>
    <w:p w14:paraId="036FF16B" w14:textId="1CF4D3D9" w:rsidR="0094725D" w:rsidRDefault="001175EF" w:rsidP="00130A96">
      <w:pPr>
        <w:pStyle w:val="Pagrindinistekstas"/>
      </w:pPr>
      <w:r w:rsidRPr="00130A96">
        <w:t xml:space="preserve">Magnio </w:t>
      </w:r>
      <w:proofErr w:type="spellStart"/>
      <w:r w:rsidRPr="00130A96">
        <w:t>stearatas</w:t>
      </w:r>
      <w:proofErr w:type="spellEnd"/>
    </w:p>
    <w:p w14:paraId="611837EC" w14:textId="77777777" w:rsidR="0094725D" w:rsidRDefault="0094725D" w:rsidP="00130A96">
      <w:pPr>
        <w:pStyle w:val="Pagrindinistekstas"/>
      </w:pPr>
    </w:p>
    <w:p w14:paraId="6D869639" w14:textId="45F86004" w:rsidR="00C0147E" w:rsidRDefault="00E353EE" w:rsidP="00130A96">
      <w:pPr>
        <w:pStyle w:val="Pagrindinistekstas"/>
        <w:rPr>
          <w:u w:val="single"/>
        </w:rPr>
      </w:pPr>
      <w:r>
        <w:rPr>
          <w:u w:val="single"/>
        </w:rPr>
        <w:t>Tabletės p</w:t>
      </w:r>
      <w:r w:rsidR="001175EF" w:rsidRPr="00130A96">
        <w:rPr>
          <w:u w:val="single"/>
        </w:rPr>
        <w:t>lėvelė</w:t>
      </w:r>
    </w:p>
    <w:p w14:paraId="294BB27C" w14:textId="4B9BF77F" w:rsidR="0094725D" w:rsidRDefault="001175EF" w:rsidP="00130A96">
      <w:pPr>
        <w:pStyle w:val="Pagrindinistekstas"/>
      </w:pPr>
      <w:r w:rsidRPr="00130A96">
        <w:t>Polivinilo alkoholis</w:t>
      </w:r>
    </w:p>
    <w:p w14:paraId="093DDB8D" w14:textId="7D58F05A" w:rsidR="0094725D" w:rsidRDefault="001175EF" w:rsidP="00130A96">
      <w:pPr>
        <w:pStyle w:val="Pagrindinistekstas"/>
      </w:pPr>
      <w:r w:rsidRPr="00130A96">
        <w:t>Titano dioksidas</w:t>
      </w:r>
      <w:r w:rsidR="00503F69">
        <w:t> </w:t>
      </w:r>
      <w:r w:rsidRPr="00130A96">
        <w:t>(E171)</w:t>
      </w:r>
    </w:p>
    <w:p w14:paraId="16EF19A5" w14:textId="5391C892" w:rsidR="0094725D" w:rsidRDefault="001175EF" w:rsidP="00130A96">
      <w:pPr>
        <w:pStyle w:val="Pagrindinistekstas"/>
      </w:pPr>
      <w:r w:rsidRPr="00130A96">
        <w:t>Makrogolis</w:t>
      </w:r>
      <w:r w:rsidR="00503F69">
        <w:t> (</w:t>
      </w:r>
      <w:r w:rsidRPr="00130A96">
        <w:t>3350</w:t>
      </w:r>
      <w:r w:rsidR="00503F69">
        <w:t>)</w:t>
      </w:r>
    </w:p>
    <w:p w14:paraId="6D86963A" w14:textId="376C996C" w:rsidR="00C0147E" w:rsidRPr="00130A96" w:rsidRDefault="001175EF" w:rsidP="00130A96">
      <w:pPr>
        <w:pStyle w:val="Pagrindinistekstas"/>
      </w:pPr>
      <w:r w:rsidRPr="00130A96">
        <w:t>Talkas</w:t>
      </w:r>
    </w:p>
    <w:p w14:paraId="6D86963B" w14:textId="1C0E51DF" w:rsidR="00C0147E" w:rsidRPr="00130A96" w:rsidRDefault="001175EF" w:rsidP="00130A96">
      <w:pPr>
        <w:pStyle w:val="Pagrindinistekstas"/>
      </w:pPr>
      <w:r w:rsidRPr="00130A96">
        <w:t>Geltonas geležies oksidas</w:t>
      </w:r>
      <w:r w:rsidR="00503F69">
        <w:t> </w:t>
      </w:r>
      <w:r w:rsidRPr="00130A96">
        <w:t>(E172)</w:t>
      </w:r>
    </w:p>
    <w:p w14:paraId="6D86963C" w14:textId="77777777" w:rsidR="00C0147E" w:rsidRPr="00130A96" w:rsidRDefault="00C0147E" w:rsidP="00130A96">
      <w:pPr>
        <w:pStyle w:val="Pagrindinistekstas"/>
      </w:pPr>
    </w:p>
    <w:p w14:paraId="6D86963D" w14:textId="77777777" w:rsidR="00C0147E" w:rsidRPr="00130A96" w:rsidRDefault="001175EF" w:rsidP="0094725D">
      <w:pPr>
        <w:pStyle w:val="Antrat2"/>
        <w:numPr>
          <w:ilvl w:val="1"/>
          <w:numId w:val="16"/>
        </w:numPr>
        <w:tabs>
          <w:tab w:val="left" w:pos="852"/>
        </w:tabs>
        <w:ind w:left="567"/>
      </w:pPr>
      <w:r w:rsidRPr="00130A96">
        <w:t>Nesuderinamumas</w:t>
      </w:r>
    </w:p>
    <w:p w14:paraId="6D86963E" w14:textId="77777777" w:rsidR="00C0147E" w:rsidRPr="00130A96" w:rsidRDefault="00C0147E" w:rsidP="00130A96">
      <w:pPr>
        <w:pStyle w:val="Pagrindinistekstas"/>
        <w:rPr>
          <w:b/>
        </w:rPr>
      </w:pPr>
    </w:p>
    <w:p w14:paraId="6D86963F" w14:textId="77777777" w:rsidR="00C0147E" w:rsidRPr="00130A96" w:rsidRDefault="001175EF" w:rsidP="00130A96">
      <w:pPr>
        <w:pStyle w:val="Pagrindinistekstas"/>
      </w:pPr>
      <w:r w:rsidRPr="00130A96">
        <w:t>Duomenys nebūtini.</w:t>
      </w:r>
    </w:p>
    <w:p w14:paraId="6D869640" w14:textId="77777777" w:rsidR="00C0147E" w:rsidRPr="00130A96" w:rsidRDefault="00C0147E" w:rsidP="00130A96">
      <w:pPr>
        <w:pStyle w:val="Pagrindinistekstas"/>
      </w:pPr>
    </w:p>
    <w:p w14:paraId="6D869641" w14:textId="77777777" w:rsidR="00C0147E" w:rsidRPr="00130A96" w:rsidRDefault="001175EF" w:rsidP="0094725D">
      <w:pPr>
        <w:pStyle w:val="Antrat2"/>
        <w:numPr>
          <w:ilvl w:val="1"/>
          <w:numId w:val="16"/>
        </w:numPr>
        <w:tabs>
          <w:tab w:val="left" w:pos="852"/>
        </w:tabs>
        <w:ind w:left="567"/>
      </w:pPr>
      <w:r w:rsidRPr="00130A96">
        <w:t>Tinkamumo laikas</w:t>
      </w:r>
    </w:p>
    <w:p w14:paraId="6D869642" w14:textId="77777777" w:rsidR="00C0147E" w:rsidRPr="00130A96" w:rsidRDefault="00C0147E" w:rsidP="00130A96">
      <w:pPr>
        <w:pStyle w:val="Pagrindinistekstas"/>
        <w:rPr>
          <w:b/>
        </w:rPr>
      </w:pPr>
    </w:p>
    <w:p w14:paraId="6D869643" w14:textId="660A5D2D" w:rsidR="00C0147E" w:rsidRPr="00130A96" w:rsidRDefault="0093143D" w:rsidP="00130A96">
      <w:pPr>
        <w:pStyle w:val="Pagrindinistekstas"/>
      </w:pPr>
      <w:r>
        <w:t>2 </w:t>
      </w:r>
      <w:r w:rsidR="001175EF" w:rsidRPr="00130A96">
        <w:t>metai</w:t>
      </w:r>
      <w:r>
        <w:t>.</w:t>
      </w:r>
    </w:p>
    <w:p w14:paraId="6D869644" w14:textId="77777777" w:rsidR="00C0147E" w:rsidRPr="00130A96" w:rsidRDefault="00C0147E" w:rsidP="00130A96">
      <w:pPr>
        <w:pStyle w:val="Pagrindinistekstas"/>
      </w:pPr>
    </w:p>
    <w:p w14:paraId="6D869645" w14:textId="77777777" w:rsidR="00C0147E" w:rsidRPr="00130A96" w:rsidRDefault="001175EF" w:rsidP="0094725D">
      <w:pPr>
        <w:pStyle w:val="Antrat2"/>
        <w:numPr>
          <w:ilvl w:val="1"/>
          <w:numId w:val="16"/>
        </w:numPr>
        <w:tabs>
          <w:tab w:val="left" w:pos="852"/>
        </w:tabs>
        <w:ind w:left="567"/>
      </w:pPr>
      <w:r w:rsidRPr="00130A96">
        <w:t>Specialios laikymo sąlygos</w:t>
      </w:r>
    </w:p>
    <w:p w14:paraId="6D869646" w14:textId="77777777" w:rsidR="00C0147E" w:rsidRPr="00130A96" w:rsidRDefault="00C0147E" w:rsidP="00130A96">
      <w:pPr>
        <w:pStyle w:val="Pagrindinistekstas"/>
        <w:rPr>
          <w:b/>
        </w:rPr>
      </w:pPr>
    </w:p>
    <w:p w14:paraId="6D869647" w14:textId="77777777" w:rsidR="00C0147E" w:rsidRPr="00130A96" w:rsidRDefault="001175EF" w:rsidP="00130A96">
      <w:pPr>
        <w:pStyle w:val="Pagrindinistekstas"/>
      </w:pPr>
      <w:r w:rsidRPr="00130A96">
        <w:t>Šiam vaistiniam preparatui specialių laikymo sąlygų nereikia.</w:t>
      </w:r>
    </w:p>
    <w:p w14:paraId="6D869648" w14:textId="77777777" w:rsidR="00C0147E" w:rsidRPr="00130A96" w:rsidRDefault="00C0147E" w:rsidP="00130A96">
      <w:pPr>
        <w:pStyle w:val="Pagrindinistekstas"/>
      </w:pPr>
    </w:p>
    <w:p w14:paraId="7ADFD055" w14:textId="77777777" w:rsidR="0094725D" w:rsidRPr="0094725D" w:rsidRDefault="001175EF" w:rsidP="0094725D">
      <w:pPr>
        <w:pStyle w:val="Sraopastraipa"/>
        <w:numPr>
          <w:ilvl w:val="1"/>
          <w:numId w:val="16"/>
        </w:numPr>
        <w:tabs>
          <w:tab w:val="left" w:pos="852"/>
        </w:tabs>
        <w:ind w:left="567"/>
      </w:pPr>
      <w:proofErr w:type="spellStart"/>
      <w:r w:rsidRPr="00130A96">
        <w:rPr>
          <w:b/>
        </w:rPr>
        <w:t>Talpyklės</w:t>
      </w:r>
      <w:proofErr w:type="spellEnd"/>
      <w:r w:rsidRPr="00130A96">
        <w:rPr>
          <w:b/>
        </w:rPr>
        <w:t xml:space="preserve"> pobūdis ir jos turinys</w:t>
      </w:r>
    </w:p>
    <w:p w14:paraId="2ACABB80" w14:textId="77777777" w:rsidR="0094725D" w:rsidRDefault="0094725D" w:rsidP="0094725D">
      <w:pPr>
        <w:pStyle w:val="Sraopastraipa"/>
        <w:tabs>
          <w:tab w:val="left" w:pos="852"/>
        </w:tabs>
        <w:ind w:left="0" w:firstLine="0"/>
        <w:rPr>
          <w:b/>
        </w:rPr>
      </w:pPr>
    </w:p>
    <w:p w14:paraId="6D869649" w14:textId="2FE8D1AE" w:rsidR="00C0147E" w:rsidRDefault="00873FCC" w:rsidP="0094725D">
      <w:pPr>
        <w:pStyle w:val="Sraopastraipa"/>
        <w:tabs>
          <w:tab w:val="left" w:pos="852"/>
        </w:tabs>
        <w:ind w:left="0" w:firstLine="0"/>
        <w:rPr>
          <w:u w:val="single"/>
        </w:rPr>
      </w:pPr>
      <w:proofErr w:type="spellStart"/>
      <w:r>
        <w:rPr>
          <w:u w:val="single"/>
        </w:rPr>
        <w:t>Dapagliflozin</w:t>
      </w:r>
      <w:proofErr w:type="spellEnd"/>
      <w:r>
        <w:rPr>
          <w:u w:val="single"/>
        </w:rPr>
        <w:t xml:space="preserve"> Olpha</w:t>
      </w:r>
      <w:r w:rsidR="001175EF" w:rsidRPr="00130A96">
        <w:rPr>
          <w:u w:val="single"/>
        </w:rPr>
        <w:t xml:space="preserve"> 5</w:t>
      </w:r>
      <w:r>
        <w:rPr>
          <w:u w:val="single"/>
        </w:rPr>
        <w:t> mg</w:t>
      </w:r>
      <w:r w:rsidR="001175EF" w:rsidRPr="00130A96">
        <w:rPr>
          <w:u w:val="single"/>
        </w:rPr>
        <w:t xml:space="preserve"> plėvele dengtos tabletės</w:t>
      </w:r>
    </w:p>
    <w:p w14:paraId="21C41B20" w14:textId="77777777" w:rsidR="0094725D" w:rsidRPr="00130A96" w:rsidRDefault="0094725D" w:rsidP="0094725D">
      <w:pPr>
        <w:pStyle w:val="Sraopastraipa"/>
        <w:tabs>
          <w:tab w:val="left" w:pos="852"/>
        </w:tabs>
        <w:ind w:left="0" w:firstLine="0"/>
      </w:pPr>
    </w:p>
    <w:p w14:paraId="6D86964A" w14:textId="5CD37736" w:rsidR="00C0147E" w:rsidRPr="00130A96" w:rsidRDefault="001175EF" w:rsidP="00130A96">
      <w:pPr>
        <w:pStyle w:val="Pagrindinistekstas"/>
      </w:pPr>
      <w:r w:rsidRPr="00130A96">
        <w:t>Pakuotės po 28</w:t>
      </w:r>
      <w:r w:rsidR="0055627E">
        <w:t xml:space="preserve"> (14x2)</w:t>
      </w:r>
      <w:r w:rsidRPr="00130A96">
        <w:t xml:space="preserve"> </w:t>
      </w:r>
      <w:r w:rsidR="00825235">
        <w:t>arba</w:t>
      </w:r>
      <w:r w:rsidRPr="00130A96">
        <w:t xml:space="preserve"> 98</w:t>
      </w:r>
      <w:r w:rsidR="0055627E">
        <w:t xml:space="preserve"> (14x7)</w:t>
      </w:r>
      <w:r w:rsidRPr="00130A96">
        <w:t xml:space="preserve"> plėvele dengtas tabletes neperforuotose </w:t>
      </w:r>
      <w:r w:rsidR="00DD0C0F" w:rsidRPr="00DE15DC">
        <w:t>Al</w:t>
      </w:r>
      <w:r w:rsidR="009C0BE6">
        <w:noBreakHyphen/>
      </w:r>
      <w:r w:rsidR="00DD0C0F" w:rsidRPr="00DE15DC">
        <w:t>PVC/Al/OPA</w:t>
      </w:r>
      <w:r w:rsidR="00DD0C0F" w:rsidRPr="002E174D">
        <w:t xml:space="preserve"> </w:t>
      </w:r>
      <w:r w:rsidRPr="00130A96">
        <w:t>lizdinėse plokštelėse.</w:t>
      </w:r>
    </w:p>
    <w:p w14:paraId="0E4770B3" w14:textId="57BF5209" w:rsidR="0094725D" w:rsidRDefault="001175EF" w:rsidP="00130A96">
      <w:pPr>
        <w:pStyle w:val="Pagrindinistekstas"/>
      </w:pPr>
      <w:r w:rsidRPr="00130A96">
        <w:t>Pakuotės po 30x1</w:t>
      </w:r>
      <w:r w:rsidR="001049FB">
        <w:t xml:space="preserve">, 60x1 </w:t>
      </w:r>
      <w:r w:rsidR="00825235">
        <w:t>arba</w:t>
      </w:r>
      <w:r w:rsidR="001049FB">
        <w:t xml:space="preserve"> </w:t>
      </w:r>
      <w:r w:rsidRPr="00130A96">
        <w:t xml:space="preserve">90x1 plėvele dengtų tablečių perforuotose </w:t>
      </w:r>
      <w:proofErr w:type="spellStart"/>
      <w:r w:rsidRPr="00130A96">
        <w:t>dalomosiose</w:t>
      </w:r>
      <w:proofErr w:type="spellEnd"/>
      <w:r w:rsidRPr="00130A96">
        <w:t xml:space="preserve"> </w:t>
      </w:r>
      <w:r w:rsidR="001049FB" w:rsidRPr="00DE15DC">
        <w:t>Al-PVC/Al/OPA</w:t>
      </w:r>
      <w:r w:rsidR="001049FB" w:rsidRPr="002E174D">
        <w:t xml:space="preserve"> </w:t>
      </w:r>
      <w:r w:rsidRPr="00130A96">
        <w:t>lizdinėse plokštelėse.</w:t>
      </w:r>
    </w:p>
    <w:p w14:paraId="5AC7BD4B" w14:textId="77777777" w:rsidR="0094725D" w:rsidRDefault="0094725D" w:rsidP="00130A96">
      <w:pPr>
        <w:pStyle w:val="Pagrindinistekstas"/>
      </w:pPr>
    </w:p>
    <w:p w14:paraId="6D86964B" w14:textId="2E6B970B" w:rsidR="00C0147E" w:rsidRDefault="00873FCC" w:rsidP="00130A96">
      <w:pPr>
        <w:pStyle w:val="Pagrindinistekstas"/>
        <w:rPr>
          <w:u w:val="single"/>
        </w:rPr>
      </w:pPr>
      <w:proofErr w:type="spellStart"/>
      <w:r>
        <w:rPr>
          <w:u w:val="single"/>
        </w:rPr>
        <w:t>Dapagliflozin</w:t>
      </w:r>
      <w:proofErr w:type="spellEnd"/>
      <w:r>
        <w:rPr>
          <w:u w:val="single"/>
        </w:rPr>
        <w:t xml:space="preserve"> Olpha</w:t>
      </w:r>
      <w:r w:rsidR="001175EF" w:rsidRPr="00130A96">
        <w:rPr>
          <w:u w:val="single"/>
        </w:rPr>
        <w:t xml:space="preserve"> 10</w:t>
      </w:r>
      <w:r>
        <w:rPr>
          <w:u w:val="single"/>
        </w:rPr>
        <w:t> mg</w:t>
      </w:r>
      <w:r w:rsidR="001175EF" w:rsidRPr="00130A96">
        <w:rPr>
          <w:u w:val="single"/>
        </w:rPr>
        <w:t xml:space="preserve"> plėvele dengtos tabletės</w:t>
      </w:r>
    </w:p>
    <w:p w14:paraId="6D42D11F" w14:textId="77777777" w:rsidR="005751A4" w:rsidRDefault="005751A4" w:rsidP="00130A96">
      <w:pPr>
        <w:pStyle w:val="Pagrindinistekstas"/>
        <w:rPr>
          <w:u w:val="single"/>
        </w:rPr>
      </w:pPr>
    </w:p>
    <w:p w14:paraId="6B81B70F" w14:textId="60B7885F" w:rsidR="005751A4" w:rsidRPr="00130A96" w:rsidRDefault="005751A4" w:rsidP="005751A4">
      <w:pPr>
        <w:pStyle w:val="Pagrindinistekstas"/>
      </w:pPr>
      <w:r w:rsidRPr="00130A96">
        <w:t>Pakuotės po 28</w:t>
      </w:r>
      <w:r>
        <w:t xml:space="preserve"> (14x2)</w:t>
      </w:r>
      <w:r w:rsidRPr="00130A96">
        <w:t xml:space="preserve"> </w:t>
      </w:r>
      <w:r w:rsidR="00825235">
        <w:t>arba</w:t>
      </w:r>
      <w:r w:rsidRPr="00130A96">
        <w:t xml:space="preserve"> 98</w:t>
      </w:r>
      <w:r>
        <w:t xml:space="preserve"> (14x7)</w:t>
      </w:r>
      <w:r w:rsidRPr="00130A96">
        <w:t xml:space="preserve"> plėvele dengtas tabletes neperforuotose </w:t>
      </w:r>
      <w:r w:rsidRPr="00DE15DC">
        <w:t>Al</w:t>
      </w:r>
      <w:r w:rsidR="009C0BE6">
        <w:noBreakHyphen/>
      </w:r>
      <w:r w:rsidRPr="00DE15DC">
        <w:t>PVC/Al/OPA</w:t>
      </w:r>
      <w:r w:rsidRPr="002E174D">
        <w:t xml:space="preserve"> </w:t>
      </w:r>
      <w:r w:rsidRPr="00130A96">
        <w:t>lizdinėse plokštelėse.</w:t>
      </w:r>
    </w:p>
    <w:p w14:paraId="6A589BDB" w14:textId="64B66653" w:rsidR="005751A4" w:rsidRDefault="005751A4" w:rsidP="005751A4">
      <w:pPr>
        <w:pStyle w:val="Pagrindinistekstas"/>
      </w:pPr>
      <w:r w:rsidRPr="00130A96">
        <w:t>Pakuotės po 30x1</w:t>
      </w:r>
      <w:r>
        <w:t xml:space="preserve">, 60x1 </w:t>
      </w:r>
      <w:r w:rsidR="00825235">
        <w:t>arba</w:t>
      </w:r>
      <w:r>
        <w:t xml:space="preserve"> </w:t>
      </w:r>
      <w:r w:rsidRPr="00130A96">
        <w:t xml:space="preserve">90x1 plėvele dengtų tablečių perforuotose </w:t>
      </w:r>
      <w:proofErr w:type="spellStart"/>
      <w:r w:rsidRPr="00130A96">
        <w:t>dalomosiose</w:t>
      </w:r>
      <w:proofErr w:type="spellEnd"/>
      <w:r w:rsidRPr="00130A96">
        <w:t xml:space="preserve"> </w:t>
      </w:r>
      <w:r w:rsidRPr="00DE15DC">
        <w:t>Al</w:t>
      </w:r>
      <w:r w:rsidR="009C0BE6">
        <w:noBreakHyphen/>
      </w:r>
      <w:r w:rsidRPr="00DE15DC">
        <w:t>PVC/Al/OPA</w:t>
      </w:r>
      <w:r w:rsidRPr="002E174D">
        <w:t xml:space="preserve"> </w:t>
      </w:r>
      <w:r w:rsidRPr="00130A96">
        <w:t>lizdinėse plokštelėse.</w:t>
      </w:r>
    </w:p>
    <w:p w14:paraId="6D86964E" w14:textId="77777777" w:rsidR="00C0147E" w:rsidRPr="00130A96" w:rsidRDefault="00C0147E" w:rsidP="00130A96">
      <w:pPr>
        <w:pStyle w:val="Pagrindinistekstas"/>
      </w:pPr>
    </w:p>
    <w:p w14:paraId="6D86964F" w14:textId="77777777" w:rsidR="00C0147E" w:rsidRPr="00130A96" w:rsidRDefault="001175EF" w:rsidP="00130A96">
      <w:pPr>
        <w:pStyle w:val="Pagrindinistekstas"/>
      </w:pPr>
      <w:r w:rsidRPr="00130A96">
        <w:t>Gali būti tiekiamos ne visų dydžių pakuotės.</w:t>
      </w:r>
    </w:p>
    <w:p w14:paraId="6D869650" w14:textId="77777777" w:rsidR="00C0147E" w:rsidRPr="00130A96" w:rsidRDefault="00C0147E" w:rsidP="00130A96">
      <w:pPr>
        <w:pStyle w:val="Pagrindinistekstas"/>
      </w:pPr>
    </w:p>
    <w:p w14:paraId="6D869651" w14:textId="77777777" w:rsidR="00C0147E" w:rsidRPr="00130A96" w:rsidRDefault="001175EF" w:rsidP="0094725D">
      <w:pPr>
        <w:pStyle w:val="Antrat2"/>
        <w:numPr>
          <w:ilvl w:val="1"/>
          <w:numId w:val="16"/>
        </w:numPr>
        <w:tabs>
          <w:tab w:val="left" w:pos="852"/>
        </w:tabs>
        <w:ind w:left="567"/>
      </w:pPr>
      <w:r w:rsidRPr="00130A96">
        <w:t>Specialūs reikalavimai atliekoms tvarkyti</w:t>
      </w:r>
    </w:p>
    <w:p w14:paraId="6D869652" w14:textId="77777777" w:rsidR="00C0147E" w:rsidRPr="00130A96" w:rsidRDefault="00C0147E" w:rsidP="00130A96">
      <w:pPr>
        <w:pStyle w:val="Pagrindinistekstas"/>
        <w:rPr>
          <w:b/>
        </w:rPr>
      </w:pPr>
    </w:p>
    <w:p w14:paraId="6D869653" w14:textId="77777777" w:rsidR="00C0147E" w:rsidRPr="00130A96" w:rsidRDefault="001175EF" w:rsidP="00130A96">
      <w:pPr>
        <w:pStyle w:val="Pagrindinistekstas"/>
      </w:pPr>
      <w:r w:rsidRPr="00130A96">
        <w:t>Nesuvartotą vaistinį preparatą ar atliekas reikia tvarkyti laikantis vietinių reikalavimų.</w:t>
      </w:r>
    </w:p>
    <w:p w14:paraId="6D869654" w14:textId="77777777" w:rsidR="00C0147E" w:rsidRPr="00130A96" w:rsidRDefault="00C0147E" w:rsidP="00130A96">
      <w:pPr>
        <w:pStyle w:val="Pagrindinistekstas"/>
      </w:pPr>
    </w:p>
    <w:p w14:paraId="6D869655" w14:textId="77777777" w:rsidR="00C0147E" w:rsidRPr="00130A96" w:rsidRDefault="00C0147E" w:rsidP="00130A96">
      <w:pPr>
        <w:pStyle w:val="Pagrindinistekstas"/>
      </w:pPr>
    </w:p>
    <w:p w14:paraId="6D869656" w14:textId="77777777" w:rsidR="00C0147E" w:rsidRPr="00130A96" w:rsidRDefault="001175EF" w:rsidP="007E7DFC">
      <w:pPr>
        <w:pStyle w:val="Antrat1"/>
        <w:numPr>
          <w:ilvl w:val="0"/>
          <w:numId w:val="16"/>
        </w:numPr>
        <w:tabs>
          <w:tab w:val="left" w:pos="567"/>
          <w:tab w:val="left" w:pos="852"/>
        </w:tabs>
        <w:spacing w:before="0"/>
        <w:ind w:left="0" w:firstLine="0"/>
      </w:pPr>
      <w:r w:rsidRPr="00130A96">
        <w:t>REGISTRUOTOJAS</w:t>
      </w:r>
    </w:p>
    <w:p w14:paraId="6D869657" w14:textId="77777777" w:rsidR="00C0147E" w:rsidRPr="00130A96" w:rsidRDefault="00C0147E" w:rsidP="00130A96">
      <w:pPr>
        <w:pStyle w:val="Pagrindinistekstas"/>
        <w:rPr>
          <w:b/>
        </w:rPr>
      </w:pPr>
    </w:p>
    <w:p w14:paraId="1E213D14" w14:textId="448074C4" w:rsidR="003B33D2" w:rsidRDefault="003B33D2" w:rsidP="003B33D2">
      <w:pPr>
        <w:pStyle w:val="Pagrindinistekstas"/>
      </w:pPr>
      <w:r>
        <w:t>Olpha AS</w:t>
      </w:r>
      <w:r w:rsidR="008A1F8C">
        <w:t>,</w:t>
      </w:r>
    </w:p>
    <w:p w14:paraId="7C30F5BD" w14:textId="0F0C4B4A" w:rsidR="003B33D2" w:rsidRDefault="003B33D2" w:rsidP="003B33D2">
      <w:pPr>
        <w:pStyle w:val="Pagrindinistekstas"/>
      </w:pPr>
      <w:proofErr w:type="spellStart"/>
      <w:r>
        <w:t>R</w:t>
      </w:r>
      <w:r w:rsidR="006C0DF4">
        <w:t>ū</w:t>
      </w:r>
      <w:r>
        <w:t>pn</w:t>
      </w:r>
      <w:r w:rsidR="006C0DF4">
        <w:t>ī</w:t>
      </w:r>
      <w:r>
        <w:t>cu</w:t>
      </w:r>
      <w:proofErr w:type="spellEnd"/>
      <w:r>
        <w:t xml:space="preserve"> </w:t>
      </w:r>
      <w:proofErr w:type="spellStart"/>
      <w:r>
        <w:t>iela</w:t>
      </w:r>
      <w:proofErr w:type="spellEnd"/>
      <w:r>
        <w:t xml:space="preserve"> 5</w:t>
      </w:r>
      <w:r w:rsidR="008A1F8C">
        <w:t>,</w:t>
      </w:r>
    </w:p>
    <w:p w14:paraId="7D504CD1" w14:textId="65B0FF51" w:rsidR="003B33D2" w:rsidRDefault="003B33D2" w:rsidP="003B33D2">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w:t>
      </w:r>
      <w:r w:rsidR="00873FCC">
        <w:t> </w:t>
      </w:r>
      <w:r>
        <w:t>LV-2114</w:t>
      </w:r>
      <w:r w:rsidR="008A1F8C">
        <w:t>,</w:t>
      </w:r>
    </w:p>
    <w:p w14:paraId="4E834353" w14:textId="0C9FE331" w:rsidR="0094725D" w:rsidRDefault="003B33D2" w:rsidP="003B33D2">
      <w:pPr>
        <w:pStyle w:val="Pagrindinistekstas"/>
      </w:pPr>
      <w:r>
        <w:t>Latvija</w:t>
      </w:r>
    </w:p>
    <w:p w14:paraId="3E54A6BB" w14:textId="77777777" w:rsidR="0094725D" w:rsidRDefault="0094725D" w:rsidP="00130A96">
      <w:pPr>
        <w:pStyle w:val="Pagrindinistekstas"/>
      </w:pPr>
    </w:p>
    <w:p w14:paraId="6C624774" w14:textId="77777777" w:rsidR="003B33D2" w:rsidRPr="00130A96" w:rsidRDefault="003B33D2" w:rsidP="00130A96">
      <w:pPr>
        <w:pStyle w:val="Pagrindinistekstas"/>
      </w:pPr>
    </w:p>
    <w:p w14:paraId="6D86965B" w14:textId="77777777" w:rsidR="00C0147E" w:rsidRPr="00130A96" w:rsidRDefault="001175EF" w:rsidP="003B33D2">
      <w:pPr>
        <w:pStyle w:val="Antrat1"/>
        <w:numPr>
          <w:ilvl w:val="0"/>
          <w:numId w:val="16"/>
        </w:numPr>
        <w:tabs>
          <w:tab w:val="left" w:pos="852"/>
        </w:tabs>
        <w:spacing w:before="0"/>
        <w:ind w:left="567"/>
      </w:pPr>
      <w:r w:rsidRPr="00130A96">
        <w:t>REGISTRACIJOS PAŽYMĖJIMO NUMERIS (-IAI)</w:t>
      </w:r>
    </w:p>
    <w:p w14:paraId="6D86965C" w14:textId="77777777" w:rsidR="00C0147E" w:rsidRDefault="00C0147E" w:rsidP="00130A96">
      <w:pPr>
        <w:pStyle w:val="Pagrindinisteksta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F4E73" w14:paraId="673AFD3B" w14:textId="77777777" w:rsidTr="00FF4E73">
        <w:tc>
          <w:tcPr>
            <w:tcW w:w="4530" w:type="dxa"/>
          </w:tcPr>
          <w:p w14:paraId="337FB3EE" w14:textId="274FE29D" w:rsidR="00FF4E73" w:rsidRPr="00FF4E73" w:rsidRDefault="00FF4E73" w:rsidP="00130A96">
            <w:pPr>
              <w:pStyle w:val="Pagrindinistekstas"/>
              <w:rPr>
                <w:bCs/>
                <w:u w:val="single"/>
              </w:rPr>
            </w:pPr>
            <w:r w:rsidRPr="00FF4E73">
              <w:rPr>
                <w:bCs/>
                <w:u w:val="single"/>
              </w:rPr>
              <w:t>5 mg</w:t>
            </w:r>
          </w:p>
          <w:p w14:paraId="7B6A5172" w14:textId="77777777" w:rsidR="00FF4E73" w:rsidRPr="00FF4E73" w:rsidRDefault="00FF4E73" w:rsidP="00FF4E73">
            <w:pPr>
              <w:pStyle w:val="Pagrindinistekstas"/>
              <w:rPr>
                <w:bCs/>
              </w:rPr>
            </w:pPr>
            <w:r w:rsidRPr="00FF4E73">
              <w:rPr>
                <w:bCs/>
                <w:u w:val="single"/>
              </w:rPr>
              <w:t>Lizdinė plokštelė</w:t>
            </w:r>
            <w:r w:rsidRPr="00FF4E73">
              <w:rPr>
                <w:bCs/>
              </w:rPr>
              <w:t>:</w:t>
            </w:r>
          </w:p>
          <w:p w14:paraId="38C36D30" w14:textId="77777777" w:rsidR="00FF4E73" w:rsidRPr="00FF4E73" w:rsidRDefault="00FF4E73" w:rsidP="00FF4E73">
            <w:pPr>
              <w:pStyle w:val="Pagrindinistekstas"/>
              <w:rPr>
                <w:bCs/>
              </w:rPr>
            </w:pPr>
            <w:r w:rsidRPr="00FF4E73">
              <w:rPr>
                <w:bCs/>
              </w:rPr>
              <w:t>LT/1/26/6039/001 – N28</w:t>
            </w:r>
          </w:p>
          <w:p w14:paraId="3C409E22" w14:textId="77777777" w:rsidR="00FF4E73" w:rsidRPr="00FF4E73" w:rsidRDefault="00FF4E73" w:rsidP="00FF4E73">
            <w:pPr>
              <w:pStyle w:val="Pagrindinistekstas"/>
              <w:rPr>
                <w:bCs/>
              </w:rPr>
            </w:pPr>
            <w:r w:rsidRPr="00FF4E73">
              <w:rPr>
                <w:bCs/>
              </w:rPr>
              <w:t>LT/1/26/6039/002 – N98</w:t>
            </w:r>
          </w:p>
          <w:p w14:paraId="15FF5413" w14:textId="77777777" w:rsidR="00FF4E73" w:rsidRPr="00FF4E73" w:rsidRDefault="00FF4E73" w:rsidP="00FF4E73">
            <w:pPr>
              <w:pStyle w:val="Pagrindinistekstas"/>
              <w:rPr>
                <w:bCs/>
              </w:rPr>
            </w:pPr>
            <w:proofErr w:type="spellStart"/>
            <w:r w:rsidRPr="00FF4E73">
              <w:rPr>
                <w:bCs/>
                <w:u w:val="single"/>
              </w:rPr>
              <w:t>Dalomoji</w:t>
            </w:r>
            <w:proofErr w:type="spellEnd"/>
            <w:r w:rsidRPr="00FF4E73">
              <w:rPr>
                <w:bCs/>
                <w:u w:val="single"/>
              </w:rPr>
              <w:t xml:space="preserve"> lizdinė plokštelė</w:t>
            </w:r>
            <w:r w:rsidRPr="00FF4E73">
              <w:rPr>
                <w:bCs/>
              </w:rPr>
              <w:t>:</w:t>
            </w:r>
          </w:p>
          <w:p w14:paraId="7F490895" w14:textId="77777777" w:rsidR="00FF4E73" w:rsidRPr="00FF4E73" w:rsidRDefault="00FF4E73" w:rsidP="00FF4E73">
            <w:pPr>
              <w:pStyle w:val="Pagrindinistekstas"/>
              <w:rPr>
                <w:bCs/>
              </w:rPr>
            </w:pPr>
            <w:r w:rsidRPr="00FF4E73">
              <w:rPr>
                <w:bCs/>
              </w:rPr>
              <w:t>LT/1/26/6039/003 – N30x1</w:t>
            </w:r>
          </w:p>
          <w:p w14:paraId="2FDB385D" w14:textId="77777777" w:rsidR="00FF4E73" w:rsidRPr="00FF4E73" w:rsidRDefault="00FF4E73" w:rsidP="00FF4E73">
            <w:pPr>
              <w:pStyle w:val="Pagrindinistekstas"/>
              <w:rPr>
                <w:bCs/>
              </w:rPr>
            </w:pPr>
            <w:r w:rsidRPr="00FF4E73">
              <w:rPr>
                <w:bCs/>
              </w:rPr>
              <w:t>LT/1/26/6039/004 – N60x1</w:t>
            </w:r>
          </w:p>
          <w:p w14:paraId="0FF47966" w14:textId="1C5E8027" w:rsidR="00FF4E73" w:rsidRPr="00FF4E73" w:rsidRDefault="00FF4E73" w:rsidP="00FF4E73">
            <w:pPr>
              <w:pStyle w:val="Pagrindinistekstas"/>
              <w:rPr>
                <w:bCs/>
              </w:rPr>
            </w:pPr>
            <w:r w:rsidRPr="00FF4E73">
              <w:rPr>
                <w:bCs/>
              </w:rPr>
              <w:t>LT/1/26/6039/005 – N90x1</w:t>
            </w:r>
          </w:p>
        </w:tc>
        <w:tc>
          <w:tcPr>
            <w:tcW w:w="4531" w:type="dxa"/>
          </w:tcPr>
          <w:p w14:paraId="3CEC9711" w14:textId="77777777" w:rsidR="00FF4E73" w:rsidRPr="00FF4E73" w:rsidRDefault="00FF4E73" w:rsidP="00130A96">
            <w:pPr>
              <w:pStyle w:val="Pagrindinistekstas"/>
              <w:rPr>
                <w:bCs/>
                <w:u w:val="single"/>
              </w:rPr>
            </w:pPr>
            <w:r w:rsidRPr="00FF4E73">
              <w:rPr>
                <w:bCs/>
                <w:u w:val="single"/>
              </w:rPr>
              <w:t>10 mg</w:t>
            </w:r>
          </w:p>
          <w:p w14:paraId="71E331E0" w14:textId="77777777" w:rsidR="00FF4E73" w:rsidRPr="00FF4E73" w:rsidRDefault="00FF4E73" w:rsidP="00FF4E73">
            <w:pPr>
              <w:pStyle w:val="Pagrindinistekstas"/>
              <w:rPr>
                <w:bCs/>
              </w:rPr>
            </w:pPr>
            <w:r w:rsidRPr="00FF4E73">
              <w:rPr>
                <w:bCs/>
                <w:u w:val="single"/>
              </w:rPr>
              <w:t>Lizdinė plokštelė</w:t>
            </w:r>
            <w:r w:rsidRPr="00FF4E73">
              <w:rPr>
                <w:bCs/>
              </w:rPr>
              <w:t>:</w:t>
            </w:r>
          </w:p>
          <w:p w14:paraId="33FD56B6" w14:textId="77777777" w:rsidR="00FF4E73" w:rsidRPr="00FF4E73" w:rsidRDefault="00FF4E73" w:rsidP="00FF4E73">
            <w:pPr>
              <w:pStyle w:val="Pagrindinistekstas"/>
              <w:rPr>
                <w:bCs/>
              </w:rPr>
            </w:pPr>
            <w:r w:rsidRPr="00FF4E73">
              <w:rPr>
                <w:bCs/>
              </w:rPr>
              <w:t>LT/1/26/6040/001 – N28</w:t>
            </w:r>
          </w:p>
          <w:p w14:paraId="18F4532B" w14:textId="77777777" w:rsidR="00FF4E73" w:rsidRPr="00FF4E73" w:rsidRDefault="00FF4E73" w:rsidP="00FF4E73">
            <w:pPr>
              <w:pStyle w:val="Pagrindinistekstas"/>
              <w:rPr>
                <w:bCs/>
              </w:rPr>
            </w:pPr>
            <w:r w:rsidRPr="00FF4E73">
              <w:rPr>
                <w:bCs/>
              </w:rPr>
              <w:t>LT/1/26/6040/002 – N98</w:t>
            </w:r>
          </w:p>
          <w:p w14:paraId="7027644C" w14:textId="77777777" w:rsidR="00FF4E73" w:rsidRPr="00FF4E73" w:rsidRDefault="00FF4E73" w:rsidP="00FF4E73">
            <w:pPr>
              <w:pStyle w:val="Pagrindinistekstas"/>
              <w:rPr>
                <w:bCs/>
              </w:rPr>
            </w:pPr>
            <w:proofErr w:type="spellStart"/>
            <w:r w:rsidRPr="00FF4E73">
              <w:rPr>
                <w:bCs/>
                <w:u w:val="single"/>
              </w:rPr>
              <w:t>Dalomoji</w:t>
            </w:r>
            <w:proofErr w:type="spellEnd"/>
            <w:r w:rsidRPr="00FF4E73">
              <w:rPr>
                <w:bCs/>
                <w:u w:val="single"/>
              </w:rPr>
              <w:t xml:space="preserve"> lizdinė plokštelė</w:t>
            </w:r>
            <w:r w:rsidRPr="00FF4E73">
              <w:rPr>
                <w:bCs/>
              </w:rPr>
              <w:t>:</w:t>
            </w:r>
          </w:p>
          <w:p w14:paraId="323FA2FC" w14:textId="77777777" w:rsidR="00FF4E73" w:rsidRPr="00FF4E73" w:rsidRDefault="00FF4E73" w:rsidP="00FF4E73">
            <w:pPr>
              <w:pStyle w:val="Pagrindinistekstas"/>
              <w:rPr>
                <w:bCs/>
              </w:rPr>
            </w:pPr>
            <w:r w:rsidRPr="00FF4E73">
              <w:rPr>
                <w:bCs/>
              </w:rPr>
              <w:t>LT/1/26/6040/003 – N30x1</w:t>
            </w:r>
          </w:p>
          <w:p w14:paraId="4E5C5C43" w14:textId="77777777" w:rsidR="00FF4E73" w:rsidRPr="00FF4E73" w:rsidRDefault="00FF4E73" w:rsidP="00FF4E73">
            <w:pPr>
              <w:pStyle w:val="Pagrindinistekstas"/>
              <w:rPr>
                <w:bCs/>
              </w:rPr>
            </w:pPr>
            <w:r w:rsidRPr="00FF4E73">
              <w:rPr>
                <w:bCs/>
              </w:rPr>
              <w:t>LT/1/26/6040/004 – N60x1</w:t>
            </w:r>
          </w:p>
          <w:p w14:paraId="30E1F32E" w14:textId="484C5174" w:rsidR="00FF4E73" w:rsidRPr="00FF4E73" w:rsidRDefault="00FF4E73" w:rsidP="00FF4E73">
            <w:pPr>
              <w:pStyle w:val="Pagrindinistekstas"/>
              <w:rPr>
                <w:bCs/>
              </w:rPr>
            </w:pPr>
            <w:r w:rsidRPr="00FF4E73">
              <w:rPr>
                <w:bCs/>
              </w:rPr>
              <w:t>LT/1/26/6040/005 – N90x1</w:t>
            </w:r>
          </w:p>
        </w:tc>
      </w:tr>
    </w:tbl>
    <w:p w14:paraId="6A59E6B8" w14:textId="77777777" w:rsidR="00FF4E73" w:rsidRPr="00130A96" w:rsidRDefault="00FF4E73" w:rsidP="00130A96">
      <w:pPr>
        <w:pStyle w:val="Pagrindinistekstas"/>
        <w:rPr>
          <w:b/>
        </w:rPr>
      </w:pPr>
    </w:p>
    <w:p w14:paraId="6D869666" w14:textId="77777777" w:rsidR="00C0147E" w:rsidRPr="00130A96" w:rsidRDefault="00C0147E" w:rsidP="00130A96">
      <w:pPr>
        <w:pStyle w:val="Pagrindinistekstas"/>
      </w:pPr>
    </w:p>
    <w:p w14:paraId="6D869667" w14:textId="77777777" w:rsidR="00C0147E" w:rsidRPr="00130A96" w:rsidRDefault="001175EF" w:rsidP="003B33D2">
      <w:pPr>
        <w:pStyle w:val="Antrat1"/>
        <w:numPr>
          <w:ilvl w:val="0"/>
          <w:numId w:val="16"/>
        </w:numPr>
        <w:tabs>
          <w:tab w:val="left" w:pos="852"/>
        </w:tabs>
        <w:spacing w:before="0"/>
        <w:ind w:left="567"/>
      </w:pPr>
      <w:r w:rsidRPr="00130A96">
        <w:t>REGISTRAVIMO / PERREGISTRAVIMO DATA</w:t>
      </w:r>
    </w:p>
    <w:p w14:paraId="6D869668" w14:textId="77777777" w:rsidR="00C0147E" w:rsidRPr="00130A96" w:rsidRDefault="00C0147E" w:rsidP="00130A96">
      <w:pPr>
        <w:pStyle w:val="Pagrindinistekstas"/>
        <w:rPr>
          <w:b/>
        </w:rPr>
      </w:pPr>
    </w:p>
    <w:p w14:paraId="6D86966B" w14:textId="3EED62CE" w:rsidR="00C0147E" w:rsidRPr="00130A96" w:rsidRDefault="001175EF" w:rsidP="00761911">
      <w:pPr>
        <w:pStyle w:val="Pagrindinistekstas"/>
        <w:jc w:val="both"/>
      </w:pPr>
      <w:r w:rsidRPr="00130A96">
        <w:t xml:space="preserve">Registravimo data </w:t>
      </w:r>
      <w:r w:rsidR="00FF4E73">
        <w:t>2026 m. birželio 4 d.</w:t>
      </w:r>
    </w:p>
    <w:p w14:paraId="6D86966C" w14:textId="77777777" w:rsidR="00C0147E" w:rsidRDefault="00C0147E" w:rsidP="00130A96">
      <w:pPr>
        <w:pStyle w:val="Pagrindinistekstas"/>
      </w:pPr>
    </w:p>
    <w:p w14:paraId="5C902469" w14:textId="77777777" w:rsidR="00B37F60" w:rsidRPr="00130A96" w:rsidRDefault="00B37F60" w:rsidP="00130A96">
      <w:pPr>
        <w:pStyle w:val="Pagrindinistekstas"/>
      </w:pPr>
    </w:p>
    <w:p w14:paraId="6D86966D" w14:textId="77777777" w:rsidR="00C0147E" w:rsidRPr="00130A96" w:rsidRDefault="001175EF" w:rsidP="003B33D2">
      <w:pPr>
        <w:pStyle w:val="Antrat1"/>
        <w:numPr>
          <w:ilvl w:val="0"/>
          <w:numId w:val="16"/>
        </w:numPr>
        <w:tabs>
          <w:tab w:val="left" w:pos="852"/>
        </w:tabs>
        <w:spacing w:before="0"/>
        <w:ind w:left="567"/>
      </w:pPr>
      <w:r w:rsidRPr="00130A96">
        <w:lastRenderedPageBreak/>
        <w:t>TEKSTO PERŽIŪROS DATA</w:t>
      </w:r>
    </w:p>
    <w:p w14:paraId="6D86966E" w14:textId="77777777" w:rsidR="00C0147E" w:rsidRPr="00130A96" w:rsidRDefault="00C0147E" w:rsidP="00130A96">
      <w:pPr>
        <w:pStyle w:val="Pagrindinistekstas"/>
        <w:rPr>
          <w:b/>
        </w:rPr>
      </w:pPr>
    </w:p>
    <w:p w14:paraId="440792F8" w14:textId="430C0E57" w:rsidR="006D357B" w:rsidRDefault="00FF4E73" w:rsidP="006D357B">
      <w:pPr>
        <w:pStyle w:val="Pagrindinistekstas"/>
      </w:pPr>
      <w:r>
        <w:t>2026 m. birželio 4 d.</w:t>
      </w:r>
    </w:p>
    <w:p w14:paraId="719DFE45" w14:textId="77777777" w:rsidR="006D357B" w:rsidRDefault="006D357B" w:rsidP="006D357B">
      <w:pPr>
        <w:pStyle w:val="Pagrindinistekstas"/>
      </w:pPr>
    </w:p>
    <w:p w14:paraId="55309686" w14:textId="77777777" w:rsidR="006D357B" w:rsidRDefault="006D357B" w:rsidP="006D357B">
      <w:pPr>
        <w:tabs>
          <w:tab w:val="center" w:pos="4819"/>
          <w:tab w:val="right" w:pos="9638"/>
        </w:tabs>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440B7D74" w14:textId="77777777" w:rsidR="006D357B" w:rsidRDefault="006D357B" w:rsidP="006D357B">
      <w:pPr>
        <w:pStyle w:val="Sraopastraipa"/>
        <w:numPr>
          <w:ilvl w:val="0"/>
          <w:numId w:val="17"/>
        </w:numPr>
        <w:tabs>
          <w:tab w:val="left" w:pos="802"/>
        </w:tabs>
        <w:ind w:left="0" w:firstLine="0"/>
      </w:pPr>
      <w:r>
        <w:br w:type="page"/>
      </w:r>
    </w:p>
    <w:p w14:paraId="197EFBAD" w14:textId="77777777" w:rsidR="00C26EFF" w:rsidRDefault="00C26EFF" w:rsidP="00C26EFF">
      <w:pPr>
        <w:rPr>
          <w:b/>
          <w:bCs/>
        </w:rPr>
      </w:pPr>
    </w:p>
    <w:p w14:paraId="3789E5E1" w14:textId="77777777" w:rsidR="00C26EFF" w:rsidRPr="007A5A89" w:rsidRDefault="00C26EFF" w:rsidP="00C26EFF">
      <w:pPr>
        <w:pStyle w:val="Pagrindinistekstas"/>
      </w:pPr>
    </w:p>
    <w:p w14:paraId="4044ADE6" w14:textId="77777777" w:rsidR="00C26EFF" w:rsidRPr="007A5A89" w:rsidRDefault="00C26EFF" w:rsidP="00C26EFF">
      <w:pPr>
        <w:pStyle w:val="Pagrindinistekstas"/>
      </w:pPr>
    </w:p>
    <w:p w14:paraId="25D01D22" w14:textId="77777777" w:rsidR="00C26EFF" w:rsidRPr="007A5A89" w:rsidRDefault="00C26EFF" w:rsidP="00C26EFF">
      <w:pPr>
        <w:pStyle w:val="Pagrindinistekstas"/>
      </w:pPr>
    </w:p>
    <w:p w14:paraId="3BFA6D41" w14:textId="77777777" w:rsidR="00C26EFF" w:rsidRPr="007A5A89" w:rsidRDefault="00C26EFF" w:rsidP="00C26EFF">
      <w:pPr>
        <w:pStyle w:val="Pagrindinistekstas"/>
      </w:pPr>
    </w:p>
    <w:p w14:paraId="113E3088" w14:textId="77777777" w:rsidR="00C26EFF" w:rsidRPr="007A5A89" w:rsidRDefault="00C26EFF" w:rsidP="00C26EFF">
      <w:pPr>
        <w:pStyle w:val="Pagrindinistekstas"/>
      </w:pPr>
    </w:p>
    <w:p w14:paraId="19D883B0" w14:textId="77777777" w:rsidR="00C26EFF" w:rsidRPr="007A5A89" w:rsidRDefault="00C26EFF" w:rsidP="00C26EFF">
      <w:pPr>
        <w:pStyle w:val="Pagrindinistekstas"/>
      </w:pPr>
    </w:p>
    <w:p w14:paraId="2240A5D8" w14:textId="77777777" w:rsidR="00C26EFF" w:rsidRPr="007A5A89" w:rsidRDefault="00C26EFF" w:rsidP="00C26EFF">
      <w:pPr>
        <w:pStyle w:val="Pagrindinistekstas"/>
      </w:pPr>
    </w:p>
    <w:p w14:paraId="25271E12" w14:textId="77777777" w:rsidR="00C26EFF" w:rsidRPr="007A5A89" w:rsidRDefault="00C26EFF" w:rsidP="00C26EFF">
      <w:pPr>
        <w:pStyle w:val="Pagrindinistekstas"/>
      </w:pPr>
    </w:p>
    <w:p w14:paraId="68B960C5" w14:textId="77777777" w:rsidR="00C26EFF" w:rsidRPr="007A5A89" w:rsidRDefault="00C26EFF" w:rsidP="00C26EFF">
      <w:pPr>
        <w:pStyle w:val="Pagrindinistekstas"/>
      </w:pPr>
    </w:p>
    <w:p w14:paraId="2AC2434E" w14:textId="77777777" w:rsidR="00C26EFF" w:rsidRPr="007A5A89" w:rsidRDefault="00C26EFF" w:rsidP="00C26EFF">
      <w:pPr>
        <w:pStyle w:val="Pagrindinistekstas"/>
      </w:pPr>
    </w:p>
    <w:p w14:paraId="799CC3BA" w14:textId="77777777" w:rsidR="00C26EFF" w:rsidRPr="007A5A89" w:rsidRDefault="00C26EFF" w:rsidP="00C26EFF">
      <w:pPr>
        <w:pStyle w:val="Pagrindinistekstas"/>
      </w:pPr>
    </w:p>
    <w:p w14:paraId="0E0D9FD9" w14:textId="77777777" w:rsidR="00C26EFF" w:rsidRPr="007A5A89" w:rsidRDefault="00C26EFF" w:rsidP="00C26EFF">
      <w:pPr>
        <w:pStyle w:val="Pagrindinistekstas"/>
      </w:pPr>
    </w:p>
    <w:p w14:paraId="3BBA0340" w14:textId="77777777" w:rsidR="00C26EFF" w:rsidRPr="007A5A89" w:rsidRDefault="00C26EFF" w:rsidP="00C26EFF">
      <w:pPr>
        <w:pStyle w:val="Pagrindinistekstas"/>
      </w:pPr>
    </w:p>
    <w:p w14:paraId="6A1B89A9" w14:textId="77777777" w:rsidR="00C26EFF" w:rsidRPr="007A5A89" w:rsidRDefault="00C26EFF" w:rsidP="00C26EFF">
      <w:pPr>
        <w:pStyle w:val="Pagrindinistekstas"/>
      </w:pPr>
    </w:p>
    <w:p w14:paraId="3D7D0950" w14:textId="77777777" w:rsidR="00C26EFF" w:rsidRPr="007A5A89" w:rsidRDefault="00C26EFF" w:rsidP="00C26EFF">
      <w:pPr>
        <w:pStyle w:val="Pagrindinistekstas"/>
      </w:pPr>
    </w:p>
    <w:p w14:paraId="00DB11A4" w14:textId="77777777" w:rsidR="00C26EFF" w:rsidRPr="007A5A89" w:rsidRDefault="00C26EFF" w:rsidP="00C26EFF">
      <w:pPr>
        <w:pStyle w:val="Pagrindinistekstas"/>
      </w:pPr>
    </w:p>
    <w:p w14:paraId="6F40704E" w14:textId="77777777" w:rsidR="00C26EFF" w:rsidRPr="007A5A89" w:rsidRDefault="00C26EFF" w:rsidP="00C26EFF">
      <w:pPr>
        <w:pStyle w:val="Pagrindinistekstas"/>
      </w:pPr>
    </w:p>
    <w:p w14:paraId="1621553A" w14:textId="77777777" w:rsidR="00C26EFF" w:rsidRPr="007A5A89" w:rsidRDefault="00C26EFF" w:rsidP="00C26EFF">
      <w:pPr>
        <w:pStyle w:val="Pagrindinistekstas"/>
      </w:pPr>
    </w:p>
    <w:p w14:paraId="17CF5EE0" w14:textId="77777777" w:rsidR="00C26EFF" w:rsidRPr="007A5A89" w:rsidRDefault="00C26EFF" w:rsidP="00C26EFF">
      <w:pPr>
        <w:pStyle w:val="Pagrindinistekstas"/>
      </w:pPr>
    </w:p>
    <w:p w14:paraId="2A87B9E7" w14:textId="77777777" w:rsidR="002C3F15" w:rsidRDefault="002C3F15" w:rsidP="00C26EFF">
      <w:pPr>
        <w:jc w:val="center"/>
        <w:rPr>
          <w:b/>
        </w:rPr>
      </w:pPr>
    </w:p>
    <w:p w14:paraId="4898154D" w14:textId="77777777" w:rsidR="002C3F15" w:rsidRDefault="002C3F15" w:rsidP="00C26EFF">
      <w:pPr>
        <w:jc w:val="center"/>
        <w:rPr>
          <w:b/>
        </w:rPr>
      </w:pPr>
    </w:p>
    <w:p w14:paraId="19A7F016" w14:textId="77777777" w:rsidR="002C3F15" w:rsidRDefault="002C3F15" w:rsidP="00C26EFF">
      <w:pPr>
        <w:jc w:val="center"/>
        <w:rPr>
          <w:b/>
        </w:rPr>
      </w:pPr>
    </w:p>
    <w:p w14:paraId="097771D3" w14:textId="03060985" w:rsidR="00C26EFF" w:rsidRDefault="00C26EFF" w:rsidP="00C26EFF">
      <w:pPr>
        <w:jc w:val="center"/>
        <w:rPr>
          <w:b/>
          <w:spacing w:val="-2"/>
        </w:rPr>
      </w:pPr>
      <w:r w:rsidRPr="007A5A89">
        <w:rPr>
          <w:b/>
        </w:rPr>
        <w:t>II</w:t>
      </w:r>
      <w:r w:rsidRPr="007A5A89">
        <w:rPr>
          <w:b/>
          <w:spacing w:val="-2"/>
        </w:rPr>
        <w:t xml:space="preserve"> PRIEDAS</w:t>
      </w:r>
    </w:p>
    <w:p w14:paraId="465652D7" w14:textId="77777777" w:rsidR="00C26EFF" w:rsidRDefault="00C26EFF" w:rsidP="00C26EFF">
      <w:pPr>
        <w:jc w:val="center"/>
        <w:rPr>
          <w:b/>
          <w:spacing w:val="-2"/>
        </w:rPr>
      </w:pPr>
    </w:p>
    <w:p w14:paraId="78B4DBDE" w14:textId="77777777" w:rsidR="00C26EFF" w:rsidRPr="007A5A89" w:rsidRDefault="00C26EFF" w:rsidP="00C26EFF">
      <w:pPr>
        <w:jc w:val="center"/>
        <w:rPr>
          <w:b/>
        </w:rPr>
      </w:pPr>
      <w:r>
        <w:rPr>
          <w:b/>
        </w:rPr>
        <w:t>REGISTRACIJOS SĄLYGOS</w:t>
      </w:r>
    </w:p>
    <w:p w14:paraId="4D63C4B7" w14:textId="77777777" w:rsidR="00C26EFF" w:rsidRPr="007A5A89" w:rsidRDefault="00C26EFF" w:rsidP="00C26EFF">
      <w:pPr>
        <w:pStyle w:val="Pagrindinistekstas"/>
        <w:jc w:val="center"/>
        <w:rPr>
          <w:b/>
        </w:rPr>
      </w:pPr>
    </w:p>
    <w:p w14:paraId="077E7E12" w14:textId="77777777" w:rsidR="00C26EFF" w:rsidRPr="005D554B" w:rsidRDefault="00C26EFF" w:rsidP="00C26EFF">
      <w:pPr>
        <w:tabs>
          <w:tab w:val="left" w:pos="1701"/>
        </w:tabs>
        <w:spacing w:line="260" w:lineRule="exact"/>
        <w:ind w:left="1701" w:right="567" w:hanging="567"/>
        <w:rPr>
          <w:b/>
          <w:noProof/>
          <w:snapToGrid w:val="0"/>
          <w:szCs w:val="24"/>
        </w:rPr>
      </w:pPr>
      <w:r w:rsidRPr="005D554B">
        <w:rPr>
          <w:b/>
          <w:noProof/>
          <w:snapToGrid w:val="0"/>
          <w:szCs w:val="24"/>
        </w:rPr>
        <w:t>A.</w:t>
      </w:r>
      <w:r w:rsidRPr="005D554B">
        <w:rPr>
          <w:b/>
          <w:noProof/>
          <w:snapToGrid w:val="0"/>
          <w:szCs w:val="24"/>
        </w:rPr>
        <w:tab/>
        <w:t>GAMINTOJAS (-AI), ATSAKINGAS (-I) UŽ SERIJŲ IŠLEIDIMĄ</w:t>
      </w:r>
    </w:p>
    <w:p w14:paraId="1AB726FF" w14:textId="77777777" w:rsidR="00C26EFF" w:rsidRPr="005D554B" w:rsidRDefault="00C26EFF" w:rsidP="00C26EFF">
      <w:pPr>
        <w:tabs>
          <w:tab w:val="left" w:pos="1701"/>
        </w:tabs>
        <w:spacing w:line="260" w:lineRule="exact"/>
        <w:ind w:left="567" w:right="567" w:hanging="567"/>
        <w:rPr>
          <w:noProof/>
          <w:snapToGrid w:val="0"/>
          <w:szCs w:val="24"/>
        </w:rPr>
      </w:pPr>
    </w:p>
    <w:p w14:paraId="75C3F5C1" w14:textId="49632B91" w:rsidR="00C26EFF" w:rsidRPr="00A82582" w:rsidRDefault="00C26EFF" w:rsidP="00A82582">
      <w:pPr>
        <w:tabs>
          <w:tab w:val="left" w:pos="1701"/>
        </w:tabs>
        <w:spacing w:line="260" w:lineRule="exact"/>
        <w:ind w:left="1701" w:right="567" w:hanging="567"/>
        <w:rPr>
          <w:b/>
          <w:snapToGrid w:val="0"/>
        </w:rPr>
      </w:pPr>
      <w:r w:rsidRPr="005D554B">
        <w:rPr>
          <w:b/>
          <w:snapToGrid w:val="0"/>
        </w:rPr>
        <w:t>B.</w:t>
      </w:r>
      <w:r w:rsidRPr="005D554B">
        <w:rPr>
          <w:b/>
          <w:snapToGrid w:val="0"/>
        </w:rPr>
        <w:tab/>
        <w:t>TIEKIMO IR VARTOJIMO SĄLYGOS AR APRIBOJIMAI</w:t>
      </w:r>
    </w:p>
    <w:p w14:paraId="79B7EAB1" w14:textId="77777777" w:rsidR="00C26EFF" w:rsidRPr="00302C13" w:rsidRDefault="00C26EFF" w:rsidP="00C26EFF">
      <w:pPr>
        <w:widowControl/>
        <w:tabs>
          <w:tab w:val="left" w:pos="1701"/>
        </w:tabs>
        <w:autoSpaceDE/>
        <w:autoSpaceDN/>
        <w:rPr>
          <w:b/>
          <w:szCs w:val="24"/>
        </w:rPr>
      </w:pPr>
    </w:p>
    <w:p w14:paraId="1FB372A0" w14:textId="77777777" w:rsidR="00C26EFF" w:rsidRPr="00302C13" w:rsidRDefault="00C26EFF" w:rsidP="00C26EFF">
      <w:pPr>
        <w:widowControl/>
        <w:tabs>
          <w:tab w:val="left" w:pos="1701"/>
        </w:tabs>
        <w:autoSpaceDE/>
        <w:autoSpaceDN/>
        <w:rPr>
          <w:b/>
          <w:szCs w:val="24"/>
        </w:rPr>
      </w:pPr>
    </w:p>
    <w:p w14:paraId="42413460" w14:textId="77777777" w:rsidR="00C26EFF" w:rsidRPr="008E0C82" w:rsidRDefault="00C26EFF" w:rsidP="00C26EFF">
      <w:pPr>
        <w:widowControl/>
        <w:tabs>
          <w:tab w:val="left" w:pos="1701"/>
        </w:tabs>
        <w:autoSpaceDE/>
        <w:autoSpaceDN/>
        <w:rPr>
          <w:b/>
          <w:szCs w:val="24"/>
        </w:rPr>
      </w:pPr>
    </w:p>
    <w:p w14:paraId="5A830EF4" w14:textId="77777777" w:rsidR="00C26EFF" w:rsidRPr="008E0C82" w:rsidRDefault="00C26EFF" w:rsidP="00C26EFF">
      <w:pPr>
        <w:pStyle w:val="Sraopastraipa"/>
        <w:widowControl/>
        <w:numPr>
          <w:ilvl w:val="0"/>
          <w:numId w:val="18"/>
        </w:numPr>
        <w:tabs>
          <w:tab w:val="left" w:pos="1701"/>
        </w:tabs>
        <w:autoSpaceDE/>
        <w:autoSpaceDN/>
        <w:ind w:left="0" w:firstLine="0"/>
        <w:rPr>
          <w:b/>
          <w:szCs w:val="24"/>
        </w:rPr>
      </w:pPr>
      <w:r w:rsidRPr="008E0C82">
        <w:rPr>
          <w:b/>
          <w:szCs w:val="24"/>
        </w:rPr>
        <w:br w:type="page"/>
      </w:r>
    </w:p>
    <w:p w14:paraId="6EBB319B" w14:textId="77777777" w:rsidR="00506D2F" w:rsidRPr="007A5A89" w:rsidRDefault="00506D2F" w:rsidP="00506D2F">
      <w:pPr>
        <w:pStyle w:val="Sraopastraipa"/>
        <w:numPr>
          <w:ilvl w:val="0"/>
          <w:numId w:val="19"/>
        </w:numPr>
        <w:tabs>
          <w:tab w:val="left" w:pos="802"/>
        </w:tabs>
        <w:ind w:left="567"/>
        <w:rPr>
          <w:b/>
        </w:rPr>
      </w:pPr>
      <w:bookmarkStart w:id="1" w:name="A._GAMINTOJAS_(-AI),_ATSAKINGAS_(-I)_UŽ_"/>
      <w:bookmarkEnd w:id="1"/>
      <w:r w:rsidRPr="007A5A89">
        <w:rPr>
          <w:b/>
        </w:rPr>
        <w:lastRenderedPageBreak/>
        <w:t>GAMINTOJAS</w:t>
      </w:r>
      <w:r w:rsidRPr="007A5A89">
        <w:rPr>
          <w:b/>
          <w:spacing w:val="-7"/>
        </w:rPr>
        <w:t xml:space="preserve"> </w:t>
      </w:r>
      <w:r w:rsidRPr="007A5A89">
        <w:rPr>
          <w:b/>
        </w:rPr>
        <w:t>(-AI),</w:t>
      </w:r>
      <w:r w:rsidRPr="007A5A89">
        <w:rPr>
          <w:b/>
          <w:spacing w:val="-7"/>
        </w:rPr>
        <w:t xml:space="preserve"> </w:t>
      </w:r>
      <w:r w:rsidRPr="007A5A89">
        <w:rPr>
          <w:b/>
        </w:rPr>
        <w:t>ATSAKINGAS</w:t>
      </w:r>
      <w:r w:rsidRPr="007A5A89">
        <w:rPr>
          <w:b/>
          <w:spacing w:val="-6"/>
        </w:rPr>
        <w:t xml:space="preserve"> </w:t>
      </w:r>
      <w:r w:rsidRPr="007A5A89">
        <w:rPr>
          <w:b/>
        </w:rPr>
        <w:t>(-I)</w:t>
      </w:r>
      <w:r w:rsidRPr="007A5A89">
        <w:rPr>
          <w:b/>
          <w:spacing w:val="-8"/>
        </w:rPr>
        <w:t xml:space="preserve"> </w:t>
      </w:r>
      <w:r w:rsidRPr="007A5A89">
        <w:rPr>
          <w:b/>
        </w:rPr>
        <w:t>UŽ</w:t>
      </w:r>
      <w:r w:rsidRPr="007A5A89">
        <w:rPr>
          <w:b/>
          <w:spacing w:val="-7"/>
        </w:rPr>
        <w:t xml:space="preserve"> </w:t>
      </w:r>
      <w:r w:rsidRPr="007A5A89">
        <w:rPr>
          <w:b/>
        </w:rPr>
        <w:t>SERIJŲ</w:t>
      </w:r>
      <w:r w:rsidRPr="007A5A89">
        <w:rPr>
          <w:b/>
          <w:spacing w:val="-6"/>
        </w:rPr>
        <w:t xml:space="preserve"> </w:t>
      </w:r>
      <w:r w:rsidRPr="007A5A89">
        <w:rPr>
          <w:b/>
          <w:spacing w:val="-2"/>
        </w:rPr>
        <w:t>IŠLEIDIMĄ</w:t>
      </w:r>
    </w:p>
    <w:p w14:paraId="1E6AFFF2" w14:textId="77777777" w:rsidR="00506D2F" w:rsidRPr="007A5A89" w:rsidRDefault="00506D2F" w:rsidP="00506D2F">
      <w:pPr>
        <w:pStyle w:val="Pagrindinistekstas"/>
        <w:rPr>
          <w:b/>
        </w:rPr>
      </w:pPr>
    </w:p>
    <w:p w14:paraId="09E9AB7A" w14:textId="735CD2F6" w:rsidR="00506D2F" w:rsidRPr="007A5A89" w:rsidRDefault="00506D2F" w:rsidP="00506D2F">
      <w:pPr>
        <w:pStyle w:val="Pagrindinistekstas"/>
      </w:pPr>
      <w:r w:rsidRPr="007A5A89">
        <w:rPr>
          <w:u w:val="single"/>
        </w:rPr>
        <w:t>Gamintoj</w:t>
      </w:r>
      <w:r w:rsidR="002C3F15">
        <w:rPr>
          <w:u w:val="single"/>
        </w:rPr>
        <w:t xml:space="preserve">o </w:t>
      </w:r>
      <w:r w:rsidR="009713C5">
        <w:rPr>
          <w:u w:val="single"/>
        </w:rPr>
        <w:t>(-</w:t>
      </w:r>
      <w:r w:rsidRPr="007A5A89">
        <w:rPr>
          <w:u w:val="single"/>
        </w:rPr>
        <w:t>ų</w:t>
      </w:r>
      <w:r w:rsidR="009713C5">
        <w:rPr>
          <w:u w:val="single"/>
        </w:rPr>
        <w:t>)</w:t>
      </w:r>
      <w:r w:rsidRPr="007A5A89">
        <w:rPr>
          <w:u w:val="single"/>
        </w:rPr>
        <w:t>,</w:t>
      </w:r>
      <w:r w:rsidRPr="007A5A89">
        <w:rPr>
          <w:spacing w:val="-8"/>
          <w:u w:val="single"/>
        </w:rPr>
        <w:t xml:space="preserve"> </w:t>
      </w:r>
      <w:r w:rsidRPr="007A5A89">
        <w:rPr>
          <w:u w:val="single"/>
        </w:rPr>
        <w:t>atsaking</w:t>
      </w:r>
      <w:r w:rsidR="009713C5">
        <w:rPr>
          <w:u w:val="single"/>
        </w:rPr>
        <w:t>o (-</w:t>
      </w:r>
      <w:r w:rsidRPr="007A5A89">
        <w:rPr>
          <w:u w:val="single"/>
        </w:rPr>
        <w:t>ų</w:t>
      </w:r>
      <w:r w:rsidR="009713C5">
        <w:rPr>
          <w:u w:val="single"/>
        </w:rPr>
        <w:t>)</w:t>
      </w:r>
      <w:r w:rsidRPr="007A5A89">
        <w:rPr>
          <w:spacing w:val="-7"/>
          <w:u w:val="single"/>
        </w:rPr>
        <w:t xml:space="preserve"> </w:t>
      </w:r>
      <w:r w:rsidRPr="007A5A89">
        <w:rPr>
          <w:u w:val="single"/>
        </w:rPr>
        <w:t>už</w:t>
      </w:r>
      <w:r w:rsidRPr="007A5A89">
        <w:rPr>
          <w:spacing w:val="-7"/>
          <w:u w:val="single"/>
        </w:rPr>
        <w:t xml:space="preserve"> </w:t>
      </w:r>
      <w:r w:rsidRPr="007A5A89">
        <w:rPr>
          <w:u w:val="single"/>
        </w:rPr>
        <w:t>serijų</w:t>
      </w:r>
      <w:r w:rsidRPr="007A5A89">
        <w:rPr>
          <w:spacing w:val="-7"/>
          <w:u w:val="single"/>
        </w:rPr>
        <w:t xml:space="preserve"> </w:t>
      </w:r>
      <w:r w:rsidRPr="007A5A89">
        <w:rPr>
          <w:u w:val="single"/>
        </w:rPr>
        <w:t>išleidimą,</w:t>
      </w:r>
      <w:r w:rsidRPr="007A5A89">
        <w:rPr>
          <w:spacing w:val="-7"/>
          <w:u w:val="single"/>
        </w:rPr>
        <w:t xml:space="preserve"> </w:t>
      </w:r>
      <w:r w:rsidRPr="007A5A89">
        <w:rPr>
          <w:u w:val="single"/>
        </w:rPr>
        <w:t>pavadinim</w:t>
      </w:r>
      <w:r w:rsidR="009713C5">
        <w:rPr>
          <w:u w:val="single"/>
        </w:rPr>
        <w:t>as (-</w:t>
      </w:r>
      <w:r w:rsidRPr="007A5A89">
        <w:rPr>
          <w:u w:val="single"/>
        </w:rPr>
        <w:t>ai</w:t>
      </w:r>
      <w:r w:rsidR="009713C5">
        <w:rPr>
          <w:u w:val="single"/>
        </w:rPr>
        <w:t>)</w:t>
      </w:r>
      <w:r w:rsidRPr="007A5A89">
        <w:rPr>
          <w:spacing w:val="-7"/>
          <w:u w:val="single"/>
        </w:rPr>
        <w:t xml:space="preserve"> </w:t>
      </w:r>
      <w:r w:rsidRPr="007A5A89">
        <w:rPr>
          <w:u w:val="single"/>
        </w:rPr>
        <w:t>ir</w:t>
      </w:r>
      <w:r w:rsidRPr="007A5A89">
        <w:rPr>
          <w:spacing w:val="-7"/>
          <w:u w:val="single"/>
        </w:rPr>
        <w:t xml:space="preserve"> </w:t>
      </w:r>
      <w:r w:rsidRPr="007A5A89">
        <w:rPr>
          <w:spacing w:val="-2"/>
          <w:u w:val="single"/>
        </w:rPr>
        <w:t>adres</w:t>
      </w:r>
      <w:r w:rsidR="009713C5">
        <w:rPr>
          <w:spacing w:val="-2"/>
          <w:u w:val="single"/>
        </w:rPr>
        <w:t>as (-</w:t>
      </w:r>
      <w:r w:rsidRPr="007A5A89">
        <w:rPr>
          <w:spacing w:val="-2"/>
          <w:u w:val="single"/>
        </w:rPr>
        <w:t>ai</w:t>
      </w:r>
      <w:r w:rsidR="009713C5">
        <w:rPr>
          <w:spacing w:val="-2"/>
          <w:u w:val="single"/>
        </w:rPr>
        <w:t>)</w:t>
      </w:r>
    </w:p>
    <w:p w14:paraId="64642283" w14:textId="77777777" w:rsidR="00506D2F" w:rsidRPr="007A5A89" w:rsidRDefault="00506D2F" w:rsidP="00506D2F">
      <w:pPr>
        <w:pStyle w:val="Pagrindinistekstas"/>
      </w:pPr>
    </w:p>
    <w:p w14:paraId="708CE875" w14:textId="523FB16C" w:rsidR="00506D2F" w:rsidRPr="00B21659" w:rsidRDefault="00506D2F" w:rsidP="00506D2F">
      <w:pPr>
        <w:pStyle w:val="Pagrindinistekstas"/>
      </w:pPr>
      <w:r w:rsidRPr="00B21659">
        <w:t>Olpha AS</w:t>
      </w:r>
      <w:r w:rsidR="00677BE7">
        <w:t>,</w:t>
      </w:r>
    </w:p>
    <w:p w14:paraId="68BECDC8" w14:textId="708664C2" w:rsidR="00506D2F" w:rsidRPr="00B21659" w:rsidRDefault="00506D2F" w:rsidP="00506D2F">
      <w:pPr>
        <w:pStyle w:val="Pagrindinistekstas"/>
      </w:pPr>
      <w:proofErr w:type="spellStart"/>
      <w:r w:rsidRPr="00B21659">
        <w:t>R</w:t>
      </w:r>
      <w:r w:rsidR="006C0DF4">
        <w:t>ū</w:t>
      </w:r>
      <w:r w:rsidRPr="00B21659">
        <w:t>pn</w:t>
      </w:r>
      <w:r w:rsidR="006C0DF4">
        <w:t>ī</w:t>
      </w:r>
      <w:r w:rsidRPr="00B21659">
        <w:t>cu</w:t>
      </w:r>
      <w:proofErr w:type="spellEnd"/>
      <w:r w:rsidRPr="00B21659">
        <w:t xml:space="preserve"> </w:t>
      </w:r>
      <w:proofErr w:type="spellStart"/>
      <w:r w:rsidRPr="00B21659">
        <w:t>iela</w:t>
      </w:r>
      <w:proofErr w:type="spellEnd"/>
      <w:r w:rsidRPr="00B21659">
        <w:t xml:space="preserve"> 5</w:t>
      </w:r>
      <w:r w:rsidR="00677BE7">
        <w:t>,</w:t>
      </w:r>
    </w:p>
    <w:p w14:paraId="50625229" w14:textId="6ED44F39" w:rsidR="00B21659" w:rsidRDefault="00506D2F" w:rsidP="00506D2F">
      <w:pPr>
        <w:pStyle w:val="Pagrindinistekstas"/>
      </w:pPr>
      <w:proofErr w:type="spellStart"/>
      <w:r w:rsidRPr="00B21659">
        <w:t>Olaine</w:t>
      </w:r>
      <w:proofErr w:type="spellEnd"/>
      <w:r w:rsidRPr="00B21659">
        <w:t xml:space="preserve">, </w:t>
      </w:r>
      <w:proofErr w:type="spellStart"/>
      <w:r w:rsidRPr="00B21659">
        <w:t>Olaines</w:t>
      </w:r>
      <w:proofErr w:type="spellEnd"/>
      <w:r w:rsidRPr="00B21659">
        <w:t xml:space="preserve"> </w:t>
      </w:r>
      <w:proofErr w:type="spellStart"/>
      <w:r w:rsidRPr="00B21659">
        <w:t>novads</w:t>
      </w:r>
      <w:proofErr w:type="spellEnd"/>
      <w:r w:rsidRPr="00B21659">
        <w:t>, LV-2114</w:t>
      </w:r>
      <w:r w:rsidR="00677BE7">
        <w:t>,</w:t>
      </w:r>
    </w:p>
    <w:p w14:paraId="670CEA40" w14:textId="5C15EE42" w:rsidR="00506D2F" w:rsidRPr="007A5A89" w:rsidRDefault="00506D2F" w:rsidP="00506D2F">
      <w:pPr>
        <w:pStyle w:val="Pagrindinistekstas"/>
      </w:pPr>
      <w:r w:rsidRPr="00B21659">
        <w:t>Latvija</w:t>
      </w:r>
    </w:p>
    <w:p w14:paraId="75837F60" w14:textId="77777777" w:rsidR="00506D2F" w:rsidRDefault="00506D2F" w:rsidP="00506D2F">
      <w:pPr>
        <w:pStyle w:val="Pagrindinistekstas"/>
      </w:pPr>
    </w:p>
    <w:p w14:paraId="097C7B7B" w14:textId="77777777" w:rsidR="002C3F15" w:rsidRPr="007A5A89" w:rsidRDefault="002C3F15" w:rsidP="00506D2F">
      <w:pPr>
        <w:pStyle w:val="Pagrindinistekstas"/>
      </w:pPr>
    </w:p>
    <w:p w14:paraId="50BA75D1" w14:textId="77777777" w:rsidR="00506D2F" w:rsidRPr="00942B1E" w:rsidRDefault="00506D2F" w:rsidP="00506D2F">
      <w:pPr>
        <w:pStyle w:val="Antrat1"/>
        <w:numPr>
          <w:ilvl w:val="0"/>
          <w:numId w:val="19"/>
        </w:numPr>
        <w:tabs>
          <w:tab w:val="left" w:pos="567"/>
        </w:tabs>
        <w:spacing w:before="0"/>
        <w:ind w:left="567"/>
      </w:pPr>
      <w:bookmarkStart w:id="2" w:name="B._TIEKIMO_IR_VARTOJIMO_SĄLYGOS_AR_APRIB"/>
      <w:bookmarkEnd w:id="2"/>
      <w:r w:rsidRPr="007A5A89">
        <w:t>TIEKIMO</w:t>
      </w:r>
      <w:r w:rsidRPr="007A5A89">
        <w:rPr>
          <w:spacing w:val="-6"/>
        </w:rPr>
        <w:t xml:space="preserve"> </w:t>
      </w:r>
      <w:r w:rsidRPr="007A5A89">
        <w:t>IR</w:t>
      </w:r>
      <w:r w:rsidRPr="007A5A89">
        <w:rPr>
          <w:spacing w:val="-5"/>
        </w:rPr>
        <w:t xml:space="preserve"> </w:t>
      </w:r>
      <w:r w:rsidRPr="007A5A89">
        <w:t>VARTOJIMO</w:t>
      </w:r>
      <w:r w:rsidRPr="007A5A89">
        <w:rPr>
          <w:spacing w:val="-5"/>
        </w:rPr>
        <w:t xml:space="preserve"> </w:t>
      </w:r>
      <w:r w:rsidRPr="007A5A89">
        <w:t>SĄLYGOS</w:t>
      </w:r>
      <w:r w:rsidRPr="007A5A89">
        <w:rPr>
          <w:spacing w:val="-6"/>
        </w:rPr>
        <w:t xml:space="preserve"> </w:t>
      </w:r>
      <w:r w:rsidRPr="007A5A89">
        <w:t>AR</w:t>
      </w:r>
      <w:r w:rsidRPr="007A5A89">
        <w:rPr>
          <w:spacing w:val="-6"/>
        </w:rPr>
        <w:t xml:space="preserve"> </w:t>
      </w:r>
      <w:r w:rsidRPr="007A5A89">
        <w:rPr>
          <w:spacing w:val="-2"/>
        </w:rPr>
        <w:t>APRIBOJIMAI</w:t>
      </w:r>
    </w:p>
    <w:p w14:paraId="1C46BB27" w14:textId="77777777" w:rsidR="00506D2F" w:rsidRDefault="00506D2F" w:rsidP="00506D2F">
      <w:pPr>
        <w:pStyle w:val="Pagrindinistekstas"/>
      </w:pPr>
    </w:p>
    <w:p w14:paraId="6086940B" w14:textId="77777777" w:rsidR="00506D2F" w:rsidRPr="007A5A89" w:rsidRDefault="00506D2F" w:rsidP="00506D2F">
      <w:pPr>
        <w:pStyle w:val="Pagrindinistekstas"/>
      </w:pPr>
      <w:r w:rsidRPr="007A5A89">
        <w:t>Receptinis</w:t>
      </w:r>
      <w:r w:rsidRPr="007A5A89">
        <w:rPr>
          <w:spacing w:val="-10"/>
        </w:rPr>
        <w:t xml:space="preserve"> </w:t>
      </w:r>
      <w:r w:rsidRPr="007A5A89">
        <w:t>vaistinis</w:t>
      </w:r>
      <w:r w:rsidRPr="007A5A89">
        <w:rPr>
          <w:spacing w:val="-9"/>
        </w:rPr>
        <w:t xml:space="preserve"> </w:t>
      </w:r>
      <w:r w:rsidRPr="007A5A89">
        <w:rPr>
          <w:spacing w:val="-2"/>
        </w:rPr>
        <w:t>preparatas.</w:t>
      </w:r>
    </w:p>
    <w:p w14:paraId="6D8696A2" w14:textId="77777777" w:rsidR="00C0147E" w:rsidRPr="00130A96" w:rsidRDefault="00C0147E" w:rsidP="00130A96">
      <w:pPr>
        <w:pStyle w:val="Pagrindinistekstas"/>
      </w:pPr>
    </w:p>
    <w:p w14:paraId="1952D474" w14:textId="77777777" w:rsidR="00C0147E" w:rsidRDefault="00C0147E" w:rsidP="00130A96">
      <w:pPr>
        <w:pStyle w:val="Sraopastraipa"/>
        <w:ind w:left="0" w:firstLine="0"/>
      </w:pPr>
    </w:p>
    <w:p w14:paraId="6D8696B2" w14:textId="19AD2981" w:rsidR="00506D2F" w:rsidRDefault="00506D2F">
      <w:r>
        <w:br w:type="page"/>
      </w:r>
    </w:p>
    <w:p w14:paraId="207D1F16" w14:textId="77777777" w:rsidR="00D55784" w:rsidRDefault="00D55784" w:rsidP="00D55784">
      <w:pPr>
        <w:tabs>
          <w:tab w:val="left" w:pos="802"/>
        </w:tabs>
      </w:pPr>
    </w:p>
    <w:p w14:paraId="7B1E3FD8" w14:textId="77777777" w:rsidR="00D55784" w:rsidRDefault="00D55784" w:rsidP="00D55784">
      <w:pPr>
        <w:tabs>
          <w:tab w:val="left" w:pos="802"/>
        </w:tabs>
      </w:pPr>
    </w:p>
    <w:p w14:paraId="52842BCB" w14:textId="77777777" w:rsidR="00D55784" w:rsidRPr="007A5A89" w:rsidRDefault="00D55784" w:rsidP="00D55784">
      <w:pPr>
        <w:pStyle w:val="Pagrindinistekstas"/>
      </w:pPr>
    </w:p>
    <w:p w14:paraId="3390DAFF" w14:textId="77777777" w:rsidR="00D55784" w:rsidRPr="007A5A89" w:rsidRDefault="00D55784" w:rsidP="00D55784">
      <w:pPr>
        <w:pStyle w:val="Pagrindinistekstas"/>
      </w:pPr>
    </w:p>
    <w:p w14:paraId="572E30B7" w14:textId="77777777" w:rsidR="00D55784" w:rsidRPr="007A5A89" w:rsidRDefault="00D55784" w:rsidP="00D55784">
      <w:pPr>
        <w:pStyle w:val="Pagrindinistekstas"/>
      </w:pPr>
    </w:p>
    <w:p w14:paraId="220FD2A5" w14:textId="77777777" w:rsidR="00D55784" w:rsidRPr="007A5A89" w:rsidRDefault="00D55784" w:rsidP="00D55784">
      <w:pPr>
        <w:pStyle w:val="Pagrindinistekstas"/>
      </w:pPr>
    </w:p>
    <w:p w14:paraId="5410C893" w14:textId="77777777" w:rsidR="00D55784" w:rsidRPr="007A5A89" w:rsidRDefault="00D55784" w:rsidP="00D55784">
      <w:pPr>
        <w:pStyle w:val="Pagrindinistekstas"/>
      </w:pPr>
    </w:p>
    <w:p w14:paraId="22EB97EE" w14:textId="77777777" w:rsidR="00D55784" w:rsidRPr="007A5A89" w:rsidRDefault="00D55784" w:rsidP="00D55784">
      <w:pPr>
        <w:pStyle w:val="Pagrindinistekstas"/>
      </w:pPr>
    </w:p>
    <w:p w14:paraId="433047D9" w14:textId="77777777" w:rsidR="00D55784" w:rsidRPr="007A5A89" w:rsidRDefault="00D55784" w:rsidP="00D55784">
      <w:pPr>
        <w:pStyle w:val="Pagrindinistekstas"/>
      </w:pPr>
    </w:p>
    <w:p w14:paraId="2E412720" w14:textId="77777777" w:rsidR="00D55784" w:rsidRPr="007A5A89" w:rsidRDefault="00D55784" w:rsidP="00D55784">
      <w:pPr>
        <w:pStyle w:val="Pagrindinistekstas"/>
      </w:pPr>
    </w:p>
    <w:p w14:paraId="1486C18E" w14:textId="77777777" w:rsidR="00D55784" w:rsidRPr="007A5A89" w:rsidRDefault="00D55784" w:rsidP="00D55784">
      <w:pPr>
        <w:pStyle w:val="Pagrindinistekstas"/>
      </w:pPr>
    </w:p>
    <w:p w14:paraId="10BC30A4" w14:textId="77777777" w:rsidR="00D55784" w:rsidRPr="007A5A89" w:rsidRDefault="00D55784" w:rsidP="00D55784">
      <w:pPr>
        <w:pStyle w:val="Pagrindinistekstas"/>
      </w:pPr>
    </w:p>
    <w:p w14:paraId="1EA2C511" w14:textId="77777777" w:rsidR="00D55784" w:rsidRPr="007A5A89" w:rsidRDefault="00D55784" w:rsidP="00D55784">
      <w:pPr>
        <w:pStyle w:val="Pagrindinistekstas"/>
      </w:pPr>
    </w:p>
    <w:p w14:paraId="656EED92" w14:textId="77777777" w:rsidR="00D55784" w:rsidRPr="007A5A89" w:rsidRDefault="00D55784" w:rsidP="00D55784">
      <w:pPr>
        <w:pStyle w:val="Pagrindinistekstas"/>
      </w:pPr>
    </w:p>
    <w:p w14:paraId="6B9CF66B" w14:textId="77777777" w:rsidR="00D55784" w:rsidRPr="007A5A89" w:rsidRDefault="00D55784" w:rsidP="00D55784">
      <w:pPr>
        <w:pStyle w:val="Pagrindinistekstas"/>
      </w:pPr>
    </w:p>
    <w:p w14:paraId="7FA654CA" w14:textId="77777777" w:rsidR="00D55784" w:rsidRPr="007A5A89" w:rsidRDefault="00D55784" w:rsidP="00D55784">
      <w:pPr>
        <w:pStyle w:val="Pagrindinistekstas"/>
      </w:pPr>
    </w:p>
    <w:p w14:paraId="2B0FB535" w14:textId="77777777" w:rsidR="00D55784" w:rsidRPr="007A5A89" w:rsidRDefault="00D55784" w:rsidP="00D55784">
      <w:pPr>
        <w:pStyle w:val="Pagrindinistekstas"/>
      </w:pPr>
    </w:p>
    <w:p w14:paraId="14A7746B" w14:textId="77777777" w:rsidR="00D55784" w:rsidRPr="007A5A89" w:rsidRDefault="00D55784" w:rsidP="00D55784">
      <w:pPr>
        <w:pStyle w:val="Pagrindinistekstas"/>
      </w:pPr>
    </w:p>
    <w:p w14:paraId="7729EF41" w14:textId="77777777" w:rsidR="00D55784" w:rsidRPr="007A5A89" w:rsidRDefault="00D55784" w:rsidP="00D55784">
      <w:pPr>
        <w:pStyle w:val="Pagrindinistekstas"/>
      </w:pPr>
    </w:p>
    <w:p w14:paraId="1ECC8E45" w14:textId="77777777" w:rsidR="00D55784" w:rsidRPr="007A5A89" w:rsidRDefault="00D55784" w:rsidP="00D55784">
      <w:pPr>
        <w:pStyle w:val="Pagrindinistekstas"/>
      </w:pPr>
    </w:p>
    <w:p w14:paraId="287AB812" w14:textId="77777777" w:rsidR="00D55784" w:rsidRPr="007A5A89" w:rsidRDefault="00D55784" w:rsidP="00D55784">
      <w:pPr>
        <w:pStyle w:val="Pagrindinistekstas"/>
        <w:jc w:val="center"/>
      </w:pPr>
    </w:p>
    <w:p w14:paraId="4D3EB5BE" w14:textId="77777777" w:rsidR="009713C5" w:rsidRDefault="009713C5" w:rsidP="00D55784">
      <w:pPr>
        <w:pStyle w:val="Antrat1"/>
        <w:spacing w:before="0"/>
        <w:ind w:left="0"/>
        <w:jc w:val="center"/>
      </w:pPr>
    </w:p>
    <w:p w14:paraId="5C8407E6" w14:textId="77777777" w:rsidR="009713C5" w:rsidRDefault="009713C5" w:rsidP="00D55784">
      <w:pPr>
        <w:pStyle w:val="Antrat1"/>
        <w:spacing w:before="0"/>
        <w:ind w:left="0"/>
        <w:jc w:val="center"/>
      </w:pPr>
    </w:p>
    <w:p w14:paraId="06F45D90" w14:textId="1F78132A" w:rsidR="00D55784" w:rsidRDefault="00D55784" w:rsidP="00D55784">
      <w:pPr>
        <w:pStyle w:val="Antrat1"/>
        <w:spacing w:before="0"/>
        <w:ind w:left="0"/>
        <w:jc w:val="center"/>
      </w:pPr>
      <w:r w:rsidRPr="007A5A89">
        <w:t>III PRIEDAS</w:t>
      </w:r>
    </w:p>
    <w:p w14:paraId="67B61AAD" w14:textId="77777777" w:rsidR="00D55784" w:rsidRDefault="00D55784" w:rsidP="00D55784">
      <w:pPr>
        <w:pStyle w:val="Antrat1"/>
        <w:spacing w:before="0"/>
        <w:ind w:left="0"/>
        <w:jc w:val="center"/>
      </w:pPr>
    </w:p>
    <w:p w14:paraId="502A55FC" w14:textId="77777777" w:rsidR="00D55784" w:rsidRDefault="00D55784" w:rsidP="00D55784">
      <w:pPr>
        <w:pStyle w:val="Antrat1"/>
        <w:spacing w:before="0"/>
        <w:ind w:left="0"/>
        <w:jc w:val="center"/>
      </w:pPr>
      <w:r w:rsidRPr="007A5A89">
        <w:t>ŽENKLINIMAS</w:t>
      </w:r>
      <w:r w:rsidRPr="007A5A89">
        <w:rPr>
          <w:spacing w:val="-11"/>
        </w:rPr>
        <w:t xml:space="preserve"> </w:t>
      </w:r>
      <w:r w:rsidRPr="007A5A89">
        <w:t>IR</w:t>
      </w:r>
      <w:r w:rsidRPr="007A5A89">
        <w:rPr>
          <w:spacing w:val="-11"/>
        </w:rPr>
        <w:t xml:space="preserve"> </w:t>
      </w:r>
      <w:r w:rsidRPr="007A5A89">
        <w:t>PAKUOTĖS</w:t>
      </w:r>
      <w:r w:rsidRPr="007A5A89">
        <w:rPr>
          <w:spacing w:val="-11"/>
        </w:rPr>
        <w:t xml:space="preserve"> </w:t>
      </w:r>
      <w:r w:rsidRPr="007A5A89">
        <w:t>LAPELIS</w:t>
      </w:r>
    </w:p>
    <w:p w14:paraId="0331770C" w14:textId="77777777" w:rsidR="00D55784" w:rsidRDefault="00D55784" w:rsidP="00D55784">
      <w:pPr>
        <w:pStyle w:val="Antrat1"/>
        <w:spacing w:before="0"/>
        <w:ind w:left="0"/>
      </w:pPr>
    </w:p>
    <w:p w14:paraId="1BB0BA50" w14:textId="77777777" w:rsidR="00D55784" w:rsidRDefault="00D55784" w:rsidP="00D55784">
      <w:pPr>
        <w:rPr>
          <w:b/>
          <w:bCs/>
        </w:rPr>
      </w:pPr>
      <w:r>
        <w:br w:type="page"/>
      </w:r>
    </w:p>
    <w:p w14:paraId="6E12B13B" w14:textId="77777777" w:rsidR="00343ABC" w:rsidRDefault="00343ABC" w:rsidP="00343ABC">
      <w:pPr>
        <w:pStyle w:val="Antrat1"/>
        <w:spacing w:before="0"/>
        <w:ind w:left="0"/>
      </w:pPr>
    </w:p>
    <w:p w14:paraId="5E2624B6" w14:textId="77777777" w:rsidR="00343ABC" w:rsidRPr="007A5A89" w:rsidRDefault="00343ABC" w:rsidP="00343ABC">
      <w:pPr>
        <w:pStyle w:val="Pagrindinistekstas"/>
        <w:rPr>
          <w:b/>
        </w:rPr>
      </w:pPr>
    </w:p>
    <w:p w14:paraId="785B32C1" w14:textId="77777777" w:rsidR="00343ABC" w:rsidRPr="007A5A89" w:rsidRDefault="00343ABC" w:rsidP="00343ABC">
      <w:pPr>
        <w:pStyle w:val="Pagrindinistekstas"/>
        <w:rPr>
          <w:b/>
        </w:rPr>
      </w:pPr>
    </w:p>
    <w:p w14:paraId="5DB711BE" w14:textId="77777777" w:rsidR="00343ABC" w:rsidRPr="007A5A89" w:rsidRDefault="00343ABC" w:rsidP="00343ABC">
      <w:pPr>
        <w:pStyle w:val="Pagrindinistekstas"/>
        <w:rPr>
          <w:b/>
        </w:rPr>
      </w:pPr>
    </w:p>
    <w:p w14:paraId="53309B23" w14:textId="77777777" w:rsidR="00343ABC" w:rsidRPr="007A5A89" w:rsidRDefault="00343ABC" w:rsidP="00343ABC">
      <w:pPr>
        <w:pStyle w:val="Pagrindinistekstas"/>
        <w:rPr>
          <w:b/>
        </w:rPr>
      </w:pPr>
    </w:p>
    <w:p w14:paraId="0ABC63E3" w14:textId="77777777" w:rsidR="00343ABC" w:rsidRPr="007A5A89" w:rsidRDefault="00343ABC" w:rsidP="00343ABC">
      <w:pPr>
        <w:pStyle w:val="Pagrindinistekstas"/>
        <w:rPr>
          <w:b/>
        </w:rPr>
      </w:pPr>
    </w:p>
    <w:p w14:paraId="7850AA97" w14:textId="77777777" w:rsidR="00343ABC" w:rsidRPr="007A5A89" w:rsidRDefault="00343ABC" w:rsidP="00343ABC">
      <w:pPr>
        <w:pStyle w:val="Pagrindinistekstas"/>
        <w:rPr>
          <w:b/>
        </w:rPr>
      </w:pPr>
    </w:p>
    <w:p w14:paraId="49AD6CB9" w14:textId="77777777" w:rsidR="00343ABC" w:rsidRPr="007A5A89" w:rsidRDefault="00343ABC" w:rsidP="00343ABC">
      <w:pPr>
        <w:pStyle w:val="Pagrindinistekstas"/>
        <w:rPr>
          <w:b/>
        </w:rPr>
      </w:pPr>
    </w:p>
    <w:p w14:paraId="1D30D771" w14:textId="77777777" w:rsidR="00343ABC" w:rsidRPr="007A5A89" w:rsidRDefault="00343ABC" w:rsidP="00343ABC">
      <w:pPr>
        <w:pStyle w:val="Pagrindinistekstas"/>
        <w:rPr>
          <w:b/>
        </w:rPr>
      </w:pPr>
    </w:p>
    <w:p w14:paraId="75C5C28B" w14:textId="77777777" w:rsidR="00343ABC" w:rsidRPr="007A5A89" w:rsidRDefault="00343ABC" w:rsidP="00343ABC">
      <w:pPr>
        <w:pStyle w:val="Pagrindinistekstas"/>
        <w:rPr>
          <w:b/>
        </w:rPr>
      </w:pPr>
    </w:p>
    <w:p w14:paraId="3EC54D0D" w14:textId="77777777" w:rsidR="00343ABC" w:rsidRPr="007A5A89" w:rsidRDefault="00343ABC" w:rsidP="00343ABC">
      <w:pPr>
        <w:pStyle w:val="Pagrindinistekstas"/>
        <w:rPr>
          <w:b/>
        </w:rPr>
      </w:pPr>
    </w:p>
    <w:p w14:paraId="3229BD9F" w14:textId="77777777" w:rsidR="00343ABC" w:rsidRPr="007A5A89" w:rsidRDefault="00343ABC" w:rsidP="00343ABC">
      <w:pPr>
        <w:pStyle w:val="Pagrindinistekstas"/>
        <w:rPr>
          <w:b/>
        </w:rPr>
      </w:pPr>
    </w:p>
    <w:p w14:paraId="065C44B2" w14:textId="77777777" w:rsidR="00343ABC" w:rsidRPr="007A5A89" w:rsidRDefault="00343ABC" w:rsidP="00343ABC">
      <w:pPr>
        <w:pStyle w:val="Pagrindinistekstas"/>
        <w:rPr>
          <w:b/>
        </w:rPr>
      </w:pPr>
    </w:p>
    <w:p w14:paraId="1CC42287" w14:textId="77777777" w:rsidR="00343ABC" w:rsidRPr="007A5A89" w:rsidRDefault="00343ABC" w:rsidP="00343ABC">
      <w:pPr>
        <w:pStyle w:val="Pagrindinistekstas"/>
        <w:rPr>
          <w:b/>
        </w:rPr>
      </w:pPr>
    </w:p>
    <w:p w14:paraId="2B6D61EC" w14:textId="77777777" w:rsidR="00343ABC" w:rsidRPr="007A5A89" w:rsidRDefault="00343ABC" w:rsidP="00343ABC">
      <w:pPr>
        <w:pStyle w:val="Pagrindinistekstas"/>
        <w:rPr>
          <w:b/>
        </w:rPr>
      </w:pPr>
    </w:p>
    <w:p w14:paraId="1E525C26" w14:textId="77777777" w:rsidR="00343ABC" w:rsidRPr="007A5A89" w:rsidRDefault="00343ABC" w:rsidP="00343ABC">
      <w:pPr>
        <w:pStyle w:val="Pagrindinistekstas"/>
        <w:rPr>
          <w:b/>
        </w:rPr>
      </w:pPr>
    </w:p>
    <w:p w14:paraId="58A5E73C" w14:textId="77777777" w:rsidR="00343ABC" w:rsidRPr="007A5A89" w:rsidRDefault="00343ABC" w:rsidP="00343ABC">
      <w:pPr>
        <w:pStyle w:val="Pagrindinistekstas"/>
        <w:rPr>
          <w:b/>
        </w:rPr>
      </w:pPr>
    </w:p>
    <w:p w14:paraId="6FA4C2EF" w14:textId="77777777" w:rsidR="00343ABC" w:rsidRPr="007A5A89" w:rsidRDefault="00343ABC" w:rsidP="00343ABC">
      <w:pPr>
        <w:pStyle w:val="Pagrindinistekstas"/>
        <w:rPr>
          <w:b/>
        </w:rPr>
      </w:pPr>
    </w:p>
    <w:p w14:paraId="1ED7385F" w14:textId="77777777" w:rsidR="00343ABC" w:rsidRPr="007A5A89" w:rsidRDefault="00343ABC" w:rsidP="00343ABC">
      <w:pPr>
        <w:pStyle w:val="Pagrindinistekstas"/>
        <w:rPr>
          <w:b/>
        </w:rPr>
      </w:pPr>
    </w:p>
    <w:p w14:paraId="419A5D91" w14:textId="77777777" w:rsidR="00343ABC" w:rsidRPr="007A5A89" w:rsidRDefault="00343ABC" w:rsidP="00343ABC">
      <w:pPr>
        <w:pStyle w:val="Pagrindinistekstas"/>
        <w:rPr>
          <w:b/>
        </w:rPr>
      </w:pPr>
    </w:p>
    <w:p w14:paraId="6EAA3377" w14:textId="77777777" w:rsidR="009713C5" w:rsidRDefault="009713C5" w:rsidP="00343ABC">
      <w:pPr>
        <w:keepNext/>
        <w:tabs>
          <w:tab w:val="left" w:pos="567"/>
        </w:tabs>
        <w:jc w:val="center"/>
        <w:outlineLvl w:val="1"/>
        <w:rPr>
          <w:b/>
          <w:bCs/>
          <w:iCs/>
          <w:snapToGrid w:val="0"/>
          <w:szCs w:val="28"/>
          <w:lang w:eastAsia="x-none"/>
        </w:rPr>
      </w:pPr>
      <w:bookmarkStart w:id="3" w:name="A._ŽENKLINIMAS"/>
      <w:bookmarkEnd w:id="3"/>
    </w:p>
    <w:p w14:paraId="5D576A4F" w14:textId="77777777" w:rsidR="009713C5" w:rsidRDefault="009713C5" w:rsidP="00343ABC">
      <w:pPr>
        <w:keepNext/>
        <w:tabs>
          <w:tab w:val="left" w:pos="567"/>
        </w:tabs>
        <w:jc w:val="center"/>
        <w:outlineLvl w:val="1"/>
        <w:rPr>
          <w:b/>
          <w:bCs/>
          <w:iCs/>
          <w:snapToGrid w:val="0"/>
          <w:szCs w:val="28"/>
          <w:lang w:eastAsia="x-none"/>
        </w:rPr>
      </w:pPr>
    </w:p>
    <w:p w14:paraId="1602C3A4" w14:textId="77777777" w:rsidR="009713C5" w:rsidRDefault="009713C5" w:rsidP="00343ABC">
      <w:pPr>
        <w:keepNext/>
        <w:tabs>
          <w:tab w:val="left" w:pos="567"/>
        </w:tabs>
        <w:jc w:val="center"/>
        <w:outlineLvl w:val="1"/>
        <w:rPr>
          <w:b/>
          <w:bCs/>
          <w:iCs/>
          <w:snapToGrid w:val="0"/>
          <w:szCs w:val="28"/>
          <w:lang w:eastAsia="x-none"/>
        </w:rPr>
      </w:pPr>
    </w:p>
    <w:p w14:paraId="5A046156" w14:textId="7978452D" w:rsidR="00343ABC" w:rsidRPr="005D554B" w:rsidRDefault="00343ABC" w:rsidP="00343ABC">
      <w:pPr>
        <w:keepNext/>
        <w:tabs>
          <w:tab w:val="left" w:pos="567"/>
        </w:tabs>
        <w:jc w:val="center"/>
        <w:outlineLvl w:val="1"/>
        <w:rPr>
          <w:b/>
          <w:snapToGrid w:val="0"/>
          <w:szCs w:val="24"/>
          <w:lang w:eastAsia="x-none"/>
        </w:rPr>
      </w:pPr>
      <w:r w:rsidRPr="005D554B">
        <w:rPr>
          <w:b/>
          <w:bCs/>
          <w:iCs/>
          <w:snapToGrid w:val="0"/>
          <w:szCs w:val="28"/>
          <w:lang w:eastAsia="x-none"/>
        </w:rPr>
        <w:t>A. ŽENKLINIMAS</w:t>
      </w:r>
    </w:p>
    <w:p w14:paraId="7516FC07" w14:textId="77777777" w:rsidR="00343ABC" w:rsidRDefault="00343ABC" w:rsidP="00343ABC">
      <w:pPr>
        <w:tabs>
          <w:tab w:val="left" w:pos="4110"/>
        </w:tabs>
        <w:rPr>
          <w:b/>
        </w:rPr>
      </w:pPr>
    </w:p>
    <w:p w14:paraId="0DCF85F1" w14:textId="77777777" w:rsidR="00343ABC" w:rsidRDefault="00343ABC" w:rsidP="00343ABC">
      <w:r>
        <w:br w:type="page"/>
      </w:r>
    </w:p>
    <w:p w14:paraId="6D96578A"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3BA9478A"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rPr>
          <w:b/>
          <w:szCs w:val="24"/>
        </w:rPr>
      </w:pPr>
    </w:p>
    <w:p w14:paraId="4EC5FD97" w14:textId="5827E987" w:rsidR="00CF0BAC" w:rsidRPr="00CF0BAC" w:rsidRDefault="009E0972" w:rsidP="00CF0BA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r w:rsidR="00CF0BAC" w:rsidRPr="00CF0BAC">
        <w:t xml:space="preserve"> </w:t>
      </w:r>
      <w:r w:rsidR="00FC59BB">
        <w:t xml:space="preserve">– </w:t>
      </w:r>
      <w:r w:rsidR="00CF0BAC" w:rsidRPr="00CF0BAC">
        <w:rPr>
          <w:b/>
          <w:szCs w:val="24"/>
        </w:rPr>
        <w:t>visas/</w:t>
      </w:r>
      <w:r w:rsidR="00CF0BAC" w:rsidRPr="00DE1762">
        <w:rPr>
          <w:b/>
          <w:i/>
          <w:iCs/>
          <w:szCs w:val="24"/>
          <w:highlight w:val="darkGray"/>
        </w:rPr>
        <w:t>sutrumpintas</w:t>
      </w:r>
      <w:r w:rsidR="00CF0BAC" w:rsidRPr="00CF0BAC">
        <w:rPr>
          <w:b/>
          <w:szCs w:val="24"/>
        </w:rPr>
        <w:t xml:space="preserve"> </w:t>
      </w:r>
      <w:r w:rsidR="00BA29E6">
        <w:rPr>
          <w:b/>
          <w:szCs w:val="24"/>
        </w:rPr>
        <w:t xml:space="preserve">ES </w:t>
      </w:r>
      <w:r w:rsidR="00CF0BAC" w:rsidRPr="00CF0BAC">
        <w:rPr>
          <w:b/>
          <w:szCs w:val="24"/>
        </w:rPr>
        <w:t>harmonizuotas ženklinimo tekstas</w:t>
      </w:r>
    </w:p>
    <w:p w14:paraId="682A3D17" w14:textId="1C9E5889" w:rsidR="009E0972" w:rsidRDefault="00CF0BAC" w:rsidP="00CF0BAC">
      <w:pPr>
        <w:pBdr>
          <w:top w:val="single" w:sz="4" w:space="1" w:color="auto"/>
          <w:left w:val="single" w:sz="4" w:space="4" w:color="auto"/>
          <w:bottom w:val="single" w:sz="4" w:space="1" w:color="auto"/>
          <w:right w:val="single" w:sz="4" w:space="4" w:color="auto"/>
        </w:pBdr>
        <w:tabs>
          <w:tab w:val="left" w:pos="567"/>
        </w:tabs>
        <w:rPr>
          <w:b/>
          <w:szCs w:val="24"/>
        </w:rPr>
      </w:pPr>
      <w:r w:rsidRPr="00CF0BAC">
        <w:rPr>
          <w:b/>
          <w:szCs w:val="24"/>
        </w:rPr>
        <w:t>(1 grupė (EE/LT/LV), 2 grupė (CZ/SK))</w:t>
      </w:r>
    </w:p>
    <w:p w14:paraId="377691E5" w14:textId="77777777" w:rsidR="009E0972" w:rsidRDefault="009E0972" w:rsidP="009E0972">
      <w:pPr>
        <w:tabs>
          <w:tab w:val="left" w:pos="567"/>
        </w:tabs>
        <w:rPr>
          <w:szCs w:val="24"/>
        </w:rPr>
      </w:pPr>
    </w:p>
    <w:p w14:paraId="5AC7BF4E"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3C02E742" w14:textId="77777777" w:rsidR="009E0972" w:rsidRDefault="009E0972" w:rsidP="009E0972">
      <w:pPr>
        <w:tabs>
          <w:tab w:val="left" w:pos="567"/>
        </w:tabs>
        <w:rPr>
          <w:szCs w:val="24"/>
        </w:rPr>
      </w:pPr>
    </w:p>
    <w:p w14:paraId="566E933C" w14:textId="1D8514D8" w:rsidR="009E0972" w:rsidRDefault="00C63673" w:rsidP="009E0972">
      <w:pPr>
        <w:tabs>
          <w:tab w:val="left" w:pos="567"/>
        </w:tabs>
      </w:pPr>
      <w:proofErr w:type="spellStart"/>
      <w:r>
        <w:t>Dapagliflozin</w:t>
      </w:r>
      <w:proofErr w:type="spellEnd"/>
      <w:r w:rsidR="009E0972">
        <w:t xml:space="preserve"> Olpha</w:t>
      </w:r>
      <w:r w:rsidR="009E0972" w:rsidRPr="00042293">
        <w:t xml:space="preserve"> 5</w:t>
      </w:r>
      <w:r w:rsidR="00873FCC">
        <w:t> mg</w:t>
      </w:r>
      <w:r w:rsidR="009E0972" w:rsidRPr="00042293">
        <w:t xml:space="preserve"> plėvele dengtos tabletės</w:t>
      </w:r>
    </w:p>
    <w:p w14:paraId="6B1350D7" w14:textId="77777777" w:rsidR="009E0972" w:rsidRDefault="009E0972" w:rsidP="009E0972">
      <w:pPr>
        <w:tabs>
          <w:tab w:val="left" w:pos="567"/>
        </w:tabs>
      </w:pPr>
    </w:p>
    <w:p w14:paraId="5F114575" w14:textId="053A00E6" w:rsidR="009E0972" w:rsidRPr="00E97E14" w:rsidRDefault="00E97E14" w:rsidP="009E0972">
      <w:pPr>
        <w:tabs>
          <w:tab w:val="left" w:pos="567"/>
        </w:tabs>
        <w:rPr>
          <w:i/>
          <w:iCs/>
          <w:szCs w:val="24"/>
        </w:rPr>
      </w:pPr>
      <w:proofErr w:type="spellStart"/>
      <w:r w:rsidRPr="00E97E14">
        <w:rPr>
          <w:i/>
          <w:iCs/>
        </w:rPr>
        <w:t>dapagliflozinum</w:t>
      </w:r>
      <w:proofErr w:type="spellEnd"/>
    </w:p>
    <w:p w14:paraId="34A2955D" w14:textId="77777777" w:rsidR="009E0972" w:rsidRDefault="009E0972" w:rsidP="009E0972">
      <w:pPr>
        <w:tabs>
          <w:tab w:val="left" w:pos="567"/>
        </w:tabs>
        <w:rPr>
          <w:szCs w:val="24"/>
        </w:rPr>
      </w:pPr>
    </w:p>
    <w:p w14:paraId="5C48CDED" w14:textId="77777777" w:rsidR="009E0972" w:rsidRDefault="009E0972" w:rsidP="009E0972">
      <w:pPr>
        <w:tabs>
          <w:tab w:val="left" w:pos="567"/>
        </w:tabs>
        <w:rPr>
          <w:szCs w:val="24"/>
        </w:rPr>
      </w:pPr>
    </w:p>
    <w:p w14:paraId="7010DF53"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52547860" w14:textId="77777777" w:rsidR="009E0972" w:rsidRDefault="009E0972" w:rsidP="009E0972">
      <w:pPr>
        <w:tabs>
          <w:tab w:val="left" w:pos="567"/>
        </w:tabs>
        <w:rPr>
          <w:szCs w:val="24"/>
        </w:rPr>
      </w:pPr>
    </w:p>
    <w:p w14:paraId="07A5C4BE" w14:textId="0E36D130" w:rsidR="009E0972" w:rsidRDefault="00E97E14" w:rsidP="009E0972">
      <w:pPr>
        <w:tabs>
          <w:tab w:val="left" w:pos="567"/>
        </w:tabs>
      </w:pPr>
      <w:r w:rsidRPr="00E97E14">
        <w:t xml:space="preserve">Kiekvienoje tabletėje yra dapagliflozino </w:t>
      </w:r>
      <w:proofErr w:type="spellStart"/>
      <w:r w:rsidRPr="00E97E14">
        <w:t>propandiol</w:t>
      </w:r>
      <w:r w:rsidR="00E912B8">
        <w:t>i</w:t>
      </w:r>
      <w:r w:rsidRPr="00E97E14">
        <w:t>o</w:t>
      </w:r>
      <w:proofErr w:type="spellEnd"/>
      <w:r w:rsidRPr="00E97E14">
        <w:t xml:space="preserve"> </w:t>
      </w:r>
      <w:proofErr w:type="spellStart"/>
      <w:r w:rsidRPr="00E97E14">
        <w:t>monohidrato</w:t>
      </w:r>
      <w:proofErr w:type="spellEnd"/>
      <w:r w:rsidRPr="00E97E14">
        <w:t xml:space="preserve"> kiekis, atitinkantis 5</w:t>
      </w:r>
      <w:r w:rsidR="00873FCC">
        <w:t> mg</w:t>
      </w:r>
      <w:r w:rsidRPr="00E97E14">
        <w:t xml:space="preserve"> dapagliflozino.</w:t>
      </w:r>
    </w:p>
    <w:p w14:paraId="388ED6DF" w14:textId="77777777" w:rsidR="00E97E14" w:rsidRDefault="00E97E14" w:rsidP="009E0972">
      <w:pPr>
        <w:tabs>
          <w:tab w:val="left" w:pos="567"/>
        </w:tabs>
        <w:rPr>
          <w:szCs w:val="24"/>
        </w:rPr>
      </w:pPr>
    </w:p>
    <w:p w14:paraId="7D7965BE" w14:textId="77777777" w:rsidR="009E0972" w:rsidRDefault="009E0972" w:rsidP="009E0972">
      <w:pPr>
        <w:tabs>
          <w:tab w:val="left" w:pos="567"/>
        </w:tabs>
        <w:rPr>
          <w:szCs w:val="24"/>
        </w:rPr>
      </w:pPr>
    </w:p>
    <w:p w14:paraId="3541171F"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1D20C5B9" w14:textId="77777777" w:rsidR="009E0972" w:rsidRDefault="009E0972" w:rsidP="009E0972">
      <w:pPr>
        <w:tabs>
          <w:tab w:val="left" w:pos="567"/>
        </w:tabs>
        <w:rPr>
          <w:szCs w:val="24"/>
        </w:rPr>
      </w:pPr>
    </w:p>
    <w:p w14:paraId="0D4E0C4C" w14:textId="409ACC4A" w:rsidR="009E0972" w:rsidRDefault="00F101CA" w:rsidP="009E0972">
      <w:pPr>
        <w:tabs>
          <w:tab w:val="left" w:pos="567"/>
        </w:tabs>
        <w:rPr>
          <w:szCs w:val="24"/>
        </w:rPr>
      </w:pPr>
      <w:r w:rsidRPr="00F101CA">
        <w:rPr>
          <w:szCs w:val="24"/>
        </w:rPr>
        <w:t xml:space="preserve">Sudėtyje yra laktozės </w:t>
      </w:r>
      <w:r w:rsidR="00BE4AEF" w:rsidRPr="00DE1762">
        <w:rPr>
          <w:szCs w:val="24"/>
          <w:highlight w:val="darkGray"/>
        </w:rPr>
        <w:t>(</w:t>
      </w:r>
      <w:r w:rsidR="00BE4AEF" w:rsidRPr="00DE1762">
        <w:rPr>
          <w:i/>
          <w:iCs/>
          <w:szCs w:val="24"/>
          <w:highlight w:val="darkGray"/>
        </w:rPr>
        <w:t>d</w:t>
      </w:r>
      <w:r w:rsidRPr="00DE1762">
        <w:rPr>
          <w:i/>
          <w:iCs/>
          <w:szCs w:val="24"/>
          <w:highlight w:val="darkGray"/>
        </w:rPr>
        <w:t>augiau informacijos pateikiama pakuotės lapelyje</w:t>
      </w:r>
      <w:r w:rsidR="00BE4AEF" w:rsidRPr="00DE1762">
        <w:rPr>
          <w:szCs w:val="24"/>
          <w:highlight w:val="darkGray"/>
        </w:rPr>
        <w:t>)</w:t>
      </w:r>
      <w:r w:rsidRPr="00F101CA">
        <w:rPr>
          <w:szCs w:val="24"/>
        </w:rPr>
        <w:t>.</w:t>
      </w:r>
    </w:p>
    <w:p w14:paraId="00FAF2E7" w14:textId="77777777" w:rsidR="00F101CA" w:rsidRDefault="00F101CA" w:rsidP="009E0972">
      <w:pPr>
        <w:tabs>
          <w:tab w:val="left" w:pos="567"/>
        </w:tabs>
        <w:rPr>
          <w:szCs w:val="24"/>
        </w:rPr>
      </w:pPr>
    </w:p>
    <w:p w14:paraId="063A7B08" w14:textId="77777777" w:rsidR="009E0972" w:rsidRDefault="009E0972" w:rsidP="009E0972">
      <w:pPr>
        <w:tabs>
          <w:tab w:val="left" w:pos="567"/>
        </w:tabs>
        <w:rPr>
          <w:szCs w:val="24"/>
        </w:rPr>
      </w:pPr>
    </w:p>
    <w:p w14:paraId="0C8E96F5"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5541FF8E" w14:textId="77777777" w:rsidR="009E0972" w:rsidRDefault="009E0972" w:rsidP="009E0972">
      <w:pPr>
        <w:tabs>
          <w:tab w:val="left" w:pos="567"/>
        </w:tabs>
        <w:rPr>
          <w:szCs w:val="24"/>
        </w:rPr>
      </w:pPr>
    </w:p>
    <w:p w14:paraId="5DB8ADAE" w14:textId="315C3002" w:rsidR="00E46C5C" w:rsidRPr="00AA0340" w:rsidRDefault="00BE4AEF" w:rsidP="009E0972">
      <w:pPr>
        <w:tabs>
          <w:tab w:val="left" w:pos="567"/>
        </w:tabs>
        <w:rPr>
          <w:highlight w:val="lightGray"/>
        </w:rPr>
      </w:pPr>
      <w:r>
        <w:rPr>
          <w:highlight w:val="lightGray"/>
        </w:rPr>
        <w:t>P</w:t>
      </w:r>
      <w:r w:rsidR="00E46C5C" w:rsidRPr="00AA0340">
        <w:rPr>
          <w:highlight w:val="lightGray"/>
        </w:rPr>
        <w:t>lėvele dengt</w:t>
      </w:r>
      <w:r>
        <w:rPr>
          <w:highlight w:val="lightGray"/>
        </w:rPr>
        <w:t>a</w:t>
      </w:r>
      <w:r w:rsidR="00E46C5C" w:rsidRPr="00AA0340">
        <w:rPr>
          <w:highlight w:val="lightGray"/>
        </w:rPr>
        <w:t xml:space="preserve"> tabletė</w:t>
      </w:r>
    </w:p>
    <w:p w14:paraId="3FE034FB" w14:textId="77777777" w:rsidR="00E46C5C" w:rsidRPr="00AA0340" w:rsidRDefault="00E46C5C" w:rsidP="009E0972">
      <w:pPr>
        <w:tabs>
          <w:tab w:val="left" w:pos="567"/>
        </w:tabs>
        <w:rPr>
          <w:highlight w:val="lightGray"/>
        </w:rPr>
      </w:pPr>
    </w:p>
    <w:p w14:paraId="2BF2570D" w14:textId="77777777" w:rsidR="00E46C5C" w:rsidRPr="00BE4AEF" w:rsidRDefault="00E46C5C" w:rsidP="009E0972">
      <w:pPr>
        <w:tabs>
          <w:tab w:val="left" w:pos="567"/>
        </w:tabs>
      </w:pPr>
      <w:r w:rsidRPr="00BE4AEF">
        <w:t>28 plėvele dengtos tabletės</w:t>
      </w:r>
    </w:p>
    <w:p w14:paraId="3C09CC5C" w14:textId="77777777" w:rsidR="00E46C5C" w:rsidRDefault="00E46C5C" w:rsidP="009E0972">
      <w:pPr>
        <w:tabs>
          <w:tab w:val="left" w:pos="567"/>
        </w:tabs>
        <w:rPr>
          <w:highlight w:val="lightGray"/>
        </w:rPr>
      </w:pPr>
      <w:r w:rsidRPr="00AA0340">
        <w:rPr>
          <w:highlight w:val="lightGray"/>
        </w:rPr>
        <w:t>30x1 plėvele dengtų tablečių</w:t>
      </w:r>
    </w:p>
    <w:p w14:paraId="10782B5C" w14:textId="2A9DE40A" w:rsidR="006C0DF4" w:rsidRPr="00AA0340" w:rsidRDefault="006C0DF4" w:rsidP="006C0DF4">
      <w:pPr>
        <w:tabs>
          <w:tab w:val="left" w:pos="567"/>
        </w:tabs>
        <w:rPr>
          <w:highlight w:val="lightGray"/>
        </w:rPr>
      </w:pPr>
      <w:r>
        <w:rPr>
          <w:highlight w:val="lightGray"/>
        </w:rPr>
        <w:t>6</w:t>
      </w:r>
      <w:r w:rsidRPr="00AA0340">
        <w:rPr>
          <w:highlight w:val="lightGray"/>
        </w:rPr>
        <w:t>0x1 plėvele dengtų tablečių</w:t>
      </w:r>
    </w:p>
    <w:p w14:paraId="19522F89" w14:textId="77777777" w:rsidR="00E46C5C" w:rsidRPr="00AA0340" w:rsidRDefault="00E46C5C" w:rsidP="009E0972">
      <w:pPr>
        <w:tabs>
          <w:tab w:val="left" w:pos="567"/>
        </w:tabs>
        <w:rPr>
          <w:highlight w:val="lightGray"/>
        </w:rPr>
      </w:pPr>
      <w:r w:rsidRPr="00AA0340">
        <w:rPr>
          <w:highlight w:val="lightGray"/>
        </w:rPr>
        <w:t>90x1 plėvele dengtų tablečių</w:t>
      </w:r>
    </w:p>
    <w:p w14:paraId="57485C74" w14:textId="78CADB76" w:rsidR="009E0972" w:rsidRPr="00AA0340" w:rsidRDefault="00E46C5C" w:rsidP="009E0972">
      <w:pPr>
        <w:tabs>
          <w:tab w:val="left" w:pos="567"/>
        </w:tabs>
        <w:rPr>
          <w:szCs w:val="24"/>
          <w:highlight w:val="lightGray"/>
        </w:rPr>
      </w:pPr>
      <w:r w:rsidRPr="00AA0340">
        <w:rPr>
          <w:highlight w:val="lightGray"/>
        </w:rPr>
        <w:t>98 plėvele dengtos tabletės</w:t>
      </w:r>
    </w:p>
    <w:p w14:paraId="0E0FB5C5" w14:textId="77777777" w:rsidR="009E0972" w:rsidRPr="00AA0340" w:rsidRDefault="009E0972" w:rsidP="009E0972">
      <w:pPr>
        <w:tabs>
          <w:tab w:val="left" w:pos="567"/>
        </w:tabs>
        <w:rPr>
          <w:szCs w:val="24"/>
          <w:highlight w:val="lightGray"/>
        </w:rPr>
      </w:pPr>
    </w:p>
    <w:p w14:paraId="5A42051A" w14:textId="77777777" w:rsidR="00AA0340" w:rsidRDefault="00AA0340" w:rsidP="009E0972">
      <w:pPr>
        <w:tabs>
          <w:tab w:val="left" w:pos="567"/>
        </w:tabs>
        <w:rPr>
          <w:szCs w:val="24"/>
        </w:rPr>
      </w:pPr>
    </w:p>
    <w:p w14:paraId="0BBD0210"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6D04DBD4" w14:textId="77777777" w:rsidR="009E0972" w:rsidRDefault="009E0972" w:rsidP="009E0972">
      <w:pPr>
        <w:tabs>
          <w:tab w:val="left" w:pos="567"/>
        </w:tabs>
        <w:rPr>
          <w:szCs w:val="24"/>
        </w:rPr>
      </w:pPr>
    </w:p>
    <w:p w14:paraId="4020023F" w14:textId="77777777" w:rsidR="00DD6C8E" w:rsidRPr="00DD6C8E" w:rsidRDefault="00DD6C8E" w:rsidP="00DD6C8E">
      <w:pPr>
        <w:tabs>
          <w:tab w:val="left" w:pos="567"/>
        </w:tabs>
        <w:rPr>
          <w:i/>
          <w:iCs/>
          <w:szCs w:val="24"/>
        </w:rPr>
      </w:pPr>
      <w:r w:rsidRPr="00DE1762">
        <w:rPr>
          <w:i/>
          <w:iCs/>
          <w:highlight w:val="darkGray"/>
        </w:rPr>
        <w:t>Vartoti per burną.</w:t>
      </w:r>
    </w:p>
    <w:p w14:paraId="6E7240CF" w14:textId="12D9434E" w:rsidR="009E0972" w:rsidRDefault="009E0972" w:rsidP="009E0972">
      <w:pPr>
        <w:tabs>
          <w:tab w:val="left" w:pos="567"/>
        </w:tabs>
      </w:pPr>
      <w:r w:rsidRPr="00001B96">
        <w:t>Prieš vartojimą perskaitykite pakuotės lapelį.</w:t>
      </w:r>
    </w:p>
    <w:p w14:paraId="5250E33C" w14:textId="77777777" w:rsidR="009E0972" w:rsidRDefault="009E0972" w:rsidP="009E0972">
      <w:pPr>
        <w:tabs>
          <w:tab w:val="left" w:pos="567"/>
        </w:tabs>
        <w:rPr>
          <w:szCs w:val="24"/>
        </w:rPr>
      </w:pPr>
    </w:p>
    <w:p w14:paraId="042A5C0D" w14:textId="77777777" w:rsidR="009E0972" w:rsidRDefault="009E0972" w:rsidP="009E0972">
      <w:pPr>
        <w:tabs>
          <w:tab w:val="left" w:pos="567"/>
        </w:tabs>
        <w:rPr>
          <w:szCs w:val="24"/>
        </w:rPr>
      </w:pPr>
    </w:p>
    <w:p w14:paraId="681A1DBC"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4CF3AC48" w14:textId="77777777" w:rsidR="009E0972" w:rsidRDefault="009E0972" w:rsidP="009E0972">
      <w:pPr>
        <w:tabs>
          <w:tab w:val="left" w:pos="567"/>
        </w:tabs>
        <w:rPr>
          <w:szCs w:val="24"/>
        </w:rPr>
      </w:pPr>
    </w:p>
    <w:p w14:paraId="3B253114" w14:textId="77777777" w:rsidR="009E0972" w:rsidRDefault="009E0972" w:rsidP="009E0972">
      <w:pPr>
        <w:tabs>
          <w:tab w:val="left" w:pos="567"/>
        </w:tabs>
        <w:rPr>
          <w:szCs w:val="24"/>
        </w:rPr>
      </w:pPr>
      <w:r>
        <w:rPr>
          <w:szCs w:val="24"/>
        </w:rPr>
        <w:t>Laikyti vaikams nepastebimoje ir nepasiekiamoje vietoje.</w:t>
      </w:r>
    </w:p>
    <w:p w14:paraId="1CD8ADD3" w14:textId="77777777" w:rsidR="009E0972" w:rsidRDefault="009E0972" w:rsidP="009E0972">
      <w:pPr>
        <w:tabs>
          <w:tab w:val="left" w:pos="567"/>
        </w:tabs>
        <w:rPr>
          <w:szCs w:val="24"/>
        </w:rPr>
      </w:pPr>
    </w:p>
    <w:p w14:paraId="3F913E29" w14:textId="77777777" w:rsidR="009E0972" w:rsidRDefault="009E0972" w:rsidP="009E0972">
      <w:pPr>
        <w:tabs>
          <w:tab w:val="left" w:pos="567"/>
        </w:tabs>
        <w:rPr>
          <w:szCs w:val="24"/>
        </w:rPr>
      </w:pPr>
    </w:p>
    <w:p w14:paraId="420A81D0"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2822D704" w14:textId="77777777" w:rsidR="009E0972" w:rsidRDefault="009E0972" w:rsidP="009E0972">
      <w:pPr>
        <w:tabs>
          <w:tab w:val="left" w:pos="567"/>
        </w:tabs>
        <w:rPr>
          <w:szCs w:val="24"/>
        </w:rPr>
      </w:pPr>
    </w:p>
    <w:p w14:paraId="5B9F6EBF" w14:textId="77777777" w:rsidR="009E0972" w:rsidRDefault="009E0972" w:rsidP="009E0972">
      <w:pPr>
        <w:tabs>
          <w:tab w:val="left" w:pos="567"/>
        </w:tabs>
        <w:rPr>
          <w:szCs w:val="24"/>
        </w:rPr>
      </w:pPr>
    </w:p>
    <w:p w14:paraId="0E687B5E"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595180CA" w14:textId="77777777" w:rsidR="009E0972" w:rsidRDefault="009E0972" w:rsidP="009E0972">
      <w:pPr>
        <w:tabs>
          <w:tab w:val="left" w:pos="567"/>
        </w:tabs>
        <w:rPr>
          <w:szCs w:val="24"/>
        </w:rPr>
      </w:pPr>
    </w:p>
    <w:p w14:paraId="26C6B5B4" w14:textId="2F5FBC00" w:rsidR="009E0972" w:rsidRPr="00F813BC" w:rsidRDefault="009E0972" w:rsidP="009E0972">
      <w:r w:rsidRPr="00F813BC">
        <w:t>EXP {mm/MMMM}</w:t>
      </w:r>
    </w:p>
    <w:p w14:paraId="30357895" w14:textId="77777777" w:rsidR="009E0972" w:rsidRDefault="009E0972" w:rsidP="009E0972">
      <w:pPr>
        <w:tabs>
          <w:tab w:val="left" w:pos="567"/>
        </w:tabs>
        <w:rPr>
          <w:szCs w:val="24"/>
        </w:rPr>
      </w:pPr>
    </w:p>
    <w:p w14:paraId="0E5FBCD4" w14:textId="77777777" w:rsidR="009E0972" w:rsidRDefault="009E0972" w:rsidP="009E0972">
      <w:pPr>
        <w:tabs>
          <w:tab w:val="left" w:pos="567"/>
        </w:tabs>
        <w:rPr>
          <w:szCs w:val="24"/>
        </w:rPr>
      </w:pPr>
    </w:p>
    <w:p w14:paraId="09DBDC8C" w14:textId="77777777" w:rsidR="009E0972" w:rsidRDefault="009E0972" w:rsidP="009E097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9.</w:t>
      </w:r>
      <w:r>
        <w:rPr>
          <w:b/>
          <w:szCs w:val="24"/>
        </w:rPr>
        <w:tab/>
        <w:t>SPECIALIOS LAIKYMO SĄLYGOS</w:t>
      </w:r>
    </w:p>
    <w:p w14:paraId="52A89DEE" w14:textId="77777777" w:rsidR="009E0972" w:rsidRDefault="009E0972" w:rsidP="009E0972">
      <w:pPr>
        <w:tabs>
          <w:tab w:val="left" w:pos="567"/>
        </w:tabs>
        <w:rPr>
          <w:szCs w:val="24"/>
        </w:rPr>
      </w:pPr>
    </w:p>
    <w:p w14:paraId="29BFA0B5" w14:textId="77777777" w:rsidR="009E0972" w:rsidRDefault="009E0972" w:rsidP="009E0972">
      <w:pPr>
        <w:tabs>
          <w:tab w:val="left" w:pos="567"/>
        </w:tabs>
        <w:rPr>
          <w:szCs w:val="24"/>
        </w:rPr>
      </w:pPr>
    </w:p>
    <w:p w14:paraId="37851326"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073C7904" w14:textId="77777777" w:rsidR="009E0972" w:rsidRDefault="009E0972" w:rsidP="009E0972">
      <w:pPr>
        <w:tabs>
          <w:tab w:val="left" w:pos="567"/>
        </w:tabs>
        <w:rPr>
          <w:szCs w:val="24"/>
        </w:rPr>
      </w:pPr>
    </w:p>
    <w:p w14:paraId="35FB4A9F" w14:textId="77777777" w:rsidR="009E0972" w:rsidRDefault="009E0972" w:rsidP="009E0972">
      <w:pPr>
        <w:tabs>
          <w:tab w:val="left" w:pos="567"/>
        </w:tabs>
        <w:rPr>
          <w:szCs w:val="24"/>
        </w:rPr>
      </w:pPr>
    </w:p>
    <w:p w14:paraId="046A8A23"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11.</w:t>
      </w:r>
      <w:r>
        <w:rPr>
          <w:b/>
          <w:szCs w:val="24"/>
        </w:rPr>
        <w:tab/>
      </w:r>
      <w:r>
        <w:rPr>
          <w:b/>
          <w:caps/>
          <w:szCs w:val="24"/>
        </w:rPr>
        <w:t>REGISTRUOTOJO PAVADINIMAS IR ADRESAS</w:t>
      </w:r>
    </w:p>
    <w:p w14:paraId="06420210" w14:textId="77777777" w:rsidR="009E0972" w:rsidRDefault="009E0972" w:rsidP="009E0972">
      <w:pPr>
        <w:tabs>
          <w:tab w:val="left" w:pos="567"/>
        </w:tabs>
        <w:rPr>
          <w:szCs w:val="24"/>
        </w:rPr>
      </w:pPr>
    </w:p>
    <w:p w14:paraId="2D55CCC5" w14:textId="6803DC8D" w:rsidR="009E0972" w:rsidRDefault="009E0972" w:rsidP="009E0972">
      <w:pPr>
        <w:tabs>
          <w:tab w:val="left" w:pos="567"/>
        </w:tabs>
      </w:pPr>
      <w:r>
        <w:t>Olpha AS</w:t>
      </w:r>
      <w:r w:rsidR="008A1F8C">
        <w:t>,</w:t>
      </w:r>
    </w:p>
    <w:p w14:paraId="4F9D7ACE" w14:textId="7730FD50" w:rsidR="009E0972" w:rsidRDefault="009E0972" w:rsidP="009E0972">
      <w:pPr>
        <w:tabs>
          <w:tab w:val="left" w:pos="567"/>
        </w:tabs>
      </w:pPr>
      <w:proofErr w:type="spellStart"/>
      <w:r>
        <w:t>R</w:t>
      </w:r>
      <w:r w:rsidR="006C0DF4">
        <w:t>ū</w:t>
      </w:r>
      <w:r>
        <w:t>pn</w:t>
      </w:r>
      <w:r w:rsidR="006C0DF4">
        <w:t>ī</w:t>
      </w:r>
      <w:r>
        <w:t>cu</w:t>
      </w:r>
      <w:proofErr w:type="spellEnd"/>
      <w:r>
        <w:t xml:space="preserve"> </w:t>
      </w:r>
      <w:proofErr w:type="spellStart"/>
      <w:r>
        <w:t>iela</w:t>
      </w:r>
      <w:proofErr w:type="spellEnd"/>
      <w:r>
        <w:t xml:space="preserve"> 5</w:t>
      </w:r>
      <w:r w:rsidR="008A1F8C">
        <w:t>,</w:t>
      </w:r>
    </w:p>
    <w:p w14:paraId="4679EE53" w14:textId="2D72DC13" w:rsidR="00AA0340" w:rsidRDefault="009E0972" w:rsidP="009E0972">
      <w:pPr>
        <w:tabs>
          <w:tab w:val="left" w:pos="567"/>
        </w:tab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r w:rsidR="008A1F8C">
        <w:t>,</w:t>
      </w:r>
    </w:p>
    <w:p w14:paraId="44FAEA68" w14:textId="4604F00D" w:rsidR="009E0972" w:rsidRDefault="009E0972" w:rsidP="009E0972">
      <w:pPr>
        <w:tabs>
          <w:tab w:val="left" w:pos="567"/>
        </w:tabs>
        <w:rPr>
          <w:szCs w:val="24"/>
        </w:rPr>
      </w:pPr>
      <w:r>
        <w:t>Latvija</w:t>
      </w:r>
    </w:p>
    <w:p w14:paraId="68FF6302" w14:textId="77777777" w:rsidR="009E0972" w:rsidRDefault="009E0972" w:rsidP="009E0972">
      <w:pPr>
        <w:tabs>
          <w:tab w:val="left" w:pos="567"/>
        </w:tabs>
        <w:rPr>
          <w:szCs w:val="24"/>
        </w:rPr>
      </w:pPr>
    </w:p>
    <w:p w14:paraId="28862BA7" w14:textId="77777777" w:rsidR="009E0972" w:rsidRDefault="009E0972" w:rsidP="009E0972">
      <w:pPr>
        <w:tabs>
          <w:tab w:val="left" w:pos="567"/>
        </w:tabs>
        <w:rPr>
          <w:szCs w:val="24"/>
        </w:rPr>
      </w:pPr>
      <w:r w:rsidRPr="00115DE8">
        <w:rPr>
          <w:szCs w:val="24"/>
          <w:highlight w:val="lightGray"/>
        </w:rPr>
        <w:t>[logotipas]</w:t>
      </w:r>
    </w:p>
    <w:p w14:paraId="3E457D09" w14:textId="77777777" w:rsidR="009E0972" w:rsidRDefault="009E0972" w:rsidP="009E0972">
      <w:pPr>
        <w:tabs>
          <w:tab w:val="left" w:pos="567"/>
        </w:tabs>
        <w:rPr>
          <w:szCs w:val="24"/>
        </w:rPr>
      </w:pPr>
    </w:p>
    <w:p w14:paraId="0ADA942B" w14:textId="77777777" w:rsidR="009E0972" w:rsidRDefault="009E0972" w:rsidP="009E0972">
      <w:pPr>
        <w:tabs>
          <w:tab w:val="left" w:pos="567"/>
        </w:tabs>
        <w:rPr>
          <w:szCs w:val="24"/>
        </w:rPr>
      </w:pPr>
    </w:p>
    <w:p w14:paraId="7E72FD8C"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12.</w:t>
      </w:r>
      <w:r>
        <w:rPr>
          <w:b/>
          <w:szCs w:val="24"/>
        </w:rPr>
        <w:tab/>
        <w:t xml:space="preserve">REGISTRACIJOS PAŽYMĖJIMO NUMERIS (-IAI) </w:t>
      </w:r>
    </w:p>
    <w:p w14:paraId="1C75F273" w14:textId="77777777" w:rsidR="009E0972" w:rsidRDefault="009E0972" w:rsidP="009E0972">
      <w:pPr>
        <w:tabs>
          <w:tab w:val="left" w:pos="567"/>
        </w:tabs>
        <w:rPr>
          <w:szCs w:val="24"/>
        </w:rPr>
      </w:pPr>
    </w:p>
    <w:p w14:paraId="436480CF" w14:textId="77777777" w:rsidR="00FF4E73" w:rsidRPr="00FF4E73" w:rsidRDefault="00FF4E73" w:rsidP="00FF4E73">
      <w:pPr>
        <w:tabs>
          <w:tab w:val="left" w:pos="567"/>
        </w:tabs>
        <w:rPr>
          <w:szCs w:val="24"/>
          <w:highlight w:val="lightGray"/>
        </w:rPr>
      </w:pPr>
      <w:r w:rsidRPr="00FF4E73">
        <w:rPr>
          <w:szCs w:val="24"/>
        </w:rPr>
        <w:t xml:space="preserve">LT/1/26/6039/001 </w:t>
      </w:r>
      <w:r w:rsidRPr="00FF4E73">
        <w:rPr>
          <w:szCs w:val="24"/>
          <w:highlight w:val="lightGray"/>
        </w:rPr>
        <w:t>– N28</w:t>
      </w:r>
    </w:p>
    <w:p w14:paraId="1DB88027" w14:textId="77777777" w:rsidR="00FF4E73" w:rsidRPr="00FF4E73" w:rsidRDefault="00FF4E73" w:rsidP="00FF4E73">
      <w:pPr>
        <w:tabs>
          <w:tab w:val="left" w:pos="567"/>
        </w:tabs>
        <w:rPr>
          <w:szCs w:val="24"/>
          <w:highlight w:val="lightGray"/>
        </w:rPr>
      </w:pPr>
      <w:r w:rsidRPr="00FF4E73">
        <w:rPr>
          <w:szCs w:val="24"/>
          <w:highlight w:val="lightGray"/>
        </w:rPr>
        <w:t>LT/1/26/6039/003 – N30x1</w:t>
      </w:r>
    </w:p>
    <w:p w14:paraId="74C87784" w14:textId="77777777" w:rsidR="00FF4E73" w:rsidRPr="00FF4E73" w:rsidRDefault="00FF4E73" w:rsidP="00FF4E73">
      <w:pPr>
        <w:tabs>
          <w:tab w:val="left" w:pos="567"/>
        </w:tabs>
        <w:rPr>
          <w:szCs w:val="24"/>
          <w:highlight w:val="lightGray"/>
        </w:rPr>
      </w:pPr>
      <w:r w:rsidRPr="00FF4E73">
        <w:rPr>
          <w:szCs w:val="24"/>
          <w:highlight w:val="lightGray"/>
        </w:rPr>
        <w:t>LT/1/26/6039/004 – N60x1</w:t>
      </w:r>
    </w:p>
    <w:p w14:paraId="7CC731E2" w14:textId="77777777" w:rsidR="00FF4E73" w:rsidRPr="00FF4E73" w:rsidRDefault="00FF4E73" w:rsidP="00FF4E73">
      <w:pPr>
        <w:tabs>
          <w:tab w:val="left" w:pos="567"/>
        </w:tabs>
        <w:rPr>
          <w:szCs w:val="24"/>
          <w:highlight w:val="lightGray"/>
        </w:rPr>
      </w:pPr>
      <w:r w:rsidRPr="00FF4E73">
        <w:rPr>
          <w:szCs w:val="24"/>
          <w:highlight w:val="lightGray"/>
        </w:rPr>
        <w:t>LT/1/26/6039/005 – N90x1</w:t>
      </w:r>
    </w:p>
    <w:p w14:paraId="01AE5C32" w14:textId="77777777" w:rsidR="00FF4E73" w:rsidRPr="00FF4E73" w:rsidRDefault="00FF4E73" w:rsidP="00FF4E73">
      <w:pPr>
        <w:tabs>
          <w:tab w:val="left" w:pos="567"/>
        </w:tabs>
        <w:rPr>
          <w:szCs w:val="24"/>
        </w:rPr>
      </w:pPr>
      <w:r w:rsidRPr="00FF4E73">
        <w:rPr>
          <w:szCs w:val="24"/>
          <w:highlight w:val="lightGray"/>
        </w:rPr>
        <w:t>LT/1/26/6039/002 – N98</w:t>
      </w:r>
    </w:p>
    <w:p w14:paraId="68D54773" w14:textId="77777777" w:rsidR="00FF4E73" w:rsidRDefault="00FF4E73" w:rsidP="00FF4E73">
      <w:pPr>
        <w:tabs>
          <w:tab w:val="left" w:pos="567"/>
        </w:tabs>
        <w:rPr>
          <w:szCs w:val="24"/>
        </w:rPr>
      </w:pPr>
    </w:p>
    <w:p w14:paraId="6486B850" w14:textId="77777777" w:rsidR="009E0972" w:rsidRDefault="009E0972" w:rsidP="009E0972">
      <w:pPr>
        <w:tabs>
          <w:tab w:val="left" w:pos="567"/>
        </w:tabs>
        <w:rPr>
          <w:szCs w:val="24"/>
        </w:rPr>
      </w:pPr>
    </w:p>
    <w:p w14:paraId="1F59C0E3"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13.</w:t>
      </w:r>
      <w:r>
        <w:rPr>
          <w:b/>
          <w:szCs w:val="24"/>
        </w:rPr>
        <w:tab/>
        <w:t xml:space="preserve">SERIJOS NUMERIS </w:t>
      </w:r>
    </w:p>
    <w:p w14:paraId="5149868D" w14:textId="77777777" w:rsidR="009E0972" w:rsidRDefault="009E0972" w:rsidP="009E0972">
      <w:pPr>
        <w:tabs>
          <w:tab w:val="left" w:pos="567"/>
        </w:tabs>
      </w:pPr>
    </w:p>
    <w:p w14:paraId="0CBBB102" w14:textId="77777777" w:rsidR="009E0972" w:rsidRDefault="009E0972" w:rsidP="009E0972">
      <w:pPr>
        <w:tabs>
          <w:tab w:val="left" w:pos="567"/>
        </w:tabs>
      </w:pPr>
      <w:r>
        <w:t>Lot</w:t>
      </w:r>
    </w:p>
    <w:p w14:paraId="17824EC7" w14:textId="77777777" w:rsidR="009E0972" w:rsidRDefault="009E0972" w:rsidP="009E0972">
      <w:pPr>
        <w:tabs>
          <w:tab w:val="left" w:pos="567"/>
        </w:tabs>
        <w:rPr>
          <w:szCs w:val="24"/>
        </w:rPr>
      </w:pPr>
    </w:p>
    <w:p w14:paraId="7D14F2D8" w14:textId="77777777" w:rsidR="009E0972" w:rsidRDefault="009E0972" w:rsidP="009E0972">
      <w:pPr>
        <w:tabs>
          <w:tab w:val="left" w:pos="567"/>
        </w:tabs>
        <w:rPr>
          <w:szCs w:val="24"/>
        </w:rPr>
      </w:pPr>
    </w:p>
    <w:p w14:paraId="27B53E68"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14.</w:t>
      </w:r>
      <w:r>
        <w:rPr>
          <w:b/>
          <w:szCs w:val="24"/>
        </w:rPr>
        <w:tab/>
        <w:t>PARDAVIMO (IŠDAVIMO) TVARKA</w:t>
      </w:r>
    </w:p>
    <w:p w14:paraId="6F27F205" w14:textId="77777777" w:rsidR="009E0972" w:rsidRDefault="009E0972" w:rsidP="009E0972">
      <w:pPr>
        <w:tabs>
          <w:tab w:val="left" w:pos="567"/>
        </w:tabs>
        <w:rPr>
          <w:szCs w:val="24"/>
        </w:rPr>
      </w:pPr>
    </w:p>
    <w:p w14:paraId="6A7CACA4" w14:textId="77777777" w:rsidR="009E0972" w:rsidRDefault="009E0972" w:rsidP="009E0972">
      <w:pPr>
        <w:tabs>
          <w:tab w:val="left" w:pos="567"/>
        </w:tabs>
        <w:rPr>
          <w:szCs w:val="24"/>
        </w:rPr>
      </w:pPr>
      <w:r>
        <w:t>Receptinis vaistas.</w:t>
      </w:r>
    </w:p>
    <w:p w14:paraId="4BF7EF1C" w14:textId="77777777" w:rsidR="009E0972" w:rsidRDefault="009E0972" w:rsidP="009E0972">
      <w:pPr>
        <w:tabs>
          <w:tab w:val="left" w:pos="567"/>
        </w:tabs>
        <w:rPr>
          <w:szCs w:val="24"/>
        </w:rPr>
      </w:pPr>
    </w:p>
    <w:p w14:paraId="019CF5B8" w14:textId="77777777" w:rsidR="009E0972" w:rsidRDefault="009E0972" w:rsidP="009E0972">
      <w:pPr>
        <w:tabs>
          <w:tab w:val="left" w:pos="567"/>
        </w:tabs>
        <w:rPr>
          <w:szCs w:val="24"/>
        </w:rPr>
      </w:pPr>
    </w:p>
    <w:p w14:paraId="7D8B4093" w14:textId="77777777" w:rsidR="009E0972" w:rsidRDefault="009E0972" w:rsidP="009E0972">
      <w:pPr>
        <w:pBdr>
          <w:top w:val="single" w:sz="4" w:space="2" w:color="auto"/>
          <w:left w:val="single" w:sz="4" w:space="4" w:color="auto"/>
          <w:bottom w:val="single" w:sz="4" w:space="1" w:color="auto"/>
          <w:right w:val="single" w:sz="4" w:space="4" w:color="auto"/>
        </w:pBdr>
        <w:tabs>
          <w:tab w:val="left" w:pos="567"/>
        </w:tabs>
        <w:ind w:left="567" w:hanging="567"/>
        <w:rPr>
          <w:szCs w:val="24"/>
        </w:rPr>
      </w:pPr>
      <w:r>
        <w:rPr>
          <w:b/>
          <w:szCs w:val="24"/>
        </w:rPr>
        <w:t>15.</w:t>
      </w:r>
      <w:r>
        <w:rPr>
          <w:b/>
          <w:szCs w:val="24"/>
        </w:rPr>
        <w:tab/>
        <w:t>VARTOJIMO INSTRUKCIJA</w:t>
      </w:r>
    </w:p>
    <w:p w14:paraId="6239321A" w14:textId="77777777" w:rsidR="009E0972" w:rsidRDefault="009E0972" w:rsidP="009E0972">
      <w:pPr>
        <w:tabs>
          <w:tab w:val="left" w:pos="567"/>
        </w:tabs>
        <w:rPr>
          <w:szCs w:val="24"/>
        </w:rPr>
      </w:pPr>
    </w:p>
    <w:p w14:paraId="4743E7A3" w14:textId="77777777" w:rsidR="009E0972" w:rsidRDefault="009E0972" w:rsidP="009E0972">
      <w:pPr>
        <w:tabs>
          <w:tab w:val="left" w:pos="567"/>
        </w:tabs>
        <w:rPr>
          <w:szCs w:val="24"/>
        </w:rPr>
      </w:pPr>
    </w:p>
    <w:p w14:paraId="131A2A0A" w14:textId="77777777" w:rsidR="009E0972" w:rsidRDefault="009E0972" w:rsidP="009E0972">
      <w:pPr>
        <w:pBdr>
          <w:top w:val="single" w:sz="4" w:space="1" w:color="auto"/>
          <w:left w:val="single" w:sz="4" w:space="4" w:color="auto"/>
          <w:bottom w:val="single" w:sz="4" w:space="0" w:color="auto"/>
          <w:right w:val="single" w:sz="4" w:space="4" w:color="auto"/>
        </w:pBdr>
        <w:tabs>
          <w:tab w:val="left" w:pos="567"/>
        </w:tabs>
        <w:ind w:left="567" w:hanging="567"/>
        <w:rPr>
          <w:color w:val="008000"/>
          <w:szCs w:val="24"/>
        </w:rPr>
      </w:pPr>
      <w:r>
        <w:rPr>
          <w:b/>
          <w:szCs w:val="24"/>
        </w:rPr>
        <w:t>16.</w:t>
      </w:r>
      <w:r>
        <w:rPr>
          <w:b/>
          <w:szCs w:val="24"/>
        </w:rPr>
        <w:tab/>
        <w:t>INFORMACIJA BRAILIO RAŠTU</w:t>
      </w:r>
    </w:p>
    <w:p w14:paraId="335DED91" w14:textId="23AB7C34" w:rsidR="009E0972" w:rsidRPr="004B2827" w:rsidRDefault="009E0972" w:rsidP="009E0972">
      <w:pPr>
        <w:tabs>
          <w:tab w:val="left" w:pos="567"/>
        </w:tabs>
      </w:pPr>
    </w:p>
    <w:p w14:paraId="356FA054" w14:textId="2580F495" w:rsidR="009E0972" w:rsidRDefault="004B2827" w:rsidP="009E0972">
      <w:pPr>
        <w:tabs>
          <w:tab w:val="left" w:pos="567"/>
        </w:tabs>
      </w:pPr>
      <w:proofErr w:type="spellStart"/>
      <w:r>
        <w:t>dapagliflozin</w:t>
      </w:r>
      <w:proofErr w:type="spellEnd"/>
      <w:r>
        <w:t xml:space="preserve"> </w:t>
      </w:r>
      <w:proofErr w:type="spellStart"/>
      <w:r>
        <w:t>olpha</w:t>
      </w:r>
      <w:proofErr w:type="spellEnd"/>
      <w:r>
        <w:t xml:space="preserve"> 5</w:t>
      </w:r>
      <w:r w:rsidR="00873FCC">
        <w:t> mg</w:t>
      </w:r>
    </w:p>
    <w:p w14:paraId="060B7689" w14:textId="77777777" w:rsidR="004B2827" w:rsidRPr="004B2827" w:rsidRDefault="004B2827" w:rsidP="009E0972">
      <w:pPr>
        <w:tabs>
          <w:tab w:val="left" w:pos="567"/>
        </w:tabs>
      </w:pPr>
    </w:p>
    <w:p w14:paraId="16668964" w14:textId="67E71690" w:rsidR="009E0972" w:rsidRPr="004B2827" w:rsidRDefault="009E0972" w:rsidP="009E0972">
      <w:pPr>
        <w:tabs>
          <w:tab w:val="left" w:pos="567"/>
        </w:tabs>
      </w:pPr>
    </w:p>
    <w:p w14:paraId="76B170C1" w14:textId="77777777" w:rsidR="009E0972" w:rsidRPr="00CC752D" w:rsidRDefault="009E0972" w:rsidP="009E0972">
      <w:pPr>
        <w:keepNext/>
        <w:pBdr>
          <w:top w:val="single" w:sz="4" w:space="1" w:color="auto"/>
          <w:left w:val="single" w:sz="4" w:space="4" w:color="auto"/>
          <w:bottom w:val="single" w:sz="4" w:space="1" w:color="auto"/>
          <w:right w:val="single" w:sz="4" w:space="4" w:color="auto"/>
        </w:pBdr>
        <w:tabs>
          <w:tab w:val="left" w:pos="567"/>
        </w:tabs>
        <w:ind w:left="567" w:hanging="567"/>
        <w:rPr>
          <w:i/>
          <w:szCs w:val="24"/>
        </w:rPr>
      </w:pPr>
      <w:r w:rsidRPr="00CC752D">
        <w:rPr>
          <w:b/>
        </w:rPr>
        <w:t>17.</w:t>
      </w:r>
      <w:r w:rsidRPr="00CC752D">
        <w:rPr>
          <w:b/>
        </w:rPr>
        <w:tab/>
        <w:t>UNIKALUS IDENTIFIKATORIUS – 2D BRŪKŠNINIS KODAS</w:t>
      </w:r>
    </w:p>
    <w:p w14:paraId="103F9B7F" w14:textId="77777777" w:rsidR="009E0972" w:rsidRPr="00CC752D" w:rsidRDefault="009E0972" w:rsidP="009E0972">
      <w:pPr>
        <w:tabs>
          <w:tab w:val="left" w:pos="567"/>
        </w:tabs>
      </w:pPr>
    </w:p>
    <w:p w14:paraId="733D0284" w14:textId="77777777" w:rsidR="009E0972" w:rsidRPr="00CC752D" w:rsidRDefault="009E0972" w:rsidP="009E0972">
      <w:pPr>
        <w:tabs>
          <w:tab w:val="left" w:pos="567"/>
        </w:tabs>
        <w:rPr>
          <w:shd w:val="clear" w:color="auto" w:fill="CCCCCC"/>
        </w:rPr>
      </w:pPr>
      <w:r w:rsidRPr="00CC752D">
        <w:rPr>
          <w:highlight w:val="lightGray"/>
        </w:rPr>
        <w:t>2D brūkšninis kodas su nurodytu unikaliu identifikatoriumi.</w:t>
      </w:r>
    </w:p>
    <w:p w14:paraId="069688AE" w14:textId="77777777" w:rsidR="009E0972" w:rsidRPr="00CC752D" w:rsidRDefault="009E0972" w:rsidP="009E0972">
      <w:pPr>
        <w:tabs>
          <w:tab w:val="left" w:pos="567"/>
        </w:tabs>
      </w:pPr>
    </w:p>
    <w:p w14:paraId="58061F1A" w14:textId="77777777" w:rsidR="009E0972" w:rsidRPr="00CC752D" w:rsidRDefault="009E0972" w:rsidP="009E0972">
      <w:pPr>
        <w:tabs>
          <w:tab w:val="left" w:pos="567"/>
        </w:tabs>
      </w:pPr>
    </w:p>
    <w:p w14:paraId="7DE40281" w14:textId="77777777" w:rsidR="009E0972" w:rsidRPr="00CC752D" w:rsidRDefault="009E0972" w:rsidP="009E0972">
      <w:pPr>
        <w:keepNext/>
        <w:pBdr>
          <w:top w:val="single" w:sz="4" w:space="1" w:color="auto"/>
          <w:left w:val="single" w:sz="4" w:space="4" w:color="auto"/>
          <w:bottom w:val="single" w:sz="4" w:space="1" w:color="auto"/>
          <w:right w:val="single" w:sz="4" w:space="4" w:color="auto"/>
        </w:pBdr>
        <w:tabs>
          <w:tab w:val="left" w:pos="567"/>
        </w:tabs>
        <w:ind w:left="567" w:hanging="567"/>
        <w:rPr>
          <w:i/>
        </w:rPr>
      </w:pPr>
      <w:r w:rsidRPr="00CC752D">
        <w:rPr>
          <w:b/>
        </w:rPr>
        <w:t>18.</w:t>
      </w:r>
      <w:r w:rsidRPr="00CC752D">
        <w:rPr>
          <w:b/>
        </w:rPr>
        <w:tab/>
        <w:t>UNIKALUS IDENTIFIKATORIUS – ŽMONĖMS SUPRANTAMI DUOMENYS</w:t>
      </w:r>
    </w:p>
    <w:p w14:paraId="2F411BCE" w14:textId="77777777" w:rsidR="009E0972" w:rsidRPr="00CC752D" w:rsidRDefault="009E0972" w:rsidP="009E0972">
      <w:pPr>
        <w:tabs>
          <w:tab w:val="left" w:pos="567"/>
        </w:tabs>
      </w:pPr>
    </w:p>
    <w:p w14:paraId="6FD47AEF" w14:textId="6DD47992" w:rsidR="009E0972" w:rsidRPr="00805DAF" w:rsidRDefault="009E0972" w:rsidP="009E0972">
      <w:pPr>
        <w:tabs>
          <w:tab w:val="left" w:pos="567"/>
        </w:tabs>
        <w:rPr>
          <w:color w:val="008000"/>
        </w:rPr>
      </w:pPr>
      <w:r w:rsidRPr="00805DAF">
        <w:t>PC</w:t>
      </w:r>
      <w:r w:rsidR="001E1B81">
        <w:t>:</w:t>
      </w:r>
      <w:r w:rsidRPr="00805DAF">
        <w:t xml:space="preserve"> {numeris}</w:t>
      </w:r>
    </w:p>
    <w:p w14:paraId="457D1F81" w14:textId="7AE33E3E" w:rsidR="009E0972" w:rsidRPr="00805DAF" w:rsidRDefault="009E0972" w:rsidP="009E0972">
      <w:pPr>
        <w:tabs>
          <w:tab w:val="left" w:pos="567"/>
        </w:tabs>
      </w:pPr>
      <w:r w:rsidRPr="00805DAF">
        <w:t>SN</w:t>
      </w:r>
      <w:r w:rsidR="001E1B81">
        <w:t>:</w:t>
      </w:r>
      <w:r w:rsidRPr="00805DAF">
        <w:t xml:space="preserve"> {numeris} </w:t>
      </w:r>
    </w:p>
    <w:p w14:paraId="4E3CC782" w14:textId="4A77170C" w:rsidR="009E0972" w:rsidRPr="00805DAF" w:rsidRDefault="009E0972" w:rsidP="009E0972">
      <w:pPr>
        <w:tabs>
          <w:tab w:val="left" w:pos="567"/>
        </w:tabs>
      </w:pPr>
      <w:r w:rsidRPr="00805DAF">
        <w:rPr>
          <w:highlight w:val="lightGray"/>
        </w:rPr>
        <w:t>NN</w:t>
      </w:r>
      <w:r w:rsidR="001E1B81">
        <w:rPr>
          <w:highlight w:val="lightGray"/>
        </w:rPr>
        <w:t>:</w:t>
      </w:r>
      <w:r w:rsidRPr="00805DAF">
        <w:rPr>
          <w:highlight w:val="lightGray"/>
        </w:rPr>
        <w:t xml:space="preserve"> {numeris}</w:t>
      </w:r>
      <w:r w:rsidRPr="00805DAF">
        <w:t xml:space="preserve"> </w:t>
      </w:r>
    </w:p>
    <w:p w14:paraId="1A20BA15" w14:textId="77777777" w:rsidR="00907624" w:rsidRPr="00805DAF" w:rsidRDefault="009E0972" w:rsidP="009E0972">
      <w:r w:rsidRPr="00805DAF">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07624" w:rsidRPr="002C040A" w14:paraId="2D217C7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48F6795" w14:textId="77777777" w:rsidR="00907624" w:rsidRPr="002C040A" w:rsidRDefault="00907624">
            <w:pPr>
              <w:rPr>
                <w:b/>
              </w:rPr>
            </w:pPr>
            <w:r w:rsidRPr="002C040A">
              <w:rPr>
                <w:b/>
              </w:rPr>
              <w:lastRenderedPageBreak/>
              <w:t xml:space="preserve">MINIMALI </w:t>
            </w:r>
            <w:r w:rsidRPr="002C040A">
              <w:rPr>
                <w:b/>
                <w:caps/>
              </w:rPr>
              <w:t xml:space="preserve">informacija ant </w:t>
            </w:r>
            <w:r w:rsidRPr="002C040A">
              <w:rPr>
                <w:b/>
              </w:rPr>
              <w:t>LIZDINIŲ PLOKŠTELIŲ ARBA DVISLUOKSNIŲ JUOSTELIŲ</w:t>
            </w:r>
          </w:p>
          <w:p w14:paraId="3C85A28F" w14:textId="77777777" w:rsidR="00907624" w:rsidRPr="002C040A" w:rsidRDefault="00907624">
            <w:pPr>
              <w:rPr>
                <w:b/>
              </w:rPr>
            </w:pPr>
          </w:p>
          <w:p w14:paraId="1E7062DE" w14:textId="2A71A20A" w:rsidR="00907624" w:rsidRDefault="00907624">
            <w:pPr>
              <w:rPr>
                <w:b/>
              </w:rPr>
            </w:pPr>
            <w:r>
              <w:rPr>
                <w:b/>
              </w:rPr>
              <w:t>LIZDINĖ PLOKŠTELĖ</w:t>
            </w:r>
            <w:r w:rsidRPr="0052725C">
              <w:rPr>
                <w:b/>
              </w:rPr>
              <w:t xml:space="preserve"> –</w:t>
            </w:r>
            <w:r w:rsidR="004F3FC6">
              <w:rPr>
                <w:b/>
              </w:rPr>
              <w:t xml:space="preserve"> </w:t>
            </w:r>
            <w:r w:rsidRPr="0052725C">
              <w:rPr>
                <w:b/>
              </w:rPr>
              <w:t>visas</w:t>
            </w:r>
            <w:r>
              <w:rPr>
                <w:b/>
              </w:rPr>
              <w:t>/</w:t>
            </w:r>
            <w:r w:rsidRPr="00DE1762">
              <w:rPr>
                <w:b/>
                <w:i/>
                <w:iCs/>
                <w:highlight w:val="darkGray"/>
              </w:rPr>
              <w:t>sutrumpintas</w:t>
            </w:r>
            <w:r w:rsidRPr="0052725C">
              <w:rPr>
                <w:b/>
              </w:rPr>
              <w:t xml:space="preserve"> </w:t>
            </w:r>
            <w:r w:rsidR="004F3FC6">
              <w:rPr>
                <w:b/>
              </w:rPr>
              <w:t xml:space="preserve">ES </w:t>
            </w:r>
            <w:r w:rsidRPr="0052725C">
              <w:rPr>
                <w:b/>
              </w:rPr>
              <w:t>harmonizuotas ženklinimo tekstas</w:t>
            </w:r>
          </w:p>
          <w:p w14:paraId="18E89179" w14:textId="4D875FC9" w:rsidR="004F3FC6" w:rsidRPr="002C040A" w:rsidRDefault="004F3FC6" w:rsidP="004F3FC6">
            <w:pPr>
              <w:rPr>
                <w:b/>
              </w:rPr>
            </w:pPr>
            <w:r w:rsidRPr="004F3FC6">
              <w:rPr>
                <w:b/>
              </w:rPr>
              <w:t>(1 grupė (EE/LT/LV), 2 grupė (CZ/SK))</w:t>
            </w:r>
          </w:p>
        </w:tc>
      </w:tr>
    </w:tbl>
    <w:p w14:paraId="78AFB857" w14:textId="77777777" w:rsidR="00907624" w:rsidRPr="002C040A" w:rsidRDefault="00907624" w:rsidP="00907624">
      <w:pPr>
        <w:rPr>
          <w:b/>
        </w:rPr>
      </w:pPr>
    </w:p>
    <w:p w14:paraId="083FD1C7" w14:textId="77777777" w:rsidR="00907624" w:rsidRPr="002C040A" w:rsidRDefault="00907624" w:rsidP="00907624">
      <w:pPr>
        <w:rPr>
          <w:lang w:eastAsia="lt-LT"/>
        </w:rPr>
      </w:pPr>
    </w:p>
    <w:p w14:paraId="135F6FA0" w14:textId="77777777" w:rsidR="00907624" w:rsidRPr="002C040A" w:rsidRDefault="00907624" w:rsidP="00907624">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1.</w:t>
      </w:r>
      <w:r w:rsidRPr="002C040A">
        <w:rPr>
          <w:b/>
          <w:lang w:eastAsia="lt-LT"/>
        </w:rPr>
        <w:tab/>
        <w:t>VAISTINIO PREPARATO PAVADINIMAS</w:t>
      </w:r>
    </w:p>
    <w:p w14:paraId="4F4A06AB" w14:textId="77777777" w:rsidR="00907624" w:rsidRPr="002C040A" w:rsidRDefault="00907624" w:rsidP="00907624">
      <w:pPr>
        <w:rPr>
          <w:lang w:eastAsia="lt-LT"/>
        </w:rPr>
      </w:pPr>
    </w:p>
    <w:p w14:paraId="324AAEDE" w14:textId="77777777" w:rsidR="00907624" w:rsidRDefault="00907624" w:rsidP="00907624">
      <w:pPr>
        <w:tabs>
          <w:tab w:val="left" w:pos="567"/>
        </w:tabs>
      </w:pPr>
      <w:proofErr w:type="spellStart"/>
      <w:r>
        <w:t>Dapagliflozin</w:t>
      </w:r>
      <w:proofErr w:type="spellEnd"/>
      <w:r>
        <w:t xml:space="preserve"> Olpha</w:t>
      </w:r>
      <w:r w:rsidRPr="00042293">
        <w:t xml:space="preserve"> 5</w:t>
      </w:r>
      <w:r>
        <w:t> mg</w:t>
      </w:r>
      <w:r w:rsidRPr="00042293">
        <w:t xml:space="preserve"> </w:t>
      </w:r>
      <w:r w:rsidRPr="00DE1762">
        <w:rPr>
          <w:i/>
          <w:iCs/>
          <w:highlight w:val="darkGray"/>
        </w:rPr>
        <w:t>plėvele dengtos</w:t>
      </w:r>
      <w:r w:rsidRPr="00042293">
        <w:t xml:space="preserve"> tabletės</w:t>
      </w:r>
    </w:p>
    <w:p w14:paraId="32FF1C51" w14:textId="77777777" w:rsidR="00907624" w:rsidRDefault="00907624" w:rsidP="00907624">
      <w:pPr>
        <w:tabs>
          <w:tab w:val="left" w:pos="567"/>
        </w:tabs>
        <w:rPr>
          <w:i/>
          <w:iCs/>
        </w:rPr>
      </w:pPr>
    </w:p>
    <w:p w14:paraId="27544934" w14:textId="7A47E3E7" w:rsidR="00907624" w:rsidRPr="00E97E14" w:rsidRDefault="00907624" w:rsidP="00907624">
      <w:pPr>
        <w:tabs>
          <w:tab w:val="left" w:pos="567"/>
        </w:tabs>
        <w:rPr>
          <w:i/>
          <w:iCs/>
          <w:szCs w:val="24"/>
        </w:rPr>
      </w:pPr>
      <w:proofErr w:type="spellStart"/>
      <w:r w:rsidRPr="00DE1762">
        <w:rPr>
          <w:i/>
          <w:iCs/>
          <w:highlight w:val="darkGray"/>
        </w:rPr>
        <w:t>dapagliflozinum</w:t>
      </w:r>
      <w:proofErr w:type="spellEnd"/>
    </w:p>
    <w:p w14:paraId="752AEF07" w14:textId="77777777" w:rsidR="00907624" w:rsidRPr="002C040A" w:rsidRDefault="00907624" w:rsidP="00907624">
      <w:pPr>
        <w:rPr>
          <w:lang w:eastAsia="lt-LT"/>
        </w:rPr>
      </w:pPr>
    </w:p>
    <w:p w14:paraId="0B20E751" w14:textId="77777777" w:rsidR="00907624" w:rsidRPr="002C040A" w:rsidRDefault="00907624" w:rsidP="00907624">
      <w:pPr>
        <w:rPr>
          <w:lang w:eastAsia="lt-LT"/>
        </w:rPr>
      </w:pPr>
    </w:p>
    <w:p w14:paraId="0856C700" w14:textId="77777777" w:rsidR="00907624" w:rsidRPr="002C040A" w:rsidRDefault="00907624" w:rsidP="00907624">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2.</w:t>
      </w:r>
      <w:r w:rsidRPr="002C040A">
        <w:rPr>
          <w:b/>
          <w:lang w:eastAsia="lt-LT"/>
        </w:rPr>
        <w:tab/>
        <w:t>REGISTRUOTOJO PAVADINIMAS</w:t>
      </w:r>
    </w:p>
    <w:p w14:paraId="041D03CD" w14:textId="77777777" w:rsidR="00907624" w:rsidRPr="002C040A" w:rsidRDefault="00907624" w:rsidP="00907624">
      <w:pPr>
        <w:rPr>
          <w:lang w:eastAsia="lt-LT"/>
        </w:rPr>
      </w:pPr>
    </w:p>
    <w:p w14:paraId="682776CF" w14:textId="59D91076" w:rsidR="00907624" w:rsidRPr="00801590" w:rsidRDefault="00907624" w:rsidP="00907624">
      <w:pPr>
        <w:rPr>
          <w:lang w:eastAsia="lt-LT"/>
        </w:rPr>
      </w:pPr>
      <w:r w:rsidRPr="00801590">
        <w:rPr>
          <w:lang w:eastAsia="lt-LT"/>
        </w:rPr>
        <w:t>Olpha</w:t>
      </w:r>
      <w:r w:rsidR="006C0DF4">
        <w:rPr>
          <w:lang w:eastAsia="lt-LT"/>
        </w:rPr>
        <w:t xml:space="preserve"> AS</w:t>
      </w:r>
      <w:r w:rsidRPr="00801590">
        <w:rPr>
          <w:lang w:eastAsia="lt-LT"/>
        </w:rPr>
        <w:t xml:space="preserve"> </w:t>
      </w:r>
      <w:r w:rsidRPr="00801590">
        <w:rPr>
          <w:highlight w:val="lightGray"/>
          <w:lang w:eastAsia="lt-LT"/>
        </w:rPr>
        <w:t>[logotipas]</w:t>
      </w:r>
    </w:p>
    <w:p w14:paraId="4D05CAE6" w14:textId="77777777" w:rsidR="00907624" w:rsidRPr="002C040A" w:rsidRDefault="00907624" w:rsidP="00907624">
      <w:pPr>
        <w:rPr>
          <w:lang w:eastAsia="lt-LT"/>
        </w:rPr>
      </w:pPr>
    </w:p>
    <w:p w14:paraId="7245C260" w14:textId="77777777" w:rsidR="00907624" w:rsidRPr="002C040A" w:rsidRDefault="00907624" w:rsidP="00907624">
      <w:pPr>
        <w:rPr>
          <w:lang w:eastAsia="lt-LT"/>
        </w:rPr>
      </w:pPr>
    </w:p>
    <w:p w14:paraId="793EE17F" w14:textId="77777777" w:rsidR="00907624" w:rsidRPr="002C040A" w:rsidRDefault="00907624" w:rsidP="00907624">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3.</w:t>
      </w:r>
      <w:r w:rsidRPr="002C040A">
        <w:rPr>
          <w:b/>
          <w:lang w:eastAsia="lt-LT"/>
        </w:rPr>
        <w:tab/>
        <w:t>TINKAMUMO LAIKAS</w:t>
      </w:r>
    </w:p>
    <w:p w14:paraId="7C5DB274" w14:textId="77777777" w:rsidR="00907624" w:rsidRPr="002C040A" w:rsidRDefault="00907624" w:rsidP="00907624">
      <w:pPr>
        <w:rPr>
          <w:lang w:eastAsia="lt-LT"/>
        </w:rPr>
      </w:pPr>
    </w:p>
    <w:p w14:paraId="31940CF2" w14:textId="3A08FC03" w:rsidR="00907624" w:rsidRPr="002C040A" w:rsidRDefault="00907624" w:rsidP="00907624">
      <w:pPr>
        <w:rPr>
          <w:lang w:eastAsia="lt-LT"/>
        </w:rPr>
      </w:pPr>
      <w:r w:rsidRPr="00801590">
        <w:rPr>
          <w:highlight w:val="lightGray"/>
          <w:lang w:eastAsia="lt-LT"/>
        </w:rPr>
        <w:t>EXP</w:t>
      </w:r>
      <w:r w:rsidR="00677BE7">
        <w:rPr>
          <w:lang w:eastAsia="lt-LT"/>
        </w:rPr>
        <w:t xml:space="preserve"> </w:t>
      </w:r>
      <w:r w:rsidR="00677BE7" w:rsidRPr="00F813BC">
        <w:t>{mm/MMMM}</w:t>
      </w:r>
    </w:p>
    <w:p w14:paraId="17C15CAF" w14:textId="77777777" w:rsidR="00907624" w:rsidRPr="002C040A" w:rsidRDefault="00907624" w:rsidP="00907624">
      <w:pPr>
        <w:rPr>
          <w:lang w:eastAsia="lt-LT"/>
        </w:rPr>
      </w:pPr>
    </w:p>
    <w:p w14:paraId="700D64F6" w14:textId="77777777" w:rsidR="00907624" w:rsidRPr="002C040A" w:rsidRDefault="00907624" w:rsidP="00907624">
      <w:pPr>
        <w:rPr>
          <w:lang w:eastAsia="lt-LT"/>
        </w:rPr>
      </w:pPr>
    </w:p>
    <w:p w14:paraId="4CE724D5" w14:textId="77777777" w:rsidR="00907624" w:rsidRPr="002C040A" w:rsidRDefault="00907624" w:rsidP="00907624">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4.</w:t>
      </w:r>
      <w:r w:rsidRPr="002C040A">
        <w:rPr>
          <w:b/>
          <w:lang w:eastAsia="lt-LT"/>
        </w:rPr>
        <w:tab/>
        <w:t>SERIJOS NUMERIS</w:t>
      </w:r>
    </w:p>
    <w:p w14:paraId="5A7CD5C5" w14:textId="77777777" w:rsidR="00907624" w:rsidRPr="002C040A" w:rsidRDefault="00907624" w:rsidP="00907624">
      <w:pPr>
        <w:rPr>
          <w:lang w:eastAsia="lt-LT"/>
        </w:rPr>
      </w:pPr>
    </w:p>
    <w:p w14:paraId="0221D0F8" w14:textId="77777777" w:rsidR="00907624" w:rsidRPr="00801590" w:rsidRDefault="00907624" w:rsidP="00907624">
      <w:pPr>
        <w:rPr>
          <w:lang w:eastAsia="lt-LT"/>
        </w:rPr>
      </w:pPr>
      <w:r w:rsidRPr="00801590">
        <w:rPr>
          <w:highlight w:val="lightGray"/>
          <w:lang w:eastAsia="lt-LT"/>
        </w:rPr>
        <w:t>Lot</w:t>
      </w:r>
    </w:p>
    <w:p w14:paraId="665A6ADF" w14:textId="77777777" w:rsidR="00907624" w:rsidRPr="002C040A" w:rsidRDefault="00907624" w:rsidP="00907624">
      <w:pPr>
        <w:rPr>
          <w:lang w:eastAsia="lt-LT"/>
        </w:rPr>
      </w:pPr>
    </w:p>
    <w:p w14:paraId="35C2D05F" w14:textId="77777777" w:rsidR="00907624" w:rsidRPr="002C040A" w:rsidRDefault="00907624" w:rsidP="00907624">
      <w:pPr>
        <w:rPr>
          <w:lang w:eastAsia="lt-LT"/>
        </w:rPr>
      </w:pPr>
    </w:p>
    <w:p w14:paraId="0DC09173" w14:textId="77777777" w:rsidR="00907624" w:rsidRPr="002C040A" w:rsidRDefault="00907624" w:rsidP="00907624">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5.</w:t>
      </w:r>
      <w:r w:rsidRPr="002C040A">
        <w:rPr>
          <w:b/>
          <w:lang w:eastAsia="lt-LT"/>
        </w:rPr>
        <w:tab/>
        <w:t>KITA</w:t>
      </w:r>
    </w:p>
    <w:p w14:paraId="2F98A073" w14:textId="77777777" w:rsidR="00907624" w:rsidRPr="002C040A" w:rsidRDefault="00907624" w:rsidP="00907624">
      <w:pPr>
        <w:rPr>
          <w:lang w:eastAsia="lt-LT"/>
        </w:rPr>
      </w:pPr>
    </w:p>
    <w:p w14:paraId="0D50340C" w14:textId="77777777" w:rsidR="00907624" w:rsidRPr="002C040A" w:rsidRDefault="00907624" w:rsidP="00907624">
      <w:pPr>
        <w:outlineLvl w:val="0"/>
        <w:rPr>
          <w:b/>
          <w:kern w:val="28"/>
          <w:lang w:eastAsia="lt-LT"/>
        </w:rPr>
      </w:pPr>
      <w:r w:rsidRPr="002C040A">
        <w:rPr>
          <w:lang w:eastAsia="lt-LT"/>
        </w:rPr>
        <w:br w:type="page"/>
      </w:r>
    </w:p>
    <w:p w14:paraId="0973EDD1"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rPr>
          <w:b/>
          <w:szCs w:val="24"/>
        </w:rPr>
      </w:pPr>
      <w:r w:rsidRPr="00486325">
        <w:rPr>
          <w:b/>
          <w:szCs w:val="24"/>
        </w:rPr>
        <w:lastRenderedPageBreak/>
        <w:t>MINIMALI INFORMACIJA ANT LIZDINIŲ PLOKŠTELIŲ ARBA DVISLUOKSNIŲ JUOSTELIŲ</w:t>
      </w:r>
    </w:p>
    <w:p w14:paraId="045FDE9F" w14:textId="77777777" w:rsidR="0031067D" w:rsidRDefault="0031067D" w:rsidP="009E0972">
      <w:pPr>
        <w:pBdr>
          <w:top w:val="single" w:sz="4" w:space="1" w:color="auto"/>
          <w:left w:val="single" w:sz="4" w:space="4" w:color="auto"/>
          <w:bottom w:val="single" w:sz="4" w:space="1" w:color="auto"/>
          <w:right w:val="single" w:sz="4" w:space="4" w:color="auto"/>
        </w:pBdr>
        <w:tabs>
          <w:tab w:val="left" w:pos="567"/>
        </w:tabs>
        <w:rPr>
          <w:b/>
          <w:szCs w:val="24"/>
        </w:rPr>
      </w:pPr>
    </w:p>
    <w:p w14:paraId="47C17D65" w14:textId="2518A93F" w:rsidR="00907624" w:rsidRDefault="0031067D" w:rsidP="00907624">
      <w:pPr>
        <w:pBdr>
          <w:top w:val="single" w:sz="4" w:space="1" w:color="auto"/>
          <w:left w:val="single" w:sz="4" w:space="4" w:color="auto"/>
          <w:bottom w:val="single" w:sz="4" w:space="1" w:color="auto"/>
          <w:right w:val="single" w:sz="4" w:space="4" w:color="auto"/>
        </w:pBdr>
        <w:tabs>
          <w:tab w:val="left" w:pos="567"/>
        </w:tabs>
        <w:rPr>
          <w:b/>
          <w:szCs w:val="24"/>
        </w:rPr>
      </w:pPr>
      <w:r w:rsidRPr="0031067D">
        <w:rPr>
          <w:b/>
          <w:szCs w:val="24"/>
        </w:rPr>
        <w:t>PERFORUOT</w:t>
      </w:r>
      <w:r w:rsidR="00907624">
        <w:rPr>
          <w:b/>
          <w:szCs w:val="24"/>
        </w:rPr>
        <w:t>A</w:t>
      </w:r>
      <w:r w:rsidRPr="0031067D">
        <w:rPr>
          <w:b/>
          <w:szCs w:val="24"/>
        </w:rPr>
        <w:t xml:space="preserve"> DALOMO</w:t>
      </w:r>
      <w:r w:rsidR="00907624">
        <w:rPr>
          <w:b/>
          <w:szCs w:val="24"/>
        </w:rPr>
        <w:t>JI</w:t>
      </w:r>
      <w:r w:rsidRPr="0031067D">
        <w:rPr>
          <w:b/>
          <w:szCs w:val="24"/>
        </w:rPr>
        <w:t xml:space="preserve"> LIZDINĖ PLOKŠTELĖ</w:t>
      </w:r>
      <w:r w:rsidR="00907624">
        <w:rPr>
          <w:b/>
          <w:szCs w:val="24"/>
        </w:rPr>
        <w:t xml:space="preserve"> </w:t>
      </w:r>
      <w:r w:rsidR="00A9359B">
        <w:rPr>
          <w:b/>
          <w:szCs w:val="24"/>
        </w:rPr>
        <w:t xml:space="preserve">– </w:t>
      </w:r>
      <w:r w:rsidR="00907624" w:rsidRPr="00907624">
        <w:rPr>
          <w:b/>
          <w:szCs w:val="24"/>
        </w:rPr>
        <w:t>visas/</w:t>
      </w:r>
      <w:r w:rsidR="00907624" w:rsidRPr="00DE1762">
        <w:rPr>
          <w:b/>
          <w:i/>
          <w:iCs/>
          <w:szCs w:val="24"/>
          <w:highlight w:val="darkGray"/>
        </w:rPr>
        <w:t>sutrumpintas</w:t>
      </w:r>
      <w:r w:rsidR="00907624" w:rsidRPr="00907624">
        <w:rPr>
          <w:b/>
          <w:szCs w:val="24"/>
        </w:rPr>
        <w:t xml:space="preserve"> </w:t>
      </w:r>
      <w:r w:rsidR="00FC5A67">
        <w:rPr>
          <w:b/>
          <w:szCs w:val="24"/>
        </w:rPr>
        <w:t xml:space="preserve">ES </w:t>
      </w:r>
      <w:r w:rsidR="00907624" w:rsidRPr="00907624">
        <w:rPr>
          <w:b/>
          <w:szCs w:val="24"/>
        </w:rPr>
        <w:t>harmonizuotas ženklinimo tekstas</w:t>
      </w:r>
    </w:p>
    <w:p w14:paraId="588A2AC0" w14:textId="56DD5466" w:rsidR="00FC5A67" w:rsidRPr="00907624" w:rsidRDefault="00FC5A67" w:rsidP="00FC5A67">
      <w:pPr>
        <w:pBdr>
          <w:top w:val="single" w:sz="4" w:space="1" w:color="auto"/>
          <w:left w:val="single" w:sz="4" w:space="4" w:color="auto"/>
          <w:bottom w:val="single" w:sz="4" w:space="1" w:color="auto"/>
          <w:right w:val="single" w:sz="4" w:space="4" w:color="auto"/>
        </w:pBdr>
        <w:tabs>
          <w:tab w:val="left" w:pos="567"/>
        </w:tabs>
        <w:rPr>
          <w:b/>
          <w:szCs w:val="24"/>
        </w:rPr>
      </w:pPr>
      <w:r w:rsidRPr="00FC5A67">
        <w:rPr>
          <w:b/>
          <w:szCs w:val="24"/>
        </w:rPr>
        <w:t>(1 grupė (EE/LT/LV), 2 grupė (CZ/SK))</w:t>
      </w:r>
    </w:p>
    <w:p w14:paraId="12E42556" w14:textId="77777777" w:rsidR="009E0972" w:rsidRDefault="009E0972" w:rsidP="009E0972">
      <w:pPr>
        <w:tabs>
          <w:tab w:val="left" w:pos="567"/>
        </w:tabs>
        <w:rPr>
          <w:szCs w:val="24"/>
        </w:rPr>
      </w:pPr>
    </w:p>
    <w:p w14:paraId="55790924"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1F608D10" w14:textId="77777777" w:rsidR="009E0972" w:rsidRDefault="009E0972" w:rsidP="009E0972">
      <w:pPr>
        <w:tabs>
          <w:tab w:val="left" w:pos="567"/>
        </w:tabs>
        <w:rPr>
          <w:szCs w:val="24"/>
        </w:rPr>
      </w:pPr>
    </w:p>
    <w:p w14:paraId="29B25864" w14:textId="0D3A20C4" w:rsidR="0031067D" w:rsidRDefault="0031067D" w:rsidP="0031067D">
      <w:pPr>
        <w:tabs>
          <w:tab w:val="left" w:pos="567"/>
        </w:tabs>
      </w:pPr>
      <w:proofErr w:type="spellStart"/>
      <w:r>
        <w:t>Dapagliflozin</w:t>
      </w:r>
      <w:proofErr w:type="spellEnd"/>
      <w:r>
        <w:t xml:space="preserve"> Olpha</w:t>
      </w:r>
      <w:r w:rsidRPr="00042293">
        <w:t xml:space="preserve"> 5</w:t>
      </w:r>
      <w:r w:rsidR="00873FCC">
        <w:t> mg</w:t>
      </w:r>
      <w:r w:rsidRPr="00042293">
        <w:t xml:space="preserve"> </w:t>
      </w:r>
      <w:r w:rsidRPr="00DE1762">
        <w:rPr>
          <w:i/>
          <w:iCs/>
          <w:highlight w:val="darkGray"/>
        </w:rPr>
        <w:t>plėvele dengtos</w:t>
      </w:r>
      <w:r w:rsidRPr="00042293">
        <w:t xml:space="preserve"> tabletės</w:t>
      </w:r>
    </w:p>
    <w:p w14:paraId="22D3FD3F" w14:textId="77777777" w:rsidR="0031067D" w:rsidRDefault="0031067D" w:rsidP="0031067D">
      <w:pPr>
        <w:tabs>
          <w:tab w:val="left" w:pos="567"/>
        </w:tabs>
      </w:pPr>
    </w:p>
    <w:p w14:paraId="39A72E08" w14:textId="77777777" w:rsidR="0031067D" w:rsidRPr="00E97E14" w:rsidRDefault="0031067D" w:rsidP="0031067D">
      <w:pPr>
        <w:tabs>
          <w:tab w:val="left" w:pos="567"/>
        </w:tabs>
        <w:rPr>
          <w:i/>
          <w:iCs/>
          <w:szCs w:val="24"/>
        </w:rPr>
      </w:pPr>
      <w:proofErr w:type="spellStart"/>
      <w:r w:rsidRPr="00DE1762">
        <w:rPr>
          <w:i/>
          <w:iCs/>
          <w:highlight w:val="darkGray"/>
        </w:rPr>
        <w:t>dapagliflozinum</w:t>
      </w:r>
      <w:proofErr w:type="spellEnd"/>
    </w:p>
    <w:p w14:paraId="36BA3192" w14:textId="77777777" w:rsidR="009E0972" w:rsidRDefault="009E0972" w:rsidP="009E0972">
      <w:pPr>
        <w:tabs>
          <w:tab w:val="left" w:pos="567"/>
        </w:tabs>
        <w:rPr>
          <w:szCs w:val="24"/>
        </w:rPr>
      </w:pPr>
    </w:p>
    <w:p w14:paraId="200C8C27" w14:textId="77777777" w:rsidR="009E0972" w:rsidRDefault="009E0972" w:rsidP="009E0972">
      <w:pPr>
        <w:tabs>
          <w:tab w:val="left" w:pos="567"/>
        </w:tabs>
        <w:rPr>
          <w:szCs w:val="24"/>
        </w:rPr>
      </w:pPr>
    </w:p>
    <w:p w14:paraId="1C696D0B"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2.</w:t>
      </w:r>
      <w:r>
        <w:rPr>
          <w:b/>
          <w:szCs w:val="24"/>
        </w:rPr>
        <w:tab/>
      </w:r>
      <w:r w:rsidRPr="00751E69">
        <w:rPr>
          <w:b/>
          <w:szCs w:val="24"/>
        </w:rPr>
        <w:t>REGISTRUOTOJO PAVADINIMAS</w:t>
      </w:r>
    </w:p>
    <w:p w14:paraId="1388ED4E" w14:textId="77777777" w:rsidR="009E0972" w:rsidRDefault="009E0972" w:rsidP="009E0972">
      <w:pPr>
        <w:pStyle w:val="Pagrindinistekstas"/>
      </w:pPr>
    </w:p>
    <w:p w14:paraId="0704868E" w14:textId="40AD37A3" w:rsidR="009E0972" w:rsidRDefault="009E0972" w:rsidP="009E0972">
      <w:pPr>
        <w:tabs>
          <w:tab w:val="left" w:pos="567"/>
        </w:tabs>
        <w:rPr>
          <w:szCs w:val="24"/>
        </w:rPr>
      </w:pPr>
      <w:r>
        <w:rPr>
          <w:szCs w:val="24"/>
        </w:rPr>
        <w:t>Olpha</w:t>
      </w:r>
      <w:r w:rsidR="006C0DF4">
        <w:rPr>
          <w:szCs w:val="24"/>
        </w:rPr>
        <w:t xml:space="preserve"> AS</w:t>
      </w:r>
      <w:r>
        <w:rPr>
          <w:szCs w:val="24"/>
        </w:rPr>
        <w:t xml:space="preserve"> </w:t>
      </w:r>
      <w:r w:rsidRPr="00115DE8">
        <w:rPr>
          <w:szCs w:val="24"/>
          <w:highlight w:val="lightGray"/>
        </w:rPr>
        <w:t>[logotipas]</w:t>
      </w:r>
    </w:p>
    <w:p w14:paraId="53AAB86C" w14:textId="77777777" w:rsidR="009E0972" w:rsidRDefault="009E0972" w:rsidP="009E0972">
      <w:pPr>
        <w:tabs>
          <w:tab w:val="left" w:pos="567"/>
        </w:tabs>
        <w:rPr>
          <w:szCs w:val="24"/>
        </w:rPr>
      </w:pPr>
    </w:p>
    <w:p w14:paraId="5771E1F9" w14:textId="77777777" w:rsidR="009E0972" w:rsidRDefault="009E0972" w:rsidP="009E0972">
      <w:pPr>
        <w:tabs>
          <w:tab w:val="left" w:pos="567"/>
        </w:tabs>
        <w:rPr>
          <w:szCs w:val="24"/>
        </w:rPr>
      </w:pPr>
    </w:p>
    <w:p w14:paraId="46F6E606"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r>
      <w:r w:rsidRPr="00751E69">
        <w:rPr>
          <w:b/>
          <w:szCs w:val="24"/>
        </w:rPr>
        <w:t>TINKAMUMO LAIKAS</w:t>
      </w:r>
    </w:p>
    <w:p w14:paraId="08E3427C" w14:textId="77777777" w:rsidR="009E0972" w:rsidRDefault="009E0972" w:rsidP="009E0972">
      <w:pPr>
        <w:tabs>
          <w:tab w:val="left" w:pos="567"/>
        </w:tabs>
        <w:rPr>
          <w:szCs w:val="24"/>
        </w:rPr>
      </w:pPr>
    </w:p>
    <w:p w14:paraId="117A3B68" w14:textId="52294F0D" w:rsidR="009E0972" w:rsidRPr="007A5A89" w:rsidRDefault="009E0972" w:rsidP="009E0972">
      <w:pPr>
        <w:pStyle w:val="Pagrindinistekstas"/>
      </w:pPr>
      <w:r w:rsidRPr="00DE1762">
        <w:t>EXP</w:t>
      </w:r>
      <w:r w:rsidR="00123424">
        <w:t xml:space="preserve"> </w:t>
      </w:r>
      <w:r w:rsidR="00123424" w:rsidRPr="00F813BC">
        <w:t>{mm/MMMM}</w:t>
      </w:r>
    </w:p>
    <w:p w14:paraId="1945CCA4" w14:textId="77777777" w:rsidR="009E0972" w:rsidRDefault="009E0972" w:rsidP="009E0972">
      <w:pPr>
        <w:tabs>
          <w:tab w:val="left" w:pos="567"/>
        </w:tabs>
        <w:rPr>
          <w:szCs w:val="24"/>
        </w:rPr>
      </w:pPr>
    </w:p>
    <w:p w14:paraId="25C86A79" w14:textId="77777777" w:rsidR="009E0972" w:rsidRDefault="009E0972" w:rsidP="009E0972">
      <w:pPr>
        <w:tabs>
          <w:tab w:val="left" w:pos="567"/>
        </w:tabs>
        <w:rPr>
          <w:szCs w:val="24"/>
        </w:rPr>
      </w:pPr>
    </w:p>
    <w:p w14:paraId="14A974F5"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r>
      <w:r w:rsidRPr="00E03C37">
        <w:rPr>
          <w:b/>
          <w:szCs w:val="24"/>
        </w:rPr>
        <w:t>SERIJOS NUMERIS</w:t>
      </w:r>
    </w:p>
    <w:p w14:paraId="43F89C0B" w14:textId="77777777" w:rsidR="009E0972" w:rsidRDefault="009E0972" w:rsidP="009E0972">
      <w:pPr>
        <w:tabs>
          <w:tab w:val="left" w:pos="567"/>
        </w:tabs>
        <w:rPr>
          <w:szCs w:val="24"/>
        </w:rPr>
      </w:pPr>
    </w:p>
    <w:p w14:paraId="33871EF3" w14:textId="77777777" w:rsidR="009E0972" w:rsidRDefault="009E0972" w:rsidP="009E0972">
      <w:pPr>
        <w:tabs>
          <w:tab w:val="left" w:pos="567"/>
        </w:tabs>
        <w:rPr>
          <w:szCs w:val="24"/>
        </w:rPr>
      </w:pPr>
      <w:r w:rsidRPr="00DE1762">
        <w:rPr>
          <w:szCs w:val="24"/>
        </w:rPr>
        <w:t>Lot</w:t>
      </w:r>
    </w:p>
    <w:p w14:paraId="61BB18A8" w14:textId="77777777" w:rsidR="009E0972" w:rsidRDefault="009E0972" w:rsidP="009E0972">
      <w:pPr>
        <w:pStyle w:val="Pagrindinistekstas"/>
        <w:rPr>
          <w:spacing w:val="53"/>
        </w:rPr>
      </w:pPr>
    </w:p>
    <w:p w14:paraId="61ADD0B4" w14:textId="77777777" w:rsidR="009E0972" w:rsidRDefault="009E0972" w:rsidP="009E0972">
      <w:pPr>
        <w:tabs>
          <w:tab w:val="left" w:pos="567"/>
        </w:tabs>
        <w:rPr>
          <w:szCs w:val="24"/>
        </w:rPr>
      </w:pPr>
    </w:p>
    <w:p w14:paraId="642C63E7" w14:textId="77777777" w:rsidR="009E0972" w:rsidRDefault="009E0972" w:rsidP="009E09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r>
      <w:r w:rsidRPr="003F6AC4">
        <w:rPr>
          <w:b/>
          <w:szCs w:val="24"/>
        </w:rPr>
        <w:t>KITA</w:t>
      </w:r>
    </w:p>
    <w:p w14:paraId="16017EF2" w14:textId="75F1C007" w:rsidR="008A77F0" w:rsidRDefault="008A77F0">
      <w:pPr>
        <w:rPr>
          <w:szCs w:val="24"/>
        </w:rPr>
      </w:pPr>
      <w:r>
        <w:rPr>
          <w:szCs w:val="24"/>
        </w:rPr>
        <w:br w:type="page"/>
      </w:r>
    </w:p>
    <w:p w14:paraId="73EC8001"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52F789F1"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p>
    <w:p w14:paraId="7D73CBD2" w14:textId="285A5E0D" w:rsidR="008A77F0" w:rsidRPr="00CF0BAC"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r w:rsidRPr="00CF0BAC">
        <w:t xml:space="preserve"> </w:t>
      </w:r>
      <w:r w:rsidR="00401764">
        <w:t xml:space="preserve">– </w:t>
      </w:r>
      <w:r w:rsidRPr="00CF0BAC">
        <w:rPr>
          <w:b/>
          <w:szCs w:val="24"/>
        </w:rPr>
        <w:t>visas/</w:t>
      </w:r>
      <w:r w:rsidRPr="00DE1762">
        <w:rPr>
          <w:b/>
          <w:i/>
          <w:iCs/>
          <w:szCs w:val="24"/>
          <w:highlight w:val="darkGray"/>
        </w:rPr>
        <w:t>sutrumpintas</w:t>
      </w:r>
      <w:r w:rsidRPr="00CF0BAC">
        <w:rPr>
          <w:b/>
          <w:szCs w:val="24"/>
        </w:rPr>
        <w:t xml:space="preserve"> </w:t>
      </w:r>
      <w:r w:rsidR="00644E43">
        <w:rPr>
          <w:b/>
          <w:szCs w:val="24"/>
        </w:rPr>
        <w:t xml:space="preserve">ES </w:t>
      </w:r>
      <w:r w:rsidRPr="00CF0BAC">
        <w:rPr>
          <w:b/>
          <w:szCs w:val="24"/>
        </w:rPr>
        <w:t>harmonizuotas ženklinimo tekstas</w:t>
      </w:r>
    </w:p>
    <w:p w14:paraId="5E5F3F5B"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r w:rsidRPr="00CF0BAC">
        <w:rPr>
          <w:b/>
          <w:szCs w:val="24"/>
        </w:rPr>
        <w:t>(1 grupė (EE/LT/LV), 2 grupė (CZ/SK))</w:t>
      </w:r>
    </w:p>
    <w:p w14:paraId="070E80DF" w14:textId="77777777" w:rsidR="008A77F0" w:rsidRDefault="008A77F0" w:rsidP="008A77F0">
      <w:pPr>
        <w:tabs>
          <w:tab w:val="left" w:pos="567"/>
        </w:tabs>
        <w:rPr>
          <w:szCs w:val="24"/>
        </w:rPr>
      </w:pPr>
    </w:p>
    <w:p w14:paraId="52729353"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108AA65B" w14:textId="77777777" w:rsidR="008A77F0" w:rsidRDefault="008A77F0" w:rsidP="008A77F0">
      <w:pPr>
        <w:tabs>
          <w:tab w:val="left" w:pos="567"/>
        </w:tabs>
        <w:rPr>
          <w:szCs w:val="24"/>
        </w:rPr>
      </w:pPr>
    </w:p>
    <w:p w14:paraId="321CA450" w14:textId="247AB56B" w:rsidR="008A77F0" w:rsidRDefault="008A77F0" w:rsidP="008A77F0">
      <w:pPr>
        <w:tabs>
          <w:tab w:val="left" w:pos="567"/>
        </w:tabs>
      </w:pPr>
      <w:proofErr w:type="spellStart"/>
      <w:r>
        <w:t>Dapagliflozin</w:t>
      </w:r>
      <w:proofErr w:type="spellEnd"/>
      <w:r>
        <w:t xml:space="preserve"> Olpha</w:t>
      </w:r>
      <w:r w:rsidRPr="00042293">
        <w:t xml:space="preserve"> </w:t>
      </w:r>
      <w:r w:rsidR="004A56F6">
        <w:t>10</w:t>
      </w:r>
      <w:r>
        <w:t> mg</w:t>
      </w:r>
      <w:r w:rsidRPr="00042293">
        <w:t xml:space="preserve"> plėvele dengtos tabletės</w:t>
      </w:r>
    </w:p>
    <w:p w14:paraId="0FD84DD5" w14:textId="77777777" w:rsidR="008A77F0" w:rsidRDefault="008A77F0" w:rsidP="008A77F0">
      <w:pPr>
        <w:tabs>
          <w:tab w:val="left" w:pos="567"/>
        </w:tabs>
      </w:pPr>
    </w:p>
    <w:p w14:paraId="782EA3C4" w14:textId="77777777" w:rsidR="008A77F0" w:rsidRPr="00E97E14" w:rsidRDefault="008A77F0" w:rsidP="008A77F0">
      <w:pPr>
        <w:tabs>
          <w:tab w:val="left" w:pos="567"/>
        </w:tabs>
        <w:rPr>
          <w:i/>
          <w:iCs/>
          <w:szCs w:val="24"/>
        </w:rPr>
      </w:pPr>
      <w:proofErr w:type="spellStart"/>
      <w:r w:rsidRPr="00E97E14">
        <w:rPr>
          <w:i/>
          <w:iCs/>
        </w:rPr>
        <w:t>dapagliflozinum</w:t>
      </w:r>
      <w:proofErr w:type="spellEnd"/>
    </w:p>
    <w:p w14:paraId="304D89AB" w14:textId="77777777" w:rsidR="008A77F0" w:rsidRDefault="008A77F0" w:rsidP="008A77F0">
      <w:pPr>
        <w:tabs>
          <w:tab w:val="left" w:pos="567"/>
        </w:tabs>
        <w:rPr>
          <w:szCs w:val="24"/>
        </w:rPr>
      </w:pPr>
    </w:p>
    <w:p w14:paraId="29A73B84" w14:textId="77777777" w:rsidR="008A77F0" w:rsidRDefault="008A77F0" w:rsidP="008A77F0">
      <w:pPr>
        <w:tabs>
          <w:tab w:val="left" w:pos="567"/>
        </w:tabs>
        <w:rPr>
          <w:szCs w:val="24"/>
        </w:rPr>
      </w:pPr>
    </w:p>
    <w:p w14:paraId="0FA2FAFE"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7A83930C" w14:textId="77777777" w:rsidR="008A77F0" w:rsidRDefault="008A77F0" w:rsidP="008A77F0">
      <w:pPr>
        <w:tabs>
          <w:tab w:val="left" w:pos="567"/>
        </w:tabs>
        <w:rPr>
          <w:szCs w:val="24"/>
        </w:rPr>
      </w:pPr>
    </w:p>
    <w:p w14:paraId="24AD3D14" w14:textId="2DD6F2CA" w:rsidR="008A77F0" w:rsidRDefault="008A77F0" w:rsidP="008A77F0">
      <w:pPr>
        <w:tabs>
          <w:tab w:val="left" w:pos="567"/>
        </w:tabs>
      </w:pPr>
      <w:r w:rsidRPr="00E97E14">
        <w:t xml:space="preserve">Kiekvienoje tabletėje yra dapagliflozino </w:t>
      </w:r>
      <w:proofErr w:type="spellStart"/>
      <w:r w:rsidRPr="00E97E14">
        <w:t>propandiol</w:t>
      </w:r>
      <w:r w:rsidR="00644E43">
        <w:t>i</w:t>
      </w:r>
      <w:r w:rsidRPr="00E97E14">
        <w:t>o</w:t>
      </w:r>
      <w:proofErr w:type="spellEnd"/>
      <w:r w:rsidRPr="00E97E14">
        <w:t xml:space="preserve"> </w:t>
      </w:r>
      <w:proofErr w:type="spellStart"/>
      <w:r w:rsidRPr="00E97E14">
        <w:t>monohidrato</w:t>
      </w:r>
      <w:proofErr w:type="spellEnd"/>
      <w:r w:rsidRPr="00E97E14">
        <w:t xml:space="preserve"> kiekis, atitinkantis </w:t>
      </w:r>
      <w:r w:rsidR="004A56F6">
        <w:t>10</w:t>
      </w:r>
      <w:r>
        <w:t> mg</w:t>
      </w:r>
      <w:r w:rsidRPr="00E97E14">
        <w:t xml:space="preserve"> dapagliflozino.</w:t>
      </w:r>
    </w:p>
    <w:p w14:paraId="250CFCB6" w14:textId="77777777" w:rsidR="008A77F0" w:rsidRDefault="008A77F0" w:rsidP="008A77F0">
      <w:pPr>
        <w:tabs>
          <w:tab w:val="left" w:pos="567"/>
        </w:tabs>
        <w:rPr>
          <w:szCs w:val="24"/>
        </w:rPr>
      </w:pPr>
    </w:p>
    <w:p w14:paraId="7E47A0CA" w14:textId="77777777" w:rsidR="008A77F0" w:rsidRDefault="008A77F0" w:rsidP="008A77F0">
      <w:pPr>
        <w:tabs>
          <w:tab w:val="left" w:pos="567"/>
        </w:tabs>
        <w:rPr>
          <w:szCs w:val="24"/>
        </w:rPr>
      </w:pPr>
    </w:p>
    <w:p w14:paraId="1CF05AF3"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4BDDCF9A" w14:textId="77777777" w:rsidR="008A77F0" w:rsidRDefault="008A77F0" w:rsidP="008A77F0">
      <w:pPr>
        <w:tabs>
          <w:tab w:val="left" w:pos="567"/>
        </w:tabs>
        <w:rPr>
          <w:szCs w:val="24"/>
        </w:rPr>
      </w:pPr>
    </w:p>
    <w:p w14:paraId="1772310C" w14:textId="77777777" w:rsidR="008A77F0" w:rsidRDefault="008A77F0" w:rsidP="008A77F0">
      <w:pPr>
        <w:tabs>
          <w:tab w:val="left" w:pos="567"/>
        </w:tabs>
        <w:rPr>
          <w:szCs w:val="24"/>
        </w:rPr>
      </w:pPr>
      <w:r w:rsidRPr="00F101CA">
        <w:rPr>
          <w:szCs w:val="24"/>
        </w:rPr>
        <w:t xml:space="preserve">Sudėtyje yra laktozės </w:t>
      </w:r>
      <w:r w:rsidRPr="00DE1762">
        <w:rPr>
          <w:szCs w:val="24"/>
          <w:highlight w:val="darkGray"/>
        </w:rPr>
        <w:t>(</w:t>
      </w:r>
      <w:r w:rsidRPr="00DE1762">
        <w:rPr>
          <w:i/>
          <w:iCs/>
          <w:szCs w:val="24"/>
          <w:highlight w:val="darkGray"/>
        </w:rPr>
        <w:t>daugiau informacijos pateikiama pakuotės lapelyje</w:t>
      </w:r>
      <w:r w:rsidRPr="00DE1762">
        <w:rPr>
          <w:szCs w:val="24"/>
          <w:highlight w:val="darkGray"/>
        </w:rPr>
        <w:t>)</w:t>
      </w:r>
      <w:r w:rsidRPr="00F101CA">
        <w:rPr>
          <w:szCs w:val="24"/>
        </w:rPr>
        <w:t>.</w:t>
      </w:r>
    </w:p>
    <w:p w14:paraId="12D054A1" w14:textId="77777777" w:rsidR="008A77F0" w:rsidRDefault="008A77F0" w:rsidP="008A77F0">
      <w:pPr>
        <w:tabs>
          <w:tab w:val="left" w:pos="567"/>
        </w:tabs>
        <w:rPr>
          <w:szCs w:val="24"/>
        </w:rPr>
      </w:pPr>
    </w:p>
    <w:p w14:paraId="5D4B71F6" w14:textId="77777777" w:rsidR="008A77F0" w:rsidRDefault="008A77F0" w:rsidP="008A77F0">
      <w:pPr>
        <w:tabs>
          <w:tab w:val="left" w:pos="567"/>
        </w:tabs>
        <w:rPr>
          <w:szCs w:val="24"/>
        </w:rPr>
      </w:pPr>
    </w:p>
    <w:p w14:paraId="325FE387"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23A880DF" w14:textId="77777777" w:rsidR="008A77F0" w:rsidRDefault="008A77F0" w:rsidP="008A77F0">
      <w:pPr>
        <w:tabs>
          <w:tab w:val="left" w:pos="567"/>
        </w:tabs>
        <w:rPr>
          <w:szCs w:val="24"/>
        </w:rPr>
      </w:pPr>
    </w:p>
    <w:p w14:paraId="1264A1CA" w14:textId="77777777" w:rsidR="008A77F0" w:rsidRPr="00AA0340" w:rsidRDefault="008A77F0" w:rsidP="008A77F0">
      <w:pPr>
        <w:tabs>
          <w:tab w:val="left" w:pos="567"/>
        </w:tabs>
        <w:rPr>
          <w:highlight w:val="lightGray"/>
        </w:rPr>
      </w:pPr>
      <w:r>
        <w:rPr>
          <w:highlight w:val="lightGray"/>
        </w:rPr>
        <w:t>P</w:t>
      </w:r>
      <w:r w:rsidRPr="00AA0340">
        <w:rPr>
          <w:highlight w:val="lightGray"/>
        </w:rPr>
        <w:t>lėvele dengt</w:t>
      </w:r>
      <w:r>
        <w:rPr>
          <w:highlight w:val="lightGray"/>
        </w:rPr>
        <w:t>a</w:t>
      </w:r>
      <w:r w:rsidRPr="00AA0340">
        <w:rPr>
          <w:highlight w:val="lightGray"/>
        </w:rPr>
        <w:t xml:space="preserve"> tabletė</w:t>
      </w:r>
    </w:p>
    <w:p w14:paraId="399F6D64" w14:textId="77777777" w:rsidR="008A77F0" w:rsidRPr="00AA0340" w:rsidRDefault="008A77F0" w:rsidP="008A77F0">
      <w:pPr>
        <w:tabs>
          <w:tab w:val="left" w:pos="567"/>
        </w:tabs>
        <w:rPr>
          <w:highlight w:val="lightGray"/>
        </w:rPr>
      </w:pPr>
    </w:p>
    <w:p w14:paraId="34347935" w14:textId="77777777" w:rsidR="008A77F0" w:rsidRPr="00BE4AEF" w:rsidRDefault="008A77F0" w:rsidP="008A77F0">
      <w:pPr>
        <w:tabs>
          <w:tab w:val="left" w:pos="567"/>
        </w:tabs>
      </w:pPr>
      <w:r w:rsidRPr="00BE4AEF">
        <w:t>28 plėvele dengtos tabletės</w:t>
      </w:r>
    </w:p>
    <w:p w14:paraId="5C1AC4F6" w14:textId="77777777" w:rsidR="008A77F0" w:rsidRDefault="008A77F0" w:rsidP="008A77F0">
      <w:pPr>
        <w:tabs>
          <w:tab w:val="left" w:pos="567"/>
        </w:tabs>
        <w:rPr>
          <w:highlight w:val="lightGray"/>
        </w:rPr>
      </w:pPr>
      <w:r w:rsidRPr="00AA0340">
        <w:rPr>
          <w:highlight w:val="lightGray"/>
        </w:rPr>
        <w:t>30x1 plėvele dengtų tablečių</w:t>
      </w:r>
    </w:p>
    <w:p w14:paraId="0109BC50" w14:textId="6B7E7991" w:rsidR="009F2908" w:rsidRDefault="009F2908" w:rsidP="009F2908">
      <w:pPr>
        <w:tabs>
          <w:tab w:val="left" w:pos="567"/>
        </w:tabs>
        <w:rPr>
          <w:highlight w:val="lightGray"/>
        </w:rPr>
      </w:pPr>
      <w:r>
        <w:rPr>
          <w:highlight w:val="lightGray"/>
        </w:rPr>
        <w:t>6</w:t>
      </w:r>
      <w:r w:rsidRPr="00AA0340">
        <w:rPr>
          <w:highlight w:val="lightGray"/>
        </w:rPr>
        <w:t>0x1 plėvele dengtų tablečių</w:t>
      </w:r>
    </w:p>
    <w:p w14:paraId="0A0301FD" w14:textId="77777777" w:rsidR="008A77F0" w:rsidRPr="00AA0340" w:rsidRDefault="008A77F0" w:rsidP="008A77F0">
      <w:pPr>
        <w:tabs>
          <w:tab w:val="left" w:pos="567"/>
        </w:tabs>
        <w:rPr>
          <w:highlight w:val="lightGray"/>
        </w:rPr>
      </w:pPr>
      <w:r w:rsidRPr="00AA0340">
        <w:rPr>
          <w:highlight w:val="lightGray"/>
        </w:rPr>
        <w:t>90x1 plėvele dengtų tablečių</w:t>
      </w:r>
    </w:p>
    <w:p w14:paraId="306FFA9D" w14:textId="77777777" w:rsidR="008A77F0" w:rsidRPr="00AA0340" w:rsidRDefault="008A77F0" w:rsidP="008A77F0">
      <w:pPr>
        <w:tabs>
          <w:tab w:val="left" w:pos="567"/>
        </w:tabs>
        <w:rPr>
          <w:szCs w:val="24"/>
          <w:highlight w:val="lightGray"/>
        </w:rPr>
      </w:pPr>
      <w:r w:rsidRPr="00AA0340">
        <w:rPr>
          <w:highlight w:val="lightGray"/>
        </w:rPr>
        <w:t>98 plėvele dengtos tabletės</w:t>
      </w:r>
    </w:p>
    <w:p w14:paraId="52EE193F" w14:textId="77777777" w:rsidR="008A77F0" w:rsidRPr="00AA0340" w:rsidRDefault="008A77F0" w:rsidP="008A77F0">
      <w:pPr>
        <w:tabs>
          <w:tab w:val="left" w:pos="567"/>
        </w:tabs>
        <w:rPr>
          <w:szCs w:val="24"/>
          <w:highlight w:val="lightGray"/>
        </w:rPr>
      </w:pPr>
    </w:p>
    <w:p w14:paraId="134B7948" w14:textId="77777777" w:rsidR="008A77F0" w:rsidRDefault="008A77F0" w:rsidP="008A77F0">
      <w:pPr>
        <w:tabs>
          <w:tab w:val="left" w:pos="567"/>
        </w:tabs>
        <w:rPr>
          <w:szCs w:val="24"/>
        </w:rPr>
      </w:pPr>
    </w:p>
    <w:p w14:paraId="51786824"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134014A2" w14:textId="77777777" w:rsidR="008A77F0" w:rsidRDefault="008A77F0" w:rsidP="008A77F0">
      <w:pPr>
        <w:tabs>
          <w:tab w:val="left" w:pos="567"/>
        </w:tabs>
        <w:rPr>
          <w:szCs w:val="24"/>
        </w:rPr>
      </w:pPr>
    </w:p>
    <w:p w14:paraId="1C643F61" w14:textId="77777777" w:rsidR="008A77F0" w:rsidRPr="00DD6C8E" w:rsidRDefault="008A77F0" w:rsidP="008A77F0">
      <w:pPr>
        <w:tabs>
          <w:tab w:val="left" w:pos="567"/>
        </w:tabs>
        <w:rPr>
          <w:i/>
          <w:iCs/>
          <w:szCs w:val="24"/>
        </w:rPr>
      </w:pPr>
      <w:r w:rsidRPr="00DE1762">
        <w:rPr>
          <w:i/>
          <w:iCs/>
          <w:highlight w:val="darkGray"/>
        </w:rPr>
        <w:t>Vartoti per burną.</w:t>
      </w:r>
    </w:p>
    <w:p w14:paraId="4CE02C60" w14:textId="77777777" w:rsidR="008A77F0" w:rsidRDefault="008A77F0" w:rsidP="008A77F0">
      <w:pPr>
        <w:tabs>
          <w:tab w:val="left" w:pos="567"/>
        </w:tabs>
      </w:pPr>
      <w:r w:rsidRPr="00001B96">
        <w:t>Prieš vartojimą perskaitykite pakuotės lapelį.</w:t>
      </w:r>
    </w:p>
    <w:p w14:paraId="4F134B4C" w14:textId="77777777" w:rsidR="008A77F0" w:rsidRDefault="008A77F0" w:rsidP="008A77F0">
      <w:pPr>
        <w:tabs>
          <w:tab w:val="left" w:pos="567"/>
        </w:tabs>
        <w:rPr>
          <w:szCs w:val="24"/>
        </w:rPr>
      </w:pPr>
    </w:p>
    <w:p w14:paraId="323C7615" w14:textId="77777777" w:rsidR="008A77F0" w:rsidRDefault="008A77F0" w:rsidP="008A77F0">
      <w:pPr>
        <w:tabs>
          <w:tab w:val="left" w:pos="567"/>
        </w:tabs>
        <w:rPr>
          <w:szCs w:val="24"/>
        </w:rPr>
      </w:pPr>
    </w:p>
    <w:p w14:paraId="548AC471"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6A9F0175" w14:textId="77777777" w:rsidR="008A77F0" w:rsidRDefault="008A77F0" w:rsidP="008A77F0">
      <w:pPr>
        <w:tabs>
          <w:tab w:val="left" w:pos="567"/>
        </w:tabs>
        <w:rPr>
          <w:szCs w:val="24"/>
        </w:rPr>
      </w:pPr>
    </w:p>
    <w:p w14:paraId="7107E09C" w14:textId="77777777" w:rsidR="008A77F0" w:rsidRDefault="008A77F0" w:rsidP="008A77F0">
      <w:pPr>
        <w:tabs>
          <w:tab w:val="left" w:pos="567"/>
        </w:tabs>
        <w:rPr>
          <w:szCs w:val="24"/>
        </w:rPr>
      </w:pPr>
      <w:r>
        <w:rPr>
          <w:szCs w:val="24"/>
        </w:rPr>
        <w:t>Laikyti vaikams nepastebimoje ir nepasiekiamoje vietoje.</w:t>
      </w:r>
    </w:p>
    <w:p w14:paraId="5640AB38" w14:textId="77777777" w:rsidR="008A77F0" w:rsidRDefault="008A77F0" w:rsidP="008A77F0">
      <w:pPr>
        <w:tabs>
          <w:tab w:val="left" w:pos="567"/>
        </w:tabs>
        <w:rPr>
          <w:szCs w:val="24"/>
        </w:rPr>
      </w:pPr>
    </w:p>
    <w:p w14:paraId="09F56893" w14:textId="77777777" w:rsidR="008A77F0" w:rsidRDefault="008A77F0" w:rsidP="008A77F0">
      <w:pPr>
        <w:tabs>
          <w:tab w:val="left" w:pos="567"/>
        </w:tabs>
        <w:rPr>
          <w:szCs w:val="24"/>
        </w:rPr>
      </w:pPr>
    </w:p>
    <w:p w14:paraId="26B99217"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38264928" w14:textId="77777777" w:rsidR="008A77F0" w:rsidRDefault="008A77F0" w:rsidP="008A77F0">
      <w:pPr>
        <w:tabs>
          <w:tab w:val="left" w:pos="567"/>
        </w:tabs>
        <w:rPr>
          <w:szCs w:val="24"/>
        </w:rPr>
      </w:pPr>
    </w:p>
    <w:p w14:paraId="2FD16457" w14:textId="77777777" w:rsidR="008A77F0" w:rsidRDefault="008A77F0" w:rsidP="008A77F0">
      <w:pPr>
        <w:tabs>
          <w:tab w:val="left" w:pos="567"/>
        </w:tabs>
        <w:rPr>
          <w:szCs w:val="24"/>
        </w:rPr>
      </w:pPr>
    </w:p>
    <w:p w14:paraId="0F032B29"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079B774D" w14:textId="77777777" w:rsidR="008A77F0" w:rsidRDefault="008A77F0" w:rsidP="008A77F0">
      <w:pPr>
        <w:tabs>
          <w:tab w:val="left" w:pos="567"/>
        </w:tabs>
        <w:rPr>
          <w:szCs w:val="24"/>
        </w:rPr>
      </w:pPr>
    </w:p>
    <w:p w14:paraId="723C694F" w14:textId="4136AFC8" w:rsidR="008A77F0" w:rsidRPr="00F813BC" w:rsidRDefault="008A77F0" w:rsidP="008A77F0">
      <w:r w:rsidRPr="00F813BC">
        <w:t>EXP {mm/MMMM}</w:t>
      </w:r>
    </w:p>
    <w:p w14:paraId="12A0FF93" w14:textId="77777777" w:rsidR="008A77F0" w:rsidRDefault="008A77F0" w:rsidP="008A77F0">
      <w:pPr>
        <w:tabs>
          <w:tab w:val="left" w:pos="567"/>
        </w:tabs>
        <w:rPr>
          <w:szCs w:val="24"/>
        </w:rPr>
      </w:pPr>
    </w:p>
    <w:p w14:paraId="45797841" w14:textId="77777777" w:rsidR="008A77F0" w:rsidRDefault="008A77F0" w:rsidP="008A77F0">
      <w:pPr>
        <w:tabs>
          <w:tab w:val="left" w:pos="567"/>
        </w:tabs>
        <w:rPr>
          <w:szCs w:val="24"/>
        </w:rPr>
      </w:pPr>
    </w:p>
    <w:p w14:paraId="600724E3" w14:textId="77777777" w:rsidR="008A77F0" w:rsidRDefault="008A77F0" w:rsidP="008A77F0">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9.</w:t>
      </w:r>
      <w:r>
        <w:rPr>
          <w:b/>
          <w:szCs w:val="24"/>
        </w:rPr>
        <w:tab/>
        <w:t>SPECIALIOS LAIKYMO SĄLYGOS</w:t>
      </w:r>
    </w:p>
    <w:p w14:paraId="0D1EF90D" w14:textId="77777777" w:rsidR="008A77F0" w:rsidRDefault="008A77F0" w:rsidP="008A77F0">
      <w:pPr>
        <w:tabs>
          <w:tab w:val="left" w:pos="567"/>
        </w:tabs>
        <w:rPr>
          <w:szCs w:val="24"/>
        </w:rPr>
      </w:pPr>
    </w:p>
    <w:p w14:paraId="7845205E" w14:textId="77777777" w:rsidR="008A77F0" w:rsidRDefault="008A77F0" w:rsidP="008A77F0">
      <w:pPr>
        <w:tabs>
          <w:tab w:val="left" w:pos="567"/>
        </w:tabs>
        <w:rPr>
          <w:szCs w:val="24"/>
        </w:rPr>
      </w:pPr>
    </w:p>
    <w:p w14:paraId="0EF79C47"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4C331972" w14:textId="77777777" w:rsidR="008A77F0" w:rsidRDefault="008A77F0" w:rsidP="008A77F0">
      <w:pPr>
        <w:tabs>
          <w:tab w:val="left" w:pos="567"/>
        </w:tabs>
        <w:rPr>
          <w:szCs w:val="24"/>
        </w:rPr>
      </w:pPr>
    </w:p>
    <w:p w14:paraId="5F641975" w14:textId="77777777" w:rsidR="008A77F0" w:rsidRDefault="008A77F0" w:rsidP="008A77F0">
      <w:pPr>
        <w:tabs>
          <w:tab w:val="left" w:pos="567"/>
        </w:tabs>
        <w:rPr>
          <w:szCs w:val="24"/>
        </w:rPr>
      </w:pPr>
    </w:p>
    <w:p w14:paraId="1E317EB0"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11.</w:t>
      </w:r>
      <w:r>
        <w:rPr>
          <w:b/>
          <w:szCs w:val="24"/>
        </w:rPr>
        <w:tab/>
      </w:r>
      <w:r>
        <w:rPr>
          <w:b/>
          <w:caps/>
          <w:szCs w:val="24"/>
        </w:rPr>
        <w:t>REGISTRUOTOJO PAVADINIMAS IR ADRESAS</w:t>
      </w:r>
    </w:p>
    <w:p w14:paraId="6BD5EFF7" w14:textId="77777777" w:rsidR="008A77F0" w:rsidRDefault="008A77F0" w:rsidP="008A77F0">
      <w:pPr>
        <w:tabs>
          <w:tab w:val="left" w:pos="567"/>
        </w:tabs>
        <w:rPr>
          <w:szCs w:val="24"/>
        </w:rPr>
      </w:pPr>
    </w:p>
    <w:p w14:paraId="0963C242" w14:textId="2A2CEF99" w:rsidR="008A77F0" w:rsidRDefault="008A77F0" w:rsidP="008A77F0">
      <w:pPr>
        <w:tabs>
          <w:tab w:val="left" w:pos="567"/>
        </w:tabs>
      </w:pPr>
      <w:r>
        <w:t>Olpha AS</w:t>
      </w:r>
      <w:r w:rsidR="008A1F8C">
        <w:t>,</w:t>
      </w:r>
    </w:p>
    <w:p w14:paraId="53200444" w14:textId="18F08D9C" w:rsidR="008A77F0" w:rsidRDefault="008A77F0" w:rsidP="008A77F0">
      <w:pPr>
        <w:tabs>
          <w:tab w:val="left" w:pos="567"/>
        </w:tabs>
      </w:pPr>
      <w:proofErr w:type="spellStart"/>
      <w:r>
        <w:t>R</w:t>
      </w:r>
      <w:r w:rsidR="006C0DF4">
        <w:t>ū</w:t>
      </w:r>
      <w:r>
        <w:t>pn</w:t>
      </w:r>
      <w:r w:rsidR="006C0DF4">
        <w:t>ī</w:t>
      </w:r>
      <w:r>
        <w:t>cu</w:t>
      </w:r>
      <w:proofErr w:type="spellEnd"/>
      <w:r>
        <w:t xml:space="preserve"> </w:t>
      </w:r>
      <w:proofErr w:type="spellStart"/>
      <w:r>
        <w:t>iela</w:t>
      </w:r>
      <w:proofErr w:type="spellEnd"/>
      <w:r>
        <w:t xml:space="preserve"> 5</w:t>
      </w:r>
      <w:r w:rsidR="008A1F8C">
        <w:t>,</w:t>
      </w:r>
    </w:p>
    <w:p w14:paraId="0E507794" w14:textId="5F756905" w:rsidR="008A77F0" w:rsidRDefault="008A77F0" w:rsidP="008A77F0">
      <w:pPr>
        <w:tabs>
          <w:tab w:val="left" w:pos="567"/>
        </w:tab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r w:rsidR="008A1F8C">
        <w:t>,</w:t>
      </w:r>
    </w:p>
    <w:p w14:paraId="40081832" w14:textId="77777777" w:rsidR="008A77F0" w:rsidRDefault="008A77F0" w:rsidP="008A77F0">
      <w:pPr>
        <w:tabs>
          <w:tab w:val="left" w:pos="567"/>
        </w:tabs>
        <w:rPr>
          <w:szCs w:val="24"/>
        </w:rPr>
      </w:pPr>
      <w:r>
        <w:t>Latvija</w:t>
      </w:r>
    </w:p>
    <w:p w14:paraId="11950F2F" w14:textId="77777777" w:rsidR="008A77F0" w:rsidRDefault="008A77F0" w:rsidP="008A77F0">
      <w:pPr>
        <w:tabs>
          <w:tab w:val="left" w:pos="567"/>
        </w:tabs>
        <w:rPr>
          <w:szCs w:val="24"/>
        </w:rPr>
      </w:pPr>
    </w:p>
    <w:p w14:paraId="1E742976" w14:textId="77777777" w:rsidR="008A77F0" w:rsidRDefault="008A77F0" w:rsidP="008A77F0">
      <w:pPr>
        <w:tabs>
          <w:tab w:val="left" w:pos="567"/>
        </w:tabs>
        <w:rPr>
          <w:szCs w:val="24"/>
        </w:rPr>
      </w:pPr>
      <w:r w:rsidRPr="00115DE8">
        <w:rPr>
          <w:szCs w:val="24"/>
          <w:highlight w:val="lightGray"/>
        </w:rPr>
        <w:t>[logotipas]</w:t>
      </w:r>
    </w:p>
    <w:p w14:paraId="69674DDC" w14:textId="77777777" w:rsidR="008A77F0" w:rsidRDefault="008A77F0" w:rsidP="008A77F0">
      <w:pPr>
        <w:tabs>
          <w:tab w:val="left" w:pos="567"/>
        </w:tabs>
        <w:rPr>
          <w:szCs w:val="24"/>
        </w:rPr>
      </w:pPr>
    </w:p>
    <w:p w14:paraId="3B22E164" w14:textId="77777777" w:rsidR="008A77F0" w:rsidRDefault="008A77F0" w:rsidP="008A77F0">
      <w:pPr>
        <w:tabs>
          <w:tab w:val="left" w:pos="567"/>
        </w:tabs>
        <w:rPr>
          <w:szCs w:val="24"/>
        </w:rPr>
      </w:pPr>
    </w:p>
    <w:p w14:paraId="442D8575"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12.</w:t>
      </w:r>
      <w:r>
        <w:rPr>
          <w:b/>
          <w:szCs w:val="24"/>
        </w:rPr>
        <w:tab/>
        <w:t xml:space="preserve">REGISTRACIJOS PAŽYMĖJIMO NUMERIS (-IAI) </w:t>
      </w:r>
    </w:p>
    <w:p w14:paraId="2165A1F6" w14:textId="77777777" w:rsidR="008A77F0" w:rsidRDefault="008A77F0" w:rsidP="008A77F0">
      <w:pPr>
        <w:tabs>
          <w:tab w:val="left" w:pos="567"/>
        </w:tabs>
        <w:rPr>
          <w:szCs w:val="24"/>
        </w:rPr>
      </w:pPr>
    </w:p>
    <w:p w14:paraId="2A6F34C4" w14:textId="77777777" w:rsidR="00FF4E73" w:rsidRPr="00FF4E73" w:rsidRDefault="00FF4E73" w:rsidP="00FF4E73">
      <w:pPr>
        <w:tabs>
          <w:tab w:val="left" w:pos="567"/>
        </w:tabs>
        <w:rPr>
          <w:szCs w:val="24"/>
          <w:highlight w:val="lightGray"/>
        </w:rPr>
      </w:pPr>
      <w:r w:rsidRPr="00FF4E73">
        <w:rPr>
          <w:szCs w:val="24"/>
        </w:rPr>
        <w:t xml:space="preserve">LT/1/26/6040/001 </w:t>
      </w:r>
      <w:r w:rsidRPr="00FF4E73">
        <w:rPr>
          <w:szCs w:val="24"/>
          <w:highlight w:val="lightGray"/>
        </w:rPr>
        <w:t>– N28</w:t>
      </w:r>
    </w:p>
    <w:p w14:paraId="16878C84" w14:textId="77777777" w:rsidR="00FF4E73" w:rsidRPr="00FF4E73" w:rsidRDefault="00FF4E73" w:rsidP="00FF4E73">
      <w:pPr>
        <w:tabs>
          <w:tab w:val="left" w:pos="567"/>
        </w:tabs>
        <w:rPr>
          <w:szCs w:val="24"/>
          <w:highlight w:val="lightGray"/>
        </w:rPr>
      </w:pPr>
      <w:r w:rsidRPr="00FF4E73">
        <w:rPr>
          <w:szCs w:val="24"/>
          <w:highlight w:val="lightGray"/>
        </w:rPr>
        <w:t>LT/1/26/6040/003 – N30x1</w:t>
      </w:r>
    </w:p>
    <w:p w14:paraId="6926545B" w14:textId="77777777" w:rsidR="00FF4E73" w:rsidRPr="00FF4E73" w:rsidRDefault="00FF4E73" w:rsidP="00FF4E73">
      <w:pPr>
        <w:tabs>
          <w:tab w:val="left" w:pos="567"/>
        </w:tabs>
        <w:rPr>
          <w:szCs w:val="24"/>
          <w:highlight w:val="lightGray"/>
        </w:rPr>
      </w:pPr>
      <w:r w:rsidRPr="00FF4E73">
        <w:rPr>
          <w:szCs w:val="24"/>
          <w:highlight w:val="lightGray"/>
        </w:rPr>
        <w:t>LT/1/26/6040/004 – N60x1</w:t>
      </w:r>
    </w:p>
    <w:p w14:paraId="7E7F0DEF" w14:textId="77777777" w:rsidR="00FF4E73" w:rsidRPr="00FF4E73" w:rsidRDefault="00FF4E73" w:rsidP="00FF4E73">
      <w:pPr>
        <w:tabs>
          <w:tab w:val="left" w:pos="567"/>
        </w:tabs>
        <w:rPr>
          <w:szCs w:val="24"/>
          <w:highlight w:val="lightGray"/>
        </w:rPr>
      </w:pPr>
      <w:r w:rsidRPr="00FF4E73">
        <w:rPr>
          <w:szCs w:val="24"/>
          <w:highlight w:val="lightGray"/>
        </w:rPr>
        <w:t>LT/1/26/6040/005 – N90x1</w:t>
      </w:r>
    </w:p>
    <w:p w14:paraId="07480777" w14:textId="77777777" w:rsidR="00FF4E73" w:rsidRPr="00FF4E73" w:rsidRDefault="00FF4E73" w:rsidP="00FF4E73">
      <w:pPr>
        <w:tabs>
          <w:tab w:val="left" w:pos="567"/>
        </w:tabs>
        <w:rPr>
          <w:szCs w:val="24"/>
        </w:rPr>
      </w:pPr>
      <w:r w:rsidRPr="00FF4E73">
        <w:rPr>
          <w:szCs w:val="24"/>
          <w:highlight w:val="lightGray"/>
        </w:rPr>
        <w:t>LT/1/26/6040/002 – N98</w:t>
      </w:r>
    </w:p>
    <w:p w14:paraId="6021F20A" w14:textId="77777777" w:rsidR="00FF4E73" w:rsidRDefault="00FF4E73" w:rsidP="00FF4E73">
      <w:pPr>
        <w:tabs>
          <w:tab w:val="left" w:pos="567"/>
        </w:tabs>
        <w:rPr>
          <w:szCs w:val="24"/>
        </w:rPr>
      </w:pPr>
    </w:p>
    <w:p w14:paraId="530326A5" w14:textId="77777777" w:rsidR="008A77F0" w:rsidRDefault="008A77F0" w:rsidP="008A77F0">
      <w:pPr>
        <w:tabs>
          <w:tab w:val="left" w:pos="567"/>
        </w:tabs>
        <w:rPr>
          <w:szCs w:val="24"/>
        </w:rPr>
      </w:pPr>
    </w:p>
    <w:p w14:paraId="3AEE5E56"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13.</w:t>
      </w:r>
      <w:r>
        <w:rPr>
          <w:b/>
          <w:szCs w:val="24"/>
        </w:rPr>
        <w:tab/>
        <w:t xml:space="preserve">SERIJOS NUMERIS </w:t>
      </w:r>
    </w:p>
    <w:p w14:paraId="65A5CD46" w14:textId="77777777" w:rsidR="008A77F0" w:rsidRDefault="008A77F0" w:rsidP="008A77F0">
      <w:pPr>
        <w:tabs>
          <w:tab w:val="left" w:pos="567"/>
        </w:tabs>
      </w:pPr>
    </w:p>
    <w:p w14:paraId="24C0F3F0" w14:textId="77777777" w:rsidR="008A77F0" w:rsidRDefault="008A77F0" w:rsidP="008A77F0">
      <w:pPr>
        <w:tabs>
          <w:tab w:val="left" w:pos="567"/>
        </w:tabs>
      </w:pPr>
      <w:r>
        <w:t>Lot</w:t>
      </w:r>
    </w:p>
    <w:p w14:paraId="195AFB2F" w14:textId="77777777" w:rsidR="008A77F0" w:rsidRDefault="008A77F0" w:rsidP="008A77F0">
      <w:pPr>
        <w:tabs>
          <w:tab w:val="left" w:pos="567"/>
        </w:tabs>
        <w:rPr>
          <w:szCs w:val="24"/>
        </w:rPr>
      </w:pPr>
    </w:p>
    <w:p w14:paraId="5262E801" w14:textId="77777777" w:rsidR="008A77F0" w:rsidRDefault="008A77F0" w:rsidP="008A77F0">
      <w:pPr>
        <w:tabs>
          <w:tab w:val="left" w:pos="567"/>
        </w:tabs>
        <w:rPr>
          <w:szCs w:val="24"/>
        </w:rPr>
      </w:pPr>
    </w:p>
    <w:p w14:paraId="376B5577"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14.</w:t>
      </w:r>
      <w:r>
        <w:rPr>
          <w:b/>
          <w:szCs w:val="24"/>
        </w:rPr>
        <w:tab/>
        <w:t>PARDAVIMO (IŠDAVIMO) TVARKA</w:t>
      </w:r>
    </w:p>
    <w:p w14:paraId="2BBA8DAC" w14:textId="77777777" w:rsidR="008A77F0" w:rsidRDefault="008A77F0" w:rsidP="008A77F0">
      <w:pPr>
        <w:tabs>
          <w:tab w:val="left" w:pos="567"/>
        </w:tabs>
        <w:rPr>
          <w:szCs w:val="24"/>
        </w:rPr>
      </w:pPr>
    </w:p>
    <w:p w14:paraId="2ED9D85A" w14:textId="77777777" w:rsidR="008A77F0" w:rsidRDefault="008A77F0" w:rsidP="008A77F0">
      <w:pPr>
        <w:tabs>
          <w:tab w:val="left" w:pos="567"/>
        </w:tabs>
        <w:rPr>
          <w:szCs w:val="24"/>
        </w:rPr>
      </w:pPr>
      <w:r>
        <w:t>Receptinis vaistas.</w:t>
      </w:r>
    </w:p>
    <w:p w14:paraId="764DB881" w14:textId="77777777" w:rsidR="008A77F0" w:rsidRDefault="008A77F0" w:rsidP="008A77F0">
      <w:pPr>
        <w:tabs>
          <w:tab w:val="left" w:pos="567"/>
        </w:tabs>
        <w:rPr>
          <w:szCs w:val="24"/>
        </w:rPr>
      </w:pPr>
    </w:p>
    <w:p w14:paraId="1EAC1577" w14:textId="77777777" w:rsidR="008A77F0" w:rsidRDefault="008A77F0" w:rsidP="008A77F0">
      <w:pPr>
        <w:tabs>
          <w:tab w:val="left" w:pos="567"/>
        </w:tabs>
        <w:rPr>
          <w:szCs w:val="24"/>
        </w:rPr>
      </w:pPr>
    </w:p>
    <w:p w14:paraId="4AC03F96" w14:textId="77777777" w:rsidR="008A77F0" w:rsidRDefault="008A77F0" w:rsidP="008A77F0">
      <w:pPr>
        <w:pBdr>
          <w:top w:val="single" w:sz="4" w:space="2" w:color="auto"/>
          <w:left w:val="single" w:sz="4" w:space="4" w:color="auto"/>
          <w:bottom w:val="single" w:sz="4" w:space="1" w:color="auto"/>
          <w:right w:val="single" w:sz="4" w:space="4" w:color="auto"/>
        </w:pBdr>
        <w:tabs>
          <w:tab w:val="left" w:pos="567"/>
        </w:tabs>
        <w:ind w:left="567" w:hanging="567"/>
        <w:rPr>
          <w:szCs w:val="24"/>
        </w:rPr>
      </w:pPr>
      <w:r>
        <w:rPr>
          <w:b/>
          <w:szCs w:val="24"/>
        </w:rPr>
        <w:t>15.</w:t>
      </w:r>
      <w:r>
        <w:rPr>
          <w:b/>
          <w:szCs w:val="24"/>
        </w:rPr>
        <w:tab/>
        <w:t>VARTOJIMO INSTRUKCIJA</w:t>
      </w:r>
    </w:p>
    <w:p w14:paraId="4C5430AA" w14:textId="77777777" w:rsidR="008A77F0" w:rsidRDefault="008A77F0" w:rsidP="008A77F0">
      <w:pPr>
        <w:tabs>
          <w:tab w:val="left" w:pos="567"/>
        </w:tabs>
        <w:rPr>
          <w:szCs w:val="24"/>
        </w:rPr>
      </w:pPr>
    </w:p>
    <w:p w14:paraId="54DBB50F" w14:textId="77777777" w:rsidR="008A77F0" w:rsidRDefault="008A77F0" w:rsidP="008A77F0">
      <w:pPr>
        <w:tabs>
          <w:tab w:val="left" w:pos="567"/>
        </w:tabs>
        <w:rPr>
          <w:szCs w:val="24"/>
        </w:rPr>
      </w:pPr>
    </w:p>
    <w:p w14:paraId="0BBDEF59" w14:textId="77777777" w:rsidR="008A77F0" w:rsidRDefault="008A77F0" w:rsidP="008A77F0">
      <w:pPr>
        <w:pBdr>
          <w:top w:val="single" w:sz="4" w:space="1" w:color="auto"/>
          <w:left w:val="single" w:sz="4" w:space="4" w:color="auto"/>
          <w:bottom w:val="single" w:sz="4" w:space="0" w:color="auto"/>
          <w:right w:val="single" w:sz="4" w:space="4" w:color="auto"/>
        </w:pBdr>
        <w:tabs>
          <w:tab w:val="left" w:pos="567"/>
        </w:tabs>
        <w:ind w:left="567" w:hanging="567"/>
        <w:rPr>
          <w:color w:val="008000"/>
          <w:szCs w:val="24"/>
        </w:rPr>
      </w:pPr>
      <w:r>
        <w:rPr>
          <w:b/>
          <w:szCs w:val="24"/>
        </w:rPr>
        <w:t>16.</w:t>
      </w:r>
      <w:r>
        <w:rPr>
          <w:b/>
          <w:szCs w:val="24"/>
        </w:rPr>
        <w:tab/>
        <w:t>INFORMACIJA BRAILIO RAŠTU</w:t>
      </w:r>
    </w:p>
    <w:p w14:paraId="1093D638" w14:textId="77777777" w:rsidR="008A77F0" w:rsidRPr="004B2827" w:rsidRDefault="008A77F0" w:rsidP="008A77F0">
      <w:pPr>
        <w:tabs>
          <w:tab w:val="left" w:pos="567"/>
        </w:tabs>
      </w:pPr>
    </w:p>
    <w:p w14:paraId="128DCE41" w14:textId="389BAE49" w:rsidR="008A77F0" w:rsidRDefault="008A77F0" w:rsidP="008A77F0">
      <w:pPr>
        <w:tabs>
          <w:tab w:val="left" w:pos="567"/>
        </w:tabs>
      </w:pPr>
      <w:proofErr w:type="spellStart"/>
      <w:r>
        <w:t>dapagliflozin</w:t>
      </w:r>
      <w:proofErr w:type="spellEnd"/>
      <w:r>
        <w:t xml:space="preserve"> </w:t>
      </w:r>
      <w:proofErr w:type="spellStart"/>
      <w:r>
        <w:t>olpha</w:t>
      </w:r>
      <w:proofErr w:type="spellEnd"/>
      <w:r>
        <w:t xml:space="preserve"> </w:t>
      </w:r>
      <w:r w:rsidR="009F2908">
        <w:t>10</w:t>
      </w:r>
      <w:r>
        <w:t> mg</w:t>
      </w:r>
    </w:p>
    <w:p w14:paraId="652E5805" w14:textId="77777777" w:rsidR="008A77F0" w:rsidRPr="004B2827" w:rsidRDefault="008A77F0" w:rsidP="008A77F0">
      <w:pPr>
        <w:tabs>
          <w:tab w:val="left" w:pos="567"/>
        </w:tabs>
      </w:pPr>
    </w:p>
    <w:p w14:paraId="3DF3B1CD" w14:textId="77777777" w:rsidR="008A77F0" w:rsidRPr="004B2827" w:rsidRDefault="008A77F0" w:rsidP="008A77F0">
      <w:pPr>
        <w:tabs>
          <w:tab w:val="left" w:pos="567"/>
        </w:tabs>
      </w:pPr>
    </w:p>
    <w:p w14:paraId="48F8D439" w14:textId="77777777" w:rsidR="008A77F0" w:rsidRPr="00CC752D" w:rsidRDefault="008A77F0" w:rsidP="008A77F0">
      <w:pPr>
        <w:keepNext/>
        <w:pBdr>
          <w:top w:val="single" w:sz="4" w:space="1" w:color="auto"/>
          <w:left w:val="single" w:sz="4" w:space="4" w:color="auto"/>
          <w:bottom w:val="single" w:sz="4" w:space="1" w:color="auto"/>
          <w:right w:val="single" w:sz="4" w:space="4" w:color="auto"/>
        </w:pBdr>
        <w:tabs>
          <w:tab w:val="left" w:pos="567"/>
        </w:tabs>
        <w:ind w:left="567" w:hanging="567"/>
        <w:rPr>
          <w:i/>
          <w:szCs w:val="24"/>
        </w:rPr>
      </w:pPr>
      <w:r w:rsidRPr="00CC752D">
        <w:rPr>
          <w:b/>
        </w:rPr>
        <w:t>17.</w:t>
      </w:r>
      <w:r w:rsidRPr="00CC752D">
        <w:rPr>
          <w:b/>
        </w:rPr>
        <w:tab/>
        <w:t>UNIKALUS IDENTIFIKATORIUS – 2D BRŪKŠNINIS KODAS</w:t>
      </w:r>
    </w:p>
    <w:p w14:paraId="0CF264E1" w14:textId="77777777" w:rsidR="008A77F0" w:rsidRPr="00CC752D" w:rsidRDefault="008A77F0" w:rsidP="008A77F0">
      <w:pPr>
        <w:tabs>
          <w:tab w:val="left" w:pos="567"/>
        </w:tabs>
      </w:pPr>
    </w:p>
    <w:p w14:paraId="4A14BADE" w14:textId="77777777" w:rsidR="008A77F0" w:rsidRPr="00CC752D" w:rsidRDefault="008A77F0" w:rsidP="008A77F0">
      <w:pPr>
        <w:tabs>
          <w:tab w:val="left" w:pos="567"/>
        </w:tabs>
        <w:rPr>
          <w:shd w:val="clear" w:color="auto" w:fill="CCCCCC"/>
        </w:rPr>
      </w:pPr>
      <w:r w:rsidRPr="00CC752D">
        <w:rPr>
          <w:highlight w:val="lightGray"/>
        </w:rPr>
        <w:t>2D brūkšninis kodas su nurodytu unikaliu identifikatoriumi.</w:t>
      </w:r>
    </w:p>
    <w:p w14:paraId="1851BA28" w14:textId="77777777" w:rsidR="008A77F0" w:rsidRPr="00CC752D" w:rsidRDefault="008A77F0" w:rsidP="008A77F0">
      <w:pPr>
        <w:tabs>
          <w:tab w:val="left" w:pos="567"/>
        </w:tabs>
      </w:pPr>
    </w:p>
    <w:p w14:paraId="125F4C67" w14:textId="77777777" w:rsidR="008A77F0" w:rsidRPr="00CC752D" w:rsidRDefault="008A77F0" w:rsidP="008A77F0">
      <w:pPr>
        <w:tabs>
          <w:tab w:val="left" w:pos="567"/>
        </w:tabs>
      </w:pPr>
    </w:p>
    <w:p w14:paraId="6D02C3E9" w14:textId="77777777" w:rsidR="008A77F0" w:rsidRPr="00CC752D" w:rsidRDefault="008A77F0" w:rsidP="008A77F0">
      <w:pPr>
        <w:keepNext/>
        <w:pBdr>
          <w:top w:val="single" w:sz="4" w:space="1" w:color="auto"/>
          <w:left w:val="single" w:sz="4" w:space="4" w:color="auto"/>
          <w:bottom w:val="single" w:sz="4" w:space="1" w:color="auto"/>
          <w:right w:val="single" w:sz="4" w:space="4" w:color="auto"/>
        </w:pBdr>
        <w:tabs>
          <w:tab w:val="left" w:pos="567"/>
        </w:tabs>
        <w:ind w:left="567" w:hanging="567"/>
        <w:rPr>
          <w:i/>
        </w:rPr>
      </w:pPr>
      <w:r w:rsidRPr="00CC752D">
        <w:rPr>
          <w:b/>
        </w:rPr>
        <w:t>18.</w:t>
      </w:r>
      <w:r w:rsidRPr="00CC752D">
        <w:rPr>
          <w:b/>
        </w:rPr>
        <w:tab/>
        <w:t>UNIKALUS IDENTIFIKATORIUS – ŽMONĖMS SUPRANTAMI DUOMENYS</w:t>
      </w:r>
    </w:p>
    <w:p w14:paraId="1E22C033" w14:textId="77777777" w:rsidR="008A77F0" w:rsidRPr="00CC752D" w:rsidRDefault="008A77F0" w:rsidP="008A77F0">
      <w:pPr>
        <w:tabs>
          <w:tab w:val="left" w:pos="567"/>
        </w:tabs>
      </w:pPr>
    </w:p>
    <w:p w14:paraId="3634366D" w14:textId="54B76ACC" w:rsidR="008A77F0" w:rsidRPr="00805DAF" w:rsidRDefault="008A77F0" w:rsidP="008A77F0">
      <w:pPr>
        <w:tabs>
          <w:tab w:val="left" w:pos="567"/>
        </w:tabs>
        <w:rPr>
          <w:color w:val="008000"/>
        </w:rPr>
      </w:pPr>
      <w:r w:rsidRPr="00805DAF">
        <w:t>PC</w:t>
      </w:r>
      <w:r w:rsidR="001E1B81">
        <w:t>:</w:t>
      </w:r>
      <w:r w:rsidRPr="00805DAF">
        <w:t xml:space="preserve"> {numeris}</w:t>
      </w:r>
    </w:p>
    <w:p w14:paraId="0C18BB88" w14:textId="36803393" w:rsidR="008A77F0" w:rsidRPr="00805DAF" w:rsidRDefault="008A77F0" w:rsidP="008A77F0">
      <w:pPr>
        <w:tabs>
          <w:tab w:val="left" w:pos="567"/>
        </w:tabs>
      </w:pPr>
      <w:r w:rsidRPr="00805DAF">
        <w:t>SN</w:t>
      </w:r>
      <w:r w:rsidR="001E1B81">
        <w:t>:</w:t>
      </w:r>
      <w:r w:rsidRPr="00805DAF">
        <w:t xml:space="preserve"> {numeris} </w:t>
      </w:r>
    </w:p>
    <w:p w14:paraId="27CCADF2" w14:textId="6B4672B9" w:rsidR="008A77F0" w:rsidRPr="00805DAF" w:rsidRDefault="008A77F0" w:rsidP="008A77F0">
      <w:pPr>
        <w:tabs>
          <w:tab w:val="left" w:pos="567"/>
        </w:tabs>
      </w:pPr>
      <w:r w:rsidRPr="00805DAF">
        <w:rPr>
          <w:highlight w:val="lightGray"/>
        </w:rPr>
        <w:t>NN</w:t>
      </w:r>
      <w:r w:rsidR="001E1B81">
        <w:rPr>
          <w:highlight w:val="lightGray"/>
        </w:rPr>
        <w:t>:</w:t>
      </w:r>
      <w:r w:rsidRPr="00805DAF">
        <w:rPr>
          <w:highlight w:val="lightGray"/>
        </w:rPr>
        <w:t xml:space="preserve"> {numeris}</w:t>
      </w:r>
      <w:r w:rsidRPr="00805DAF">
        <w:t xml:space="preserve"> </w:t>
      </w:r>
    </w:p>
    <w:p w14:paraId="7239DE53" w14:textId="77777777" w:rsidR="008A77F0" w:rsidRPr="00805DAF" w:rsidRDefault="008A77F0" w:rsidP="008A77F0">
      <w:r w:rsidRPr="00805DAF">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7F0" w:rsidRPr="002C040A" w14:paraId="342FEE2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11305F2" w14:textId="77777777" w:rsidR="008A77F0" w:rsidRPr="002C040A" w:rsidRDefault="008A77F0">
            <w:pPr>
              <w:rPr>
                <w:b/>
              </w:rPr>
            </w:pPr>
            <w:r w:rsidRPr="002C040A">
              <w:rPr>
                <w:b/>
              </w:rPr>
              <w:lastRenderedPageBreak/>
              <w:t xml:space="preserve">MINIMALI </w:t>
            </w:r>
            <w:r w:rsidRPr="002C040A">
              <w:rPr>
                <w:b/>
                <w:caps/>
              </w:rPr>
              <w:t xml:space="preserve">informacija ant </w:t>
            </w:r>
            <w:r w:rsidRPr="002C040A">
              <w:rPr>
                <w:b/>
              </w:rPr>
              <w:t>LIZDINIŲ PLOKŠTELIŲ ARBA DVISLUOKSNIŲ JUOSTELIŲ</w:t>
            </w:r>
          </w:p>
          <w:p w14:paraId="41D7EF0E" w14:textId="77777777" w:rsidR="008A77F0" w:rsidRPr="002C040A" w:rsidRDefault="008A77F0">
            <w:pPr>
              <w:rPr>
                <w:b/>
              </w:rPr>
            </w:pPr>
          </w:p>
          <w:p w14:paraId="26CF424C" w14:textId="364ACC5E" w:rsidR="008A77F0" w:rsidRDefault="008A77F0">
            <w:pPr>
              <w:rPr>
                <w:b/>
              </w:rPr>
            </w:pPr>
            <w:r>
              <w:rPr>
                <w:b/>
              </w:rPr>
              <w:t>LIZDINĖ PLOKŠTELĖ</w:t>
            </w:r>
            <w:r w:rsidRPr="0052725C">
              <w:rPr>
                <w:b/>
              </w:rPr>
              <w:t xml:space="preserve"> –</w:t>
            </w:r>
            <w:r w:rsidR="00D477CB">
              <w:rPr>
                <w:b/>
              </w:rPr>
              <w:t xml:space="preserve"> </w:t>
            </w:r>
            <w:r w:rsidRPr="0052725C">
              <w:rPr>
                <w:b/>
              </w:rPr>
              <w:t>visas</w:t>
            </w:r>
            <w:r>
              <w:rPr>
                <w:b/>
              </w:rPr>
              <w:t>/</w:t>
            </w:r>
            <w:r w:rsidRPr="00DE1762">
              <w:rPr>
                <w:b/>
                <w:i/>
                <w:iCs/>
                <w:highlight w:val="darkGray"/>
              </w:rPr>
              <w:t>sutrumpintas</w:t>
            </w:r>
            <w:r w:rsidRPr="0052725C">
              <w:rPr>
                <w:b/>
              </w:rPr>
              <w:t xml:space="preserve"> </w:t>
            </w:r>
            <w:r w:rsidR="00644E43">
              <w:rPr>
                <w:b/>
              </w:rPr>
              <w:t xml:space="preserve">ES </w:t>
            </w:r>
            <w:r w:rsidRPr="0052725C">
              <w:rPr>
                <w:b/>
              </w:rPr>
              <w:t>harmonizuotas ženklinimo tekstas</w:t>
            </w:r>
          </w:p>
          <w:p w14:paraId="13BC26FA" w14:textId="37B9BCD1" w:rsidR="00644E43" w:rsidRPr="002C040A" w:rsidRDefault="00644E43" w:rsidP="00644E43">
            <w:pPr>
              <w:rPr>
                <w:b/>
              </w:rPr>
            </w:pPr>
            <w:r w:rsidRPr="00644E43">
              <w:rPr>
                <w:b/>
              </w:rPr>
              <w:t>(1 grupė (EE/LT/LV), 2 grupė (CZ/SK))</w:t>
            </w:r>
          </w:p>
        </w:tc>
      </w:tr>
    </w:tbl>
    <w:p w14:paraId="2DD13EBE" w14:textId="77777777" w:rsidR="008A77F0" w:rsidRPr="002C040A" w:rsidRDefault="008A77F0" w:rsidP="008A77F0">
      <w:pPr>
        <w:rPr>
          <w:b/>
        </w:rPr>
      </w:pPr>
    </w:p>
    <w:p w14:paraId="4F60C54E" w14:textId="77777777" w:rsidR="008A77F0" w:rsidRPr="002C040A" w:rsidRDefault="008A77F0" w:rsidP="008A77F0">
      <w:pPr>
        <w:rPr>
          <w:lang w:eastAsia="lt-LT"/>
        </w:rPr>
      </w:pPr>
    </w:p>
    <w:p w14:paraId="4E7E29B6" w14:textId="77777777" w:rsidR="008A77F0" w:rsidRPr="002C040A" w:rsidRDefault="008A77F0" w:rsidP="008A77F0">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1.</w:t>
      </w:r>
      <w:r w:rsidRPr="002C040A">
        <w:rPr>
          <w:b/>
          <w:lang w:eastAsia="lt-LT"/>
        </w:rPr>
        <w:tab/>
        <w:t>VAISTINIO PREPARATO PAVADINIMAS</w:t>
      </w:r>
    </w:p>
    <w:p w14:paraId="591305EE" w14:textId="77777777" w:rsidR="008A77F0" w:rsidRPr="002C040A" w:rsidRDefault="008A77F0" w:rsidP="008A77F0">
      <w:pPr>
        <w:rPr>
          <w:lang w:eastAsia="lt-LT"/>
        </w:rPr>
      </w:pPr>
    </w:p>
    <w:p w14:paraId="49D75AFF" w14:textId="443A5868" w:rsidR="008A77F0" w:rsidRDefault="008A77F0" w:rsidP="008A77F0">
      <w:pPr>
        <w:tabs>
          <w:tab w:val="left" w:pos="567"/>
        </w:tabs>
      </w:pPr>
      <w:proofErr w:type="spellStart"/>
      <w:r>
        <w:t>Dapagliflozin</w:t>
      </w:r>
      <w:proofErr w:type="spellEnd"/>
      <w:r>
        <w:t xml:space="preserve"> Olpha</w:t>
      </w:r>
      <w:r w:rsidRPr="00042293">
        <w:t xml:space="preserve"> </w:t>
      </w:r>
      <w:r w:rsidR="009E6634">
        <w:t>10</w:t>
      </w:r>
      <w:r>
        <w:t> mg</w:t>
      </w:r>
      <w:r w:rsidRPr="00042293">
        <w:t xml:space="preserve"> </w:t>
      </w:r>
      <w:r w:rsidRPr="00DE1762">
        <w:rPr>
          <w:i/>
          <w:iCs/>
          <w:highlight w:val="darkGray"/>
        </w:rPr>
        <w:t>plėvele dengtos</w:t>
      </w:r>
      <w:r w:rsidRPr="00042293">
        <w:t xml:space="preserve"> tabletės</w:t>
      </w:r>
    </w:p>
    <w:p w14:paraId="65CAB2D0" w14:textId="77777777" w:rsidR="008A77F0" w:rsidRDefault="008A77F0" w:rsidP="008A77F0">
      <w:pPr>
        <w:tabs>
          <w:tab w:val="left" w:pos="567"/>
        </w:tabs>
        <w:rPr>
          <w:i/>
          <w:iCs/>
        </w:rPr>
      </w:pPr>
    </w:p>
    <w:p w14:paraId="2C3ACF06" w14:textId="77777777" w:rsidR="008A77F0" w:rsidRPr="00E97E14" w:rsidRDefault="008A77F0" w:rsidP="008A77F0">
      <w:pPr>
        <w:tabs>
          <w:tab w:val="left" w:pos="567"/>
        </w:tabs>
        <w:rPr>
          <w:i/>
          <w:iCs/>
          <w:szCs w:val="24"/>
        </w:rPr>
      </w:pPr>
      <w:proofErr w:type="spellStart"/>
      <w:r w:rsidRPr="00DE1762">
        <w:rPr>
          <w:i/>
          <w:iCs/>
          <w:highlight w:val="darkGray"/>
        </w:rPr>
        <w:t>dapagliflozinum</w:t>
      </w:r>
      <w:proofErr w:type="spellEnd"/>
    </w:p>
    <w:p w14:paraId="6724DD83" w14:textId="77777777" w:rsidR="008A77F0" w:rsidRPr="002C040A" w:rsidRDefault="008A77F0" w:rsidP="008A77F0">
      <w:pPr>
        <w:rPr>
          <w:lang w:eastAsia="lt-LT"/>
        </w:rPr>
      </w:pPr>
    </w:p>
    <w:p w14:paraId="0C52DD9C" w14:textId="77777777" w:rsidR="008A77F0" w:rsidRPr="002C040A" w:rsidRDefault="008A77F0" w:rsidP="008A77F0">
      <w:pPr>
        <w:rPr>
          <w:lang w:eastAsia="lt-LT"/>
        </w:rPr>
      </w:pPr>
    </w:p>
    <w:p w14:paraId="620C562D" w14:textId="77777777" w:rsidR="008A77F0" w:rsidRPr="002C040A" w:rsidRDefault="008A77F0" w:rsidP="008A77F0">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2.</w:t>
      </w:r>
      <w:r w:rsidRPr="002C040A">
        <w:rPr>
          <w:b/>
          <w:lang w:eastAsia="lt-LT"/>
        </w:rPr>
        <w:tab/>
        <w:t>REGISTRUOTOJO PAVADINIMAS</w:t>
      </w:r>
    </w:p>
    <w:p w14:paraId="0E52F882" w14:textId="77777777" w:rsidR="008A77F0" w:rsidRPr="002C040A" w:rsidRDefault="008A77F0" w:rsidP="008A77F0">
      <w:pPr>
        <w:rPr>
          <w:lang w:eastAsia="lt-LT"/>
        </w:rPr>
      </w:pPr>
    </w:p>
    <w:p w14:paraId="201445E1" w14:textId="630F0A8F" w:rsidR="008A77F0" w:rsidRPr="00801590" w:rsidRDefault="008A77F0" w:rsidP="008A77F0">
      <w:pPr>
        <w:rPr>
          <w:lang w:eastAsia="lt-LT"/>
        </w:rPr>
      </w:pPr>
      <w:r w:rsidRPr="00801590">
        <w:rPr>
          <w:lang w:eastAsia="lt-LT"/>
        </w:rPr>
        <w:t>Olpha</w:t>
      </w:r>
      <w:r w:rsidR="006C0DF4">
        <w:rPr>
          <w:lang w:eastAsia="lt-LT"/>
        </w:rPr>
        <w:t xml:space="preserve"> AS</w:t>
      </w:r>
      <w:r w:rsidRPr="00801590">
        <w:rPr>
          <w:lang w:eastAsia="lt-LT"/>
        </w:rPr>
        <w:t xml:space="preserve"> </w:t>
      </w:r>
      <w:r w:rsidRPr="00801590">
        <w:rPr>
          <w:highlight w:val="lightGray"/>
          <w:lang w:eastAsia="lt-LT"/>
        </w:rPr>
        <w:t>[logotipas]</w:t>
      </w:r>
    </w:p>
    <w:p w14:paraId="44C99A7C" w14:textId="77777777" w:rsidR="008A77F0" w:rsidRPr="002C040A" w:rsidRDefault="008A77F0" w:rsidP="008A77F0">
      <w:pPr>
        <w:rPr>
          <w:lang w:eastAsia="lt-LT"/>
        </w:rPr>
      </w:pPr>
    </w:p>
    <w:p w14:paraId="05386769" w14:textId="77777777" w:rsidR="008A77F0" w:rsidRPr="002C040A" w:rsidRDefault="008A77F0" w:rsidP="008A77F0">
      <w:pPr>
        <w:rPr>
          <w:lang w:eastAsia="lt-LT"/>
        </w:rPr>
      </w:pPr>
    </w:p>
    <w:p w14:paraId="5FE3CAE2" w14:textId="77777777" w:rsidR="008A77F0" w:rsidRPr="002C040A" w:rsidRDefault="008A77F0" w:rsidP="008A77F0">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3.</w:t>
      </w:r>
      <w:r w:rsidRPr="002C040A">
        <w:rPr>
          <w:b/>
          <w:lang w:eastAsia="lt-LT"/>
        </w:rPr>
        <w:tab/>
        <w:t>TINKAMUMO LAIKAS</w:t>
      </w:r>
    </w:p>
    <w:p w14:paraId="40EB3298" w14:textId="77777777" w:rsidR="008A77F0" w:rsidRPr="002C040A" w:rsidRDefault="008A77F0" w:rsidP="008A77F0">
      <w:pPr>
        <w:rPr>
          <w:lang w:eastAsia="lt-LT"/>
        </w:rPr>
      </w:pPr>
    </w:p>
    <w:p w14:paraId="1A00B9AD" w14:textId="0964EC0B" w:rsidR="008A77F0" w:rsidRPr="002C040A" w:rsidRDefault="008A77F0" w:rsidP="008A77F0">
      <w:pPr>
        <w:rPr>
          <w:lang w:eastAsia="lt-LT"/>
        </w:rPr>
      </w:pPr>
      <w:r w:rsidRPr="00801590">
        <w:rPr>
          <w:highlight w:val="lightGray"/>
          <w:lang w:eastAsia="lt-LT"/>
        </w:rPr>
        <w:t>EXP</w:t>
      </w:r>
      <w:r w:rsidR="00293D33">
        <w:rPr>
          <w:lang w:eastAsia="lt-LT"/>
        </w:rPr>
        <w:t xml:space="preserve"> </w:t>
      </w:r>
      <w:r w:rsidR="00293D33" w:rsidRPr="00F813BC">
        <w:t>{mm/MMMM}</w:t>
      </w:r>
    </w:p>
    <w:p w14:paraId="28DFEE20" w14:textId="77777777" w:rsidR="008A77F0" w:rsidRPr="002C040A" w:rsidRDefault="008A77F0" w:rsidP="008A77F0">
      <w:pPr>
        <w:rPr>
          <w:lang w:eastAsia="lt-LT"/>
        </w:rPr>
      </w:pPr>
    </w:p>
    <w:p w14:paraId="31BF1805" w14:textId="77777777" w:rsidR="008A77F0" w:rsidRPr="002C040A" w:rsidRDefault="008A77F0" w:rsidP="008A77F0">
      <w:pPr>
        <w:rPr>
          <w:lang w:eastAsia="lt-LT"/>
        </w:rPr>
      </w:pPr>
    </w:p>
    <w:p w14:paraId="0B093BDB" w14:textId="77777777" w:rsidR="008A77F0" w:rsidRPr="002C040A" w:rsidRDefault="008A77F0" w:rsidP="008A77F0">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4.</w:t>
      </w:r>
      <w:r w:rsidRPr="002C040A">
        <w:rPr>
          <w:b/>
          <w:lang w:eastAsia="lt-LT"/>
        </w:rPr>
        <w:tab/>
        <w:t>SERIJOS NUMERIS</w:t>
      </w:r>
    </w:p>
    <w:p w14:paraId="7C49F155" w14:textId="77777777" w:rsidR="008A77F0" w:rsidRPr="002C040A" w:rsidRDefault="008A77F0" w:rsidP="008A77F0">
      <w:pPr>
        <w:rPr>
          <w:lang w:eastAsia="lt-LT"/>
        </w:rPr>
      </w:pPr>
    </w:p>
    <w:p w14:paraId="3BBC5399" w14:textId="77777777" w:rsidR="008A77F0" w:rsidRPr="00801590" w:rsidRDefault="008A77F0" w:rsidP="008A77F0">
      <w:pPr>
        <w:rPr>
          <w:lang w:eastAsia="lt-LT"/>
        </w:rPr>
      </w:pPr>
      <w:r w:rsidRPr="00801590">
        <w:rPr>
          <w:highlight w:val="lightGray"/>
          <w:lang w:eastAsia="lt-LT"/>
        </w:rPr>
        <w:t>Lot</w:t>
      </w:r>
    </w:p>
    <w:p w14:paraId="42DFE907" w14:textId="77777777" w:rsidR="008A77F0" w:rsidRPr="002C040A" w:rsidRDefault="008A77F0" w:rsidP="008A77F0">
      <w:pPr>
        <w:rPr>
          <w:lang w:eastAsia="lt-LT"/>
        </w:rPr>
      </w:pPr>
    </w:p>
    <w:p w14:paraId="22FB8038" w14:textId="77777777" w:rsidR="008A77F0" w:rsidRPr="002C040A" w:rsidRDefault="008A77F0" w:rsidP="008A77F0">
      <w:pPr>
        <w:rPr>
          <w:lang w:eastAsia="lt-LT"/>
        </w:rPr>
      </w:pPr>
    </w:p>
    <w:p w14:paraId="2572B38B" w14:textId="77777777" w:rsidR="008A77F0" w:rsidRPr="002C040A" w:rsidRDefault="008A77F0" w:rsidP="008A77F0">
      <w:pPr>
        <w:keepNext/>
        <w:pBdr>
          <w:top w:val="single" w:sz="4" w:space="1" w:color="auto"/>
          <w:left w:val="single" w:sz="4" w:space="4" w:color="auto"/>
          <w:bottom w:val="single" w:sz="4" w:space="1" w:color="auto"/>
          <w:right w:val="single" w:sz="4" w:space="4" w:color="auto"/>
        </w:pBdr>
        <w:tabs>
          <w:tab w:val="left" w:pos="567"/>
        </w:tabs>
        <w:outlineLvl w:val="2"/>
        <w:rPr>
          <w:b/>
          <w:lang w:eastAsia="lt-LT"/>
        </w:rPr>
      </w:pPr>
      <w:r w:rsidRPr="002C040A">
        <w:rPr>
          <w:b/>
          <w:lang w:eastAsia="lt-LT"/>
        </w:rPr>
        <w:t>5.</w:t>
      </w:r>
      <w:r w:rsidRPr="002C040A">
        <w:rPr>
          <w:b/>
          <w:lang w:eastAsia="lt-LT"/>
        </w:rPr>
        <w:tab/>
        <w:t>KITA</w:t>
      </w:r>
    </w:p>
    <w:p w14:paraId="3C5EB51C" w14:textId="77777777" w:rsidR="008A77F0" w:rsidRPr="002C040A" w:rsidRDefault="008A77F0" w:rsidP="008A77F0">
      <w:pPr>
        <w:rPr>
          <w:lang w:eastAsia="lt-LT"/>
        </w:rPr>
      </w:pPr>
    </w:p>
    <w:p w14:paraId="1856D64E" w14:textId="77777777" w:rsidR="008A77F0" w:rsidRPr="002C040A" w:rsidRDefault="008A77F0" w:rsidP="008A77F0">
      <w:pPr>
        <w:outlineLvl w:val="0"/>
        <w:rPr>
          <w:b/>
          <w:kern w:val="28"/>
          <w:lang w:eastAsia="lt-LT"/>
        </w:rPr>
      </w:pPr>
      <w:r w:rsidRPr="002C040A">
        <w:rPr>
          <w:lang w:eastAsia="lt-LT"/>
        </w:rPr>
        <w:br w:type="page"/>
      </w:r>
    </w:p>
    <w:p w14:paraId="56682DB9"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r w:rsidRPr="00486325">
        <w:rPr>
          <w:b/>
          <w:szCs w:val="24"/>
        </w:rPr>
        <w:lastRenderedPageBreak/>
        <w:t>MINIMALI INFORMACIJA ANT LIZDINIŲ PLOKŠTELIŲ ARBA DVISLUOKSNIŲ JUOSTELIŲ</w:t>
      </w:r>
    </w:p>
    <w:p w14:paraId="75AF05AB"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p>
    <w:p w14:paraId="56796DCD" w14:textId="00F3F8C7" w:rsidR="008A77F0" w:rsidRDefault="008A77F0" w:rsidP="008A77F0">
      <w:pPr>
        <w:pBdr>
          <w:top w:val="single" w:sz="4" w:space="1" w:color="auto"/>
          <w:left w:val="single" w:sz="4" w:space="4" w:color="auto"/>
          <w:bottom w:val="single" w:sz="4" w:space="1" w:color="auto"/>
          <w:right w:val="single" w:sz="4" w:space="4" w:color="auto"/>
        </w:pBdr>
        <w:tabs>
          <w:tab w:val="left" w:pos="567"/>
        </w:tabs>
        <w:rPr>
          <w:b/>
          <w:szCs w:val="24"/>
        </w:rPr>
      </w:pPr>
      <w:r w:rsidRPr="0031067D">
        <w:rPr>
          <w:b/>
          <w:szCs w:val="24"/>
        </w:rPr>
        <w:t>PERFORUOT</w:t>
      </w:r>
      <w:r>
        <w:rPr>
          <w:b/>
          <w:szCs w:val="24"/>
        </w:rPr>
        <w:t>A</w:t>
      </w:r>
      <w:r w:rsidRPr="0031067D">
        <w:rPr>
          <w:b/>
          <w:szCs w:val="24"/>
        </w:rPr>
        <w:t xml:space="preserve"> DALOMO</w:t>
      </w:r>
      <w:r>
        <w:rPr>
          <w:b/>
          <w:szCs w:val="24"/>
        </w:rPr>
        <w:t>JI</w:t>
      </w:r>
      <w:r w:rsidRPr="0031067D">
        <w:rPr>
          <w:b/>
          <w:szCs w:val="24"/>
        </w:rPr>
        <w:t xml:space="preserve"> LIZDINĖ PLOKŠTELĖ</w:t>
      </w:r>
      <w:r>
        <w:rPr>
          <w:b/>
          <w:szCs w:val="24"/>
        </w:rPr>
        <w:t xml:space="preserve"> </w:t>
      </w:r>
      <w:r w:rsidR="00645106">
        <w:rPr>
          <w:b/>
          <w:szCs w:val="24"/>
        </w:rPr>
        <w:t xml:space="preserve">– </w:t>
      </w:r>
      <w:r w:rsidRPr="00907624">
        <w:rPr>
          <w:b/>
          <w:szCs w:val="24"/>
        </w:rPr>
        <w:t>visas/</w:t>
      </w:r>
      <w:r w:rsidRPr="00DE1762">
        <w:rPr>
          <w:b/>
          <w:i/>
          <w:iCs/>
          <w:szCs w:val="24"/>
          <w:highlight w:val="darkGray"/>
        </w:rPr>
        <w:t>sutrumpintas</w:t>
      </w:r>
      <w:r w:rsidRPr="00907624">
        <w:rPr>
          <w:b/>
          <w:szCs w:val="24"/>
        </w:rPr>
        <w:t xml:space="preserve"> </w:t>
      </w:r>
      <w:r w:rsidR="001B15D8">
        <w:rPr>
          <w:b/>
          <w:szCs w:val="24"/>
        </w:rPr>
        <w:t xml:space="preserve">ES </w:t>
      </w:r>
      <w:r w:rsidRPr="00907624">
        <w:rPr>
          <w:b/>
          <w:szCs w:val="24"/>
        </w:rPr>
        <w:t>harmonizuotas ženklinimo tekstas</w:t>
      </w:r>
    </w:p>
    <w:p w14:paraId="35069C5F" w14:textId="6D1294C6" w:rsidR="001B15D8" w:rsidRPr="00907624" w:rsidRDefault="001B15D8" w:rsidP="008A77F0">
      <w:pPr>
        <w:pBdr>
          <w:top w:val="single" w:sz="4" w:space="1" w:color="auto"/>
          <w:left w:val="single" w:sz="4" w:space="4" w:color="auto"/>
          <w:bottom w:val="single" w:sz="4" w:space="1" w:color="auto"/>
          <w:right w:val="single" w:sz="4" w:space="4" w:color="auto"/>
        </w:pBdr>
        <w:tabs>
          <w:tab w:val="left" w:pos="567"/>
        </w:tabs>
        <w:rPr>
          <w:b/>
          <w:szCs w:val="24"/>
        </w:rPr>
      </w:pPr>
      <w:r w:rsidRPr="00CF0BAC">
        <w:rPr>
          <w:b/>
          <w:szCs w:val="24"/>
        </w:rPr>
        <w:t>(1 grupė (EE/LT/LV), 2 grupė (CZ/SK))</w:t>
      </w:r>
    </w:p>
    <w:p w14:paraId="50D85D2E" w14:textId="77777777" w:rsidR="008A77F0" w:rsidRDefault="008A77F0" w:rsidP="008A77F0">
      <w:pPr>
        <w:tabs>
          <w:tab w:val="left" w:pos="567"/>
        </w:tabs>
        <w:rPr>
          <w:szCs w:val="24"/>
        </w:rPr>
      </w:pPr>
    </w:p>
    <w:p w14:paraId="177B90B2"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7A6AAE1D" w14:textId="77777777" w:rsidR="008A77F0" w:rsidRDefault="008A77F0" w:rsidP="008A77F0">
      <w:pPr>
        <w:tabs>
          <w:tab w:val="left" w:pos="567"/>
        </w:tabs>
        <w:rPr>
          <w:szCs w:val="24"/>
        </w:rPr>
      </w:pPr>
    </w:p>
    <w:p w14:paraId="69A68A3D" w14:textId="492BAD84" w:rsidR="008A77F0" w:rsidRDefault="008A77F0" w:rsidP="008A77F0">
      <w:pPr>
        <w:tabs>
          <w:tab w:val="left" w:pos="567"/>
        </w:tabs>
      </w:pPr>
      <w:proofErr w:type="spellStart"/>
      <w:r>
        <w:t>Dapagliflozin</w:t>
      </w:r>
      <w:proofErr w:type="spellEnd"/>
      <w:r>
        <w:t xml:space="preserve"> Olpha</w:t>
      </w:r>
      <w:r w:rsidRPr="00042293">
        <w:t xml:space="preserve"> </w:t>
      </w:r>
      <w:r w:rsidR="009E6634">
        <w:t>10</w:t>
      </w:r>
      <w:r>
        <w:t> mg</w:t>
      </w:r>
      <w:r w:rsidRPr="00042293">
        <w:t xml:space="preserve"> </w:t>
      </w:r>
      <w:r w:rsidRPr="00DE1762">
        <w:rPr>
          <w:i/>
          <w:iCs/>
          <w:highlight w:val="darkGray"/>
        </w:rPr>
        <w:t>plėvele dengtos</w:t>
      </w:r>
      <w:r w:rsidRPr="00042293">
        <w:t xml:space="preserve"> tabletės</w:t>
      </w:r>
    </w:p>
    <w:p w14:paraId="3512422B" w14:textId="77777777" w:rsidR="008A77F0" w:rsidRDefault="008A77F0" w:rsidP="008A77F0">
      <w:pPr>
        <w:tabs>
          <w:tab w:val="left" w:pos="567"/>
        </w:tabs>
      </w:pPr>
    </w:p>
    <w:p w14:paraId="188136B4" w14:textId="77777777" w:rsidR="008A77F0" w:rsidRPr="00E97E14" w:rsidRDefault="008A77F0" w:rsidP="008A77F0">
      <w:pPr>
        <w:tabs>
          <w:tab w:val="left" w:pos="567"/>
        </w:tabs>
        <w:rPr>
          <w:i/>
          <w:iCs/>
          <w:szCs w:val="24"/>
        </w:rPr>
      </w:pPr>
      <w:proofErr w:type="spellStart"/>
      <w:r w:rsidRPr="00DE1762">
        <w:rPr>
          <w:i/>
          <w:iCs/>
          <w:highlight w:val="darkGray"/>
        </w:rPr>
        <w:t>dapagliflozinum</w:t>
      </w:r>
      <w:proofErr w:type="spellEnd"/>
    </w:p>
    <w:p w14:paraId="301C4B04" w14:textId="77777777" w:rsidR="008A77F0" w:rsidRDefault="008A77F0" w:rsidP="008A77F0">
      <w:pPr>
        <w:tabs>
          <w:tab w:val="left" w:pos="567"/>
        </w:tabs>
        <w:rPr>
          <w:szCs w:val="24"/>
        </w:rPr>
      </w:pPr>
    </w:p>
    <w:p w14:paraId="4876B810" w14:textId="77777777" w:rsidR="008A77F0" w:rsidRDefault="008A77F0" w:rsidP="008A77F0">
      <w:pPr>
        <w:tabs>
          <w:tab w:val="left" w:pos="567"/>
        </w:tabs>
        <w:rPr>
          <w:szCs w:val="24"/>
        </w:rPr>
      </w:pPr>
    </w:p>
    <w:p w14:paraId="0D800EF7"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2.</w:t>
      </w:r>
      <w:r>
        <w:rPr>
          <w:b/>
          <w:szCs w:val="24"/>
        </w:rPr>
        <w:tab/>
      </w:r>
      <w:r w:rsidRPr="00751E69">
        <w:rPr>
          <w:b/>
          <w:szCs w:val="24"/>
        </w:rPr>
        <w:t>REGISTRUOTOJO PAVADINIMAS</w:t>
      </w:r>
    </w:p>
    <w:p w14:paraId="04CAC258" w14:textId="77777777" w:rsidR="008A77F0" w:rsidRDefault="008A77F0" w:rsidP="008A77F0">
      <w:pPr>
        <w:pStyle w:val="Pagrindinistekstas"/>
      </w:pPr>
    </w:p>
    <w:p w14:paraId="718E6EAD" w14:textId="5C99C35A" w:rsidR="008A77F0" w:rsidRDefault="008A77F0" w:rsidP="008A77F0">
      <w:pPr>
        <w:tabs>
          <w:tab w:val="left" w:pos="567"/>
        </w:tabs>
        <w:rPr>
          <w:szCs w:val="24"/>
        </w:rPr>
      </w:pPr>
      <w:r>
        <w:rPr>
          <w:szCs w:val="24"/>
        </w:rPr>
        <w:t>Olpha</w:t>
      </w:r>
      <w:r w:rsidR="006C0DF4">
        <w:rPr>
          <w:szCs w:val="24"/>
        </w:rPr>
        <w:t xml:space="preserve"> AS</w:t>
      </w:r>
      <w:r>
        <w:rPr>
          <w:szCs w:val="24"/>
        </w:rPr>
        <w:t xml:space="preserve"> </w:t>
      </w:r>
      <w:r w:rsidRPr="00115DE8">
        <w:rPr>
          <w:szCs w:val="24"/>
          <w:highlight w:val="lightGray"/>
        </w:rPr>
        <w:t>[logotipas]</w:t>
      </w:r>
    </w:p>
    <w:p w14:paraId="0038D258" w14:textId="77777777" w:rsidR="008A77F0" w:rsidRDefault="008A77F0" w:rsidP="008A77F0">
      <w:pPr>
        <w:tabs>
          <w:tab w:val="left" w:pos="567"/>
        </w:tabs>
        <w:rPr>
          <w:szCs w:val="24"/>
        </w:rPr>
      </w:pPr>
    </w:p>
    <w:p w14:paraId="1EEA383D" w14:textId="77777777" w:rsidR="008A77F0" w:rsidRDefault="008A77F0" w:rsidP="008A77F0">
      <w:pPr>
        <w:tabs>
          <w:tab w:val="left" w:pos="567"/>
        </w:tabs>
        <w:rPr>
          <w:szCs w:val="24"/>
        </w:rPr>
      </w:pPr>
    </w:p>
    <w:p w14:paraId="1A7C2D78"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r>
      <w:r w:rsidRPr="00751E69">
        <w:rPr>
          <w:b/>
          <w:szCs w:val="24"/>
        </w:rPr>
        <w:t>TINKAMUMO LAIKAS</w:t>
      </w:r>
    </w:p>
    <w:p w14:paraId="28E90406" w14:textId="77777777" w:rsidR="008A77F0" w:rsidRDefault="008A77F0" w:rsidP="008A77F0">
      <w:pPr>
        <w:tabs>
          <w:tab w:val="left" w:pos="567"/>
        </w:tabs>
        <w:rPr>
          <w:szCs w:val="24"/>
        </w:rPr>
      </w:pPr>
    </w:p>
    <w:p w14:paraId="0E4C3333" w14:textId="0D3F0683" w:rsidR="008A77F0" w:rsidRPr="007A5A89" w:rsidRDefault="008A77F0" w:rsidP="008A77F0">
      <w:pPr>
        <w:pStyle w:val="Pagrindinistekstas"/>
      </w:pPr>
      <w:r w:rsidRPr="00DE1762">
        <w:t>EXP</w:t>
      </w:r>
      <w:r w:rsidR="00293D33">
        <w:t xml:space="preserve"> </w:t>
      </w:r>
      <w:r w:rsidR="00293D33" w:rsidRPr="00F813BC">
        <w:t>{mm/MMMM}</w:t>
      </w:r>
    </w:p>
    <w:p w14:paraId="1C54D6EA" w14:textId="77777777" w:rsidR="008A77F0" w:rsidRDefault="008A77F0" w:rsidP="008A77F0">
      <w:pPr>
        <w:tabs>
          <w:tab w:val="left" w:pos="567"/>
        </w:tabs>
        <w:rPr>
          <w:szCs w:val="24"/>
        </w:rPr>
      </w:pPr>
    </w:p>
    <w:p w14:paraId="7DC58900" w14:textId="77777777" w:rsidR="008A77F0" w:rsidRDefault="008A77F0" w:rsidP="008A77F0">
      <w:pPr>
        <w:tabs>
          <w:tab w:val="left" w:pos="567"/>
        </w:tabs>
        <w:rPr>
          <w:szCs w:val="24"/>
        </w:rPr>
      </w:pPr>
    </w:p>
    <w:p w14:paraId="1E25B578"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r>
      <w:r w:rsidRPr="00E03C37">
        <w:rPr>
          <w:b/>
          <w:szCs w:val="24"/>
        </w:rPr>
        <w:t>SERIJOS NUMERIS</w:t>
      </w:r>
    </w:p>
    <w:p w14:paraId="27AF88CC" w14:textId="77777777" w:rsidR="008A77F0" w:rsidRDefault="008A77F0" w:rsidP="008A77F0">
      <w:pPr>
        <w:tabs>
          <w:tab w:val="left" w:pos="567"/>
        </w:tabs>
        <w:rPr>
          <w:szCs w:val="24"/>
        </w:rPr>
      </w:pPr>
    </w:p>
    <w:p w14:paraId="141FC989" w14:textId="77777777" w:rsidR="008A77F0" w:rsidRDefault="008A77F0" w:rsidP="008A77F0">
      <w:pPr>
        <w:tabs>
          <w:tab w:val="left" w:pos="567"/>
        </w:tabs>
        <w:rPr>
          <w:szCs w:val="24"/>
        </w:rPr>
      </w:pPr>
      <w:r w:rsidRPr="00DE1762">
        <w:rPr>
          <w:szCs w:val="24"/>
        </w:rPr>
        <w:t>Lot</w:t>
      </w:r>
    </w:p>
    <w:p w14:paraId="228354ED" w14:textId="77777777" w:rsidR="008A77F0" w:rsidRDefault="008A77F0" w:rsidP="008A77F0">
      <w:pPr>
        <w:pStyle w:val="Pagrindinistekstas"/>
        <w:rPr>
          <w:spacing w:val="53"/>
        </w:rPr>
      </w:pPr>
    </w:p>
    <w:p w14:paraId="235DDEDE" w14:textId="77777777" w:rsidR="008A77F0" w:rsidRDefault="008A77F0" w:rsidP="008A77F0">
      <w:pPr>
        <w:tabs>
          <w:tab w:val="left" w:pos="567"/>
        </w:tabs>
        <w:rPr>
          <w:szCs w:val="24"/>
        </w:rPr>
      </w:pPr>
    </w:p>
    <w:p w14:paraId="633BAB29" w14:textId="77777777" w:rsidR="008A77F0" w:rsidRDefault="008A77F0" w:rsidP="008A77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r>
      <w:r w:rsidRPr="003F6AC4">
        <w:rPr>
          <w:b/>
          <w:szCs w:val="24"/>
        </w:rPr>
        <w:t>KITA</w:t>
      </w:r>
    </w:p>
    <w:p w14:paraId="03222CCC" w14:textId="77777777" w:rsidR="008A77F0" w:rsidRDefault="008A77F0" w:rsidP="008A77F0">
      <w:pPr>
        <w:tabs>
          <w:tab w:val="left" w:pos="567"/>
        </w:tabs>
        <w:rPr>
          <w:szCs w:val="24"/>
        </w:rPr>
      </w:pPr>
    </w:p>
    <w:p w14:paraId="511D4CF9" w14:textId="77777777" w:rsidR="008A77F0" w:rsidRPr="00805DAF" w:rsidRDefault="008A77F0" w:rsidP="008A77F0">
      <w:pPr>
        <w:tabs>
          <w:tab w:val="left" w:pos="567"/>
        </w:tabs>
      </w:pPr>
    </w:p>
    <w:p w14:paraId="526FBE37" w14:textId="6C1ED582" w:rsidR="009E0972" w:rsidRPr="00805DAF" w:rsidRDefault="008A77F0" w:rsidP="008A77F0">
      <w:pPr>
        <w:tabs>
          <w:tab w:val="left" w:pos="567"/>
        </w:tabs>
      </w:pPr>
      <w:r w:rsidRPr="00805DAF">
        <w:br w:type="page"/>
      </w:r>
    </w:p>
    <w:p w14:paraId="5FCF74C3" w14:textId="77777777" w:rsidR="00A63B19" w:rsidRPr="007A5A89" w:rsidRDefault="00A63B19" w:rsidP="00A63B19">
      <w:pPr>
        <w:pStyle w:val="Pagrindinistekstas"/>
      </w:pPr>
    </w:p>
    <w:p w14:paraId="34BF357B" w14:textId="77777777" w:rsidR="00A63B19" w:rsidRPr="007A5A89" w:rsidRDefault="00A63B19" w:rsidP="00A63B19">
      <w:pPr>
        <w:pStyle w:val="Pagrindinistekstas"/>
      </w:pPr>
    </w:p>
    <w:p w14:paraId="267384F4" w14:textId="77777777" w:rsidR="00A63B19" w:rsidRPr="007A5A89" w:rsidRDefault="00A63B19" w:rsidP="00A63B19">
      <w:pPr>
        <w:pStyle w:val="Pagrindinistekstas"/>
      </w:pPr>
    </w:p>
    <w:p w14:paraId="38C0533E" w14:textId="77777777" w:rsidR="00A63B19" w:rsidRPr="007A5A89" w:rsidRDefault="00A63B19" w:rsidP="00A63B19">
      <w:pPr>
        <w:pStyle w:val="Pagrindinistekstas"/>
      </w:pPr>
    </w:p>
    <w:p w14:paraId="454639C1" w14:textId="77777777" w:rsidR="00A63B19" w:rsidRPr="007A5A89" w:rsidRDefault="00A63B19" w:rsidP="00A63B19">
      <w:pPr>
        <w:pStyle w:val="Pagrindinistekstas"/>
      </w:pPr>
    </w:p>
    <w:p w14:paraId="32227EDA" w14:textId="77777777" w:rsidR="00A63B19" w:rsidRDefault="00A63B19" w:rsidP="00A63B19">
      <w:pPr>
        <w:pStyle w:val="Pagrindinistekstas"/>
      </w:pPr>
    </w:p>
    <w:p w14:paraId="70692D96" w14:textId="77777777" w:rsidR="00A63B19" w:rsidRDefault="00A63B19" w:rsidP="00A63B19">
      <w:pPr>
        <w:pStyle w:val="Pagrindinistekstas"/>
      </w:pPr>
    </w:p>
    <w:p w14:paraId="0E06BCC5" w14:textId="77777777" w:rsidR="00A63B19" w:rsidRDefault="00A63B19" w:rsidP="00A63B19">
      <w:pPr>
        <w:pStyle w:val="Pagrindinistekstas"/>
      </w:pPr>
    </w:p>
    <w:p w14:paraId="33848CFC" w14:textId="77777777" w:rsidR="00A63B19" w:rsidRDefault="00A63B19" w:rsidP="00A63B19">
      <w:pPr>
        <w:pStyle w:val="Pagrindinistekstas"/>
      </w:pPr>
    </w:p>
    <w:p w14:paraId="7F217AF5" w14:textId="77777777" w:rsidR="00A63B19" w:rsidRDefault="00A63B19" w:rsidP="00A63B19">
      <w:pPr>
        <w:pStyle w:val="Pagrindinistekstas"/>
      </w:pPr>
    </w:p>
    <w:p w14:paraId="4276F9EC" w14:textId="77777777" w:rsidR="00A63B19" w:rsidRDefault="00A63B19" w:rsidP="00A63B19">
      <w:pPr>
        <w:pStyle w:val="Pagrindinistekstas"/>
      </w:pPr>
    </w:p>
    <w:p w14:paraId="695EA262" w14:textId="77777777" w:rsidR="00A63B19" w:rsidRDefault="00A63B19" w:rsidP="00A63B19">
      <w:pPr>
        <w:pStyle w:val="Pagrindinistekstas"/>
      </w:pPr>
    </w:p>
    <w:p w14:paraId="6E8866A9" w14:textId="77777777" w:rsidR="00A63B19" w:rsidRDefault="00A63B19" w:rsidP="00A63B19">
      <w:pPr>
        <w:pStyle w:val="Pagrindinistekstas"/>
      </w:pPr>
    </w:p>
    <w:p w14:paraId="01D7522A" w14:textId="77777777" w:rsidR="00A63B19" w:rsidRDefault="00A63B19" w:rsidP="00A63B19">
      <w:pPr>
        <w:pStyle w:val="Pagrindinistekstas"/>
      </w:pPr>
    </w:p>
    <w:p w14:paraId="3C77D6F8" w14:textId="77777777" w:rsidR="00A63B19" w:rsidRDefault="00A63B19" w:rsidP="00A63B19">
      <w:pPr>
        <w:pStyle w:val="Pagrindinistekstas"/>
      </w:pPr>
    </w:p>
    <w:p w14:paraId="5C7ECD66" w14:textId="77777777" w:rsidR="00A63B19" w:rsidRDefault="00A63B19" w:rsidP="00A63B19">
      <w:pPr>
        <w:pStyle w:val="Pagrindinistekstas"/>
      </w:pPr>
    </w:p>
    <w:p w14:paraId="079AA2B7" w14:textId="77777777" w:rsidR="00A63B19" w:rsidRDefault="00A63B19" w:rsidP="00A63B19">
      <w:pPr>
        <w:pStyle w:val="Pagrindinistekstas"/>
      </w:pPr>
    </w:p>
    <w:p w14:paraId="52610618" w14:textId="77777777" w:rsidR="00A63B19" w:rsidRDefault="00A63B19" w:rsidP="00A63B19">
      <w:pPr>
        <w:pStyle w:val="Pagrindinistekstas"/>
      </w:pPr>
    </w:p>
    <w:p w14:paraId="6F33A8B9" w14:textId="77777777" w:rsidR="00A63B19" w:rsidRPr="007A5A89" w:rsidRDefault="00A63B19" w:rsidP="00A63B19">
      <w:pPr>
        <w:pStyle w:val="Pagrindinistekstas"/>
      </w:pPr>
    </w:p>
    <w:p w14:paraId="2BDCB187" w14:textId="77777777" w:rsidR="00A63B19" w:rsidRPr="007A5A89" w:rsidRDefault="00A63B19" w:rsidP="00A63B19">
      <w:pPr>
        <w:pStyle w:val="Pagrindinistekstas"/>
      </w:pPr>
    </w:p>
    <w:p w14:paraId="4C93464F" w14:textId="77777777" w:rsidR="00A63B19" w:rsidRPr="007A5A89" w:rsidRDefault="00A63B19" w:rsidP="00A63B19">
      <w:pPr>
        <w:pStyle w:val="Pagrindinistekstas"/>
      </w:pPr>
    </w:p>
    <w:p w14:paraId="48FD1C5D" w14:textId="77777777" w:rsidR="00A63B19" w:rsidRPr="007A5A89" w:rsidRDefault="00A63B19" w:rsidP="00A63B19">
      <w:pPr>
        <w:pStyle w:val="Pagrindinistekstas"/>
      </w:pPr>
    </w:p>
    <w:p w14:paraId="3136098E" w14:textId="77777777" w:rsidR="00A63B19" w:rsidRPr="007A5A89" w:rsidRDefault="00A63B19" w:rsidP="00A63B19">
      <w:pPr>
        <w:pStyle w:val="Pagrindinistekstas"/>
      </w:pPr>
    </w:p>
    <w:p w14:paraId="47138E6A" w14:textId="77777777" w:rsidR="00A63B19" w:rsidRPr="005D554B" w:rsidRDefault="00A63B19" w:rsidP="00A63B19">
      <w:pPr>
        <w:tabs>
          <w:tab w:val="left" w:pos="567"/>
        </w:tabs>
        <w:spacing w:line="260" w:lineRule="exact"/>
        <w:jc w:val="center"/>
        <w:outlineLvl w:val="0"/>
        <w:rPr>
          <w:b/>
          <w:snapToGrid w:val="0"/>
        </w:rPr>
      </w:pPr>
      <w:bookmarkStart w:id="4" w:name="B._PAKUOTĖS_LAPELIS"/>
      <w:bookmarkEnd w:id="4"/>
      <w:r w:rsidRPr="005D554B">
        <w:rPr>
          <w:b/>
          <w:snapToGrid w:val="0"/>
        </w:rPr>
        <w:t>B. PAKUOTĖS LAPELIS</w:t>
      </w:r>
    </w:p>
    <w:p w14:paraId="544B5DA9" w14:textId="77777777" w:rsidR="00A63B19" w:rsidRDefault="00A63B19" w:rsidP="00A63B19">
      <w:pPr>
        <w:jc w:val="center"/>
        <w:rPr>
          <w:b/>
          <w:bCs/>
        </w:rPr>
      </w:pPr>
      <w:r>
        <w:br w:type="page"/>
      </w:r>
    </w:p>
    <w:p w14:paraId="6D8697DF" w14:textId="77777777" w:rsidR="00C0147E" w:rsidRPr="00130A96" w:rsidRDefault="001175EF" w:rsidP="00130A96">
      <w:pPr>
        <w:pStyle w:val="Antrat2"/>
        <w:ind w:left="0"/>
        <w:jc w:val="center"/>
      </w:pPr>
      <w:r w:rsidRPr="00130A96">
        <w:lastRenderedPageBreak/>
        <w:t>Pakuotės lapelis: informacija pacientui</w:t>
      </w:r>
    </w:p>
    <w:p w14:paraId="6D8697E0" w14:textId="77777777" w:rsidR="00C0147E" w:rsidRPr="00130A96" w:rsidRDefault="00C0147E" w:rsidP="00130A96">
      <w:pPr>
        <w:pStyle w:val="Pagrindinistekstas"/>
        <w:rPr>
          <w:b/>
        </w:rPr>
      </w:pPr>
    </w:p>
    <w:p w14:paraId="18C3903E" w14:textId="72BD0897" w:rsidR="00A63B19" w:rsidRDefault="00873FCC" w:rsidP="00130A96">
      <w:pPr>
        <w:jc w:val="center"/>
        <w:rPr>
          <w:b/>
        </w:rPr>
      </w:pPr>
      <w:proofErr w:type="spellStart"/>
      <w:r>
        <w:rPr>
          <w:b/>
        </w:rPr>
        <w:t>Dapagliflozin</w:t>
      </w:r>
      <w:proofErr w:type="spellEnd"/>
      <w:r>
        <w:rPr>
          <w:b/>
        </w:rPr>
        <w:t xml:space="preserve"> Olpha</w:t>
      </w:r>
      <w:r w:rsidR="001175EF" w:rsidRPr="00130A96">
        <w:rPr>
          <w:b/>
        </w:rPr>
        <w:t xml:space="preserve"> 5</w:t>
      </w:r>
      <w:r>
        <w:rPr>
          <w:b/>
        </w:rPr>
        <w:t> mg</w:t>
      </w:r>
      <w:r w:rsidR="001175EF" w:rsidRPr="00130A96">
        <w:rPr>
          <w:b/>
        </w:rPr>
        <w:t xml:space="preserve"> plėvele dengtos tabletės</w:t>
      </w:r>
    </w:p>
    <w:p w14:paraId="10095B30" w14:textId="5D2BA25A" w:rsidR="00A63B19" w:rsidRDefault="00873FCC" w:rsidP="00130A96">
      <w:pPr>
        <w:jc w:val="center"/>
        <w:rPr>
          <w:b/>
        </w:rPr>
      </w:pPr>
      <w:proofErr w:type="spellStart"/>
      <w:r>
        <w:rPr>
          <w:b/>
        </w:rPr>
        <w:t>Dapagliflozin</w:t>
      </w:r>
      <w:proofErr w:type="spellEnd"/>
      <w:r>
        <w:rPr>
          <w:b/>
        </w:rPr>
        <w:t xml:space="preserve"> Olpha</w:t>
      </w:r>
      <w:r w:rsidR="001175EF" w:rsidRPr="00130A96">
        <w:rPr>
          <w:b/>
        </w:rPr>
        <w:t xml:space="preserve"> 10</w:t>
      </w:r>
      <w:r>
        <w:rPr>
          <w:b/>
        </w:rPr>
        <w:t> mg</w:t>
      </w:r>
      <w:r w:rsidR="001175EF" w:rsidRPr="00130A96">
        <w:rPr>
          <w:b/>
        </w:rPr>
        <w:t xml:space="preserve"> plėvele dengtos tabletės</w:t>
      </w:r>
    </w:p>
    <w:p w14:paraId="6D8697E1" w14:textId="77BFB17F" w:rsidR="00C0147E" w:rsidRPr="00130A96" w:rsidRDefault="001175EF" w:rsidP="00130A96">
      <w:pPr>
        <w:jc w:val="center"/>
      </w:pPr>
      <w:r w:rsidRPr="00130A96">
        <w:t>dapagliflozinas (</w:t>
      </w:r>
      <w:proofErr w:type="spellStart"/>
      <w:r w:rsidRPr="00130A96">
        <w:rPr>
          <w:i/>
        </w:rPr>
        <w:t>dapagliflozinum</w:t>
      </w:r>
      <w:proofErr w:type="spellEnd"/>
      <w:r w:rsidRPr="00130A96">
        <w:t>)</w:t>
      </w:r>
    </w:p>
    <w:p w14:paraId="6D8697E2" w14:textId="77777777" w:rsidR="00C0147E" w:rsidRPr="00130A96" w:rsidRDefault="00C0147E" w:rsidP="00130A96">
      <w:pPr>
        <w:pStyle w:val="Pagrindinistekstas"/>
      </w:pPr>
    </w:p>
    <w:p w14:paraId="6D8697E3" w14:textId="77777777" w:rsidR="00C0147E" w:rsidRPr="00130A96" w:rsidRDefault="001175EF" w:rsidP="00130A96">
      <w:pPr>
        <w:pStyle w:val="Antrat2"/>
        <w:ind w:left="0"/>
      </w:pPr>
      <w:r w:rsidRPr="00130A96">
        <w:t>Atidžiai perskaitykite visą šį lapelį, prieš pradėdami vartoti vaistą, nes jame pateikiama Jums svarbi informacija.</w:t>
      </w:r>
    </w:p>
    <w:p w14:paraId="6D8697E4" w14:textId="77777777" w:rsidR="00C0147E" w:rsidRPr="00130A96" w:rsidRDefault="001175EF" w:rsidP="0057311D">
      <w:pPr>
        <w:pStyle w:val="Sraopastraipa"/>
        <w:numPr>
          <w:ilvl w:val="0"/>
          <w:numId w:val="7"/>
        </w:numPr>
        <w:tabs>
          <w:tab w:val="left" w:pos="852"/>
        </w:tabs>
        <w:ind w:left="567"/>
      </w:pPr>
      <w:r>
        <w:t>Neišmeskite šio lapelio, nes vėl gali prireikti jį perskaityti.</w:t>
      </w:r>
    </w:p>
    <w:p w14:paraId="6D8697E5" w14:textId="77777777" w:rsidR="00C0147E" w:rsidRPr="00130A96" w:rsidRDefault="001175EF" w:rsidP="0057311D">
      <w:pPr>
        <w:pStyle w:val="Sraopastraipa"/>
        <w:numPr>
          <w:ilvl w:val="0"/>
          <w:numId w:val="7"/>
        </w:numPr>
        <w:tabs>
          <w:tab w:val="left" w:pos="852"/>
        </w:tabs>
        <w:ind w:left="567"/>
      </w:pPr>
      <w:r>
        <w:t>Jeigu kiltų daugiau klausimų, kreipkitės į gydytoją, vaistininką arba slaugytoją.</w:t>
      </w:r>
    </w:p>
    <w:p w14:paraId="6D8697E6" w14:textId="77777777" w:rsidR="00C0147E" w:rsidRPr="00130A96" w:rsidRDefault="001175EF" w:rsidP="0057311D">
      <w:pPr>
        <w:pStyle w:val="Sraopastraipa"/>
        <w:numPr>
          <w:ilvl w:val="0"/>
          <w:numId w:val="7"/>
        </w:numPr>
        <w:tabs>
          <w:tab w:val="left" w:pos="852"/>
        </w:tabs>
        <w:ind w:left="567"/>
      </w:pPr>
      <w:r>
        <w:t>Šis vaistas skirtas tik Jums, todėl kitiems žmonėms jo duoti negalima. Vaistas gali jiems pakenkti (net tiems, kurių ligos požymiai yra tokie patys kaip Jūsų).</w:t>
      </w:r>
    </w:p>
    <w:p w14:paraId="6D8697E7" w14:textId="18BE10A5" w:rsidR="00C0147E" w:rsidRPr="00130A96" w:rsidRDefault="001175EF" w:rsidP="0057311D">
      <w:pPr>
        <w:pStyle w:val="Sraopastraipa"/>
        <w:numPr>
          <w:ilvl w:val="0"/>
          <w:numId w:val="7"/>
        </w:numPr>
        <w:tabs>
          <w:tab w:val="left" w:pos="852"/>
        </w:tabs>
        <w:ind w:left="567"/>
      </w:pPr>
      <w:r>
        <w:t>Jeigu pasireiškė šalutinis poveikis (net jeigu jis šiame lapelyje nenurodytas), kreipkitės į gydytoją arba vaistininką. Žr. 4</w:t>
      </w:r>
      <w:r w:rsidR="00873FCC">
        <w:t> skyrių</w:t>
      </w:r>
      <w:r>
        <w:t>.</w:t>
      </w:r>
    </w:p>
    <w:p w14:paraId="6D8697E8" w14:textId="77777777" w:rsidR="00C0147E" w:rsidRPr="00130A96" w:rsidRDefault="00C0147E" w:rsidP="00130A96">
      <w:pPr>
        <w:pStyle w:val="Pagrindinistekstas"/>
      </w:pPr>
    </w:p>
    <w:p w14:paraId="6D8697E9" w14:textId="77777777" w:rsidR="00C0147E" w:rsidRPr="00130A96" w:rsidRDefault="00C0147E" w:rsidP="00130A96">
      <w:pPr>
        <w:pStyle w:val="Pagrindinistekstas"/>
      </w:pPr>
    </w:p>
    <w:p w14:paraId="6D8697EA" w14:textId="77777777" w:rsidR="00C0147E" w:rsidRPr="00130A96" w:rsidRDefault="001175EF" w:rsidP="00130A96">
      <w:pPr>
        <w:pStyle w:val="Antrat2"/>
        <w:ind w:left="0"/>
      </w:pPr>
      <w:r w:rsidRPr="00130A96">
        <w:t>Apie ką rašoma šiame lapelyje?</w:t>
      </w:r>
    </w:p>
    <w:p w14:paraId="6D8697EB" w14:textId="77777777" w:rsidR="00C0147E" w:rsidRPr="00130A96" w:rsidRDefault="00C0147E" w:rsidP="00130A96">
      <w:pPr>
        <w:pStyle w:val="Pagrindinistekstas"/>
        <w:rPr>
          <w:b/>
        </w:rPr>
      </w:pPr>
    </w:p>
    <w:p w14:paraId="6D8697EC" w14:textId="1C762F93" w:rsidR="00C0147E" w:rsidRPr="00130A96" w:rsidRDefault="001175EF" w:rsidP="004453F3">
      <w:pPr>
        <w:pStyle w:val="Sraopastraipa"/>
        <w:numPr>
          <w:ilvl w:val="0"/>
          <w:numId w:val="6"/>
        </w:numPr>
        <w:tabs>
          <w:tab w:val="left" w:pos="852"/>
        </w:tabs>
        <w:ind w:left="567"/>
      </w:pPr>
      <w:r>
        <w:t xml:space="preserve">Kas yra </w:t>
      </w:r>
      <w:proofErr w:type="spellStart"/>
      <w:r w:rsidR="00873FCC">
        <w:t>Dapagliflozin</w:t>
      </w:r>
      <w:proofErr w:type="spellEnd"/>
      <w:r w:rsidR="00873FCC">
        <w:t xml:space="preserve"> Olpha</w:t>
      </w:r>
      <w:r>
        <w:t xml:space="preserve"> ir kam ji</w:t>
      </w:r>
      <w:r w:rsidR="47320550">
        <w:t>s</w:t>
      </w:r>
      <w:r>
        <w:t xml:space="preserve"> vartojama</w:t>
      </w:r>
      <w:r w:rsidR="685087E9">
        <w:t>s</w:t>
      </w:r>
    </w:p>
    <w:p w14:paraId="6D8697ED" w14:textId="5A79C0F1" w:rsidR="00C0147E" w:rsidRPr="00130A96" w:rsidRDefault="001175EF" w:rsidP="004453F3">
      <w:pPr>
        <w:pStyle w:val="Sraopastraipa"/>
        <w:numPr>
          <w:ilvl w:val="0"/>
          <w:numId w:val="6"/>
        </w:numPr>
        <w:tabs>
          <w:tab w:val="left" w:pos="852"/>
        </w:tabs>
        <w:ind w:left="567"/>
      </w:pPr>
      <w:r w:rsidRPr="00130A96">
        <w:t xml:space="preserve">Kas žinotina prieš vartojant </w:t>
      </w:r>
      <w:proofErr w:type="spellStart"/>
      <w:r w:rsidR="00873FCC">
        <w:t>Dapagliflozin</w:t>
      </w:r>
      <w:proofErr w:type="spellEnd"/>
      <w:r w:rsidR="00873FCC">
        <w:t xml:space="preserve"> Olpha</w:t>
      </w:r>
    </w:p>
    <w:p w14:paraId="6D8697EE" w14:textId="6F9C09D4" w:rsidR="00C0147E" w:rsidRPr="00130A96" w:rsidRDefault="001175EF" w:rsidP="004453F3">
      <w:pPr>
        <w:pStyle w:val="Sraopastraipa"/>
        <w:numPr>
          <w:ilvl w:val="0"/>
          <w:numId w:val="6"/>
        </w:numPr>
        <w:tabs>
          <w:tab w:val="left" w:pos="852"/>
        </w:tabs>
        <w:ind w:left="567"/>
      </w:pPr>
      <w:r w:rsidRPr="00130A96">
        <w:t xml:space="preserve">Kaip vartoti </w:t>
      </w:r>
      <w:proofErr w:type="spellStart"/>
      <w:r w:rsidR="00873FCC">
        <w:t>Dapagliflozin</w:t>
      </w:r>
      <w:proofErr w:type="spellEnd"/>
      <w:r w:rsidR="00873FCC">
        <w:t xml:space="preserve"> Olpha</w:t>
      </w:r>
    </w:p>
    <w:p w14:paraId="6D8697EF" w14:textId="77777777" w:rsidR="00C0147E" w:rsidRPr="00130A96" w:rsidRDefault="001175EF" w:rsidP="004453F3">
      <w:pPr>
        <w:pStyle w:val="Sraopastraipa"/>
        <w:numPr>
          <w:ilvl w:val="0"/>
          <w:numId w:val="6"/>
        </w:numPr>
        <w:tabs>
          <w:tab w:val="left" w:pos="852"/>
        </w:tabs>
        <w:ind w:left="567"/>
      </w:pPr>
      <w:r w:rsidRPr="00130A96">
        <w:t>Galimas šalutinis poveikis</w:t>
      </w:r>
    </w:p>
    <w:p w14:paraId="6D8697F0" w14:textId="2B517192" w:rsidR="00C0147E" w:rsidRPr="00130A96" w:rsidRDefault="001175EF" w:rsidP="004453F3">
      <w:pPr>
        <w:pStyle w:val="Sraopastraipa"/>
        <w:numPr>
          <w:ilvl w:val="0"/>
          <w:numId w:val="6"/>
        </w:numPr>
        <w:tabs>
          <w:tab w:val="left" w:pos="852"/>
        </w:tabs>
        <w:ind w:left="567"/>
      </w:pPr>
      <w:r w:rsidRPr="00130A96">
        <w:t xml:space="preserve">Kaip laikyti </w:t>
      </w:r>
      <w:proofErr w:type="spellStart"/>
      <w:r w:rsidR="00873FCC">
        <w:t>Dapagliflozin</w:t>
      </w:r>
      <w:proofErr w:type="spellEnd"/>
      <w:r w:rsidR="00873FCC">
        <w:t xml:space="preserve"> Olpha</w:t>
      </w:r>
    </w:p>
    <w:p w14:paraId="6D8697F1" w14:textId="77777777" w:rsidR="00C0147E" w:rsidRPr="00130A96" w:rsidRDefault="001175EF" w:rsidP="004453F3">
      <w:pPr>
        <w:pStyle w:val="Sraopastraipa"/>
        <w:numPr>
          <w:ilvl w:val="0"/>
          <w:numId w:val="6"/>
        </w:numPr>
        <w:tabs>
          <w:tab w:val="left" w:pos="852"/>
        </w:tabs>
        <w:ind w:left="567"/>
      </w:pPr>
      <w:r w:rsidRPr="00130A96">
        <w:t>Pakuotės turinys ir kita informacija</w:t>
      </w:r>
    </w:p>
    <w:p w14:paraId="6D8697F2" w14:textId="77777777" w:rsidR="00C0147E" w:rsidRDefault="00C0147E" w:rsidP="00130A96">
      <w:pPr>
        <w:pStyle w:val="Pagrindinistekstas"/>
      </w:pPr>
    </w:p>
    <w:p w14:paraId="79A9824D" w14:textId="77777777" w:rsidR="004453F3" w:rsidRPr="00130A96" w:rsidRDefault="004453F3" w:rsidP="00130A96">
      <w:pPr>
        <w:pStyle w:val="Pagrindinistekstas"/>
      </w:pPr>
    </w:p>
    <w:p w14:paraId="19636DAF" w14:textId="4AFF3E97" w:rsidR="004453F3" w:rsidRDefault="001175EF" w:rsidP="004453F3">
      <w:pPr>
        <w:pStyle w:val="Antrat2"/>
        <w:numPr>
          <w:ilvl w:val="0"/>
          <w:numId w:val="5"/>
        </w:numPr>
        <w:tabs>
          <w:tab w:val="left" w:pos="852"/>
        </w:tabs>
        <w:ind w:left="567"/>
      </w:pPr>
      <w:r>
        <w:t xml:space="preserve">Kas yra </w:t>
      </w:r>
      <w:proofErr w:type="spellStart"/>
      <w:r w:rsidR="00873FCC">
        <w:t>Dapagliflozin</w:t>
      </w:r>
      <w:proofErr w:type="spellEnd"/>
      <w:r w:rsidR="00873FCC">
        <w:t xml:space="preserve"> Olpha</w:t>
      </w:r>
      <w:r>
        <w:t xml:space="preserve"> ir kam ji</w:t>
      </w:r>
      <w:r w:rsidR="7A47DA60">
        <w:t>s</w:t>
      </w:r>
      <w:r>
        <w:t xml:space="preserve"> vartojama</w:t>
      </w:r>
      <w:r w:rsidR="47B1F940">
        <w:t>s</w:t>
      </w:r>
    </w:p>
    <w:p w14:paraId="6C2EECC2" w14:textId="77777777" w:rsidR="004453F3" w:rsidRDefault="004453F3" w:rsidP="004453F3">
      <w:pPr>
        <w:pStyle w:val="Antrat2"/>
        <w:tabs>
          <w:tab w:val="left" w:pos="852"/>
        </w:tabs>
        <w:ind w:left="0"/>
      </w:pPr>
    </w:p>
    <w:p w14:paraId="6D8697F3" w14:textId="7C2AD49C" w:rsidR="00C0147E" w:rsidRPr="00130A96" w:rsidRDefault="001175EF" w:rsidP="004453F3">
      <w:pPr>
        <w:pStyle w:val="Antrat2"/>
        <w:tabs>
          <w:tab w:val="left" w:pos="852"/>
        </w:tabs>
        <w:ind w:left="0"/>
      </w:pPr>
      <w:r w:rsidRPr="00130A96">
        <w:t xml:space="preserve">Kas yra </w:t>
      </w:r>
      <w:proofErr w:type="spellStart"/>
      <w:r w:rsidR="00873FCC">
        <w:t>Dapagliflozin</w:t>
      </w:r>
      <w:proofErr w:type="spellEnd"/>
      <w:r w:rsidR="00873FCC">
        <w:t xml:space="preserve"> Olpha</w:t>
      </w:r>
    </w:p>
    <w:p w14:paraId="6D8697F4" w14:textId="508BD98C" w:rsidR="00C0147E" w:rsidRDefault="00873FCC" w:rsidP="00130A96">
      <w:pPr>
        <w:pStyle w:val="Pagrindinistekstas"/>
      </w:pPr>
      <w:proofErr w:type="spellStart"/>
      <w:r>
        <w:t>Dapagliflozin</w:t>
      </w:r>
      <w:proofErr w:type="spellEnd"/>
      <w:r>
        <w:t xml:space="preserve"> Olpha</w:t>
      </w:r>
      <w:r w:rsidR="001175EF">
        <w:t xml:space="preserve"> sudėtyje yra veikliosios medžiagos – dapagliflozino. Ji</w:t>
      </w:r>
      <w:r w:rsidR="121FABE7">
        <w:t>s</w:t>
      </w:r>
      <w:r w:rsidR="001175EF">
        <w:t xml:space="preserve"> priklauso vaistų, vadinamų natrio ir gliukozės vienos krypties nešiklio (angl. </w:t>
      </w:r>
      <w:proofErr w:type="spellStart"/>
      <w:r w:rsidR="001175EF" w:rsidRPr="69626C30">
        <w:rPr>
          <w:i/>
          <w:iCs/>
        </w:rPr>
        <w:t>sodium</w:t>
      </w:r>
      <w:proofErr w:type="spellEnd"/>
      <w:r w:rsidR="001175EF" w:rsidRPr="69626C30">
        <w:rPr>
          <w:i/>
          <w:iCs/>
        </w:rPr>
        <w:t xml:space="preserve"> </w:t>
      </w:r>
      <w:proofErr w:type="spellStart"/>
      <w:r w:rsidR="001175EF" w:rsidRPr="69626C30">
        <w:rPr>
          <w:i/>
          <w:iCs/>
        </w:rPr>
        <w:t>glucose</w:t>
      </w:r>
      <w:proofErr w:type="spellEnd"/>
      <w:r w:rsidR="001175EF" w:rsidRPr="69626C30">
        <w:rPr>
          <w:i/>
          <w:iCs/>
        </w:rPr>
        <w:t xml:space="preserve"> co-transporter-2, SGLT2</w:t>
      </w:r>
      <w:r w:rsidR="001175EF">
        <w:t xml:space="preserve">) inhibitoriais, grupei. Šie vaistai blokuoja SGLT2 baltymą inkstuose. Jį užblokavus, iš </w:t>
      </w:r>
      <w:r w:rsidR="002D6765">
        <w:t>organizmo</w:t>
      </w:r>
      <w:r w:rsidR="001175EF">
        <w:t xml:space="preserve"> su šlapimu pašalinami cukrus (gliukozė), druska (natris) ir vanduo.</w:t>
      </w:r>
    </w:p>
    <w:p w14:paraId="40729AEC" w14:textId="77777777" w:rsidR="004453F3" w:rsidRPr="00130A96" w:rsidRDefault="004453F3" w:rsidP="00130A96">
      <w:pPr>
        <w:pStyle w:val="Pagrindinistekstas"/>
      </w:pPr>
    </w:p>
    <w:p w14:paraId="6D8697F5" w14:textId="7734865C" w:rsidR="00C0147E" w:rsidRPr="00130A96" w:rsidRDefault="001175EF" w:rsidP="00130A96">
      <w:pPr>
        <w:pStyle w:val="Antrat2"/>
        <w:ind w:left="0"/>
      </w:pPr>
      <w:r w:rsidRPr="00130A96">
        <w:t>Kam vartojama</w:t>
      </w:r>
      <w:r w:rsidR="00D73062">
        <w:t>s</w:t>
      </w:r>
      <w:r w:rsidRPr="00130A96">
        <w:t xml:space="preserve"> </w:t>
      </w:r>
      <w:proofErr w:type="spellStart"/>
      <w:r w:rsidR="00873FCC">
        <w:t>Dapagliflozin</w:t>
      </w:r>
      <w:proofErr w:type="spellEnd"/>
      <w:r w:rsidR="00873FCC">
        <w:t xml:space="preserve"> Olpha</w:t>
      </w:r>
    </w:p>
    <w:p w14:paraId="6D8697F6" w14:textId="351371EE" w:rsidR="00C0147E" w:rsidRDefault="00873FCC" w:rsidP="00130A96">
      <w:pPr>
        <w:pStyle w:val="Pagrindinistekstas"/>
      </w:pPr>
      <w:proofErr w:type="spellStart"/>
      <w:r>
        <w:t>Dapagliflozin</w:t>
      </w:r>
      <w:proofErr w:type="spellEnd"/>
      <w:r>
        <w:t xml:space="preserve"> Olpha</w:t>
      </w:r>
      <w:r w:rsidR="001175EF" w:rsidRPr="00130A96">
        <w:t xml:space="preserve"> yra skirta</w:t>
      </w:r>
      <w:r w:rsidR="00D73062">
        <w:t>s</w:t>
      </w:r>
      <w:r w:rsidR="001175EF" w:rsidRPr="00130A96">
        <w:t>:</w:t>
      </w:r>
    </w:p>
    <w:p w14:paraId="3C3383F8" w14:textId="77777777" w:rsidR="004453F3" w:rsidRPr="00130A96" w:rsidRDefault="004453F3" w:rsidP="00130A96">
      <w:pPr>
        <w:pStyle w:val="Pagrindinistekstas"/>
      </w:pPr>
    </w:p>
    <w:p w14:paraId="6D8697F7" w14:textId="2C009ECC" w:rsidR="00C0147E" w:rsidRPr="0057311D" w:rsidRDefault="001175EF" w:rsidP="004453F3">
      <w:pPr>
        <w:pStyle w:val="Antrat2"/>
        <w:numPr>
          <w:ilvl w:val="1"/>
          <w:numId w:val="5"/>
        </w:numPr>
        <w:tabs>
          <w:tab w:val="left" w:pos="645"/>
        </w:tabs>
        <w:ind w:left="567" w:hanging="567"/>
      </w:pPr>
      <w:r w:rsidRPr="0057311D">
        <w:t>2</w:t>
      </w:r>
      <w:r w:rsidR="00873FCC" w:rsidRPr="0057311D">
        <w:t> tipo</w:t>
      </w:r>
      <w:r w:rsidRPr="0057311D">
        <w:t xml:space="preserve"> cukrini</w:t>
      </w:r>
      <w:r w:rsidR="00D73062" w:rsidRPr="0057311D">
        <w:t>o</w:t>
      </w:r>
      <w:r w:rsidRPr="0057311D">
        <w:t xml:space="preserve"> diabet</w:t>
      </w:r>
      <w:r w:rsidR="00D73062" w:rsidRPr="0057311D">
        <w:t>o</w:t>
      </w:r>
      <w:r w:rsidRPr="0057311D">
        <w:t xml:space="preserve"> gydy</w:t>
      </w:r>
      <w:r w:rsidR="00D65136" w:rsidRPr="0057311D">
        <w:t>mui</w:t>
      </w:r>
      <w:r w:rsidRPr="0057311D">
        <w:t>:</w:t>
      </w:r>
    </w:p>
    <w:p w14:paraId="6D8697F8" w14:textId="77777777" w:rsidR="00C0147E" w:rsidRPr="00130A96" w:rsidRDefault="001175EF" w:rsidP="0057311D">
      <w:pPr>
        <w:pStyle w:val="Sraopastraipa"/>
        <w:numPr>
          <w:ilvl w:val="2"/>
          <w:numId w:val="5"/>
        </w:numPr>
        <w:tabs>
          <w:tab w:val="left" w:pos="1418"/>
        </w:tabs>
        <w:ind w:left="993" w:hanging="426"/>
      </w:pPr>
      <w:r w:rsidRPr="00130A96">
        <w:t>suaugusiesiems ir vaikams nuo 10 metų;</w:t>
      </w:r>
    </w:p>
    <w:p w14:paraId="6D8697F9" w14:textId="044BA174" w:rsidR="00C0147E" w:rsidRPr="00130A96" w:rsidRDefault="001175EF" w:rsidP="0057311D">
      <w:pPr>
        <w:pStyle w:val="Sraopastraipa"/>
        <w:numPr>
          <w:ilvl w:val="2"/>
          <w:numId w:val="5"/>
        </w:numPr>
        <w:tabs>
          <w:tab w:val="left" w:pos="1276"/>
          <w:tab w:val="left" w:pos="1418"/>
        </w:tabs>
        <w:ind w:left="993" w:hanging="426"/>
      </w:pPr>
      <w:r w:rsidRPr="00130A96">
        <w:t>kai 2</w:t>
      </w:r>
      <w:r w:rsidR="00873FCC">
        <w:t> tipo</w:t>
      </w:r>
      <w:r w:rsidRPr="00130A96">
        <w:t xml:space="preserve"> cukriniam diabetui kontroliuoti nepakanka dietos ir fizinio krūvio;</w:t>
      </w:r>
    </w:p>
    <w:p w14:paraId="6D8697FA" w14:textId="4579724A" w:rsidR="00C0147E" w:rsidRPr="00130A96" w:rsidRDefault="00873FCC" w:rsidP="0057311D">
      <w:pPr>
        <w:pStyle w:val="Sraopastraipa"/>
        <w:numPr>
          <w:ilvl w:val="2"/>
          <w:numId w:val="5"/>
        </w:numPr>
        <w:tabs>
          <w:tab w:val="left" w:pos="1134"/>
          <w:tab w:val="left" w:pos="1276"/>
          <w:tab w:val="left" w:pos="1418"/>
        </w:tabs>
        <w:ind w:left="993" w:hanging="426"/>
      </w:pPr>
      <w:proofErr w:type="spellStart"/>
      <w:r>
        <w:t>Dapagliflozin</w:t>
      </w:r>
      <w:proofErr w:type="spellEnd"/>
      <w:r>
        <w:t xml:space="preserve"> Olpha</w:t>
      </w:r>
      <w:r w:rsidR="001175EF" w:rsidRPr="00130A96">
        <w:t xml:space="preserve"> gali būti vartojama</w:t>
      </w:r>
      <w:r w:rsidR="007E424D">
        <w:t>s</w:t>
      </w:r>
      <w:r w:rsidR="001175EF" w:rsidRPr="00130A96">
        <w:t xml:space="preserve"> atskirai arba kartu su kitais vaistais nuo cukrinio diabeto;</w:t>
      </w:r>
    </w:p>
    <w:p w14:paraId="6D8697FB" w14:textId="029C6E7A" w:rsidR="00C0147E" w:rsidRDefault="001175EF" w:rsidP="0057311D">
      <w:pPr>
        <w:pStyle w:val="Sraopastraipa"/>
        <w:numPr>
          <w:ilvl w:val="2"/>
          <w:numId w:val="5"/>
        </w:numPr>
        <w:tabs>
          <w:tab w:val="left" w:pos="1134"/>
          <w:tab w:val="left" w:pos="1276"/>
          <w:tab w:val="left" w:pos="1418"/>
        </w:tabs>
        <w:ind w:left="993" w:hanging="426"/>
      </w:pPr>
      <w:r w:rsidRPr="00130A96">
        <w:t>vartojant š</w:t>
      </w:r>
      <w:r w:rsidR="007E424D">
        <w:t>io</w:t>
      </w:r>
      <w:r w:rsidRPr="00130A96">
        <w:t xml:space="preserve"> vaist</w:t>
      </w:r>
      <w:r w:rsidR="007E424D">
        <w:t>o</w:t>
      </w:r>
      <w:r w:rsidRPr="00130A96">
        <w:t>, svarbu toliau laikytis gydytojo, vaistininko arba slaugytojo nurodymų dėl dietos ir fizinio krūvio.</w:t>
      </w:r>
    </w:p>
    <w:p w14:paraId="1F137E0E" w14:textId="77777777" w:rsidR="004453F3" w:rsidRPr="00130A96" w:rsidRDefault="004453F3" w:rsidP="004453F3">
      <w:pPr>
        <w:tabs>
          <w:tab w:val="left" w:pos="1005"/>
        </w:tabs>
      </w:pPr>
    </w:p>
    <w:p w14:paraId="6D8697FC" w14:textId="22F2085F" w:rsidR="00C0147E" w:rsidRPr="00130A96" w:rsidRDefault="001175EF" w:rsidP="004453F3">
      <w:pPr>
        <w:pStyle w:val="Antrat2"/>
        <w:numPr>
          <w:ilvl w:val="1"/>
          <w:numId w:val="5"/>
        </w:numPr>
        <w:tabs>
          <w:tab w:val="left" w:pos="852"/>
        </w:tabs>
        <w:ind w:left="567" w:hanging="567"/>
      </w:pPr>
      <w:r w:rsidRPr="00130A96">
        <w:t>Širdies nepakankamum</w:t>
      </w:r>
      <w:r w:rsidR="00C7514F">
        <w:t>o</w:t>
      </w:r>
      <w:r w:rsidRPr="00130A96">
        <w:t xml:space="preserve"> gydy</w:t>
      </w:r>
      <w:r w:rsidR="00C7514F">
        <w:t>mui</w:t>
      </w:r>
      <w:r w:rsidRPr="00130A96">
        <w:t>:</w:t>
      </w:r>
    </w:p>
    <w:p w14:paraId="6D8697FD" w14:textId="3D056EEB" w:rsidR="00C0147E" w:rsidRDefault="001175EF" w:rsidP="004453F3">
      <w:pPr>
        <w:pStyle w:val="Sraopastraipa"/>
        <w:numPr>
          <w:ilvl w:val="2"/>
          <w:numId w:val="5"/>
        </w:numPr>
        <w:tabs>
          <w:tab w:val="left" w:pos="1005"/>
        </w:tabs>
        <w:ind w:left="1134" w:hanging="567"/>
      </w:pPr>
      <w:r w:rsidRPr="00130A96">
        <w:t>suaugusie</w:t>
      </w:r>
      <w:r w:rsidR="00C7514F">
        <w:t>sie</w:t>
      </w:r>
      <w:r w:rsidRPr="00130A96">
        <w:t>ms (nuo 18</w:t>
      </w:r>
      <w:r w:rsidR="003607D2">
        <w:t> </w:t>
      </w:r>
      <w:r w:rsidRPr="00130A96">
        <w:t>metų), kurių širdis nepumpuoja kraujo taip gerai kaip turėtų.</w:t>
      </w:r>
    </w:p>
    <w:p w14:paraId="6C463457" w14:textId="77777777" w:rsidR="004453F3" w:rsidRPr="00130A96" w:rsidRDefault="004453F3" w:rsidP="004453F3">
      <w:pPr>
        <w:tabs>
          <w:tab w:val="left" w:pos="1005"/>
        </w:tabs>
      </w:pPr>
    </w:p>
    <w:p w14:paraId="6D8697FE" w14:textId="21976591" w:rsidR="00C0147E" w:rsidRPr="00130A96" w:rsidRDefault="001175EF" w:rsidP="004453F3">
      <w:pPr>
        <w:pStyle w:val="Antrat2"/>
        <w:numPr>
          <w:ilvl w:val="1"/>
          <w:numId w:val="5"/>
        </w:numPr>
        <w:tabs>
          <w:tab w:val="left" w:pos="852"/>
        </w:tabs>
        <w:ind w:left="567" w:hanging="567"/>
      </w:pPr>
      <w:r w:rsidRPr="00130A96">
        <w:t>Lėtinė</w:t>
      </w:r>
      <w:r w:rsidR="00AC78AA">
        <w:t>s</w:t>
      </w:r>
      <w:r w:rsidRPr="00130A96">
        <w:t xml:space="preserve"> inkstų lig</w:t>
      </w:r>
      <w:r w:rsidR="00AC78AA">
        <w:t>os gydymui</w:t>
      </w:r>
      <w:r w:rsidRPr="00130A96">
        <w:t>:</w:t>
      </w:r>
    </w:p>
    <w:p w14:paraId="6D8697FF" w14:textId="4CA4C981" w:rsidR="00C0147E" w:rsidRPr="00130A96" w:rsidRDefault="001175EF" w:rsidP="004453F3">
      <w:pPr>
        <w:pStyle w:val="Sraopastraipa"/>
        <w:numPr>
          <w:ilvl w:val="2"/>
          <w:numId w:val="5"/>
        </w:numPr>
        <w:tabs>
          <w:tab w:val="left" w:pos="1005"/>
        </w:tabs>
        <w:ind w:left="1134" w:hanging="567"/>
      </w:pPr>
      <w:r w:rsidRPr="00130A96">
        <w:t xml:space="preserve">suaugusiesiems, kurių inkstų funkcija </w:t>
      </w:r>
      <w:r w:rsidR="008F58D1">
        <w:t>sutrikusi</w:t>
      </w:r>
      <w:r w:rsidRPr="00130A96">
        <w:t>.</w:t>
      </w:r>
    </w:p>
    <w:p w14:paraId="6D869800" w14:textId="77777777" w:rsidR="00C0147E" w:rsidRPr="00130A96" w:rsidRDefault="00C0147E" w:rsidP="00130A96">
      <w:pPr>
        <w:pStyle w:val="Pagrindinistekstas"/>
      </w:pPr>
    </w:p>
    <w:p w14:paraId="6D869801" w14:textId="4101227A" w:rsidR="00C0147E" w:rsidRPr="00130A96" w:rsidRDefault="001175EF" w:rsidP="00130A96">
      <w:pPr>
        <w:pStyle w:val="Antrat2"/>
        <w:ind w:left="0"/>
      </w:pPr>
      <w:r w:rsidRPr="00130A96">
        <w:t>Kas yra 2</w:t>
      </w:r>
      <w:r w:rsidR="00873FCC">
        <w:t> tipo</w:t>
      </w:r>
      <w:r w:rsidRPr="00130A96">
        <w:t xml:space="preserve"> cukrinis diabetas ir kaip padeda </w:t>
      </w:r>
      <w:proofErr w:type="spellStart"/>
      <w:r w:rsidR="00873FCC">
        <w:t>Dapagliflozin</w:t>
      </w:r>
      <w:proofErr w:type="spellEnd"/>
      <w:r w:rsidR="00873FCC">
        <w:t xml:space="preserve"> Olpha</w:t>
      </w:r>
      <w:r w:rsidRPr="00130A96">
        <w:t>?</w:t>
      </w:r>
    </w:p>
    <w:p w14:paraId="6D869802" w14:textId="1339F354" w:rsidR="00C0147E" w:rsidRPr="00130A96" w:rsidRDefault="001175EF" w:rsidP="0057311D">
      <w:pPr>
        <w:pStyle w:val="Sraopastraipa"/>
        <w:numPr>
          <w:ilvl w:val="1"/>
          <w:numId w:val="5"/>
        </w:numPr>
        <w:tabs>
          <w:tab w:val="left" w:pos="852"/>
        </w:tabs>
        <w:ind w:left="567" w:hanging="567"/>
      </w:pPr>
      <w:r w:rsidRPr="00130A96">
        <w:t>Sergant 2</w:t>
      </w:r>
      <w:r w:rsidR="00873FCC">
        <w:t> tipo</w:t>
      </w:r>
      <w:r w:rsidRPr="00130A96">
        <w:t xml:space="preserve"> cukriniu diabetu, organizmas gamina per mažai insulino arba nesugeba jo tinkamai panaudoti. Dėl to padidėja cukraus kiekis kraujyje</w:t>
      </w:r>
      <w:r w:rsidR="0055407E">
        <w:t xml:space="preserve">. Todėl </w:t>
      </w:r>
      <w:r w:rsidRPr="00130A96">
        <w:t xml:space="preserve">gali pasireikšti </w:t>
      </w:r>
      <w:r w:rsidR="0055407E">
        <w:t>rimtų</w:t>
      </w:r>
      <w:r w:rsidRPr="00130A96">
        <w:t xml:space="preserve"> komplikacijų – širdies arba inkstų liga, aklumas, rankų ir kojų kraujotakos pablogėjimas.</w:t>
      </w:r>
    </w:p>
    <w:p w14:paraId="6D869803" w14:textId="072A44F2" w:rsidR="00C0147E" w:rsidRPr="00130A96" w:rsidRDefault="00873FCC" w:rsidP="0057311D">
      <w:pPr>
        <w:pStyle w:val="Sraopastraipa"/>
        <w:numPr>
          <w:ilvl w:val="1"/>
          <w:numId w:val="5"/>
        </w:numPr>
        <w:tabs>
          <w:tab w:val="left" w:pos="852"/>
        </w:tabs>
        <w:ind w:left="567" w:hanging="567"/>
      </w:pPr>
      <w:proofErr w:type="spellStart"/>
      <w:r>
        <w:t>Dapagliflozin</w:t>
      </w:r>
      <w:proofErr w:type="spellEnd"/>
      <w:r>
        <w:t xml:space="preserve"> Olpha</w:t>
      </w:r>
      <w:r w:rsidR="001175EF" w:rsidRPr="00130A96">
        <w:t xml:space="preserve"> šalina cukraus perteklių iš organizmo. Be to, šis vaistas gali padėti išvengti širdies ligos.</w:t>
      </w:r>
    </w:p>
    <w:p w14:paraId="1F50CCC1" w14:textId="77777777" w:rsidR="004453F3" w:rsidRDefault="004453F3" w:rsidP="0057311D">
      <w:pPr>
        <w:pStyle w:val="Antrat2"/>
        <w:ind w:left="567"/>
        <w:jc w:val="both"/>
      </w:pPr>
    </w:p>
    <w:p w14:paraId="6D869805" w14:textId="4FF5F861" w:rsidR="00C0147E" w:rsidRPr="00130A96" w:rsidRDefault="001175EF" w:rsidP="00F96E32">
      <w:pPr>
        <w:pStyle w:val="Antrat2"/>
        <w:ind w:left="0"/>
        <w:jc w:val="both"/>
      </w:pPr>
      <w:r w:rsidRPr="00130A96">
        <w:t xml:space="preserve">Kas yra širdies nepakankamumas ir kaip juo sergant padeda </w:t>
      </w:r>
      <w:proofErr w:type="spellStart"/>
      <w:r w:rsidR="00873FCC">
        <w:t>Dapagliflozin</w:t>
      </w:r>
      <w:proofErr w:type="spellEnd"/>
      <w:r w:rsidR="00873FCC">
        <w:t xml:space="preserve"> Olpha</w:t>
      </w:r>
      <w:r w:rsidRPr="00130A96">
        <w:t>?</w:t>
      </w:r>
    </w:p>
    <w:p w14:paraId="6D869806" w14:textId="77777777" w:rsidR="00C0147E" w:rsidRPr="00130A96" w:rsidRDefault="001175EF" w:rsidP="0057311D">
      <w:pPr>
        <w:pStyle w:val="Sraopastraipa"/>
        <w:numPr>
          <w:ilvl w:val="1"/>
          <w:numId w:val="5"/>
        </w:numPr>
        <w:tabs>
          <w:tab w:val="left" w:pos="850"/>
          <w:tab w:val="left" w:pos="852"/>
        </w:tabs>
        <w:ind w:left="567" w:hanging="567"/>
        <w:jc w:val="both"/>
      </w:pPr>
      <w:r w:rsidRPr="00130A96">
        <w:t>Šios rūšies širdies nepakankamumas pasireiškia tuomet, kai širdis nepumpuoja kraujo į plaučius ir kitas organizmo dalis taip gerai kaip turėtų. Dėl to gali pasireikšti sunkių sutrikimų ir prireikti gydymo ligoninėje.</w:t>
      </w:r>
    </w:p>
    <w:p w14:paraId="6D869807" w14:textId="77777777" w:rsidR="00C0147E" w:rsidRPr="00130A96" w:rsidRDefault="001175EF" w:rsidP="0057311D">
      <w:pPr>
        <w:pStyle w:val="Sraopastraipa"/>
        <w:numPr>
          <w:ilvl w:val="1"/>
          <w:numId w:val="5"/>
        </w:numPr>
        <w:tabs>
          <w:tab w:val="left" w:pos="850"/>
          <w:tab w:val="left" w:pos="852"/>
        </w:tabs>
        <w:ind w:left="567" w:hanging="567"/>
        <w:jc w:val="both"/>
      </w:pPr>
      <w:r w:rsidRPr="00130A96">
        <w:t>Dažniausi širdies nepakankamumo simptomai yra dusulys, nuolatinis nuovargis arba didelis nuovargis ir kulkšnių patinimas.</w:t>
      </w:r>
    </w:p>
    <w:p w14:paraId="6D869809" w14:textId="6F7BE273" w:rsidR="00C0147E" w:rsidRPr="00130A96" w:rsidRDefault="00873FCC" w:rsidP="0057311D">
      <w:pPr>
        <w:pStyle w:val="Sraopastraipa"/>
        <w:numPr>
          <w:ilvl w:val="1"/>
          <w:numId w:val="5"/>
        </w:numPr>
        <w:tabs>
          <w:tab w:val="left" w:pos="850"/>
        </w:tabs>
        <w:ind w:left="567" w:hanging="567"/>
        <w:jc w:val="both"/>
      </w:pPr>
      <w:proofErr w:type="spellStart"/>
      <w:r>
        <w:t>Dapagliflozin</w:t>
      </w:r>
      <w:proofErr w:type="spellEnd"/>
      <w:r>
        <w:t xml:space="preserve"> Olpha</w:t>
      </w:r>
      <w:r w:rsidR="001175EF" w:rsidRPr="00130A96">
        <w:t xml:space="preserve"> padeda išvengti širdies nepakankamumo pasunkėjimo ir palengvina simptomus. Šis</w:t>
      </w:r>
      <w:r w:rsidR="004453F3">
        <w:t xml:space="preserve"> </w:t>
      </w:r>
      <w:r w:rsidR="001175EF" w:rsidRPr="00130A96">
        <w:t>vaistas gali sumažinti poreikį vykti į ligoninę ir padėti kai kuriems pacientams išgyventi ilgiau.</w:t>
      </w:r>
    </w:p>
    <w:p w14:paraId="4A406B61" w14:textId="77777777" w:rsidR="004453F3" w:rsidRDefault="004453F3" w:rsidP="00130A96">
      <w:pPr>
        <w:pStyle w:val="Antrat2"/>
        <w:ind w:left="0"/>
      </w:pPr>
    </w:p>
    <w:p w14:paraId="6D86980A" w14:textId="0B28B14D" w:rsidR="00C0147E" w:rsidRPr="00130A96" w:rsidRDefault="001175EF" w:rsidP="00130A96">
      <w:pPr>
        <w:pStyle w:val="Antrat2"/>
        <w:ind w:left="0"/>
      </w:pPr>
      <w:r w:rsidRPr="00130A96">
        <w:t xml:space="preserve">Kas yra lėtinė inkstų liga ir kaip ja sergant padeda </w:t>
      </w:r>
      <w:proofErr w:type="spellStart"/>
      <w:r w:rsidR="00873FCC">
        <w:t>Dapagliflozin</w:t>
      </w:r>
      <w:proofErr w:type="spellEnd"/>
      <w:r w:rsidR="00873FCC">
        <w:t xml:space="preserve"> Olpha</w:t>
      </w:r>
      <w:r w:rsidRPr="00130A96">
        <w:t>?</w:t>
      </w:r>
    </w:p>
    <w:p w14:paraId="6D86980B" w14:textId="27F3431D" w:rsidR="00C0147E" w:rsidRPr="00130A96" w:rsidRDefault="001175EF" w:rsidP="002E583A">
      <w:pPr>
        <w:pStyle w:val="Sraopastraipa"/>
        <w:numPr>
          <w:ilvl w:val="1"/>
          <w:numId w:val="5"/>
        </w:numPr>
        <w:tabs>
          <w:tab w:val="left" w:pos="852"/>
        </w:tabs>
        <w:ind w:left="567" w:hanging="567"/>
      </w:pPr>
      <w:r w:rsidRPr="00130A96">
        <w:t xml:space="preserve">Sergant lėtine inkstų liga, palaipsniui </w:t>
      </w:r>
      <w:r w:rsidR="007F7793">
        <w:t xml:space="preserve">gali </w:t>
      </w:r>
      <w:r w:rsidRPr="00130A96">
        <w:t>silpnė</w:t>
      </w:r>
      <w:r w:rsidR="007F7793">
        <w:t>ti</w:t>
      </w:r>
      <w:r w:rsidRPr="00130A96">
        <w:t xml:space="preserve"> inkstų funkcija</w:t>
      </w:r>
      <w:r w:rsidR="00723B4F">
        <w:t>.</w:t>
      </w:r>
      <w:r w:rsidRPr="00130A96">
        <w:t xml:space="preserve"> </w:t>
      </w:r>
      <w:r w:rsidR="00723B4F">
        <w:t>T</w:t>
      </w:r>
      <w:r w:rsidRPr="00130A96">
        <w:t>odėl jie nebegali valyti ir filtruoti kraujo kaip turėtų. Dėl inkstų funkcijos silpnėjimo gali sunkiai sutrikti sveikata ir tekti gydytis ligoninėje.</w:t>
      </w:r>
    </w:p>
    <w:p w14:paraId="6D86980C" w14:textId="67F376F3" w:rsidR="00C0147E" w:rsidRDefault="00873FCC" w:rsidP="002E583A">
      <w:pPr>
        <w:pStyle w:val="Sraopastraipa"/>
        <w:numPr>
          <w:ilvl w:val="1"/>
          <w:numId w:val="5"/>
        </w:numPr>
        <w:tabs>
          <w:tab w:val="left" w:pos="852"/>
        </w:tabs>
        <w:ind w:left="567" w:hanging="567"/>
      </w:pPr>
      <w:proofErr w:type="spellStart"/>
      <w:r>
        <w:t>Dapagliflozin</w:t>
      </w:r>
      <w:proofErr w:type="spellEnd"/>
      <w:r>
        <w:t xml:space="preserve"> Olpha</w:t>
      </w:r>
      <w:r w:rsidR="001175EF" w:rsidRPr="00130A96">
        <w:t xml:space="preserve"> padeda apsaugoti inkstus, kad jų funkcija nesilpnėtų. Tai gali padėti prailginti kai kurių pacientų gyvenimą.</w:t>
      </w:r>
    </w:p>
    <w:p w14:paraId="57184D2C" w14:textId="77777777" w:rsidR="002E583A" w:rsidRDefault="002E583A" w:rsidP="002E583A">
      <w:pPr>
        <w:pStyle w:val="Sraopastraipa"/>
        <w:tabs>
          <w:tab w:val="left" w:pos="852"/>
        </w:tabs>
        <w:ind w:left="0" w:firstLine="0"/>
      </w:pPr>
    </w:p>
    <w:p w14:paraId="1D3D0C4E" w14:textId="77777777" w:rsidR="002E583A" w:rsidRPr="00130A96" w:rsidRDefault="002E583A" w:rsidP="002E583A">
      <w:pPr>
        <w:pStyle w:val="Sraopastraipa"/>
        <w:tabs>
          <w:tab w:val="left" w:pos="852"/>
        </w:tabs>
        <w:ind w:left="0" w:firstLine="0"/>
      </w:pPr>
    </w:p>
    <w:p w14:paraId="2927113C" w14:textId="33969C16" w:rsidR="002E583A" w:rsidRDefault="001175EF" w:rsidP="002E583A">
      <w:pPr>
        <w:pStyle w:val="Antrat2"/>
        <w:numPr>
          <w:ilvl w:val="0"/>
          <w:numId w:val="5"/>
        </w:numPr>
        <w:tabs>
          <w:tab w:val="left" w:pos="852"/>
        </w:tabs>
        <w:ind w:left="567"/>
      </w:pPr>
      <w:r w:rsidRPr="00130A96">
        <w:t xml:space="preserve">Kas žinotina prieš vartojant </w:t>
      </w:r>
      <w:proofErr w:type="spellStart"/>
      <w:r w:rsidR="00873FCC">
        <w:t>Dapagliflozin</w:t>
      </w:r>
      <w:proofErr w:type="spellEnd"/>
      <w:r w:rsidR="00873FCC">
        <w:t xml:space="preserve"> Olpha</w:t>
      </w:r>
    </w:p>
    <w:p w14:paraId="0496E5A5" w14:textId="77777777" w:rsidR="002E583A" w:rsidRDefault="002E583A" w:rsidP="002E583A">
      <w:pPr>
        <w:pStyle w:val="Antrat2"/>
        <w:tabs>
          <w:tab w:val="left" w:pos="852"/>
        </w:tabs>
        <w:ind w:left="0"/>
      </w:pPr>
    </w:p>
    <w:p w14:paraId="6D86980D" w14:textId="6BB583E6" w:rsidR="00C0147E" w:rsidRPr="00130A96" w:rsidRDefault="00873FCC" w:rsidP="002E583A">
      <w:pPr>
        <w:pStyle w:val="Antrat2"/>
        <w:tabs>
          <w:tab w:val="left" w:pos="852"/>
        </w:tabs>
        <w:ind w:left="0"/>
      </w:pPr>
      <w:proofErr w:type="spellStart"/>
      <w:r>
        <w:t>Dapagliflozin</w:t>
      </w:r>
      <w:proofErr w:type="spellEnd"/>
      <w:r>
        <w:t xml:space="preserve"> Olpha</w:t>
      </w:r>
      <w:r w:rsidR="001175EF" w:rsidRPr="00130A96">
        <w:t xml:space="preserve"> vartoti draudžiama</w:t>
      </w:r>
    </w:p>
    <w:p w14:paraId="6D86980E" w14:textId="6D6A6C02" w:rsidR="00C0147E" w:rsidRPr="00130A96" w:rsidRDefault="001175EF" w:rsidP="00715FE7">
      <w:pPr>
        <w:pStyle w:val="Pagrindinistekstas"/>
        <w:numPr>
          <w:ilvl w:val="2"/>
          <w:numId w:val="22"/>
        </w:numPr>
        <w:tabs>
          <w:tab w:val="left" w:pos="567"/>
        </w:tabs>
        <w:ind w:left="567" w:hanging="567"/>
      </w:pPr>
      <w:r w:rsidRPr="00130A96">
        <w:t>jeigu yra alergija dapagliflozinui arba bet kuriai pagalbinei šio vaisto medžiagai (jos išvardytos 6</w:t>
      </w:r>
      <w:r w:rsidR="00873FCC">
        <w:t> skyriuje</w:t>
      </w:r>
      <w:r w:rsidRPr="00130A96">
        <w:t>).</w:t>
      </w:r>
    </w:p>
    <w:p w14:paraId="6D86980F" w14:textId="77777777" w:rsidR="00C0147E" w:rsidRPr="00130A96" w:rsidRDefault="00C0147E" w:rsidP="00130A96">
      <w:pPr>
        <w:pStyle w:val="Pagrindinistekstas"/>
      </w:pPr>
    </w:p>
    <w:p w14:paraId="6D869810" w14:textId="77777777" w:rsidR="00C0147E" w:rsidRPr="00130A96" w:rsidRDefault="001175EF" w:rsidP="00130A96">
      <w:pPr>
        <w:pStyle w:val="Antrat2"/>
        <w:ind w:left="0"/>
      </w:pPr>
      <w:r w:rsidRPr="00130A96">
        <w:t>Įspėjimai ir atsargumo priemonės</w:t>
      </w:r>
    </w:p>
    <w:p w14:paraId="6D869811" w14:textId="63844CC0" w:rsidR="00C0147E" w:rsidRPr="00130A96" w:rsidRDefault="001175EF" w:rsidP="00130A96">
      <w:pPr>
        <w:rPr>
          <w:b/>
        </w:rPr>
      </w:pPr>
      <w:r w:rsidRPr="00130A96">
        <w:rPr>
          <w:b/>
        </w:rPr>
        <w:t>Nedelsdami kreipkitės į gydytoją arba artimiausią ligoninę</w:t>
      </w:r>
    </w:p>
    <w:p w14:paraId="6D869812" w14:textId="77777777" w:rsidR="00C0147E" w:rsidRPr="00130A96" w:rsidRDefault="00C0147E" w:rsidP="00130A96">
      <w:pPr>
        <w:pStyle w:val="Pagrindinistekstas"/>
        <w:rPr>
          <w:b/>
        </w:rPr>
      </w:pPr>
    </w:p>
    <w:p w14:paraId="6D869813" w14:textId="77777777" w:rsidR="00C0147E" w:rsidRPr="00130A96" w:rsidRDefault="001175EF" w:rsidP="00130A96">
      <w:pPr>
        <w:pStyle w:val="Pagrindinistekstas"/>
      </w:pPr>
      <w:r w:rsidRPr="00130A96">
        <w:t xml:space="preserve">Diabetinė </w:t>
      </w:r>
      <w:proofErr w:type="spellStart"/>
      <w:r w:rsidRPr="00130A96">
        <w:t>ketoacidozė</w:t>
      </w:r>
      <w:proofErr w:type="spellEnd"/>
      <w:r w:rsidRPr="00130A96">
        <w:t>:</w:t>
      </w:r>
    </w:p>
    <w:p w14:paraId="6D869814" w14:textId="33DD00ED" w:rsidR="00C0147E" w:rsidRPr="00130A96" w:rsidRDefault="001175EF" w:rsidP="002E583A">
      <w:pPr>
        <w:pStyle w:val="Sraopastraipa"/>
        <w:numPr>
          <w:ilvl w:val="1"/>
          <w:numId w:val="5"/>
        </w:numPr>
        <w:tabs>
          <w:tab w:val="left" w:pos="852"/>
        </w:tabs>
        <w:ind w:left="567" w:hanging="567"/>
      </w:pPr>
      <w:r w:rsidRPr="00130A96">
        <w:t>Jeigu sergate cukriniu diabetu ir Jums pasireiškė pykinimas ar vėmimas, pilvo skausmas, didelis troškulys, dažnas ir gilus kvėpavimas, sutrik</w:t>
      </w:r>
      <w:r w:rsidR="007865B1">
        <w:t>o</w:t>
      </w:r>
      <w:r w:rsidRPr="00130A96">
        <w:t xml:space="preserve"> orientacija, atsira</w:t>
      </w:r>
      <w:r w:rsidR="007865B1">
        <w:t>do</w:t>
      </w:r>
      <w:r w:rsidRPr="00130A96">
        <w:t xml:space="preserve"> neįprastas mieguistumas ar silpnumas, saldus kvapas iš burnos, saldus ar metalo skonis, paki</w:t>
      </w:r>
      <w:r w:rsidR="007865B1">
        <w:t>to</w:t>
      </w:r>
      <w:r w:rsidRPr="00130A96">
        <w:t xml:space="preserve"> šlapimo ar prakaito kvapas arba greitai </w:t>
      </w:r>
      <w:r w:rsidR="00981020">
        <w:t xml:space="preserve">pradėjo </w:t>
      </w:r>
      <w:r w:rsidRPr="00130A96">
        <w:t>mažėti Jūsų svoris.</w:t>
      </w:r>
    </w:p>
    <w:p w14:paraId="6D869816" w14:textId="27633EF4" w:rsidR="00C0147E" w:rsidRPr="00130A96" w:rsidRDefault="001175EF" w:rsidP="002E583A">
      <w:pPr>
        <w:pStyle w:val="Sraopastraipa"/>
        <w:numPr>
          <w:ilvl w:val="1"/>
          <w:numId w:val="5"/>
        </w:numPr>
        <w:tabs>
          <w:tab w:val="left" w:pos="852"/>
        </w:tabs>
        <w:ind w:left="567" w:hanging="567"/>
      </w:pPr>
      <w:r w:rsidRPr="00130A96">
        <w:t xml:space="preserve">Šie simptomai gali rodyti diabetinę </w:t>
      </w:r>
      <w:proofErr w:type="spellStart"/>
      <w:r w:rsidRPr="00130A96">
        <w:t>ketoacidozę</w:t>
      </w:r>
      <w:proofErr w:type="spellEnd"/>
      <w:r w:rsidRPr="00130A96">
        <w:t xml:space="preserve"> – retą, bet sunkią ir kartais gyvybei</w:t>
      </w:r>
      <w:r w:rsidR="002E583A">
        <w:t xml:space="preserve"> </w:t>
      </w:r>
      <w:r w:rsidR="00621EF3" w:rsidRPr="00130A96">
        <w:t xml:space="preserve">pavojingą </w:t>
      </w:r>
      <w:r w:rsidRPr="00130A96">
        <w:t xml:space="preserve">būklę, kuri gali pasireikšti sergant cukriniu diabetu, kai padidėja </w:t>
      </w:r>
      <w:proofErr w:type="spellStart"/>
      <w:r w:rsidRPr="00130A96">
        <w:t>ketoninių</w:t>
      </w:r>
      <w:proofErr w:type="spellEnd"/>
      <w:r w:rsidRPr="00130A96">
        <w:t xml:space="preserve"> kūnų kiekis šlapime </w:t>
      </w:r>
      <w:r w:rsidR="00621EF3">
        <w:t xml:space="preserve">ar </w:t>
      </w:r>
      <w:r w:rsidR="00621EF3" w:rsidRPr="00130A96">
        <w:t xml:space="preserve">kraujyje </w:t>
      </w:r>
      <w:r w:rsidRPr="00130A96">
        <w:t>(tai nustatoma tiriant kraują</w:t>
      </w:r>
      <w:r w:rsidR="00EB7592">
        <w:t>)</w:t>
      </w:r>
      <w:r w:rsidRPr="00130A96">
        <w:t>.</w:t>
      </w:r>
    </w:p>
    <w:p w14:paraId="6D869817" w14:textId="05E46889" w:rsidR="00C0147E" w:rsidRPr="00130A96" w:rsidRDefault="001175EF" w:rsidP="002E583A">
      <w:pPr>
        <w:pStyle w:val="Sraopastraipa"/>
        <w:numPr>
          <w:ilvl w:val="1"/>
          <w:numId w:val="5"/>
        </w:numPr>
        <w:tabs>
          <w:tab w:val="left" w:pos="852"/>
        </w:tabs>
        <w:ind w:left="567" w:hanging="567"/>
      </w:pPr>
      <w:r w:rsidRPr="00130A96">
        <w:t xml:space="preserve">Diabetinės </w:t>
      </w:r>
      <w:proofErr w:type="spellStart"/>
      <w:r w:rsidRPr="00130A96">
        <w:t>ketoacidozės</w:t>
      </w:r>
      <w:proofErr w:type="spellEnd"/>
      <w:r w:rsidRPr="00130A96">
        <w:t xml:space="preserve"> rizika gali padidėti ilgai badaujant, piktnaudžiaujant alkoholiniais gėrimais, netekus daug skysčių</w:t>
      </w:r>
      <w:r w:rsidR="00131D52">
        <w:t xml:space="preserve"> (dehidratacija)</w:t>
      </w:r>
      <w:r w:rsidRPr="00130A96">
        <w:t>, greitai sumažinus insulino dozę arba padidėjus jo poreikiui dėl didelės apimties operacijos arba sunkios ligos).</w:t>
      </w:r>
    </w:p>
    <w:p w14:paraId="6D869818" w14:textId="5236D4E2" w:rsidR="00C0147E" w:rsidRPr="00130A96" w:rsidRDefault="001175EF" w:rsidP="002E583A">
      <w:pPr>
        <w:pStyle w:val="Sraopastraipa"/>
        <w:numPr>
          <w:ilvl w:val="1"/>
          <w:numId w:val="5"/>
        </w:numPr>
        <w:tabs>
          <w:tab w:val="left" w:pos="852"/>
        </w:tabs>
        <w:ind w:left="567" w:hanging="567"/>
      </w:pPr>
      <w:r w:rsidRPr="00130A96">
        <w:t xml:space="preserve">Vartojant </w:t>
      </w:r>
      <w:proofErr w:type="spellStart"/>
      <w:r w:rsidR="00873FCC">
        <w:t>Dapagliflozin</w:t>
      </w:r>
      <w:proofErr w:type="spellEnd"/>
      <w:r w:rsidR="00873FCC">
        <w:t xml:space="preserve"> Olpha</w:t>
      </w:r>
      <w:r w:rsidRPr="00130A96">
        <w:t xml:space="preserve">, diabetinė </w:t>
      </w:r>
      <w:proofErr w:type="spellStart"/>
      <w:r w:rsidRPr="00130A96">
        <w:t>ketoacidozė</w:t>
      </w:r>
      <w:proofErr w:type="spellEnd"/>
      <w:r w:rsidRPr="00130A96">
        <w:t xml:space="preserve"> gali pasireikšti net kai cukraus kiekis kraujyje yra normalus.</w:t>
      </w:r>
    </w:p>
    <w:p w14:paraId="6D869819" w14:textId="586CCBA3" w:rsidR="00C0147E" w:rsidRDefault="001175EF" w:rsidP="00130A96">
      <w:pPr>
        <w:pStyle w:val="Pagrindinistekstas"/>
      </w:pPr>
      <w:r w:rsidRPr="00130A96">
        <w:t xml:space="preserve">Įtarę, kad Jums pasireiškė diabetinė </w:t>
      </w:r>
      <w:proofErr w:type="spellStart"/>
      <w:r w:rsidRPr="00130A96">
        <w:t>ketoacidozė</w:t>
      </w:r>
      <w:proofErr w:type="spellEnd"/>
      <w:r w:rsidRPr="00130A96">
        <w:t>, nedelsdami kreipkitės į gydytoją arba artimiausią ligoninę, o šio vaisto nevartokite.</w:t>
      </w:r>
    </w:p>
    <w:p w14:paraId="7C70C379" w14:textId="77777777" w:rsidR="00E26D43" w:rsidRPr="00130A96" w:rsidRDefault="00E26D43" w:rsidP="00130A96">
      <w:pPr>
        <w:pStyle w:val="Pagrindinistekstas"/>
      </w:pPr>
    </w:p>
    <w:p w14:paraId="6D86981A" w14:textId="77777777" w:rsidR="00C0147E" w:rsidRPr="00DF019D" w:rsidRDefault="001175EF" w:rsidP="69626C30">
      <w:pPr>
        <w:pStyle w:val="Pagrindinistekstas"/>
      </w:pPr>
      <w:proofErr w:type="spellStart"/>
      <w:r>
        <w:t>Tarpvietės</w:t>
      </w:r>
      <w:proofErr w:type="spellEnd"/>
      <w:r>
        <w:t xml:space="preserve"> </w:t>
      </w:r>
      <w:proofErr w:type="spellStart"/>
      <w:r>
        <w:t>nekrozinis</w:t>
      </w:r>
      <w:proofErr w:type="spellEnd"/>
      <w:r>
        <w:t xml:space="preserve"> </w:t>
      </w:r>
      <w:proofErr w:type="spellStart"/>
      <w:r>
        <w:t>fascitas</w:t>
      </w:r>
      <w:proofErr w:type="spellEnd"/>
      <w:r>
        <w:t>:</w:t>
      </w:r>
    </w:p>
    <w:p w14:paraId="6D86981B" w14:textId="77777777" w:rsidR="00C0147E" w:rsidRPr="00130A96" w:rsidRDefault="001175EF" w:rsidP="00E26D43">
      <w:pPr>
        <w:pStyle w:val="Sraopastraipa"/>
        <w:numPr>
          <w:ilvl w:val="1"/>
          <w:numId w:val="5"/>
        </w:numPr>
        <w:tabs>
          <w:tab w:val="left" w:pos="852"/>
        </w:tabs>
        <w:ind w:left="567" w:hanging="567"/>
      </w:pPr>
      <w:r>
        <w:t xml:space="preserve">Nedelsdami pasikonsultuokite su gydytoju, jeigu pasireikštų simptomų derinys, kurį sudaro skausmas, skausmingumas, paraudimas ar patinimas lytinių organų srityje arba tarp jų ir išeinamosios angos kartu su karščiavimu ar bendru negalavimu. Šie simptomai gali rodyti retą, bet sunkią ir net galinčią sukelti pavojų gyvybei infekciją, vadinamą </w:t>
      </w:r>
      <w:proofErr w:type="spellStart"/>
      <w:r>
        <w:t>tarpvietės</w:t>
      </w:r>
      <w:proofErr w:type="spellEnd"/>
      <w:r>
        <w:t xml:space="preserve"> </w:t>
      </w:r>
      <w:proofErr w:type="spellStart"/>
      <w:r>
        <w:t>nekrozuojančiu</w:t>
      </w:r>
      <w:proofErr w:type="spellEnd"/>
      <w:r>
        <w:t xml:space="preserve"> </w:t>
      </w:r>
      <w:proofErr w:type="spellStart"/>
      <w:r>
        <w:t>fascitu</w:t>
      </w:r>
      <w:proofErr w:type="spellEnd"/>
      <w:r>
        <w:t xml:space="preserve"> (</w:t>
      </w:r>
      <w:proofErr w:type="spellStart"/>
      <w:r w:rsidRPr="69626C30">
        <w:rPr>
          <w:i/>
          <w:iCs/>
        </w:rPr>
        <w:t>Fournier</w:t>
      </w:r>
      <w:proofErr w:type="spellEnd"/>
      <w:r w:rsidRPr="69626C30">
        <w:rPr>
          <w:i/>
          <w:iCs/>
        </w:rPr>
        <w:t xml:space="preserve"> </w:t>
      </w:r>
      <w:r>
        <w:t xml:space="preserve">gangrena), dėl kurios suyra poodinis audinys. </w:t>
      </w:r>
      <w:proofErr w:type="spellStart"/>
      <w:r w:rsidRPr="69626C30">
        <w:rPr>
          <w:i/>
          <w:iCs/>
        </w:rPr>
        <w:t>Fournier</w:t>
      </w:r>
      <w:proofErr w:type="spellEnd"/>
      <w:r w:rsidRPr="69626C30">
        <w:rPr>
          <w:i/>
          <w:iCs/>
        </w:rPr>
        <w:t xml:space="preserve"> </w:t>
      </w:r>
      <w:r>
        <w:t>gangreną reikia skubiai gydyti.</w:t>
      </w:r>
    </w:p>
    <w:p w14:paraId="0769DA93" w14:textId="77777777" w:rsidR="00E26D43" w:rsidRDefault="00E26D43" w:rsidP="00130A96">
      <w:pPr>
        <w:pStyle w:val="Antrat2"/>
        <w:ind w:left="0"/>
      </w:pPr>
    </w:p>
    <w:p w14:paraId="6D86981C" w14:textId="7565001B" w:rsidR="00C0147E" w:rsidRPr="00130A96" w:rsidRDefault="06F17FB1" w:rsidP="00130A96">
      <w:pPr>
        <w:pStyle w:val="Antrat2"/>
        <w:ind w:left="0"/>
      </w:pPr>
      <w:r w:rsidRPr="69626C30">
        <w:rPr>
          <w:lang w:val="lt"/>
        </w:rPr>
        <w:t xml:space="preserve">Pasitarkite su gydytoju, vaistininku arba slaugytoju, prieš pradėdami vartoti </w:t>
      </w:r>
      <w:proofErr w:type="spellStart"/>
      <w:r w:rsidR="00873FCC">
        <w:t>Dapagliflozin</w:t>
      </w:r>
      <w:proofErr w:type="spellEnd"/>
      <w:r w:rsidR="00873FCC">
        <w:t xml:space="preserve"> Olpha</w:t>
      </w:r>
    </w:p>
    <w:p w14:paraId="6D86981D" w14:textId="2A9B89FD" w:rsidR="00C0147E" w:rsidRPr="00130A96" w:rsidRDefault="001175EF" w:rsidP="00F365F2">
      <w:pPr>
        <w:pStyle w:val="Sraopastraipa"/>
        <w:numPr>
          <w:ilvl w:val="1"/>
          <w:numId w:val="5"/>
        </w:numPr>
        <w:tabs>
          <w:tab w:val="left" w:pos="852"/>
        </w:tabs>
        <w:ind w:left="567" w:hanging="567"/>
      </w:pPr>
      <w:r>
        <w:t>jeigu Jūs sergate 1</w:t>
      </w:r>
      <w:r w:rsidR="00873FCC">
        <w:t> tipo</w:t>
      </w:r>
      <w:r>
        <w:t xml:space="preserve"> diabetu (juo dažniausiai susergama </w:t>
      </w:r>
      <w:r w:rsidR="003A5221">
        <w:t>jauname amžiuje</w:t>
      </w:r>
      <w:r>
        <w:t xml:space="preserve">, kai organizmas visai negamina insulino) – šiai ligai gydyti </w:t>
      </w:r>
      <w:proofErr w:type="spellStart"/>
      <w:r w:rsidR="00873FCC">
        <w:t>Dapagliflozin</w:t>
      </w:r>
      <w:proofErr w:type="spellEnd"/>
      <w:r w:rsidR="00873FCC">
        <w:t xml:space="preserve"> Olpha</w:t>
      </w:r>
      <w:r>
        <w:t xml:space="preserve"> vartoti negalima;</w:t>
      </w:r>
    </w:p>
    <w:p w14:paraId="6D86981E" w14:textId="2AA2E655" w:rsidR="00C0147E" w:rsidRPr="00130A96" w:rsidRDefault="001175EF" w:rsidP="00F365F2">
      <w:pPr>
        <w:pStyle w:val="Sraopastraipa"/>
        <w:numPr>
          <w:ilvl w:val="1"/>
          <w:numId w:val="5"/>
        </w:numPr>
        <w:tabs>
          <w:tab w:val="left" w:pos="852"/>
        </w:tabs>
        <w:ind w:left="567" w:hanging="567"/>
      </w:pPr>
      <w:r>
        <w:lastRenderedPageBreak/>
        <w:t>jeigu sergate cukriniu diabetu ir</w:t>
      </w:r>
      <w:r w:rsidR="401830A3">
        <w:t xml:space="preserve"> </w:t>
      </w:r>
      <w:r w:rsidR="008E425A">
        <w:rPr>
          <w:lang w:val="lt"/>
        </w:rPr>
        <w:t>turite inkstų problemų</w:t>
      </w:r>
      <w:r>
        <w:t xml:space="preserve"> – tuomet Jūsų gydytojas gali patarti Jums vartoti papildomą arba kitą vaistą cukraus kiekiui kraujyje reguliuoti;</w:t>
      </w:r>
    </w:p>
    <w:p w14:paraId="6D869820" w14:textId="2AB35C51" w:rsidR="00C0147E" w:rsidRPr="00130A96" w:rsidRDefault="4EFEEE48" w:rsidP="00F365F2">
      <w:pPr>
        <w:pStyle w:val="Sraopastraipa"/>
        <w:numPr>
          <w:ilvl w:val="1"/>
          <w:numId w:val="5"/>
        </w:numPr>
        <w:tabs>
          <w:tab w:val="left" w:pos="852"/>
        </w:tabs>
        <w:ind w:left="567" w:hanging="567"/>
      </w:pPr>
      <w:r w:rsidRPr="69626C30">
        <w:rPr>
          <w:lang w:val="lt"/>
        </w:rPr>
        <w:t xml:space="preserve">jeigu </w:t>
      </w:r>
      <w:r w:rsidR="008E425A">
        <w:rPr>
          <w:lang w:val="lt"/>
        </w:rPr>
        <w:t>turite kepenų problemų</w:t>
      </w:r>
      <w:r w:rsidR="001175EF">
        <w:t xml:space="preserve"> – tuomet Jūsų gydytojas gali skirti mažesnę pradinę šio vaisto dozę;</w:t>
      </w:r>
    </w:p>
    <w:p w14:paraId="6D869821" w14:textId="4D87419A" w:rsidR="00C0147E" w:rsidRPr="00130A96" w:rsidRDefault="001175EF" w:rsidP="00F365F2">
      <w:pPr>
        <w:pStyle w:val="Sraopastraipa"/>
        <w:numPr>
          <w:ilvl w:val="1"/>
          <w:numId w:val="5"/>
        </w:numPr>
        <w:tabs>
          <w:tab w:val="left" w:pos="852"/>
        </w:tabs>
        <w:ind w:left="567" w:hanging="567"/>
      </w:pPr>
      <w:r>
        <w:t>jeigu vartojate kraujospūdį mažinančių (</w:t>
      </w:r>
      <w:proofErr w:type="spellStart"/>
      <w:r>
        <w:t>antihipertenzinių</w:t>
      </w:r>
      <w:proofErr w:type="spellEnd"/>
      <w:r>
        <w:t xml:space="preserve">) vaistų arba Jūsų kraujospūdis buvo ar yra sumažėjęs (ši būklė vadinama </w:t>
      </w:r>
      <w:proofErr w:type="spellStart"/>
      <w:r>
        <w:t>hipotenzija</w:t>
      </w:r>
      <w:proofErr w:type="spellEnd"/>
      <w:r>
        <w:t>). Daugiau informacijos apie tai pateikiama žemiau,</w:t>
      </w:r>
      <w:r w:rsidR="00873FCC">
        <w:t> skyriuje</w:t>
      </w:r>
      <w:r>
        <w:t xml:space="preserve"> „Kiti vaistai ir </w:t>
      </w:r>
      <w:proofErr w:type="spellStart"/>
      <w:r w:rsidR="00873FCC">
        <w:t>Dapagliflozin</w:t>
      </w:r>
      <w:proofErr w:type="spellEnd"/>
      <w:r w:rsidR="00873FCC">
        <w:t xml:space="preserve"> Olpha</w:t>
      </w:r>
      <w:r>
        <w:t>“;</w:t>
      </w:r>
    </w:p>
    <w:p w14:paraId="6D869822" w14:textId="1AF3BBD2" w:rsidR="00C0147E" w:rsidRPr="00130A96" w:rsidRDefault="001175EF" w:rsidP="00F365F2">
      <w:pPr>
        <w:pStyle w:val="Sraopastraipa"/>
        <w:numPr>
          <w:ilvl w:val="1"/>
          <w:numId w:val="5"/>
        </w:numPr>
        <w:tabs>
          <w:tab w:val="left" w:pos="850"/>
          <w:tab w:val="left" w:pos="852"/>
        </w:tabs>
        <w:ind w:left="567" w:hanging="567"/>
        <w:jc w:val="both"/>
      </w:pPr>
      <w:r>
        <w:t>jeigu cukraus kiekis Jūsų kraujyje yra labai didelis (dėl jo gali pasireikšti dehidratacija – per didelio skysčio kiekio netekimas). Galimi dehidratacijos požymiai išvardyti 4</w:t>
      </w:r>
      <w:r w:rsidR="00873FCC">
        <w:t> skyriuje</w:t>
      </w:r>
      <w:r>
        <w:t xml:space="preserve">. Jeigu jaučiate bent vieną iš </w:t>
      </w:r>
      <w:r w:rsidR="006365B7">
        <w:t>šių</w:t>
      </w:r>
      <w:r>
        <w:t xml:space="preserve"> išvardytų sutrikimų, apie tai pasakykite gydytojui, prieš pradėdami vartoti </w:t>
      </w:r>
      <w:proofErr w:type="spellStart"/>
      <w:r w:rsidR="00873FCC">
        <w:t>Dapagliflozin</w:t>
      </w:r>
      <w:proofErr w:type="spellEnd"/>
      <w:r w:rsidR="00873FCC">
        <w:t xml:space="preserve"> Olpha</w:t>
      </w:r>
      <w:r>
        <w:t>;</w:t>
      </w:r>
    </w:p>
    <w:p w14:paraId="6D869823" w14:textId="54FEA88D" w:rsidR="00C0147E" w:rsidRPr="00130A96" w:rsidRDefault="001175EF" w:rsidP="00F365F2">
      <w:pPr>
        <w:pStyle w:val="Sraopastraipa"/>
        <w:numPr>
          <w:ilvl w:val="1"/>
          <w:numId w:val="5"/>
        </w:numPr>
        <w:tabs>
          <w:tab w:val="left" w:pos="852"/>
        </w:tabs>
        <w:ind w:left="567" w:hanging="567"/>
      </w:pPr>
      <w:r>
        <w:t xml:space="preserve">jeigu pykina, vemiate arba pradėjote karščiuoti arba negalite valgyti ar gerti. Šios būklės gali sukelti dehidrataciją (skysčių netekimą). Tokiu atveju gydytojas gali patarti Jums laikinai (kol šie sutrikimai praeis) nutraukti </w:t>
      </w:r>
      <w:proofErr w:type="spellStart"/>
      <w:r w:rsidR="00873FCC">
        <w:t>Dapagliflozin</w:t>
      </w:r>
      <w:proofErr w:type="spellEnd"/>
      <w:r w:rsidR="00873FCC">
        <w:t xml:space="preserve"> Olpha</w:t>
      </w:r>
      <w:r>
        <w:t xml:space="preserve"> vartojimą, kad organizmas neprarastų per daug skysčio;</w:t>
      </w:r>
    </w:p>
    <w:p w14:paraId="6D869824" w14:textId="77777777" w:rsidR="00C0147E" w:rsidRPr="00130A96" w:rsidRDefault="001175EF" w:rsidP="00F365F2">
      <w:pPr>
        <w:pStyle w:val="Sraopastraipa"/>
        <w:numPr>
          <w:ilvl w:val="1"/>
          <w:numId w:val="5"/>
        </w:numPr>
        <w:tabs>
          <w:tab w:val="left" w:pos="852"/>
        </w:tabs>
        <w:ind w:left="567" w:hanging="567"/>
      </w:pPr>
      <w:r>
        <w:t>jeigu Jums dažnai kartojasi šlapimo takų infekcijos.</w:t>
      </w:r>
    </w:p>
    <w:p w14:paraId="6D869825" w14:textId="77777777" w:rsidR="00C0147E" w:rsidRPr="00130A96" w:rsidRDefault="00C0147E" w:rsidP="00130A96">
      <w:pPr>
        <w:pStyle w:val="Pagrindinistekstas"/>
      </w:pPr>
    </w:p>
    <w:p w14:paraId="6D9BC78A" w14:textId="6454B6C7" w:rsidR="32CE2F30" w:rsidRDefault="32CE2F30" w:rsidP="69626C30">
      <w:r w:rsidRPr="69626C30">
        <w:rPr>
          <w:lang w:val="lt"/>
        </w:rPr>
        <w:t xml:space="preserve">Jeigu Jums yra kuri nors iš anksčiau išvardytų problemų arba dėl to abejojate, tai prieš pradėdami vartoti </w:t>
      </w:r>
      <w:proofErr w:type="spellStart"/>
      <w:r>
        <w:t>Dapagliflozin</w:t>
      </w:r>
      <w:proofErr w:type="spellEnd"/>
      <w:r>
        <w:t xml:space="preserve"> Olpha</w:t>
      </w:r>
      <w:r w:rsidRPr="69626C30">
        <w:rPr>
          <w:lang w:val="lt"/>
        </w:rPr>
        <w:t xml:space="preserve"> pasitarkite su gydytoju, vaistininku arba slaugytoju.</w:t>
      </w:r>
    </w:p>
    <w:p w14:paraId="6D869827" w14:textId="77777777" w:rsidR="00C0147E" w:rsidRPr="00130A96" w:rsidRDefault="00C0147E" w:rsidP="00130A96">
      <w:pPr>
        <w:pStyle w:val="Pagrindinistekstas"/>
      </w:pPr>
    </w:p>
    <w:p w14:paraId="6D869828" w14:textId="77777777" w:rsidR="00C0147E" w:rsidRPr="00130A96" w:rsidRDefault="001175EF" w:rsidP="00130A96">
      <w:pPr>
        <w:pStyle w:val="Antrat2"/>
        <w:ind w:left="0"/>
      </w:pPr>
      <w:r w:rsidRPr="00130A96">
        <w:t>Cukrinis diabetas ir pėdų priežiūra</w:t>
      </w:r>
    </w:p>
    <w:p w14:paraId="6D869829" w14:textId="77777777" w:rsidR="00C0147E" w:rsidRPr="00130A96" w:rsidRDefault="001175EF" w:rsidP="00130A96">
      <w:pPr>
        <w:pStyle w:val="Pagrindinistekstas"/>
      </w:pPr>
      <w:r w:rsidRPr="00130A96">
        <w:t>Jeigu Jūs sergate cukriniu diabetu, tai svarbu reguliariai tikrinti pėdas ir laikytis visų kitų sveikatos priežiūros specialistų patarimų dėl jų priežiūros.</w:t>
      </w:r>
    </w:p>
    <w:p w14:paraId="6D86982A" w14:textId="77777777" w:rsidR="00C0147E" w:rsidRPr="00130A96" w:rsidRDefault="00C0147E" w:rsidP="00130A96">
      <w:pPr>
        <w:pStyle w:val="Pagrindinistekstas"/>
      </w:pPr>
    </w:p>
    <w:p w14:paraId="6D86982B" w14:textId="77777777" w:rsidR="00C0147E" w:rsidRPr="00130A96" w:rsidRDefault="001175EF" w:rsidP="00130A96">
      <w:pPr>
        <w:pStyle w:val="Antrat2"/>
        <w:ind w:left="0"/>
      </w:pPr>
      <w:r w:rsidRPr="00130A96">
        <w:t>Gliukozė šlapime</w:t>
      </w:r>
    </w:p>
    <w:p w14:paraId="6D86982C" w14:textId="4FAB5AD2" w:rsidR="00C0147E" w:rsidRPr="00130A96" w:rsidRDefault="001175EF" w:rsidP="00130A96">
      <w:pPr>
        <w:pStyle w:val="Pagrindinistekstas"/>
      </w:pPr>
      <w:r w:rsidRPr="00130A96">
        <w:t xml:space="preserve">Vartojant </w:t>
      </w:r>
      <w:proofErr w:type="spellStart"/>
      <w:r w:rsidR="00873FCC">
        <w:t>Dapagliflozin</w:t>
      </w:r>
      <w:proofErr w:type="spellEnd"/>
      <w:r w:rsidR="00873FCC">
        <w:t xml:space="preserve"> Olpha</w:t>
      </w:r>
      <w:r w:rsidRPr="00130A96">
        <w:t xml:space="preserve"> dėl jo poveikio bus teigiamas cukraus (gliukozės) šlapime mėginys.</w:t>
      </w:r>
    </w:p>
    <w:p w14:paraId="6D86982D" w14:textId="77777777" w:rsidR="00C0147E" w:rsidRPr="00130A96" w:rsidRDefault="00C0147E" w:rsidP="00130A96">
      <w:pPr>
        <w:pStyle w:val="Pagrindinistekstas"/>
      </w:pPr>
    </w:p>
    <w:p w14:paraId="6D86982E" w14:textId="77777777" w:rsidR="00C0147E" w:rsidRPr="00130A96" w:rsidRDefault="001175EF" w:rsidP="00130A96">
      <w:pPr>
        <w:pStyle w:val="Antrat2"/>
        <w:ind w:left="0"/>
      </w:pPr>
      <w:r w:rsidRPr="00130A96">
        <w:t>Vaikams ir paaugliams</w:t>
      </w:r>
    </w:p>
    <w:p w14:paraId="6D86982F" w14:textId="4E17415E" w:rsidR="00C0147E" w:rsidRPr="00130A96" w:rsidRDefault="00873FCC" w:rsidP="00130A96">
      <w:pPr>
        <w:pStyle w:val="Pagrindinistekstas"/>
      </w:pPr>
      <w:proofErr w:type="spellStart"/>
      <w:r>
        <w:t>Dapagliflozin</w:t>
      </w:r>
      <w:proofErr w:type="spellEnd"/>
      <w:r>
        <w:t xml:space="preserve"> Olpha</w:t>
      </w:r>
      <w:r w:rsidR="001175EF" w:rsidRPr="00130A96">
        <w:t xml:space="preserve"> galima vartoti 10</w:t>
      </w:r>
      <w:r w:rsidR="00795DAD">
        <w:t> </w:t>
      </w:r>
      <w:r w:rsidR="001175EF" w:rsidRPr="00130A96">
        <w:t>metų ir vyresniems vaikams 2</w:t>
      </w:r>
      <w:r>
        <w:t> tipo</w:t>
      </w:r>
      <w:r w:rsidR="001175EF" w:rsidRPr="00130A96">
        <w:t xml:space="preserve"> cukriniam diabetui gydyti. Jaunesniems kaip 10</w:t>
      </w:r>
      <w:r w:rsidR="006377D3">
        <w:t> </w:t>
      </w:r>
      <w:r w:rsidR="001175EF" w:rsidRPr="00130A96">
        <w:t>metų vaikams duomenų nėra.</w:t>
      </w:r>
    </w:p>
    <w:p w14:paraId="6D869830" w14:textId="77777777" w:rsidR="00C0147E" w:rsidRPr="00130A96" w:rsidRDefault="00C0147E" w:rsidP="00130A96">
      <w:pPr>
        <w:pStyle w:val="Pagrindinistekstas"/>
      </w:pPr>
    </w:p>
    <w:p w14:paraId="6D869831" w14:textId="702A1B42" w:rsidR="00C0147E" w:rsidRPr="00130A96" w:rsidRDefault="001175EF" w:rsidP="00130A96">
      <w:pPr>
        <w:pStyle w:val="Pagrindinistekstas"/>
      </w:pPr>
      <w:r w:rsidRPr="00130A96">
        <w:t>Vaikų ir paauglių iki 18</w:t>
      </w:r>
      <w:r w:rsidR="006377D3">
        <w:t> </w:t>
      </w:r>
      <w:r w:rsidRPr="00130A96">
        <w:t xml:space="preserve">metų širdies nepakankamumui ar lėtinei inkstų ligai gydyti </w:t>
      </w:r>
      <w:proofErr w:type="spellStart"/>
      <w:r w:rsidR="00873FCC">
        <w:t>Dapagliflozin</w:t>
      </w:r>
      <w:proofErr w:type="spellEnd"/>
      <w:r w:rsidR="00873FCC">
        <w:t xml:space="preserve"> Olpha</w:t>
      </w:r>
      <w:r w:rsidRPr="00130A96">
        <w:t xml:space="preserve"> vartoti nerekomenduojama, kadangi jo poveikis šiems pacientams netirtas.</w:t>
      </w:r>
    </w:p>
    <w:p w14:paraId="6D869832" w14:textId="77777777" w:rsidR="00C0147E" w:rsidRPr="00130A96" w:rsidRDefault="00C0147E" w:rsidP="00130A96">
      <w:pPr>
        <w:pStyle w:val="Pagrindinistekstas"/>
      </w:pPr>
    </w:p>
    <w:p w14:paraId="6D869833" w14:textId="0A8BA29B" w:rsidR="00C0147E" w:rsidRPr="00130A96" w:rsidRDefault="001175EF" w:rsidP="00130A96">
      <w:pPr>
        <w:pStyle w:val="Antrat2"/>
        <w:ind w:left="0"/>
      </w:pPr>
      <w:r w:rsidRPr="00130A96">
        <w:t xml:space="preserve">Kiti vaistai ir </w:t>
      </w:r>
      <w:proofErr w:type="spellStart"/>
      <w:r w:rsidR="00873FCC">
        <w:t>Dapagliflozin</w:t>
      </w:r>
      <w:proofErr w:type="spellEnd"/>
      <w:r w:rsidR="00873FCC">
        <w:t xml:space="preserve"> Olpha</w:t>
      </w:r>
    </w:p>
    <w:p w14:paraId="3E21E570" w14:textId="205A2BD1" w:rsidR="008D2D99" w:rsidRDefault="008D2D99" w:rsidP="008D2D99">
      <w:pPr>
        <w:pStyle w:val="Pagrindinistekstas"/>
        <w:kinsoku w:val="0"/>
        <w:overflowPunct w:val="0"/>
      </w:pPr>
      <w:r w:rsidRPr="00211C34">
        <w:t>Jeigu</w:t>
      </w:r>
      <w:r w:rsidRPr="00211C34">
        <w:rPr>
          <w:spacing w:val="-5"/>
        </w:rPr>
        <w:t xml:space="preserve"> </w:t>
      </w:r>
      <w:r w:rsidRPr="00211C34">
        <w:t>vartojate</w:t>
      </w:r>
      <w:r w:rsidRPr="00211C34">
        <w:rPr>
          <w:spacing w:val="-2"/>
        </w:rPr>
        <w:t xml:space="preserve"> </w:t>
      </w:r>
      <w:r w:rsidRPr="00211C34">
        <w:t>ar</w:t>
      </w:r>
      <w:r w:rsidRPr="00211C34">
        <w:rPr>
          <w:spacing w:val="-2"/>
        </w:rPr>
        <w:t xml:space="preserve"> </w:t>
      </w:r>
      <w:r w:rsidRPr="00211C34">
        <w:t>neseniai</w:t>
      </w:r>
      <w:r w:rsidRPr="00211C34">
        <w:rPr>
          <w:spacing w:val="-3"/>
        </w:rPr>
        <w:t xml:space="preserve"> </w:t>
      </w:r>
      <w:r w:rsidRPr="00211C34">
        <w:t>vartojote</w:t>
      </w:r>
      <w:r w:rsidRPr="00211C34">
        <w:rPr>
          <w:spacing w:val="-2"/>
        </w:rPr>
        <w:t xml:space="preserve"> </w:t>
      </w:r>
      <w:r w:rsidRPr="00211C34">
        <w:t>kitų</w:t>
      </w:r>
      <w:r w:rsidRPr="00211C34">
        <w:rPr>
          <w:spacing w:val="-5"/>
        </w:rPr>
        <w:t xml:space="preserve"> </w:t>
      </w:r>
      <w:r w:rsidRPr="00211C34">
        <w:t>vaistų arba</w:t>
      </w:r>
      <w:r w:rsidRPr="00211C34">
        <w:rPr>
          <w:spacing w:val="-2"/>
        </w:rPr>
        <w:t xml:space="preserve"> </w:t>
      </w:r>
      <w:r w:rsidRPr="00211C34">
        <w:t>dėl</w:t>
      </w:r>
      <w:r w:rsidRPr="00211C34">
        <w:rPr>
          <w:spacing w:val="-4"/>
        </w:rPr>
        <w:t xml:space="preserve"> </w:t>
      </w:r>
      <w:r w:rsidRPr="00211C34">
        <w:t>to</w:t>
      </w:r>
      <w:r w:rsidRPr="00211C34">
        <w:rPr>
          <w:spacing w:val="-2"/>
        </w:rPr>
        <w:t xml:space="preserve"> </w:t>
      </w:r>
      <w:r w:rsidRPr="00211C34">
        <w:t>nesate</w:t>
      </w:r>
      <w:r w:rsidRPr="00211C34">
        <w:rPr>
          <w:spacing w:val="-2"/>
        </w:rPr>
        <w:t xml:space="preserve"> </w:t>
      </w:r>
      <w:r w:rsidRPr="00211C34">
        <w:t>tikri,</w:t>
      </w:r>
      <w:r w:rsidRPr="00211C34">
        <w:rPr>
          <w:spacing w:val="-5"/>
        </w:rPr>
        <w:t xml:space="preserve"> </w:t>
      </w:r>
      <w:r w:rsidRPr="00211C34">
        <w:t>apie</w:t>
      </w:r>
      <w:r w:rsidRPr="00211C34">
        <w:rPr>
          <w:spacing w:val="-2"/>
        </w:rPr>
        <w:t xml:space="preserve"> </w:t>
      </w:r>
      <w:r w:rsidRPr="00211C34">
        <w:t>tai pasakykite</w:t>
      </w:r>
      <w:r w:rsidRPr="00211C34">
        <w:rPr>
          <w:spacing w:val="-2"/>
        </w:rPr>
        <w:t xml:space="preserve"> </w:t>
      </w:r>
      <w:r w:rsidRPr="00211C34">
        <w:t>gydytojui, vaistininkui arba slaugytoj</w:t>
      </w:r>
      <w:r>
        <w:t>u</w:t>
      </w:r>
      <w:r w:rsidRPr="00211C34">
        <w:t>i.</w:t>
      </w:r>
    </w:p>
    <w:p w14:paraId="356BC73D" w14:textId="77777777" w:rsidR="008D2D99" w:rsidRPr="00211C34" w:rsidRDefault="008D2D99" w:rsidP="008D2D99">
      <w:pPr>
        <w:pStyle w:val="Pagrindinistekstas"/>
        <w:kinsoku w:val="0"/>
        <w:overflowPunct w:val="0"/>
      </w:pPr>
      <w:r w:rsidRPr="00211C34">
        <w:t>Gydytojui pasakyti ypač svarbu:</w:t>
      </w:r>
    </w:p>
    <w:p w14:paraId="6D869835" w14:textId="77777777" w:rsidR="00C0147E" w:rsidRPr="00130A96" w:rsidRDefault="001175EF" w:rsidP="00AC7E5F">
      <w:pPr>
        <w:pStyle w:val="Sraopastraipa"/>
        <w:numPr>
          <w:ilvl w:val="1"/>
          <w:numId w:val="5"/>
        </w:numPr>
        <w:tabs>
          <w:tab w:val="left" w:pos="852"/>
        </w:tabs>
        <w:ind w:left="567" w:hanging="567"/>
      </w:pPr>
      <w:r>
        <w:t>jeigu Jūs vartojate vaistų, skatinančių vandens pasišalinimą iš organizmo (diuretikų);</w:t>
      </w:r>
    </w:p>
    <w:p w14:paraId="6D869836" w14:textId="68FCC835" w:rsidR="00C0147E" w:rsidRPr="00130A96" w:rsidRDefault="001175EF" w:rsidP="00AC7E5F">
      <w:pPr>
        <w:pStyle w:val="Sraopastraipa"/>
        <w:numPr>
          <w:ilvl w:val="1"/>
          <w:numId w:val="5"/>
        </w:numPr>
        <w:tabs>
          <w:tab w:val="left" w:pos="852"/>
        </w:tabs>
        <w:ind w:left="567" w:hanging="567"/>
      </w:pPr>
      <w:r>
        <w:t xml:space="preserve">jeigu Jūs vartojate kitų cukraus kiekį kraujyje mažinančių vaistų, pvz., insulino arba </w:t>
      </w:r>
      <w:proofErr w:type="spellStart"/>
      <w:r>
        <w:t>sulfonilkarbamid</w:t>
      </w:r>
      <w:r w:rsidR="00442ECA">
        <w:t>o</w:t>
      </w:r>
      <w:proofErr w:type="spellEnd"/>
      <w:r w:rsidR="00442ECA">
        <w:t xml:space="preserve"> darinių</w:t>
      </w:r>
      <w:r>
        <w:t xml:space="preserve"> grupės. Gydytojas gali patarti sumažinti šių vaistų dozes, kad per daug nesumažėtų cukraus kiekis Jūsų kraujyje (</w:t>
      </w:r>
      <w:proofErr w:type="spellStart"/>
      <w:r>
        <w:t>t.y</w:t>
      </w:r>
      <w:proofErr w:type="spellEnd"/>
      <w:r>
        <w:t>. kad išvengtumėte hipoglikemijos);</w:t>
      </w:r>
    </w:p>
    <w:p w14:paraId="6D869837" w14:textId="73744F3A" w:rsidR="00C0147E" w:rsidRPr="00130A96" w:rsidRDefault="001175EF" w:rsidP="00AC7E5F">
      <w:pPr>
        <w:pStyle w:val="Sraopastraipa"/>
        <w:numPr>
          <w:ilvl w:val="1"/>
          <w:numId w:val="5"/>
        </w:numPr>
        <w:tabs>
          <w:tab w:val="left" w:pos="852"/>
        </w:tabs>
        <w:ind w:left="567" w:hanging="567"/>
      </w:pPr>
      <w:r>
        <w:t>jeigu Jūs vartojate vaist</w:t>
      </w:r>
      <w:r w:rsidR="006B67C0">
        <w:t>o</w:t>
      </w:r>
      <w:r>
        <w:t>, kurio sudėtyje yra ličio (</w:t>
      </w:r>
      <w:proofErr w:type="spellStart"/>
      <w:r w:rsidR="00873FCC">
        <w:t>Dapagliflozin</w:t>
      </w:r>
      <w:proofErr w:type="spellEnd"/>
      <w:r w:rsidR="00873FCC">
        <w:t xml:space="preserve"> Olpha</w:t>
      </w:r>
      <w:r>
        <w:t xml:space="preserve"> gali sukelti ličio kiekio kraujyje sumažėjimą).</w:t>
      </w:r>
    </w:p>
    <w:p w14:paraId="6D869838" w14:textId="77777777" w:rsidR="00C0147E" w:rsidRPr="00130A96" w:rsidRDefault="00C0147E" w:rsidP="00130A96">
      <w:pPr>
        <w:pStyle w:val="Pagrindinistekstas"/>
      </w:pPr>
    </w:p>
    <w:p w14:paraId="6D869839" w14:textId="77777777" w:rsidR="00C0147E" w:rsidRPr="00130A96" w:rsidRDefault="001175EF" w:rsidP="00130A96">
      <w:pPr>
        <w:pStyle w:val="Antrat2"/>
        <w:ind w:left="0"/>
      </w:pPr>
      <w:r w:rsidRPr="00130A96">
        <w:t>Nėštumas ir žindymo laikotarpis</w:t>
      </w:r>
    </w:p>
    <w:p w14:paraId="6D86983A" w14:textId="246C6751" w:rsidR="00C0147E" w:rsidRPr="00130A96" w:rsidRDefault="001175EF" w:rsidP="00130A96">
      <w:pPr>
        <w:pStyle w:val="Pagrindinistekstas"/>
      </w:pPr>
      <w:r w:rsidRPr="00130A96">
        <w:t>Jeigu esate nėščia, žindote kūdikį, manote, kad galbūt esate nėščia arba planuojate pastoti, tai prieš vartodama š</w:t>
      </w:r>
      <w:r w:rsidR="004F1AEC">
        <w:t>io</w:t>
      </w:r>
      <w:r w:rsidRPr="00130A96">
        <w:t xml:space="preserve"> vaist</w:t>
      </w:r>
      <w:r w:rsidR="004F1AEC">
        <w:t>o</w:t>
      </w:r>
      <w:r w:rsidRPr="00130A96">
        <w:t xml:space="preserve"> pasitarkite su gydytoju arba vaistininku. Pastojus reikia nutraukti šio vaisto vartojimą, kadangi antrą ir trečią nėštumo trimestrus jis nerekomenduojamas. Kaip geriausia reguliuoti cukraus kiekį kraujyje nėštumo laikotarpiu, klauskite gydytojo.</w:t>
      </w:r>
    </w:p>
    <w:p w14:paraId="6D86983B" w14:textId="77777777" w:rsidR="00C0147E" w:rsidRPr="00130A96" w:rsidRDefault="00C0147E" w:rsidP="00130A96">
      <w:pPr>
        <w:pStyle w:val="Pagrindinistekstas"/>
      </w:pPr>
    </w:p>
    <w:p w14:paraId="6D86983C" w14:textId="44997AD0" w:rsidR="00C0147E" w:rsidRPr="00130A96" w:rsidRDefault="001175EF" w:rsidP="00130A96">
      <w:pPr>
        <w:pStyle w:val="Pagrindinistekstas"/>
      </w:pPr>
      <w:r w:rsidRPr="00130A96">
        <w:t>Jeigu žindote arba norite žindyti kūdikį, tai prieš vartodama š</w:t>
      </w:r>
      <w:r w:rsidR="004F1AEC">
        <w:t>io</w:t>
      </w:r>
      <w:r w:rsidRPr="00130A96">
        <w:t xml:space="preserve"> vaist</w:t>
      </w:r>
      <w:r w:rsidR="004F1AEC">
        <w:t>o</w:t>
      </w:r>
      <w:r w:rsidRPr="00130A96">
        <w:t xml:space="preserve"> pasitarkite su gydytoju. Žindymo laikotarpiu </w:t>
      </w:r>
      <w:proofErr w:type="spellStart"/>
      <w:r w:rsidR="00873FCC">
        <w:t>Dapagliflozin</w:t>
      </w:r>
      <w:proofErr w:type="spellEnd"/>
      <w:r w:rsidR="00873FCC">
        <w:t xml:space="preserve"> Olpha</w:t>
      </w:r>
      <w:r w:rsidRPr="00130A96">
        <w:t xml:space="preserve"> vartoti negalima. Ar šio vaisto </w:t>
      </w:r>
      <w:r w:rsidR="00867F85">
        <w:t>išsiskiria</w:t>
      </w:r>
      <w:r w:rsidRPr="00130A96">
        <w:t xml:space="preserve"> į </w:t>
      </w:r>
      <w:r w:rsidR="00442ECA">
        <w:t>gydytų moterų</w:t>
      </w:r>
      <w:r w:rsidR="00442ECA" w:rsidRPr="00130A96">
        <w:t xml:space="preserve"> </w:t>
      </w:r>
      <w:r w:rsidRPr="00130A96">
        <w:t>pieną, nežinoma.</w:t>
      </w:r>
    </w:p>
    <w:p w14:paraId="6D86983D" w14:textId="77777777" w:rsidR="00C0147E" w:rsidRPr="00130A96" w:rsidRDefault="00C0147E" w:rsidP="00130A96">
      <w:pPr>
        <w:pStyle w:val="Pagrindinistekstas"/>
      </w:pPr>
    </w:p>
    <w:p w14:paraId="6D86983E" w14:textId="77777777" w:rsidR="00C0147E" w:rsidRPr="00130A96" w:rsidRDefault="001175EF" w:rsidP="00130A96">
      <w:pPr>
        <w:pStyle w:val="Antrat2"/>
        <w:ind w:left="0"/>
      </w:pPr>
      <w:r w:rsidRPr="00130A96">
        <w:t>Vairavimas ir mechanizmų valdymas</w:t>
      </w:r>
    </w:p>
    <w:p w14:paraId="6D86983F" w14:textId="5838A87F" w:rsidR="00C0147E" w:rsidRPr="00130A96" w:rsidRDefault="00873FCC" w:rsidP="00130A96">
      <w:pPr>
        <w:pStyle w:val="Pagrindinistekstas"/>
      </w:pPr>
      <w:proofErr w:type="spellStart"/>
      <w:r>
        <w:t>Dapagliflozin</w:t>
      </w:r>
      <w:proofErr w:type="spellEnd"/>
      <w:r>
        <w:t xml:space="preserve"> Olpha</w:t>
      </w:r>
      <w:r w:rsidR="001175EF" w:rsidRPr="00130A96">
        <w:t xml:space="preserve"> gebėjimo vairuoti ir valdyti mechanizmus neveikia arba veikia nereikšmingai.</w:t>
      </w:r>
    </w:p>
    <w:p w14:paraId="6D869840" w14:textId="77777777" w:rsidR="00C0147E" w:rsidRPr="00130A96" w:rsidRDefault="00C0147E" w:rsidP="00130A96">
      <w:pPr>
        <w:pStyle w:val="Pagrindinistekstas"/>
      </w:pPr>
    </w:p>
    <w:p w14:paraId="6D869841" w14:textId="4F094412" w:rsidR="00C0147E" w:rsidRPr="00130A96" w:rsidRDefault="001175EF" w:rsidP="00130A96">
      <w:pPr>
        <w:pStyle w:val="Pagrindinistekstas"/>
      </w:pPr>
      <w:r w:rsidRPr="00130A96">
        <w:t>Vartojant š</w:t>
      </w:r>
      <w:r w:rsidR="00867F85">
        <w:t>io</w:t>
      </w:r>
      <w:r w:rsidRPr="00130A96">
        <w:t xml:space="preserve"> vaist</w:t>
      </w:r>
      <w:r w:rsidR="00867F85">
        <w:t>o</w:t>
      </w:r>
      <w:r w:rsidRPr="00130A96">
        <w:t xml:space="preserve"> kartu su kitais (</w:t>
      </w:r>
      <w:proofErr w:type="spellStart"/>
      <w:r w:rsidRPr="00130A96">
        <w:t>sulfonilkarbamid</w:t>
      </w:r>
      <w:r w:rsidR="008E37C3">
        <w:t>o</w:t>
      </w:r>
      <w:proofErr w:type="spellEnd"/>
      <w:r w:rsidR="008E37C3">
        <w:t xml:space="preserve"> dariniu</w:t>
      </w:r>
      <w:r w:rsidRPr="00130A96">
        <w:t xml:space="preserve"> arba insulinu), gali per daug sumažėti cukraus kiekis kraujyje (pasireikšti hipoglikemija) ir atsirasti tokių simptomų (drebulys, prakaitavimas, regos sutrikimų), dėl kurių gali sutrikti Jūsų gebėjimas vairuoti ir valdyti mechanizmus.</w:t>
      </w:r>
    </w:p>
    <w:p w14:paraId="760F11D8" w14:textId="77777777" w:rsidR="00C0147E" w:rsidRDefault="00C0147E" w:rsidP="00130A96">
      <w:pPr>
        <w:pStyle w:val="Pagrindinistekstas"/>
      </w:pPr>
    </w:p>
    <w:p w14:paraId="6D869843" w14:textId="72811933" w:rsidR="00C0147E" w:rsidRPr="00130A96" w:rsidRDefault="001175EF" w:rsidP="00130A96">
      <w:pPr>
        <w:pStyle w:val="Pagrindinistekstas"/>
      </w:pPr>
      <w:r w:rsidRPr="00130A96">
        <w:t xml:space="preserve">Jeigu vartojant </w:t>
      </w:r>
      <w:proofErr w:type="spellStart"/>
      <w:r w:rsidR="00873FCC">
        <w:t>Dapagliflozin</w:t>
      </w:r>
      <w:proofErr w:type="spellEnd"/>
      <w:r w:rsidR="00873FCC">
        <w:t xml:space="preserve"> Olpha</w:t>
      </w:r>
      <w:r w:rsidRPr="00130A96">
        <w:t xml:space="preserve"> Jums </w:t>
      </w:r>
      <w:r w:rsidR="003F3F7D">
        <w:t>pasireiškia svaigulys</w:t>
      </w:r>
      <w:r w:rsidRPr="00130A96">
        <w:t>, tai nevairuokite ir nedirbkite su jokiais įrankiais ar mechanizmais.</w:t>
      </w:r>
    </w:p>
    <w:p w14:paraId="6D869844" w14:textId="77777777" w:rsidR="00C0147E" w:rsidRPr="00130A96" w:rsidRDefault="00C0147E" w:rsidP="00130A96">
      <w:pPr>
        <w:pStyle w:val="Pagrindinistekstas"/>
      </w:pPr>
    </w:p>
    <w:p w14:paraId="6D869845" w14:textId="7D4A039A" w:rsidR="00C0147E" w:rsidRPr="00130A96" w:rsidRDefault="00873FCC" w:rsidP="00130A96">
      <w:pPr>
        <w:pStyle w:val="Antrat2"/>
        <w:ind w:left="0"/>
      </w:pPr>
      <w:proofErr w:type="spellStart"/>
      <w:r>
        <w:t>Dapagliflozin</w:t>
      </w:r>
      <w:proofErr w:type="spellEnd"/>
      <w:r>
        <w:t xml:space="preserve"> Olpha</w:t>
      </w:r>
      <w:r w:rsidR="001175EF" w:rsidRPr="00130A96">
        <w:t xml:space="preserve"> sudėtyje yra laktozės</w:t>
      </w:r>
    </w:p>
    <w:p w14:paraId="6D869846" w14:textId="0EE14BF0" w:rsidR="00C0147E" w:rsidRPr="00130A96" w:rsidRDefault="00873FCC" w:rsidP="00130A96">
      <w:pPr>
        <w:pStyle w:val="Pagrindinistekstas"/>
      </w:pPr>
      <w:proofErr w:type="spellStart"/>
      <w:r>
        <w:t>Dapagliflozin</w:t>
      </w:r>
      <w:proofErr w:type="spellEnd"/>
      <w:r>
        <w:t xml:space="preserve"> Olpha</w:t>
      </w:r>
      <w:r w:rsidR="001175EF" w:rsidRPr="00130A96">
        <w:t xml:space="preserve"> sudėtyje yra laktozės (pieno cukraus). Jeigu gydytojas Jums yra sakęs, kad netoleruojate kokių nors angliavandenių, kreipkitės į jį prieš pradėdami vartoti šį vaistą.</w:t>
      </w:r>
    </w:p>
    <w:p w14:paraId="6D869847" w14:textId="77777777" w:rsidR="00C0147E" w:rsidRPr="00130A96" w:rsidRDefault="00C0147E" w:rsidP="00130A96">
      <w:pPr>
        <w:pStyle w:val="Pagrindinistekstas"/>
      </w:pPr>
    </w:p>
    <w:p w14:paraId="6D869848" w14:textId="77777777" w:rsidR="00C0147E" w:rsidRPr="00130A96" w:rsidRDefault="00C0147E" w:rsidP="00130A96">
      <w:pPr>
        <w:pStyle w:val="Pagrindinistekstas"/>
      </w:pPr>
    </w:p>
    <w:p w14:paraId="6D869849" w14:textId="3074EC59" w:rsidR="00C0147E" w:rsidRPr="00130A96" w:rsidRDefault="001175EF" w:rsidP="006E021B">
      <w:pPr>
        <w:pStyle w:val="Antrat2"/>
        <w:numPr>
          <w:ilvl w:val="0"/>
          <w:numId w:val="5"/>
        </w:numPr>
        <w:tabs>
          <w:tab w:val="left" w:pos="852"/>
        </w:tabs>
        <w:ind w:left="567"/>
      </w:pPr>
      <w:r w:rsidRPr="00130A96">
        <w:t xml:space="preserve">Kaip vartoti </w:t>
      </w:r>
      <w:proofErr w:type="spellStart"/>
      <w:r w:rsidR="00873FCC">
        <w:t>Dapagliflozin</w:t>
      </w:r>
      <w:proofErr w:type="spellEnd"/>
      <w:r w:rsidR="00873FCC">
        <w:t xml:space="preserve"> Olpha</w:t>
      </w:r>
    </w:p>
    <w:p w14:paraId="6D86984A" w14:textId="77777777" w:rsidR="00C0147E" w:rsidRPr="00130A96" w:rsidRDefault="00C0147E" w:rsidP="00130A96">
      <w:pPr>
        <w:pStyle w:val="Pagrindinistekstas"/>
        <w:rPr>
          <w:b/>
        </w:rPr>
      </w:pPr>
    </w:p>
    <w:p w14:paraId="6D86984B" w14:textId="77777777" w:rsidR="00C0147E" w:rsidRDefault="001175EF" w:rsidP="00130A96">
      <w:pPr>
        <w:pStyle w:val="Pagrindinistekstas"/>
      </w:pPr>
      <w:r w:rsidRPr="00130A96">
        <w:t>Visada vartokite šį vaistą tiksliai, kaip nurodė gydytojas. Jeigu abejojate, kreipkitės į gydytoją, vaistininką arba slaugytoją.</w:t>
      </w:r>
    </w:p>
    <w:p w14:paraId="42AA32CD" w14:textId="77777777" w:rsidR="006E021B" w:rsidRPr="00130A96" w:rsidRDefault="006E021B" w:rsidP="00130A96">
      <w:pPr>
        <w:pStyle w:val="Pagrindinistekstas"/>
      </w:pPr>
    </w:p>
    <w:p w14:paraId="6D86984C" w14:textId="77777777" w:rsidR="00C0147E" w:rsidRPr="00130A96" w:rsidRDefault="001175EF" w:rsidP="00130A96">
      <w:pPr>
        <w:pStyle w:val="Antrat2"/>
        <w:ind w:left="0"/>
      </w:pPr>
      <w:r w:rsidRPr="00130A96">
        <w:t>Kiek šio vaisto vartoti?</w:t>
      </w:r>
    </w:p>
    <w:p w14:paraId="6D86984D" w14:textId="254C42A8" w:rsidR="00C0147E" w:rsidRPr="00130A96" w:rsidRDefault="001175EF" w:rsidP="006E021B">
      <w:pPr>
        <w:pStyle w:val="Sraopastraipa"/>
        <w:numPr>
          <w:ilvl w:val="1"/>
          <w:numId w:val="5"/>
        </w:numPr>
        <w:tabs>
          <w:tab w:val="left" w:pos="852"/>
        </w:tabs>
        <w:ind w:left="567" w:hanging="567"/>
      </w:pPr>
      <w:r w:rsidRPr="00130A96">
        <w:t>Rekomenduojama dozė yra viena 10</w:t>
      </w:r>
      <w:r w:rsidR="00873FCC">
        <w:t> mg</w:t>
      </w:r>
      <w:r w:rsidRPr="00130A96">
        <w:t xml:space="preserve"> tabletė 1</w:t>
      </w:r>
      <w:r w:rsidR="009833A4">
        <w:t> </w:t>
      </w:r>
      <w:r w:rsidRPr="00130A96">
        <w:t>kartą per parą.</w:t>
      </w:r>
    </w:p>
    <w:p w14:paraId="6D86984E" w14:textId="62A909B7" w:rsidR="00C0147E" w:rsidRPr="00130A96" w:rsidRDefault="001175EF" w:rsidP="006E021B">
      <w:pPr>
        <w:pStyle w:val="Sraopastraipa"/>
        <w:numPr>
          <w:ilvl w:val="1"/>
          <w:numId w:val="5"/>
        </w:numPr>
        <w:tabs>
          <w:tab w:val="left" w:pos="852"/>
        </w:tabs>
        <w:ind w:left="567" w:hanging="567"/>
      </w:pPr>
      <w:r w:rsidRPr="00130A96">
        <w:t xml:space="preserve">Jeigu </w:t>
      </w:r>
      <w:r w:rsidR="00881B98">
        <w:t>Jums yra</w:t>
      </w:r>
      <w:r w:rsidR="00881B98" w:rsidRPr="00211C34">
        <w:rPr>
          <w:spacing w:val="-3"/>
        </w:rPr>
        <w:t xml:space="preserve"> </w:t>
      </w:r>
      <w:r w:rsidR="00881B98" w:rsidRPr="00211C34">
        <w:t>kepen</w:t>
      </w:r>
      <w:r w:rsidR="00881B98">
        <w:t>ų sutrikimų</w:t>
      </w:r>
      <w:r w:rsidRPr="00130A96">
        <w:t>, gydytojas gali nurodyti pradėti gydymą nuo 5</w:t>
      </w:r>
      <w:r w:rsidR="00873FCC">
        <w:t> mg</w:t>
      </w:r>
      <w:r w:rsidRPr="00130A96">
        <w:t xml:space="preserve"> dozės.</w:t>
      </w:r>
    </w:p>
    <w:p w14:paraId="6D86984F" w14:textId="17B769BB" w:rsidR="00C0147E" w:rsidRPr="00130A96" w:rsidRDefault="001175EF" w:rsidP="006E021B">
      <w:pPr>
        <w:pStyle w:val="Sraopastraipa"/>
        <w:numPr>
          <w:ilvl w:val="1"/>
          <w:numId w:val="5"/>
        </w:numPr>
        <w:tabs>
          <w:tab w:val="left" w:pos="852"/>
        </w:tabs>
        <w:ind w:left="567" w:hanging="567"/>
      </w:pPr>
      <w:r w:rsidRPr="00130A96">
        <w:t>Reikiamo stiprumo tabletes Jums paskirs gydytojas.</w:t>
      </w:r>
    </w:p>
    <w:p w14:paraId="5DEF8136" w14:textId="77777777" w:rsidR="006E021B" w:rsidRDefault="006E021B" w:rsidP="00130A96">
      <w:pPr>
        <w:pStyle w:val="Antrat2"/>
        <w:ind w:left="0"/>
      </w:pPr>
    </w:p>
    <w:p w14:paraId="6D869850" w14:textId="02179659" w:rsidR="00C0147E" w:rsidRPr="00130A96" w:rsidRDefault="001175EF" w:rsidP="00130A96">
      <w:pPr>
        <w:pStyle w:val="Antrat2"/>
        <w:ind w:left="0"/>
      </w:pPr>
      <w:r w:rsidRPr="00130A96">
        <w:t>Šio vaisto vartojimas</w:t>
      </w:r>
    </w:p>
    <w:p w14:paraId="6D869851" w14:textId="77777777" w:rsidR="00C0147E" w:rsidRPr="00130A96" w:rsidRDefault="001175EF" w:rsidP="006E021B">
      <w:pPr>
        <w:pStyle w:val="Sraopastraipa"/>
        <w:numPr>
          <w:ilvl w:val="1"/>
          <w:numId w:val="5"/>
        </w:numPr>
        <w:tabs>
          <w:tab w:val="left" w:pos="852"/>
        </w:tabs>
        <w:ind w:left="567" w:hanging="567"/>
      </w:pPr>
      <w:r w:rsidRPr="00130A96">
        <w:t>Tabletę reikia nuryti nepažeistą, užgeriant puse stiklinės vandens.</w:t>
      </w:r>
    </w:p>
    <w:p w14:paraId="6D869852" w14:textId="44BCC50A" w:rsidR="00C0147E" w:rsidRPr="005F6ACC" w:rsidRDefault="005F6ACC" w:rsidP="005F6ACC">
      <w:pPr>
        <w:pStyle w:val="Sraopastraipa"/>
        <w:numPr>
          <w:ilvl w:val="1"/>
          <w:numId w:val="23"/>
        </w:numPr>
        <w:tabs>
          <w:tab w:val="left" w:pos="567"/>
        </w:tabs>
        <w:kinsoku w:val="0"/>
        <w:overflowPunct w:val="0"/>
        <w:adjustRightInd w:val="0"/>
        <w:ind w:left="567" w:hanging="567"/>
        <w:rPr>
          <w:spacing w:val="-2"/>
        </w:rPr>
      </w:pPr>
      <w:r>
        <w:t>T</w:t>
      </w:r>
      <w:r w:rsidRPr="00211C34">
        <w:t>abletes</w:t>
      </w:r>
      <w:r w:rsidRPr="00211C34">
        <w:rPr>
          <w:spacing w:val="-5"/>
        </w:rPr>
        <w:t xml:space="preserve"> </w:t>
      </w:r>
      <w:r w:rsidRPr="00211C34">
        <w:t>galima</w:t>
      </w:r>
      <w:r w:rsidRPr="00211C34">
        <w:rPr>
          <w:spacing w:val="-1"/>
        </w:rPr>
        <w:t xml:space="preserve"> </w:t>
      </w:r>
      <w:r w:rsidRPr="00211C34">
        <w:t>gerti</w:t>
      </w:r>
      <w:r w:rsidRPr="00211C34">
        <w:rPr>
          <w:spacing w:val="-2"/>
        </w:rPr>
        <w:t xml:space="preserve"> </w:t>
      </w:r>
      <w:r>
        <w:t>su maistu</w:t>
      </w:r>
      <w:r w:rsidRPr="00211C34">
        <w:rPr>
          <w:spacing w:val="-3"/>
        </w:rPr>
        <w:t xml:space="preserve"> </w:t>
      </w:r>
      <w:r w:rsidRPr="00211C34">
        <w:t>arba</w:t>
      </w:r>
      <w:r w:rsidRPr="00211C34">
        <w:rPr>
          <w:spacing w:val="-4"/>
        </w:rPr>
        <w:t xml:space="preserve"> </w:t>
      </w:r>
      <w:r>
        <w:rPr>
          <w:spacing w:val="-3"/>
        </w:rPr>
        <w:t>nevalgius</w:t>
      </w:r>
      <w:r w:rsidRPr="00211C34">
        <w:rPr>
          <w:spacing w:val="-2"/>
        </w:rPr>
        <w:t>.</w:t>
      </w:r>
    </w:p>
    <w:p w14:paraId="6D869853" w14:textId="77777777" w:rsidR="00C0147E" w:rsidRPr="00130A96" w:rsidRDefault="001175EF" w:rsidP="006E021B">
      <w:pPr>
        <w:pStyle w:val="Sraopastraipa"/>
        <w:numPr>
          <w:ilvl w:val="1"/>
          <w:numId w:val="5"/>
        </w:numPr>
        <w:tabs>
          <w:tab w:val="left" w:pos="852"/>
        </w:tabs>
        <w:ind w:left="567" w:hanging="567"/>
      </w:pPr>
      <w:r w:rsidRPr="00130A96">
        <w:t>Šias tabletes galima gerti bet kuriuo paros metu, tačiau stenkitės tą daryti kasdien tuo pačiu laiku – tai padės prisiminti.</w:t>
      </w:r>
    </w:p>
    <w:p w14:paraId="2DE2B23B" w14:textId="77777777" w:rsidR="006E021B" w:rsidRDefault="006E021B" w:rsidP="00130A96">
      <w:pPr>
        <w:pStyle w:val="Pagrindinistekstas"/>
      </w:pPr>
    </w:p>
    <w:p w14:paraId="6D869854" w14:textId="398FB70E" w:rsidR="00C0147E" w:rsidRPr="00130A96" w:rsidRDefault="001175EF" w:rsidP="00130A96">
      <w:pPr>
        <w:pStyle w:val="Pagrindinistekstas"/>
      </w:pPr>
      <w:r w:rsidRPr="00130A96">
        <w:t xml:space="preserve">Jūsų gydytojas gali nurodyti vartoti </w:t>
      </w:r>
      <w:proofErr w:type="spellStart"/>
      <w:r w:rsidR="00873FCC">
        <w:t>Dapagliflozin</w:t>
      </w:r>
      <w:proofErr w:type="spellEnd"/>
      <w:r w:rsidR="00873FCC">
        <w:t xml:space="preserve"> Olpha</w:t>
      </w:r>
      <w:r w:rsidRPr="00130A96">
        <w:t xml:space="preserve"> kartu su vienu ar keliais kitais vaistais. </w:t>
      </w:r>
      <w:r w:rsidR="005626FE" w:rsidRPr="00211C34">
        <w:t>Prisiminkite,</w:t>
      </w:r>
      <w:r w:rsidR="005626FE" w:rsidRPr="00211C34">
        <w:rPr>
          <w:spacing w:val="-2"/>
        </w:rPr>
        <w:t xml:space="preserve"> </w:t>
      </w:r>
      <w:r w:rsidR="005626FE" w:rsidRPr="00211C34">
        <w:t>kad</w:t>
      </w:r>
      <w:r w:rsidR="005626FE" w:rsidRPr="00211C34">
        <w:rPr>
          <w:spacing w:val="-2"/>
        </w:rPr>
        <w:t xml:space="preserve"> </w:t>
      </w:r>
      <w:r w:rsidR="005626FE" w:rsidRPr="00211C34">
        <w:t>ir kit</w:t>
      </w:r>
      <w:r w:rsidR="005626FE">
        <w:t>ų</w:t>
      </w:r>
      <w:r w:rsidR="005626FE" w:rsidRPr="00211C34">
        <w:rPr>
          <w:spacing w:val="-6"/>
        </w:rPr>
        <w:t xml:space="preserve"> </w:t>
      </w:r>
      <w:r w:rsidR="005626FE" w:rsidRPr="00211C34">
        <w:t>vaist</w:t>
      </w:r>
      <w:r w:rsidR="005626FE">
        <w:t>ų</w:t>
      </w:r>
      <w:r w:rsidR="005626FE" w:rsidRPr="00211C34">
        <w:rPr>
          <w:spacing w:val="-4"/>
        </w:rPr>
        <w:t xml:space="preserve"> </w:t>
      </w:r>
      <w:r w:rsidR="005626FE" w:rsidRPr="00211C34">
        <w:t>būtina</w:t>
      </w:r>
      <w:r w:rsidR="005626FE" w:rsidRPr="00211C34">
        <w:rPr>
          <w:spacing w:val="-4"/>
        </w:rPr>
        <w:t xml:space="preserve"> </w:t>
      </w:r>
      <w:r w:rsidR="005626FE" w:rsidRPr="00211C34">
        <w:t>vartoti</w:t>
      </w:r>
      <w:r w:rsidR="005626FE" w:rsidRPr="00211C34">
        <w:rPr>
          <w:spacing w:val="-6"/>
        </w:rPr>
        <w:t xml:space="preserve"> </w:t>
      </w:r>
      <w:r w:rsidR="005626FE">
        <w:rPr>
          <w:spacing w:val="-6"/>
        </w:rPr>
        <w:t xml:space="preserve">taip, </w:t>
      </w:r>
      <w:r w:rsidR="005626FE" w:rsidRPr="00211C34">
        <w:t>kaip</w:t>
      </w:r>
      <w:r w:rsidR="005626FE" w:rsidRPr="00211C34">
        <w:rPr>
          <w:spacing w:val="-4"/>
        </w:rPr>
        <w:t xml:space="preserve"> </w:t>
      </w:r>
      <w:r w:rsidR="005626FE" w:rsidRPr="00211C34">
        <w:t>nurodė</w:t>
      </w:r>
      <w:r w:rsidR="005626FE" w:rsidRPr="00211C34">
        <w:rPr>
          <w:spacing w:val="-4"/>
        </w:rPr>
        <w:t xml:space="preserve"> </w:t>
      </w:r>
      <w:r w:rsidR="005626FE" w:rsidRPr="00211C34">
        <w:t>gydytojas.</w:t>
      </w:r>
      <w:r w:rsidR="005626FE" w:rsidRPr="00211C34">
        <w:rPr>
          <w:spacing w:val="-4"/>
        </w:rPr>
        <w:t xml:space="preserve"> </w:t>
      </w:r>
      <w:r w:rsidR="005626FE" w:rsidRPr="00211C34">
        <w:t>Tai</w:t>
      </w:r>
      <w:r w:rsidR="005626FE" w:rsidRPr="00211C34">
        <w:rPr>
          <w:spacing w:val="-6"/>
        </w:rPr>
        <w:t xml:space="preserve"> </w:t>
      </w:r>
      <w:r w:rsidR="005626FE" w:rsidRPr="00211C34">
        <w:t>padės</w:t>
      </w:r>
      <w:r w:rsidR="005626FE" w:rsidRPr="00211C34">
        <w:rPr>
          <w:spacing w:val="-6"/>
        </w:rPr>
        <w:t xml:space="preserve"> </w:t>
      </w:r>
      <w:r w:rsidR="005626FE" w:rsidRPr="00211C34">
        <w:t>užtikrinti</w:t>
      </w:r>
      <w:r w:rsidR="005626FE" w:rsidRPr="00211C34">
        <w:rPr>
          <w:spacing w:val="-6"/>
        </w:rPr>
        <w:t xml:space="preserve"> </w:t>
      </w:r>
      <w:r w:rsidR="005626FE" w:rsidRPr="00211C34">
        <w:t>geriausią</w:t>
      </w:r>
      <w:r w:rsidR="005626FE" w:rsidRPr="00211C34">
        <w:rPr>
          <w:spacing w:val="-5"/>
        </w:rPr>
        <w:t xml:space="preserve"> </w:t>
      </w:r>
      <w:r w:rsidR="005626FE" w:rsidRPr="00211C34">
        <w:t>poveikį</w:t>
      </w:r>
      <w:r w:rsidR="005626FE" w:rsidRPr="00211C34">
        <w:rPr>
          <w:spacing w:val="-4"/>
        </w:rPr>
        <w:t xml:space="preserve"> </w:t>
      </w:r>
      <w:r w:rsidR="005626FE" w:rsidRPr="00211C34">
        <w:t>Jūsų</w:t>
      </w:r>
      <w:r w:rsidR="005626FE" w:rsidRPr="00211C34">
        <w:rPr>
          <w:spacing w:val="-3"/>
        </w:rPr>
        <w:t xml:space="preserve"> </w:t>
      </w:r>
      <w:r w:rsidR="005626FE" w:rsidRPr="00211C34">
        <w:rPr>
          <w:spacing w:val="-2"/>
        </w:rPr>
        <w:t>sveikatai.</w:t>
      </w:r>
    </w:p>
    <w:p w14:paraId="6D869855" w14:textId="77777777" w:rsidR="00C0147E" w:rsidRPr="00130A96" w:rsidRDefault="00C0147E" w:rsidP="00130A96">
      <w:pPr>
        <w:pStyle w:val="Pagrindinistekstas"/>
      </w:pPr>
    </w:p>
    <w:p w14:paraId="6D869856" w14:textId="52FA5A7D" w:rsidR="00C0147E" w:rsidRPr="00130A96" w:rsidRDefault="001175EF" w:rsidP="00130A96">
      <w:pPr>
        <w:pStyle w:val="Pagrindinistekstas"/>
      </w:pPr>
      <w:r w:rsidRPr="00130A96">
        <w:t xml:space="preserve">Dieta ir fizinis krūvis gali padėti organizmui geriau panaudoti kraujyje esantį cukrų. Jeigu Jūs sergate cukriniu diabetu, tai vartojant </w:t>
      </w:r>
      <w:proofErr w:type="spellStart"/>
      <w:r w:rsidR="00873FCC">
        <w:t>Dapagliflozin</w:t>
      </w:r>
      <w:proofErr w:type="spellEnd"/>
      <w:r w:rsidR="00873FCC">
        <w:t xml:space="preserve"> Olpha</w:t>
      </w:r>
      <w:r w:rsidRPr="00130A96">
        <w:t>, svarbu toliau laikytis gydytojo rekomenduotos dietos ir vykdyti fizinio krūvio programą.</w:t>
      </w:r>
    </w:p>
    <w:p w14:paraId="6D869857" w14:textId="77777777" w:rsidR="00C0147E" w:rsidRPr="00130A96" w:rsidRDefault="00C0147E" w:rsidP="00130A96">
      <w:pPr>
        <w:pStyle w:val="Pagrindinistekstas"/>
      </w:pPr>
    </w:p>
    <w:p w14:paraId="6D869858" w14:textId="450C86CE" w:rsidR="00C0147E" w:rsidRPr="00130A96" w:rsidRDefault="001175EF" w:rsidP="00130A96">
      <w:pPr>
        <w:pStyle w:val="Antrat2"/>
        <w:ind w:left="0"/>
      </w:pPr>
      <w:r w:rsidRPr="00130A96">
        <w:t xml:space="preserve">Ką daryti pavartojus per didelę </w:t>
      </w:r>
      <w:proofErr w:type="spellStart"/>
      <w:r w:rsidR="00873FCC">
        <w:t>Dapagliflozin</w:t>
      </w:r>
      <w:proofErr w:type="spellEnd"/>
      <w:r w:rsidR="00873FCC">
        <w:t xml:space="preserve"> Olpha</w:t>
      </w:r>
      <w:r w:rsidRPr="00130A96">
        <w:t xml:space="preserve"> dozę</w:t>
      </w:r>
    </w:p>
    <w:p w14:paraId="6D869859" w14:textId="03017CA8" w:rsidR="00C0147E" w:rsidRDefault="001175EF" w:rsidP="00130A96">
      <w:pPr>
        <w:pStyle w:val="Pagrindinistekstas"/>
      </w:pPr>
      <w:r w:rsidRPr="00130A96">
        <w:t xml:space="preserve">Jeigu išgertumėte per daug </w:t>
      </w:r>
      <w:proofErr w:type="spellStart"/>
      <w:r w:rsidR="00873FCC">
        <w:t>Dapagliflozin</w:t>
      </w:r>
      <w:proofErr w:type="spellEnd"/>
      <w:r w:rsidR="00873FCC">
        <w:t xml:space="preserve"> Olpha</w:t>
      </w:r>
      <w:r w:rsidRPr="00130A96">
        <w:t xml:space="preserve"> tablečių, nedelsdami pasitarkite su savo gydytoju arba vykite į ligoninę. Pasiimkite su savimi vaisto pakuotę.</w:t>
      </w:r>
    </w:p>
    <w:p w14:paraId="2D5A064E" w14:textId="77777777" w:rsidR="006E021B" w:rsidRPr="00130A96" w:rsidRDefault="006E021B" w:rsidP="00130A96">
      <w:pPr>
        <w:pStyle w:val="Pagrindinistekstas"/>
      </w:pPr>
    </w:p>
    <w:p w14:paraId="6D86985A" w14:textId="57F4C2EA" w:rsidR="00C0147E" w:rsidRPr="00130A96" w:rsidRDefault="001175EF" w:rsidP="00130A96">
      <w:pPr>
        <w:pStyle w:val="Antrat2"/>
        <w:ind w:left="0"/>
      </w:pPr>
      <w:r w:rsidRPr="00130A96">
        <w:t xml:space="preserve">Pamiršus pavartoti </w:t>
      </w:r>
      <w:proofErr w:type="spellStart"/>
      <w:r w:rsidR="00873FCC">
        <w:t>Dapagliflozin</w:t>
      </w:r>
      <w:proofErr w:type="spellEnd"/>
      <w:r w:rsidR="00873FCC">
        <w:t xml:space="preserve"> Olpha</w:t>
      </w:r>
    </w:p>
    <w:p w14:paraId="6D86985B" w14:textId="77777777" w:rsidR="00C0147E" w:rsidRPr="00130A96" w:rsidRDefault="001175EF" w:rsidP="00130A96">
      <w:pPr>
        <w:pStyle w:val="Pagrindinistekstas"/>
      </w:pPr>
      <w:r w:rsidRPr="00130A96">
        <w:t>Ką daryti užmiršus išgerti tabletę, priklauso nuo to, kiek liko laiko iki kitos dozės.</w:t>
      </w:r>
    </w:p>
    <w:p w14:paraId="6D86985C" w14:textId="78DA305A" w:rsidR="00C0147E" w:rsidRPr="00130A96" w:rsidRDefault="001175EF" w:rsidP="006E021B">
      <w:pPr>
        <w:pStyle w:val="Sraopastraipa"/>
        <w:numPr>
          <w:ilvl w:val="1"/>
          <w:numId w:val="5"/>
        </w:numPr>
        <w:tabs>
          <w:tab w:val="left" w:pos="852"/>
        </w:tabs>
        <w:ind w:left="567" w:hanging="567"/>
      </w:pPr>
      <w:r w:rsidRPr="00130A96">
        <w:t>Jeigu iki kitos dozės liko 12</w:t>
      </w:r>
      <w:r w:rsidR="00C43C23">
        <w:t> </w:t>
      </w:r>
      <w:r w:rsidRPr="00130A96">
        <w:t xml:space="preserve">val. arba daugiau, tai praleistą </w:t>
      </w:r>
      <w:proofErr w:type="spellStart"/>
      <w:r w:rsidR="00873FCC">
        <w:t>Dapagliflozin</w:t>
      </w:r>
      <w:proofErr w:type="spellEnd"/>
      <w:r w:rsidR="00873FCC">
        <w:t xml:space="preserve"> Olpha</w:t>
      </w:r>
      <w:r w:rsidRPr="00130A96">
        <w:t xml:space="preserve"> dozę išgerkite iškart prisiminę, o kitą dozę gerkite įprastu laiku.</w:t>
      </w:r>
    </w:p>
    <w:p w14:paraId="6D86985D" w14:textId="62A50742" w:rsidR="00C0147E" w:rsidRPr="00130A96" w:rsidRDefault="001175EF" w:rsidP="006E021B">
      <w:pPr>
        <w:pStyle w:val="Sraopastraipa"/>
        <w:numPr>
          <w:ilvl w:val="1"/>
          <w:numId w:val="5"/>
        </w:numPr>
        <w:tabs>
          <w:tab w:val="left" w:pos="852"/>
        </w:tabs>
        <w:ind w:left="567" w:hanging="567"/>
      </w:pPr>
      <w:r w:rsidRPr="00130A96">
        <w:t>Jeigu iki kitos dozės liko mažiau kaip 12</w:t>
      </w:r>
      <w:r w:rsidR="007B294E">
        <w:t> </w:t>
      </w:r>
      <w:r w:rsidRPr="00130A96">
        <w:t>val., tai užmirštą dozę praleiskite, o kitą gerkite įprastu laiku.</w:t>
      </w:r>
    </w:p>
    <w:p w14:paraId="6D86985E" w14:textId="6FAA8183" w:rsidR="00C0147E" w:rsidRPr="00130A96" w:rsidRDefault="001175EF" w:rsidP="006E021B">
      <w:pPr>
        <w:pStyle w:val="Sraopastraipa"/>
        <w:numPr>
          <w:ilvl w:val="1"/>
          <w:numId w:val="5"/>
        </w:numPr>
        <w:tabs>
          <w:tab w:val="left" w:pos="852"/>
        </w:tabs>
        <w:ind w:left="567" w:hanging="567"/>
      </w:pPr>
      <w:r w:rsidRPr="00130A96">
        <w:t xml:space="preserve">Negalima vartoti dvigubos </w:t>
      </w:r>
      <w:proofErr w:type="spellStart"/>
      <w:r w:rsidR="00873FCC">
        <w:t>Dapagliflozin</w:t>
      </w:r>
      <w:proofErr w:type="spellEnd"/>
      <w:r w:rsidR="00873FCC">
        <w:t xml:space="preserve"> Olpha</w:t>
      </w:r>
      <w:r w:rsidRPr="00130A96">
        <w:t xml:space="preserve"> dozės norint kompensuoti praleistąją.</w:t>
      </w:r>
    </w:p>
    <w:p w14:paraId="51156038" w14:textId="77777777" w:rsidR="006E021B" w:rsidRDefault="006E021B" w:rsidP="00130A96">
      <w:pPr>
        <w:pStyle w:val="Antrat2"/>
        <w:ind w:left="0"/>
      </w:pPr>
    </w:p>
    <w:p w14:paraId="6D86985F" w14:textId="1B63FF5B" w:rsidR="00C0147E" w:rsidRPr="00130A96" w:rsidRDefault="001175EF" w:rsidP="00130A96">
      <w:pPr>
        <w:pStyle w:val="Antrat2"/>
        <w:ind w:left="0"/>
      </w:pPr>
      <w:r w:rsidRPr="00130A96">
        <w:t xml:space="preserve">Nustojus vartoti </w:t>
      </w:r>
      <w:proofErr w:type="spellStart"/>
      <w:r w:rsidR="00873FCC">
        <w:t>Dapagliflozin</w:t>
      </w:r>
      <w:proofErr w:type="spellEnd"/>
      <w:r w:rsidR="00873FCC">
        <w:t xml:space="preserve"> Olpha</w:t>
      </w:r>
    </w:p>
    <w:p w14:paraId="6D869860" w14:textId="76759DD0" w:rsidR="00C0147E" w:rsidRDefault="001175EF" w:rsidP="00130A96">
      <w:pPr>
        <w:pStyle w:val="Pagrindinistekstas"/>
      </w:pPr>
      <w:r w:rsidRPr="00130A96">
        <w:t xml:space="preserve">Nenutraukite </w:t>
      </w:r>
      <w:proofErr w:type="spellStart"/>
      <w:r w:rsidR="00873FCC">
        <w:t>Dapagliflozin</w:t>
      </w:r>
      <w:proofErr w:type="spellEnd"/>
      <w:r w:rsidR="00873FCC">
        <w:t xml:space="preserve"> Olpha</w:t>
      </w:r>
      <w:r w:rsidRPr="00130A96">
        <w:t xml:space="preserve"> vartojimo, prieš tai nepasitarę su gydytoju. Jeigu sergate cukriniu diabetu, tai nevartojant šio vaisto, gali padidėti cukraus kiekis Jūsų kraujyje.</w:t>
      </w:r>
    </w:p>
    <w:p w14:paraId="138C0CD7" w14:textId="77777777" w:rsidR="006E021B" w:rsidRPr="00130A96" w:rsidRDefault="006E021B" w:rsidP="00130A96">
      <w:pPr>
        <w:pStyle w:val="Pagrindinistekstas"/>
      </w:pPr>
    </w:p>
    <w:p w14:paraId="7002F54B" w14:textId="77777777" w:rsidR="00520E11" w:rsidRPr="00520E11" w:rsidRDefault="00520E11" w:rsidP="00520E11">
      <w:pPr>
        <w:pStyle w:val="Pagrindinistekstas"/>
      </w:pPr>
      <w:r w:rsidRPr="00520E11">
        <w:t>Jeigu kiltų daugiau klausimų dėl šio vaisto vartojimo, kreipkitės į gydytoją, vaistininką arba slaugytoją.</w:t>
      </w:r>
    </w:p>
    <w:p w14:paraId="6D869862" w14:textId="77777777" w:rsidR="00C0147E" w:rsidRPr="00130A96" w:rsidRDefault="00C0147E" w:rsidP="00130A96">
      <w:pPr>
        <w:pStyle w:val="Pagrindinistekstas"/>
      </w:pPr>
    </w:p>
    <w:p w14:paraId="6D869863" w14:textId="77777777" w:rsidR="00C0147E" w:rsidRPr="00130A96" w:rsidRDefault="00C0147E" w:rsidP="00130A96">
      <w:pPr>
        <w:pStyle w:val="Pagrindinistekstas"/>
      </w:pPr>
    </w:p>
    <w:p w14:paraId="6D869864" w14:textId="77777777" w:rsidR="00C0147E" w:rsidRPr="00130A96" w:rsidRDefault="001175EF" w:rsidP="00520E11">
      <w:pPr>
        <w:pStyle w:val="Antrat2"/>
        <w:keepNext/>
        <w:numPr>
          <w:ilvl w:val="0"/>
          <w:numId w:val="5"/>
        </w:numPr>
        <w:tabs>
          <w:tab w:val="left" w:pos="852"/>
        </w:tabs>
        <w:ind w:left="567"/>
      </w:pPr>
      <w:r w:rsidRPr="00130A96">
        <w:lastRenderedPageBreak/>
        <w:t>Galimas šalutinis poveikis</w:t>
      </w:r>
    </w:p>
    <w:p w14:paraId="6D869865" w14:textId="77777777" w:rsidR="00C0147E" w:rsidRPr="00130A96" w:rsidRDefault="00C0147E" w:rsidP="00520E11">
      <w:pPr>
        <w:pStyle w:val="Pagrindinistekstas"/>
        <w:keepNext/>
        <w:rPr>
          <w:b/>
        </w:rPr>
      </w:pPr>
    </w:p>
    <w:p w14:paraId="6D869866" w14:textId="77777777" w:rsidR="00C0147E" w:rsidRPr="00130A96" w:rsidRDefault="001175EF" w:rsidP="00520E11">
      <w:pPr>
        <w:pStyle w:val="Pagrindinistekstas"/>
        <w:keepNext/>
      </w:pPr>
      <w:r w:rsidRPr="00130A96">
        <w:t>Šis vaistas, kaip ir visi kiti, gali sukelti šalutinį poveikį, nors jis pasireiškia ne visiems žmonėms.</w:t>
      </w:r>
    </w:p>
    <w:p w14:paraId="4255ED87" w14:textId="77777777" w:rsidR="00C0147E" w:rsidRDefault="00C0147E" w:rsidP="00130A96">
      <w:pPr>
        <w:pStyle w:val="Pagrindinistekstas"/>
      </w:pPr>
    </w:p>
    <w:p w14:paraId="6D869868" w14:textId="77777777" w:rsidR="00C0147E" w:rsidRDefault="001175EF" w:rsidP="00130A96">
      <w:pPr>
        <w:pStyle w:val="Antrat2"/>
        <w:ind w:left="0"/>
      </w:pPr>
      <w:r w:rsidRPr="00130A96">
        <w:t>Nedelsdami kreipkitės į gydytoją arba artimiausią ligoninę, jeigu pasireikštų kuris nors iš šių šalutinių poveikių:</w:t>
      </w:r>
    </w:p>
    <w:p w14:paraId="28E53DF5" w14:textId="0D4F7B57" w:rsidR="006E021B" w:rsidRPr="007E7DFC" w:rsidRDefault="0081640B" w:rsidP="007E7DFC">
      <w:pPr>
        <w:numPr>
          <w:ilvl w:val="12"/>
          <w:numId w:val="0"/>
        </w:numPr>
        <w:rPr>
          <w:noProof/>
        </w:rPr>
      </w:pPr>
      <w:r>
        <w:rPr>
          <w:b/>
          <w:bCs/>
          <w:lang w:eastAsia="lt-LT"/>
        </w:rPr>
        <w:t>Labai reti šalutinio poveikio reiškiniai (gali pasireikšti rečiau kaip 1 iš 10 000 asmenų):</w:t>
      </w:r>
    </w:p>
    <w:p w14:paraId="6D869869" w14:textId="1B69EF98" w:rsidR="00C0147E" w:rsidRPr="00130A96" w:rsidRDefault="00210968" w:rsidP="007E7DFC">
      <w:pPr>
        <w:pStyle w:val="Sraopastraipa"/>
        <w:numPr>
          <w:ilvl w:val="1"/>
          <w:numId w:val="5"/>
        </w:numPr>
        <w:tabs>
          <w:tab w:val="left" w:pos="852"/>
        </w:tabs>
        <w:ind w:left="567" w:hanging="567"/>
      </w:pPr>
      <w:proofErr w:type="spellStart"/>
      <w:r w:rsidRPr="00211C34">
        <w:rPr>
          <w:b/>
          <w:bCs/>
        </w:rPr>
        <w:t>angio</w:t>
      </w:r>
      <w:r>
        <w:rPr>
          <w:b/>
          <w:bCs/>
        </w:rPr>
        <w:t>neurozinė</w:t>
      </w:r>
      <w:proofErr w:type="spellEnd"/>
      <w:r>
        <w:rPr>
          <w:b/>
          <w:bCs/>
        </w:rPr>
        <w:t xml:space="preserve"> </w:t>
      </w:r>
      <w:r w:rsidRPr="00211C34">
        <w:rPr>
          <w:b/>
          <w:bCs/>
        </w:rPr>
        <w:t>edema</w:t>
      </w:r>
      <w:r w:rsidR="001175EF" w:rsidRPr="00130A96">
        <w:t>, kuri</w:t>
      </w:r>
      <w:r w:rsidR="0081640B">
        <w:t>os</w:t>
      </w:r>
      <w:r w:rsidR="001175EF" w:rsidRPr="00130A96">
        <w:t xml:space="preserve"> požymiai yra šie:</w:t>
      </w:r>
    </w:p>
    <w:p w14:paraId="6D86986A" w14:textId="77777777" w:rsidR="00C0147E" w:rsidRPr="00130A96" w:rsidRDefault="001175EF" w:rsidP="006379C6">
      <w:pPr>
        <w:pStyle w:val="Sraopastraipa"/>
        <w:numPr>
          <w:ilvl w:val="0"/>
          <w:numId w:val="24"/>
        </w:numPr>
        <w:tabs>
          <w:tab w:val="left" w:pos="1418"/>
        </w:tabs>
        <w:ind w:left="1134" w:hanging="567"/>
      </w:pPr>
      <w:r w:rsidRPr="00130A96">
        <w:t>veido, liežuvio ar gerklės patinimas;</w:t>
      </w:r>
    </w:p>
    <w:p w14:paraId="6D86986B" w14:textId="77777777" w:rsidR="00C0147E" w:rsidRPr="00130A96" w:rsidRDefault="001175EF" w:rsidP="006379C6">
      <w:pPr>
        <w:pStyle w:val="Sraopastraipa"/>
        <w:numPr>
          <w:ilvl w:val="0"/>
          <w:numId w:val="24"/>
        </w:numPr>
        <w:tabs>
          <w:tab w:val="left" w:pos="1418"/>
        </w:tabs>
        <w:ind w:left="1134" w:hanging="567"/>
      </w:pPr>
      <w:r w:rsidRPr="00130A96">
        <w:t>pasunkėjęs rijimas;</w:t>
      </w:r>
    </w:p>
    <w:p w14:paraId="6D86986C" w14:textId="77777777" w:rsidR="00C0147E" w:rsidRDefault="001175EF" w:rsidP="006379C6">
      <w:pPr>
        <w:pStyle w:val="Sraopastraipa"/>
        <w:numPr>
          <w:ilvl w:val="0"/>
          <w:numId w:val="24"/>
        </w:numPr>
        <w:tabs>
          <w:tab w:val="left" w:pos="1418"/>
        </w:tabs>
        <w:ind w:left="1134" w:hanging="567"/>
      </w:pPr>
      <w:r w:rsidRPr="00130A96">
        <w:t>dilgėlinė ir kvėpavimo sutrikimai.</w:t>
      </w:r>
    </w:p>
    <w:p w14:paraId="149B5329" w14:textId="1F218E8E" w:rsidR="006E021B" w:rsidRPr="00130A96" w:rsidRDefault="00727B3E" w:rsidP="007E7DFC">
      <w:pPr>
        <w:pStyle w:val="Sraopastraipa"/>
        <w:numPr>
          <w:ilvl w:val="12"/>
          <w:numId w:val="24"/>
        </w:numPr>
        <w:tabs>
          <w:tab w:val="clear" w:pos="360"/>
        </w:tabs>
        <w:ind w:left="0" w:right="-29" w:hanging="852"/>
        <w:rPr>
          <w:noProof/>
        </w:rPr>
      </w:pPr>
      <w:r w:rsidRPr="00727B3E">
        <w:rPr>
          <w:b/>
          <w:bCs/>
          <w:lang w:eastAsia="lt-LT"/>
        </w:rPr>
        <w:t>Reti šalutinio poveikio reiškiniai (gali pasireikšti rečiau kaip 1 iš 1 000 asmenų):</w:t>
      </w:r>
    </w:p>
    <w:p w14:paraId="6D86986E" w14:textId="19295B3E" w:rsidR="00C0147E" w:rsidRPr="00130A96" w:rsidRDefault="001175EF" w:rsidP="007E7DFC">
      <w:pPr>
        <w:pStyle w:val="Sraopastraipa"/>
        <w:numPr>
          <w:ilvl w:val="1"/>
          <w:numId w:val="5"/>
        </w:numPr>
        <w:tabs>
          <w:tab w:val="left" w:pos="852"/>
        </w:tabs>
        <w:ind w:left="567" w:hanging="567"/>
      </w:pPr>
      <w:r w:rsidRPr="006E021B">
        <w:rPr>
          <w:b/>
        </w:rPr>
        <w:t xml:space="preserve">diabetinė </w:t>
      </w:r>
      <w:proofErr w:type="spellStart"/>
      <w:r w:rsidRPr="006E021B">
        <w:rPr>
          <w:b/>
        </w:rPr>
        <w:t>ketoacidozė</w:t>
      </w:r>
      <w:proofErr w:type="spellEnd"/>
      <w:r w:rsidRPr="00130A96">
        <w:t>, kuri</w:t>
      </w:r>
      <w:r w:rsidR="00727B3E">
        <w:t>os</w:t>
      </w:r>
      <w:r w:rsidRPr="00130A96">
        <w:t xml:space="preserve"> požymiai yra šie (taip pat žr. 2</w:t>
      </w:r>
      <w:r w:rsidR="00873FCC">
        <w:t> skyriuje</w:t>
      </w:r>
      <w:r w:rsidRPr="00130A96">
        <w:t xml:space="preserve"> „Įspėjimai ir atsargumo priemonės“):</w:t>
      </w:r>
    </w:p>
    <w:p w14:paraId="6D86986F" w14:textId="77777777" w:rsidR="00C0147E" w:rsidRPr="00130A96" w:rsidRDefault="001175EF" w:rsidP="006379C6">
      <w:pPr>
        <w:pStyle w:val="Sraopastraipa"/>
        <w:numPr>
          <w:ilvl w:val="0"/>
          <w:numId w:val="25"/>
        </w:numPr>
        <w:tabs>
          <w:tab w:val="left" w:pos="1560"/>
        </w:tabs>
        <w:ind w:left="1134" w:hanging="567"/>
      </w:pPr>
      <w:r w:rsidRPr="00130A96">
        <w:t xml:space="preserve">padidėjęs </w:t>
      </w:r>
      <w:proofErr w:type="spellStart"/>
      <w:r w:rsidRPr="00130A96">
        <w:t>ketoninių</w:t>
      </w:r>
      <w:proofErr w:type="spellEnd"/>
      <w:r w:rsidRPr="00130A96">
        <w:t xml:space="preserve"> kūnų kiekis šlapime ar kraujyje;</w:t>
      </w:r>
    </w:p>
    <w:p w14:paraId="6D869870" w14:textId="77777777" w:rsidR="00C0147E" w:rsidRPr="00130A96" w:rsidRDefault="001175EF" w:rsidP="006379C6">
      <w:pPr>
        <w:pStyle w:val="Sraopastraipa"/>
        <w:numPr>
          <w:ilvl w:val="0"/>
          <w:numId w:val="25"/>
        </w:numPr>
        <w:tabs>
          <w:tab w:val="left" w:pos="1560"/>
        </w:tabs>
        <w:ind w:left="1134" w:hanging="567"/>
      </w:pPr>
      <w:r w:rsidRPr="00130A96">
        <w:t>pykinimas ar vėmimas;</w:t>
      </w:r>
    </w:p>
    <w:p w14:paraId="6D869871" w14:textId="77777777" w:rsidR="00C0147E" w:rsidRPr="00130A96" w:rsidRDefault="001175EF" w:rsidP="006379C6">
      <w:pPr>
        <w:pStyle w:val="Sraopastraipa"/>
        <w:numPr>
          <w:ilvl w:val="0"/>
          <w:numId w:val="25"/>
        </w:numPr>
        <w:tabs>
          <w:tab w:val="left" w:pos="1560"/>
        </w:tabs>
        <w:ind w:left="1134" w:hanging="567"/>
      </w:pPr>
      <w:r w:rsidRPr="00130A96">
        <w:t>pilvo skausmas;</w:t>
      </w:r>
    </w:p>
    <w:p w14:paraId="6D869872" w14:textId="77777777" w:rsidR="00C0147E" w:rsidRPr="00130A96" w:rsidRDefault="001175EF" w:rsidP="006379C6">
      <w:pPr>
        <w:pStyle w:val="Sraopastraipa"/>
        <w:numPr>
          <w:ilvl w:val="0"/>
          <w:numId w:val="25"/>
        </w:numPr>
        <w:tabs>
          <w:tab w:val="left" w:pos="1560"/>
        </w:tabs>
        <w:ind w:left="1134" w:hanging="567"/>
      </w:pPr>
      <w:r w:rsidRPr="00130A96">
        <w:t>didelis troškulys;</w:t>
      </w:r>
    </w:p>
    <w:p w14:paraId="6D869873" w14:textId="77777777" w:rsidR="00C0147E" w:rsidRPr="00130A96" w:rsidRDefault="001175EF" w:rsidP="006379C6">
      <w:pPr>
        <w:pStyle w:val="Sraopastraipa"/>
        <w:numPr>
          <w:ilvl w:val="0"/>
          <w:numId w:val="25"/>
        </w:numPr>
        <w:tabs>
          <w:tab w:val="left" w:pos="1560"/>
        </w:tabs>
        <w:ind w:left="1134" w:hanging="567"/>
      </w:pPr>
      <w:r w:rsidRPr="00130A96">
        <w:t>dažnas ir gilus kvėpavimas;</w:t>
      </w:r>
    </w:p>
    <w:p w14:paraId="6D869874" w14:textId="77777777" w:rsidR="00C0147E" w:rsidRPr="00130A96" w:rsidRDefault="001175EF" w:rsidP="006379C6">
      <w:pPr>
        <w:pStyle w:val="Sraopastraipa"/>
        <w:numPr>
          <w:ilvl w:val="0"/>
          <w:numId w:val="25"/>
        </w:numPr>
        <w:tabs>
          <w:tab w:val="left" w:pos="1560"/>
        </w:tabs>
        <w:ind w:left="1134" w:hanging="567"/>
      </w:pPr>
      <w:r w:rsidRPr="00130A96">
        <w:t>sutrikusi orientacija;</w:t>
      </w:r>
    </w:p>
    <w:p w14:paraId="6D869875" w14:textId="77777777" w:rsidR="00C0147E" w:rsidRPr="00130A96" w:rsidRDefault="001175EF" w:rsidP="006379C6">
      <w:pPr>
        <w:pStyle w:val="Sraopastraipa"/>
        <w:numPr>
          <w:ilvl w:val="0"/>
          <w:numId w:val="25"/>
        </w:numPr>
        <w:tabs>
          <w:tab w:val="left" w:pos="1560"/>
        </w:tabs>
        <w:ind w:left="1134" w:hanging="567"/>
      </w:pPr>
      <w:r w:rsidRPr="00130A96">
        <w:t>neįprastas mieguistumas ar nuovargis;</w:t>
      </w:r>
    </w:p>
    <w:p w14:paraId="6D869876" w14:textId="77777777" w:rsidR="00C0147E" w:rsidRPr="00130A96" w:rsidRDefault="001175EF" w:rsidP="006379C6">
      <w:pPr>
        <w:pStyle w:val="Sraopastraipa"/>
        <w:numPr>
          <w:ilvl w:val="0"/>
          <w:numId w:val="25"/>
        </w:numPr>
        <w:tabs>
          <w:tab w:val="left" w:pos="1560"/>
        </w:tabs>
        <w:ind w:left="1134" w:hanging="567"/>
      </w:pPr>
      <w:r w:rsidRPr="00130A96">
        <w:t>saldus kvapas iš burnos, saldus ar metalo skonis joje arba pakitęs šlapimo ar prakaito kvapas;</w:t>
      </w:r>
    </w:p>
    <w:p w14:paraId="6D869877" w14:textId="77777777" w:rsidR="00C0147E" w:rsidRPr="00130A96" w:rsidRDefault="001175EF" w:rsidP="006379C6">
      <w:pPr>
        <w:pStyle w:val="Sraopastraipa"/>
        <w:numPr>
          <w:ilvl w:val="0"/>
          <w:numId w:val="25"/>
        </w:numPr>
        <w:tabs>
          <w:tab w:val="left" w:pos="1560"/>
        </w:tabs>
        <w:ind w:left="1134" w:hanging="567"/>
      </w:pPr>
      <w:r w:rsidRPr="00130A96">
        <w:t>greitas kūno svorio mažėjimas.</w:t>
      </w:r>
    </w:p>
    <w:p w14:paraId="6D869878" w14:textId="0088EF98" w:rsidR="00C0147E" w:rsidRPr="00130A96" w:rsidRDefault="001175EF" w:rsidP="00130A96">
      <w:pPr>
        <w:pStyle w:val="Pagrindinistekstas"/>
      </w:pPr>
      <w:r w:rsidRPr="00130A96">
        <w:t xml:space="preserve">Tokių poveikių gali pasireikšti nepriklausomai nuo cukraus kiekio kraujyje. Jų atsiradus gydytojas gali nuspręsti laikinai arba visam laikui nutraukti </w:t>
      </w:r>
      <w:proofErr w:type="spellStart"/>
      <w:r w:rsidR="00873FCC">
        <w:t>Dapagliflozin</w:t>
      </w:r>
      <w:proofErr w:type="spellEnd"/>
      <w:r w:rsidR="00873FCC">
        <w:t xml:space="preserve"> Olpha</w:t>
      </w:r>
      <w:r w:rsidRPr="00130A96">
        <w:t xml:space="preserve"> vartojimą.</w:t>
      </w:r>
    </w:p>
    <w:p w14:paraId="6D869879" w14:textId="77777777" w:rsidR="00C0147E" w:rsidRPr="00130A96" w:rsidRDefault="00C0147E" w:rsidP="00130A96">
      <w:pPr>
        <w:pStyle w:val="Pagrindinistekstas"/>
      </w:pPr>
    </w:p>
    <w:p w14:paraId="6D86987A" w14:textId="77777777" w:rsidR="00C0147E" w:rsidRPr="00130A96" w:rsidRDefault="001175EF" w:rsidP="006E021B">
      <w:pPr>
        <w:pStyle w:val="Sraopastraipa"/>
        <w:numPr>
          <w:ilvl w:val="1"/>
          <w:numId w:val="5"/>
        </w:numPr>
        <w:tabs>
          <w:tab w:val="left" w:pos="852"/>
        </w:tabs>
        <w:ind w:left="567" w:hanging="567"/>
      </w:pPr>
      <w:proofErr w:type="spellStart"/>
      <w:r w:rsidRPr="00130A96">
        <w:rPr>
          <w:b/>
        </w:rPr>
        <w:t>tarpvietės</w:t>
      </w:r>
      <w:proofErr w:type="spellEnd"/>
      <w:r w:rsidRPr="00130A96">
        <w:rPr>
          <w:b/>
        </w:rPr>
        <w:t xml:space="preserve"> </w:t>
      </w:r>
      <w:proofErr w:type="spellStart"/>
      <w:r w:rsidRPr="00130A96">
        <w:rPr>
          <w:b/>
        </w:rPr>
        <w:t>nekrozuojantis</w:t>
      </w:r>
      <w:proofErr w:type="spellEnd"/>
      <w:r w:rsidRPr="00130A96">
        <w:rPr>
          <w:b/>
        </w:rPr>
        <w:t xml:space="preserve"> </w:t>
      </w:r>
      <w:proofErr w:type="spellStart"/>
      <w:r w:rsidRPr="00130A96">
        <w:rPr>
          <w:b/>
        </w:rPr>
        <w:t>fascitas</w:t>
      </w:r>
      <w:proofErr w:type="spellEnd"/>
      <w:r w:rsidRPr="00130A96">
        <w:rPr>
          <w:b/>
        </w:rPr>
        <w:t xml:space="preserve"> </w:t>
      </w:r>
      <w:r w:rsidRPr="00130A96">
        <w:t>(</w:t>
      </w:r>
      <w:proofErr w:type="spellStart"/>
      <w:r w:rsidRPr="00130A96">
        <w:rPr>
          <w:i/>
        </w:rPr>
        <w:t>Fournier</w:t>
      </w:r>
      <w:proofErr w:type="spellEnd"/>
      <w:r w:rsidRPr="00130A96">
        <w:rPr>
          <w:i/>
        </w:rPr>
        <w:t xml:space="preserve"> </w:t>
      </w:r>
      <w:r w:rsidRPr="00130A96">
        <w:t>gangrena) – sunki lytinių organų arba srities tarp jų ir išeinamosios angos minkštųjų audinių infekcija (pasireiškia labai retai).</w:t>
      </w:r>
    </w:p>
    <w:p w14:paraId="4294AE5B" w14:textId="77777777" w:rsidR="006E021B" w:rsidRDefault="006E021B" w:rsidP="00130A96">
      <w:pPr>
        <w:pStyle w:val="Antrat2"/>
        <w:ind w:left="0"/>
      </w:pPr>
    </w:p>
    <w:p w14:paraId="6D86987B" w14:textId="11D5438E" w:rsidR="00C0147E" w:rsidRPr="00130A96" w:rsidRDefault="001175EF" w:rsidP="00130A96">
      <w:pPr>
        <w:pStyle w:val="Antrat2"/>
        <w:ind w:left="0"/>
      </w:pPr>
      <w:r w:rsidRPr="00130A96">
        <w:t xml:space="preserve">Nutraukite </w:t>
      </w:r>
      <w:proofErr w:type="spellStart"/>
      <w:r w:rsidR="00873FCC">
        <w:t>Dapagliflozin</w:t>
      </w:r>
      <w:proofErr w:type="spellEnd"/>
      <w:r w:rsidR="00873FCC">
        <w:t xml:space="preserve"> Olpha</w:t>
      </w:r>
      <w:r w:rsidRPr="00130A96">
        <w:t xml:space="preserve"> vartojimą ir kiek įmanoma greičiau kreipkitės į gydytoją, jeigu pastebėtumėte kurį nors iš šių sunkių poveikių:</w:t>
      </w:r>
    </w:p>
    <w:p w14:paraId="6D86987C" w14:textId="63BC185D" w:rsidR="00C0147E" w:rsidRPr="00130A96" w:rsidRDefault="003F641C" w:rsidP="00130A96">
      <w:pPr>
        <w:pStyle w:val="Pagrindinistekstas"/>
        <w:rPr>
          <w:b/>
        </w:rPr>
      </w:pPr>
      <w:r>
        <w:rPr>
          <w:b/>
          <w:bCs/>
          <w:lang w:eastAsia="lt-LT"/>
        </w:rPr>
        <w:t>Dažni šalutinio poveikio reiškiniai (gali pasireikšti rečiau kaip 1 iš 10 asmenų):</w:t>
      </w:r>
    </w:p>
    <w:p w14:paraId="5F830CE6" w14:textId="1FF749F0" w:rsidR="00411C02" w:rsidRDefault="001175EF" w:rsidP="006E021B">
      <w:pPr>
        <w:pStyle w:val="Sraopastraipa"/>
        <w:numPr>
          <w:ilvl w:val="1"/>
          <w:numId w:val="5"/>
        </w:numPr>
        <w:tabs>
          <w:tab w:val="left" w:pos="852"/>
        </w:tabs>
        <w:ind w:left="567" w:hanging="567"/>
      </w:pPr>
      <w:r w:rsidRPr="00130A96">
        <w:rPr>
          <w:b/>
        </w:rPr>
        <w:t xml:space="preserve">šlapimo takų infekcija </w:t>
      </w:r>
    </w:p>
    <w:p w14:paraId="6D86987D" w14:textId="53402973" w:rsidR="00C0147E" w:rsidRPr="00130A96" w:rsidRDefault="001175EF" w:rsidP="00411C02">
      <w:pPr>
        <w:pStyle w:val="Sraopastraipa"/>
        <w:tabs>
          <w:tab w:val="left" w:pos="852"/>
        </w:tabs>
        <w:ind w:left="567" w:firstLine="0"/>
      </w:pPr>
      <w:r w:rsidRPr="00130A96">
        <w:t>Sunkios šlapimo takų infekcijos požymiai yra šie:</w:t>
      </w:r>
    </w:p>
    <w:p w14:paraId="6D86987E" w14:textId="6053D82E" w:rsidR="00C0147E" w:rsidRPr="00130A96" w:rsidRDefault="001175EF" w:rsidP="00411C02">
      <w:pPr>
        <w:pStyle w:val="Sraopastraipa"/>
        <w:numPr>
          <w:ilvl w:val="0"/>
          <w:numId w:val="26"/>
        </w:numPr>
        <w:tabs>
          <w:tab w:val="left" w:pos="1418"/>
        </w:tabs>
        <w:ind w:left="1134" w:hanging="567"/>
      </w:pPr>
      <w:r w:rsidRPr="00130A96">
        <w:t>karščiavimas</w:t>
      </w:r>
      <w:r w:rsidR="00C57AAE">
        <w:t xml:space="preserve"> </w:t>
      </w:r>
      <w:r w:rsidR="00C57AAE" w:rsidRPr="00130A96">
        <w:t>ir (arba)</w:t>
      </w:r>
      <w:r w:rsidR="00C57AAE">
        <w:t xml:space="preserve"> </w:t>
      </w:r>
      <w:r w:rsidR="00C57AAE" w:rsidRPr="00130A96">
        <w:t>drebulys</w:t>
      </w:r>
      <w:r w:rsidRPr="00130A96">
        <w:t>;</w:t>
      </w:r>
    </w:p>
    <w:p w14:paraId="6D86987F" w14:textId="77777777" w:rsidR="00C0147E" w:rsidRPr="00130A96" w:rsidRDefault="001175EF" w:rsidP="00411C02">
      <w:pPr>
        <w:pStyle w:val="Sraopastraipa"/>
        <w:numPr>
          <w:ilvl w:val="0"/>
          <w:numId w:val="26"/>
        </w:numPr>
        <w:tabs>
          <w:tab w:val="left" w:pos="1418"/>
        </w:tabs>
        <w:ind w:left="1134" w:hanging="567"/>
      </w:pPr>
      <w:r w:rsidRPr="00130A96">
        <w:t>deginimo pojūtis šlapinantis;</w:t>
      </w:r>
    </w:p>
    <w:p w14:paraId="6D869880" w14:textId="77777777" w:rsidR="00C0147E" w:rsidRPr="00130A96" w:rsidRDefault="001175EF" w:rsidP="00411C02">
      <w:pPr>
        <w:pStyle w:val="Sraopastraipa"/>
        <w:numPr>
          <w:ilvl w:val="0"/>
          <w:numId w:val="26"/>
        </w:numPr>
        <w:tabs>
          <w:tab w:val="left" w:pos="1418"/>
        </w:tabs>
        <w:ind w:left="1134" w:hanging="567"/>
      </w:pPr>
      <w:r w:rsidRPr="00130A96">
        <w:t>nugaros ar šono skausmas.</w:t>
      </w:r>
    </w:p>
    <w:p w14:paraId="6D869881" w14:textId="77777777" w:rsidR="00C0147E" w:rsidRPr="00130A96" w:rsidRDefault="001175EF" w:rsidP="00130A96">
      <w:pPr>
        <w:pStyle w:val="Pagrindinistekstas"/>
      </w:pPr>
      <w:r w:rsidRPr="00130A96">
        <w:t>Nedažnais atvejais šlapime gali atsirasti kraujo. Jei jo pastebėtumėte, nedelsdami pasakykite gydytojui.</w:t>
      </w:r>
    </w:p>
    <w:p w14:paraId="6D869882" w14:textId="77777777" w:rsidR="00C0147E" w:rsidRPr="00130A96" w:rsidRDefault="00C0147E" w:rsidP="00130A96">
      <w:pPr>
        <w:pStyle w:val="Pagrindinistekstas"/>
      </w:pPr>
    </w:p>
    <w:p w14:paraId="6D869883" w14:textId="5D9100C6" w:rsidR="00C0147E" w:rsidRPr="00130A96" w:rsidRDefault="001175EF" w:rsidP="00130A96">
      <w:pPr>
        <w:pStyle w:val="Antrat2"/>
        <w:ind w:left="0"/>
      </w:pPr>
      <w:r w:rsidRPr="00130A96">
        <w:t xml:space="preserve">Kiek įmanoma greičiau kreipkitės į gydytoją, jeigu Jums pasireikštų kuris nors iš </w:t>
      </w:r>
      <w:r w:rsidR="007844C4">
        <w:t>toliau</w:t>
      </w:r>
      <w:r w:rsidRPr="00130A96">
        <w:t xml:space="preserve"> išvardytų šalutinių poveikių:</w:t>
      </w:r>
    </w:p>
    <w:p w14:paraId="6D869884" w14:textId="48A59544" w:rsidR="00C0147E" w:rsidRPr="007E7DFC" w:rsidRDefault="00CE7038" w:rsidP="007E7DFC">
      <w:pPr>
        <w:numPr>
          <w:ilvl w:val="12"/>
          <w:numId w:val="0"/>
        </w:numPr>
        <w:rPr>
          <w:bCs/>
        </w:rPr>
      </w:pPr>
      <w:r>
        <w:rPr>
          <w:b/>
          <w:bCs/>
          <w:lang w:eastAsia="lt-LT"/>
        </w:rPr>
        <w:t>Labai dažni šalutinio poveikio reiškiniai (gali pasireikšti ne rečiau kaip 1 iš 10 asmenų):</w:t>
      </w:r>
    </w:p>
    <w:p w14:paraId="310AFCEE" w14:textId="6CDC32F5" w:rsidR="006E021B" w:rsidRPr="00130A96" w:rsidRDefault="001175EF" w:rsidP="00CA6144">
      <w:pPr>
        <w:pStyle w:val="Sraopastraipa"/>
        <w:numPr>
          <w:ilvl w:val="1"/>
          <w:numId w:val="5"/>
        </w:numPr>
        <w:tabs>
          <w:tab w:val="left" w:pos="852"/>
        </w:tabs>
        <w:ind w:left="567" w:hanging="567"/>
      </w:pPr>
      <w:r w:rsidRPr="00130A96">
        <w:rPr>
          <w:b/>
        </w:rPr>
        <w:t xml:space="preserve">sumažėjęs cukraus kiekis kraujyje </w:t>
      </w:r>
      <w:r w:rsidRPr="00130A96">
        <w:t>(hipoglikemija) – tai atsitinka labai dažnai (ne rečiau kaip 1 iš 10 cukriniu diabetu sergančių pacientų, vartojančių š</w:t>
      </w:r>
      <w:r w:rsidR="00C12D6E">
        <w:t>io</w:t>
      </w:r>
      <w:r w:rsidRPr="00130A96">
        <w:t xml:space="preserve"> vaist</w:t>
      </w:r>
      <w:r w:rsidR="00C12D6E">
        <w:t>o</w:t>
      </w:r>
      <w:r w:rsidRPr="00130A96">
        <w:t xml:space="preserve"> kartu su </w:t>
      </w:r>
      <w:proofErr w:type="spellStart"/>
      <w:r w:rsidRPr="00130A96">
        <w:t>sulfonilkarbamid</w:t>
      </w:r>
      <w:r w:rsidR="00877F24">
        <w:t>o</w:t>
      </w:r>
      <w:proofErr w:type="spellEnd"/>
      <w:r w:rsidR="00877F24">
        <w:t xml:space="preserve"> dariniais</w:t>
      </w:r>
      <w:r w:rsidRPr="00130A96">
        <w:t xml:space="preserve"> arba insulinu).</w:t>
      </w:r>
    </w:p>
    <w:p w14:paraId="6D869886" w14:textId="77777777" w:rsidR="00C0147E" w:rsidRPr="00130A96" w:rsidRDefault="001175EF" w:rsidP="00CA6144">
      <w:pPr>
        <w:pStyle w:val="Pagrindinistekstas"/>
        <w:ind w:left="567"/>
      </w:pPr>
      <w:r w:rsidRPr="00130A96">
        <w:t>Sumažėjusio cukraus kiekio kraujyje požymiai yra šie:</w:t>
      </w:r>
    </w:p>
    <w:p w14:paraId="6D869887" w14:textId="77777777" w:rsidR="00C0147E" w:rsidRPr="00130A96" w:rsidRDefault="001175EF" w:rsidP="00CA6144">
      <w:pPr>
        <w:pStyle w:val="Sraopastraipa"/>
        <w:numPr>
          <w:ilvl w:val="0"/>
          <w:numId w:val="27"/>
        </w:numPr>
        <w:tabs>
          <w:tab w:val="left" w:pos="1418"/>
        </w:tabs>
        <w:ind w:left="1134" w:hanging="567"/>
      </w:pPr>
      <w:r w:rsidRPr="00130A96">
        <w:t>drebulys, prakaitavimas, didelis nerimas, dažni širdies susitraukimai;</w:t>
      </w:r>
    </w:p>
    <w:p w14:paraId="6D869888" w14:textId="77777777" w:rsidR="00C0147E" w:rsidRPr="00130A96" w:rsidRDefault="001175EF" w:rsidP="00CA6144">
      <w:pPr>
        <w:pStyle w:val="Sraopastraipa"/>
        <w:numPr>
          <w:ilvl w:val="0"/>
          <w:numId w:val="27"/>
        </w:numPr>
        <w:tabs>
          <w:tab w:val="left" w:pos="1418"/>
        </w:tabs>
        <w:ind w:left="1134" w:hanging="567"/>
      </w:pPr>
      <w:r w:rsidRPr="00130A96">
        <w:t>alkis, galvos skausmas, pakitęs matymas;</w:t>
      </w:r>
    </w:p>
    <w:p w14:paraId="6D869889" w14:textId="77777777" w:rsidR="00C0147E" w:rsidRPr="00130A96" w:rsidRDefault="001175EF" w:rsidP="00CA6144">
      <w:pPr>
        <w:pStyle w:val="Sraopastraipa"/>
        <w:numPr>
          <w:ilvl w:val="0"/>
          <w:numId w:val="27"/>
        </w:numPr>
        <w:tabs>
          <w:tab w:val="left" w:pos="1418"/>
        </w:tabs>
        <w:ind w:left="1134" w:hanging="567"/>
      </w:pPr>
      <w:r w:rsidRPr="00130A96">
        <w:t>pakitusi nuotaika ar sutrikusi orientacija.</w:t>
      </w:r>
    </w:p>
    <w:p w14:paraId="6D86988A" w14:textId="1111038E" w:rsidR="00C0147E" w:rsidRPr="00130A96" w:rsidRDefault="001175EF" w:rsidP="00130A96">
      <w:pPr>
        <w:pStyle w:val="Pagrindinistekstas"/>
      </w:pPr>
      <w:r w:rsidRPr="00130A96">
        <w:t xml:space="preserve">Ką daryti sumažėjus cukraus kiekiui kraujyje arba pastebėjus kurį nors iš </w:t>
      </w:r>
      <w:r w:rsidR="00C12D6E">
        <w:t>pirmiau</w:t>
      </w:r>
      <w:r w:rsidRPr="00130A96">
        <w:t xml:space="preserve"> išvardytų požymių, pasakys gydytojas.</w:t>
      </w:r>
    </w:p>
    <w:p w14:paraId="1DEBE350" w14:textId="77777777" w:rsidR="006E021B" w:rsidRDefault="006E021B" w:rsidP="00130A96">
      <w:pPr>
        <w:pStyle w:val="Antrat2"/>
        <w:ind w:left="0"/>
      </w:pPr>
    </w:p>
    <w:p w14:paraId="6D86988C" w14:textId="70B8FB3F" w:rsidR="00C0147E" w:rsidRDefault="001175EF" w:rsidP="00130A96">
      <w:pPr>
        <w:pStyle w:val="Antrat2"/>
        <w:ind w:left="0"/>
      </w:pPr>
      <w:r w:rsidRPr="00130A96">
        <w:t xml:space="preserve">Kitas šalutinis poveikis, kuris gali pasireikšti vartojant </w:t>
      </w:r>
      <w:proofErr w:type="spellStart"/>
      <w:r w:rsidR="00873FCC">
        <w:t>Dapagliflozin</w:t>
      </w:r>
      <w:proofErr w:type="spellEnd"/>
      <w:r w:rsidR="00873FCC">
        <w:t xml:space="preserve"> Olpha</w:t>
      </w:r>
    </w:p>
    <w:p w14:paraId="79B8B9E7" w14:textId="298566C4" w:rsidR="005D54CD" w:rsidRPr="007E7DFC" w:rsidRDefault="005D54CD" w:rsidP="005D54CD">
      <w:pPr>
        <w:pStyle w:val="Pagrindinistekstas"/>
        <w:kinsoku w:val="0"/>
        <w:overflowPunct w:val="0"/>
        <w:rPr>
          <w:b/>
          <w:bCs/>
          <w:lang w:eastAsia="lt-LT"/>
        </w:rPr>
      </w:pPr>
      <w:r w:rsidRPr="007E7DFC">
        <w:rPr>
          <w:b/>
          <w:bCs/>
          <w:lang w:eastAsia="lt-LT"/>
        </w:rPr>
        <w:t>Dažni šalutinio poveikio reiškiniai (gali pasireikšti rečiau kaip 1 iš 10</w:t>
      </w:r>
      <w:r w:rsidR="0017406D" w:rsidRPr="007E7DFC">
        <w:rPr>
          <w:b/>
          <w:bCs/>
          <w:lang w:eastAsia="lt-LT"/>
        </w:rPr>
        <w:t> </w:t>
      </w:r>
      <w:r w:rsidRPr="007E7DFC">
        <w:rPr>
          <w:b/>
          <w:bCs/>
          <w:lang w:eastAsia="lt-LT"/>
        </w:rPr>
        <w:t>asmenų):</w:t>
      </w:r>
    </w:p>
    <w:p w14:paraId="6D86988E" w14:textId="77777777" w:rsidR="00C0147E" w:rsidRPr="00130A96" w:rsidRDefault="001175EF" w:rsidP="001D7CB2">
      <w:pPr>
        <w:pStyle w:val="Sraopastraipa"/>
        <w:numPr>
          <w:ilvl w:val="1"/>
          <w:numId w:val="5"/>
        </w:numPr>
        <w:tabs>
          <w:tab w:val="left" w:pos="852"/>
        </w:tabs>
        <w:ind w:left="567" w:hanging="567"/>
      </w:pPr>
      <w:r w:rsidRPr="00130A96">
        <w:t xml:space="preserve">lytinių organų (varpos ar makšties) infekcija (pienligė) (galimi jos požymiai yra dirginimas, </w:t>
      </w:r>
      <w:r w:rsidRPr="00130A96">
        <w:lastRenderedPageBreak/>
        <w:t>niežulys, neįprastos išskyros ar kvapas);</w:t>
      </w:r>
    </w:p>
    <w:p w14:paraId="6D86988F" w14:textId="77777777" w:rsidR="00C0147E" w:rsidRPr="00130A96" w:rsidRDefault="001175EF" w:rsidP="001D7CB2">
      <w:pPr>
        <w:pStyle w:val="Sraopastraipa"/>
        <w:numPr>
          <w:ilvl w:val="1"/>
          <w:numId w:val="5"/>
        </w:numPr>
        <w:tabs>
          <w:tab w:val="left" w:pos="852"/>
        </w:tabs>
        <w:ind w:left="567" w:hanging="567"/>
      </w:pPr>
      <w:r w:rsidRPr="00130A96">
        <w:t>nugaros skausmas;</w:t>
      </w:r>
    </w:p>
    <w:p w14:paraId="6D869890" w14:textId="77777777" w:rsidR="00C0147E" w:rsidRPr="00130A96" w:rsidRDefault="001175EF" w:rsidP="001D7CB2">
      <w:pPr>
        <w:pStyle w:val="Sraopastraipa"/>
        <w:numPr>
          <w:ilvl w:val="1"/>
          <w:numId w:val="5"/>
        </w:numPr>
        <w:tabs>
          <w:tab w:val="left" w:pos="852"/>
        </w:tabs>
        <w:ind w:left="567" w:hanging="567"/>
      </w:pPr>
      <w:r w:rsidRPr="00130A96">
        <w:t>padidėjęs šlapimo kiekis ar padažnėjęs šlapinimasis;</w:t>
      </w:r>
    </w:p>
    <w:p w14:paraId="6D869891" w14:textId="77777777" w:rsidR="00C0147E" w:rsidRPr="00130A96" w:rsidRDefault="001175EF" w:rsidP="001D7CB2">
      <w:pPr>
        <w:pStyle w:val="Sraopastraipa"/>
        <w:numPr>
          <w:ilvl w:val="1"/>
          <w:numId w:val="5"/>
        </w:numPr>
        <w:tabs>
          <w:tab w:val="left" w:pos="852"/>
        </w:tabs>
        <w:ind w:left="567" w:hanging="567"/>
      </w:pPr>
      <w:r w:rsidRPr="00130A96">
        <w:t>pakitęs cholesterolio ar kraujo riebalų kiekis (nustatomas tyrimais);</w:t>
      </w:r>
    </w:p>
    <w:p w14:paraId="6D869892" w14:textId="77777777" w:rsidR="00C0147E" w:rsidRPr="00130A96" w:rsidRDefault="001175EF" w:rsidP="001D7CB2">
      <w:pPr>
        <w:pStyle w:val="Sraopastraipa"/>
        <w:numPr>
          <w:ilvl w:val="1"/>
          <w:numId w:val="5"/>
        </w:numPr>
        <w:tabs>
          <w:tab w:val="left" w:pos="852"/>
        </w:tabs>
        <w:ind w:left="567" w:hanging="567"/>
      </w:pPr>
      <w:r w:rsidRPr="00130A96">
        <w:t>padidėjęs raudonųjų kraujo kūnelių kiekis (nustatomas tyrimais);</w:t>
      </w:r>
    </w:p>
    <w:p w14:paraId="6D869893" w14:textId="77777777" w:rsidR="00C0147E" w:rsidRPr="00130A96" w:rsidRDefault="001175EF" w:rsidP="001D7CB2">
      <w:pPr>
        <w:pStyle w:val="Sraopastraipa"/>
        <w:numPr>
          <w:ilvl w:val="1"/>
          <w:numId w:val="5"/>
        </w:numPr>
        <w:tabs>
          <w:tab w:val="left" w:pos="852"/>
        </w:tabs>
        <w:ind w:left="567" w:hanging="567"/>
      </w:pPr>
      <w:r w:rsidRPr="00130A96">
        <w:t>sumažėjęs inkstų kreatinino klirensas (nustatomas tyrimais) – pradedant gydyti;</w:t>
      </w:r>
    </w:p>
    <w:p w14:paraId="6D869894" w14:textId="2992F798" w:rsidR="00C0147E" w:rsidRPr="00130A96" w:rsidRDefault="001175EF" w:rsidP="001D7CB2">
      <w:pPr>
        <w:pStyle w:val="Sraopastraipa"/>
        <w:numPr>
          <w:ilvl w:val="1"/>
          <w:numId w:val="5"/>
        </w:numPr>
        <w:tabs>
          <w:tab w:val="left" w:pos="852"/>
        </w:tabs>
        <w:ind w:left="567" w:hanging="567"/>
      </w:pPr>
      <w:r w:rsidRPr="00130A96">
        <w:t>svaig</w:t>
      </w:r>
      <w:r w:rsidR="00FB1E9C">
        <w:t>ulys</w:t>
      </w:r>
      <w:r w:rsidRPr="00130A96">
        <w:t>;</w:t>
      </w:r>
    </w:p>
    <w:p w14:paraId="6D869895" w14:textId="297B389D" w:rsidR="00C0147E" w:rsidRPr="00130A96" w:rsidRDefault="001175EF" w:rsidP="001D7CB2">
      <w:pPr>
        <w:pStyle w:val="Sraopastraipa"/>
        <w:numPr>
          <w:ilvl w:val="1"/>
          <w:numId w:val="5"/>
        </w:numPr>
        <w:tabs>
          <w:tab w:val="left" w:pos="852"/>
        </w:tabs>
        <w:ind w:left="567" w:hanging="567"/>
      </w:pPr>
      <w:r w:rsidRPr="00130A96">
        <w:t>bėrimas.</w:t>
      </w:r>
    </w:p>
    <w:p w14:paraId="2DD2B97B" w14:textId="77777777" w:rsidR="001D7CB2" w:rsidRDefault="001D7CB2" w:rsidP="00130A96">
      <w:pPr>
        <w:pStyle w:val="Pagrindinistekstas"/>
      </w:pPr>
    </w:p>
    <w:p w14:paraId="34845060" w14:textId="6C035864" w:rsidR="002723D8" w:rsidRPr="007E7DFC" w:rsidRDefault="002723D8" w:rsidP="002723D8">
      <w:pPr>
        <w:pStyle w:val="Pagrindinistekstas"/>
        <w:kinsoku w:val="0"/>
        <w:overflowPunct w:val="0"/>
        <w:rPr>
          <w:b/>
          <w:bCs/>
          <w:lang w:eastAsia="lt-LT"/>
        </w:rPr>
      </w:pPr>
      <w:r w:rsidRPr="007E7DFC">
        <w:rPr>
          <w:b/>
          <w:bCs/>
          <w:lang w:eastAsia="lt-LT"/>
        </w:rPr>
        <w:t>Nedažni šalutinio poveikio reiškiniai (gali pasireikšti rečiau kaip 1 iš 100</w:t>
      </w:r>
      <w:r w:rsidR="0017406D" w:rsidRPr="007E7DFC">
        <w:rPr>
          <w:b/>
          <w:bCs/>
          <w:lang w:eastAsia="lt-LT"/>
        </w:rPr>
        <w:t> </w:t>
      </w:r>
      <w:r w:rsidRPr="007E7DFC">
        <w:rPr>
          <w:b/>
          <w:bCs/>
          <w:lang w:eastAsia="lt-LT"/>
        </w:rPr>
        <w:t>asmenų):</w:t>
      </w:r>
    </w:p>
    <w:p w14:paraId="6D869897" w14:textId="363875A6" w:rsidR="00C0147E" w:rsidRPr="00130A96" w:rsidRDefault="00AB645B" w:rsidP="00F71701">
      <w:pPr>
        <w:pStyle w:val="Sraopastraipa"/>
        <w:numPr>
          <w:ilvl w:val="1"/>
          <w:numId w:val="23"/>
        </w:numPr>
        <w:tabs>
          <w:tab w:val="left" w:pos="993"/>
        </w:tabs>
        <w:kinsoku w:val="0"/>
        <w:overflowPunct w:val="0"/>
        <w:adjustRightInd w:val="0"/>
        <w:ind w:left="567" w:hanging="567"/>
      </w:pPr>
      <w:r w:rsidRPr="00211C34">
        <w:t>per</w:t>
      </w:r>
      <w:r w:rsidRPr="00211C34">
        <w:rPr>
          <w:spacing w:val="-2"/>
        </w:rPr>
        <w:t xml:space="preserve"> </w:t>
      </w:r>
      <w:r w:rsidRPr="00211C34">
        <w:t>dideli</w:t>
      </w:r>
      <w:r>
        <w:t>s</w:t>
      </w:r>
      <w:r w:rsidRPr="00211C34">
        <w:rPr>
          <w:spacing w:val="-5"/>
        </w:rPr>
        <w:t xml:space="preserve"> </w:t>
      </w:r>
      <w:r w:rsidRPr="00211C34">
        <w:t>skysči</w:t>
      </w:r>
      <w:r>
        <w:rPr>
          <w:spacing w:val="-5"/>
        </w:rPr>
        <w:t xml:space="preserve">ų </w:t>
      </w:r>
      <w:r w:rsidRPr="00211C34">
        <w:t>netekimas</w:t>
      </w:r>
      <w:r>
        <w:t xml:space="preserve"> iš organizmo</w:t>
      </w:r>
      <w:r w:rsidRPr="00211C34">
        <w:rPr>
          <w:spacing w:val="-4"/>
        </w:rPr>
        <w:t xml:space="preserve"> </w:t>
      </w:r>
      <w:r w:rsidRPr="00211C34">
        <w:t>(dehidratacija),</w:t>
      </w:r>
      <w:r w:rsidRPr="00211C34">
        <w:rPr>
          <w:spacing w:val="-3"/>
        </w:rPr>
        <w:t xml:space="preserve"> </w:t>
      </w:r>
      <w:r w:rsidRPr="00211C34">
        <w:t>dėl</w:t>
      </w:r>
      <w:r w:rsidRPr="00211C34">
        <w:rPr>
          <w:spacing w:val="-2"/>
        </w:rPr>
        <w:t xml:space="preserve"> </w:t>
      </w:r>
      <w:r w:rsidRPr="00211C34">
        <w:t>kurio</w:t>
      </w:r>
      <w:r w:rsidRPr="00211C34">
        <w:rPr>
          <w:spacing w:val="-3"/>
        </w:rPr>
        <w:t xml:space="preserve"> </w:t>
      </w:r>
      <w:r w:rsidRPr="00211C34">
        <w:t>burna</w:t>
      </w:r>
      <w:r w:rsidRPr="00211C34">
        <w:rPr>
          <w:spacing w:val="-4"/>
        </w:rPr>
        <w:t xml:space="preserve"> </w:t>
      </w:r>
      <w:r w:rsidRPr="00211C34">
        <w:t>gali</w:t>
      </w:r>
      <w:r w:rsidRPr="00211C34">
        <w:rPr>
          <w:spacing w:val="-2"/>
        </w:rPr>
        <w:t xml:space="preserve"> </w:t>
      </w:r>
      <w:r w:rsidRPr="00211C34">
        <w:t>pasidaryti</w:t>
      </w:r>
      <w:r w:rsidRPr="00211C34">
        <w:rPr>
          <w:spacing w:val="-4"/>
        </w:rPr>
        <w:t xml:space="preserve"> </w:t>
      </w:r>
      <w:r w:rsidRPr="00211C34">
        <w:t>labai</w:t>
      </w:r>
      <w:r w:rsidRPr="00211C34">
        <w:rPr>
          <w:spacing w:val="-2"/>
        </w:rPr>
        <w:t xml:space="preserve"> </w:t>
      </w:r>
      <w:r w:rsidRPr="00211C34">
        <w:t xml:space="preserve">sausa ar lipni, sumažėti arba visai neišsiskirti šlapimo, padažnėti širdies </w:t>
      </w:r>
      <w:r>
        <w:t>plakimas</w:t>
      </w:r>
      <w:r w:rsidRPr="00211C34">
        <w:t>;</w:t>
      </w:r>
    </w:p>
    <w:p w14:paraId="6D869898" w14:textId="77777777" w:rsidR="00C0147E" w:rsidRPr="00130A96" w:rsidRDefault="001175EF" w:rsidP="00F71701">
      <w:pPr>
        <w:pStyle w:val="Sraopastraipa"/>
        <w:numPr>
          <w:ilvl w:val="1"/>
          <w:numId w:val="5"/>
        </w:numPr>
        <w:tabs>
          <w:tab w:val="left" w:pos="852"/>
          <w:tab w:val="left" w:pos="993"/>
        </w:tabs>
        <w:ind w:left="567" w:hanging="567"/>
      </w:pPr>
      <w:r w:rsidRPr="00130A96">
        <w:t>troškulys;</w:t>
      </w:r>
    </w:p>
    <w:p w14:paraId="6D869899" w14:textId="77777777" w:rsidR="00C0147E" w:rsidRPr="00130A96" w:rsidRDefault="001175EF" w:rsidP="00F71701">
      <w:pPr>
        <w:pStyle w:val="Sraopastraipa"/>
        <w:numPr>
          <w:ilvl w:val="1"/>
          <w:numId w:val="5"/>
        </w:numPr>
        <w:tabs>
          <w:tab w:val="left" w:pos="852"/>
          <w:tab w:val="left" w:pos="993"/>
        </w:tabs>
        <w:ind w:left="567" w:hanging="567"/>
      </w:pPr>
      <w:r w:rsidRPr="00130A96">
        <w:t>vidurių užkietėjimas;</w:t>
      </w:r>
    </w:p>
    <w:p w14:paraId="6D86989A" w14:textId="77777777" w:rsidR="00C0147E" w:rsidRPr="00130A96" w:rsidRDefault="001175EF" w:rsidP="00F71701">
      <w:pPr>
        <w:pStyle w:val="Sraopastraipa"/>
        <w:numPr>
          <w:ilvl w:val="1"/>
          <w:numId w:val="5"/>
        </w:numPr>
        <w:tabs>
          <w:tab w:val="left" w:pos="852"/>
          <w:tab w:val="left" w:pos="993"/>
        </w:tabs>
        <w:ind w:left="567" w:hanging="567"/>
      </w:pPr>
      <w:r w:rsidRPr="00130A96">
        <w:t>naktiniai prabudimai šlapintis;</w:t>
      </w:r>
    </w:p>
    <w:p w14:paraId="6D86989B" w14:textId="77777777" w:rsidR="00C0147E" w:rsidRPr="00130A96" w:rsidRDefault="001175EF" w:rsidP="00F71701">
      <w:pPr>
        <w:pStyle w:val="Sraopastraipa"/>
        <w:numPr>
          <w:ilvl w:val="1"/>
          <w:numId w:val="5"/>
        </w:numPr>
        <w:tabs>
          <w:tab w:val="left" w:pos="852"/>
          <w:tab w:val="left" w:pos="993"/>
        </w:tabs>
        <w:ind w:left="567" w:hanging="567"/>
      </w:pPr>
      <w:r w:rsidRPr="00130A96">
        <w:t>sausa burna;</w:t>
      </w:r>
    </w:p>
    <w:p w14:paraId="6D86989C" w14:textId="77777777" w:rsidR="00C0147E" w:rsidRPr="00130A96" w:rsidRDefault="001175EF" w:rsidP="00F71701">
      <w:pPr>
        <w:pStyle w:val="Sraopastraipa"/>
        <w:numPr>
          <w:ilvl w:val="1"/>
          <w:numId w:val="5"/>
        </w:numPr>
        <w:tabs>
          <w:tab w:val="left" w:pos="852"/>
          <w:tab w:val="left" w:pos="993"/>
        </w:tabs>
        <w:ind w:left="567" w:hanging="567"/>
      </w:pPr>
      <w:r w:rsidRPr="00130A96">
        <w:t>sumažėjęs kūno svoris;</w:t>
      </w:r>
    </w:p>
    <w:p w14:paraId="6D86989D" w14:textId="77777777" w:rsidR="00C0147E" w:rsidRPr="00130A96" w:rsidRDefault="001175EF" w:rsidP="00F71701">
      <w:pPr>
        <w:pStyle w:val="Sraopastraipa"/>
        <w:numPr>
          <w:ilvl w:val="1"/>
          <w:numId w:val="5"/>
        </w:numPr>
        <w:tabs>
          <w:tab w:val="left" w:pos="852"/>
          <w:tab w:val="left" w:pos="993"/>
        </w:tabs>
        <w:ind w:left="567" w:hanging="567"/>
      </w:pPr>
      <w:r w:rsidRPr="00130A96">
        <w:t>padidėjęs kreatinino kiekis (nustatomas laboratoriniais tyrimais) – pradedant gydyti;</w:t>
      </w:r>
    </w:p>
    <w:p w14:paraId="6D86989E" w14:textId="77777777" w:rsidR="00C0147E" w:rsidRPr="00130A96" w:rsidRDefault="001175EF" w:rsidP="00F71701">
      <w:pPr>
        <w:pStyle w:val="Sraopastraipa"/>
        <w:numPr>
          <w:ilvl w:val="1"/>
          <w:numId w:val="5"/>
        </w:numPr>
        <w:tabs>
          <w:tab w:val="left" w:pos="852"/>
          <w:tab w:val="left" w:pos="993"/>
        </w:tabs>
        <w:ind w:left="567" w:hanging="567"/>
      </w:pPr>
      <w:r w:rsidRPr="00130A96">
        <w:t>padidėjęs šlapalo kiekis (nustatomas laboratoriniais tyrimais).</w:t>
      </w:r>
    </w:p>
    <w:p w14:paraId="00AE9C58" w14:textId="77777777" w:rsidR="001D7CB2" w:rsidRDefault="001D7CB2" w:rsidP="00130A96">
      <w:pPr>
        <w:pStyle w:val="Pagrindinistekstas"/>
      </w:pPr>
    </w:p>
    <w:p w14:paraId="11BF4722" w14:textId="2B331E68" w:rsidR="00BE1E92" w:rsidRPr="007E7DFC" w:rsidRDefault="00BE1E92" w:rsidP="00BE1E92">
      <w:pPr>
        <w:pStyle w:val="Pagrindinistekstas"/>
        <w:kinsoku w:val="0"/>
        <w:overflowPunct w:val="0"/>
        <w:rPr>
          <w:b/>
          <w:bCs/>
          <w:lang w:eastAsia="lt-LT"/>
        </w:rPr>
      </w:pPr>
      <w:r w:rsidRPr="007E7DFC">
        <w:rPr>
          <w:b/>
          <w:bCs/>
          <w:lang w:eastAsia="lt-LT"/>
        </w:rPr>
        <w:t>Labai reti šalutinio poveikio reiškiniai (gali pasireikšti rečiau kaip 1 iš 10 000</w:t>
      </w:r>
      <w:r w:rsidR="00495180" w:rsidRPr="007E7DFC">
        <w:rPr>
          <w:b/>
          <w:bCs/>
          <w:lang w:eastAsia="lt-LT"/>
        </w:rPr>
        <w:t> </w:t>
      </w:r>
      <w:r w:rsidRPr="007E7DFC">
        <w:rPr>
          <w:b/>
          <w:bCs/>
          <w:lang w:eastAsia="lt-LT"/>
        </w:rPr>
        <w:t>asmenų):</w:t>
      </w:r>
    </w:p>
    <w:p w14:paraId="3623B6B5" w14:textId="77777777" w:rsidR="00F71701" w:rsidRPr="00211C34" w:rsidRDefault="00F71701" w:rsidP="00F71701">
      <w:pPr>
        <w:pStyle w:val="Sraopastraipa"/>
        <w:numPr>
          <w:ilvl w:val="1"/>
          <w:numId w:val="23"/>
        </w:numPr>
        <w:tabs>
          <w:tab w:val="left" w:pos="993"/>
        </w:tabs>
        <w:kinsoku w:val="0"/>
        <w:overflowPunct w:val="0"/>
        <w:adjustRightInd w:val="0"/>
        <w:ind w:left="567" w:hanging="567"/>
        <w:rPr>
          <w:spacing w:val="-2"/>
        </w:rPr>
      </w:pPr>
      <w:r w:rsidRPr="00211C34">
        <w:t>inkstų</w:t>
      </w:r>
      <w:r w:rsidRPr="00211C34">
        <w:rPr>
          <w:spacing w:val="-10"/>
        </w:rPr>
        <w:t xml:space="preserve"> </w:t>
      </w:r>
      <w:r w:rsidRPr="00211C34">
        <w:t>uždegimas</w:t>
      </w:r>
      <w:r w:rsidRPr="00211C34">
        <w:rPr>
          <w:spacing w:val="-10"/>
        </w:rPr>
        <w:t xml:space="preserve"> </w:t>
      </w:r>
      <w:r w:rsidRPr="00211C34">
        <w:t>(</w:t>
      </w:r>
      <w:r>
        <w:t xml:space="preserve">kanalėlių ir </w:t>
      </w:r>
      <w:proofErr w:type="spellStart"/>
      <w:r>
        <w:t>intersticinio</w:t>
      </w:r>
      <w:proofErr w:type="spellEnd"/>
      <w:r>
        <w:t xml:space="preserve"> audinio</w:t>
      </w:r>
      <w:r w:rsidRPr="00211C34">
        <w:rPr>
          <w:spacing w:val="-9"/>
        </w:rPr>
        <w:t xml:space="preserve"> </w:t>
      </w:r>
      <w:r w:rsidRPr="00211C34">
        <w:rPr>
          <w:spacing w:val="-2"/>
        </w:rPr>
        <w:t>nefritas).</w:t>
      </w:r>
    </w:p>
    <w:p w14:paraId="0D617E04" w14:textId="77777777" w:rsidR="001D7CB2" w:rsidRDefault="001D7CB2" w:rsidP="00130A96">
      <w:pPr>
        <w:pStyle w:val="Antrat2"/>
        <w:ind w:left="0"/>
      </w:pPr>
    </w:p>
    <w:p w14:paraId="3F909389" w14:textId="77777777" w:rsidR="00165A28" w:rsidRDefault="00165A28" w:rsidP="00165A28">
      <w:pPr>
        <w:jc w:val="both"/>
        <w:rPr>
          <w:lang w:eastAsia="lt-LT"/>
        </w:rPr>
      </w:pPr>
      <w:r>
        <w:rPr>
          <w:b/>
          <w:bCs/>
          <w:lang w:eastAsia="lt-LT"/>
        </w:rPr>
        <w:t>Pranešimas apie šalutinį poveikį</w:t>
      </w:r>
    </w:p>
    <w:p w14:paraId="0217807A" w14:textId="77777777" w:rsidR="006250AF" w:rsidRPr="006250AF" w:rsidRDefault="006250AF" w:rsidP="006250AF">
      <w:pPr>
        <w:kinsoku w:val="0"/>
        <w:overflowPunct w:val="0"/>
        <w:adjustRightInd w:val="0"/>
        <w:rPr>
          <w:color w:val="000000"/>
          <w:lang w:eastAsia="lt-LT"/>
        </w:rPr>
      </w:pPr>
      <w:r w:rsidRPr="006250AF">
        <w:rPr>
          <w:lang w:eastAsia="lt-LT"/>
        </w:rPr>
        <w:t>Jeigu pasireiškė šalutinis poveikis, įskaitant šiame lapelyje nenurodytą, pasakykite gydytojui, vaistininkui</w:t>
      </w:r>
      <w:r w:rsidRPr="006250AF">
        <w:rPr>
          <w:spacing w:val="-2"/>
          <w:lang w:eastAsia="lt-LT"/>
        </w:rPr>
        <w:t xml:space="preserve"> </w:t>
      </w:r>
      <w:r w:rsidRPr="006250AF">
        <w:rPr>
          <w:lang w:eastAsia="lt-LT"/>
        </w:rPr>
        <w:t>arba</w:t>
      </w:r>
      <w:r w:rsidRPr="006250AF">
        <w:rPr>
          <w:spacing w:val="-5"/>
          <w:lang w:eastAsia="lt-LT"/>
        </w:rPr>
        <w:t xml:space="preserve"> </w:t>
      </w:r>
      <w:r w:rsidRPr="006250AF">
        <w:rPr>
          <w:lang w:eastAsia="lt-LT"/>
        </w:rPr>
        <w:t>slaugytojui.</w:t>
      </w:r>
      <w:r w:rsidRPr="006250AF">
        <w:rPr>
          <w:spacing w:val="-3"/>
          <w:lang w:eastAsia="lt-LT"/>
        </w:rPr>
        <w:t xml:space="preserve"> </w:t>
      </w:r>
      <w:r w:rsidRPr="006250AF">
        <w:rPr>
          <w:lang w:eastAsia="lt-LT"/>
        </w:rPr>
        <w:t xml:space="preserve">Pranešimą apie šalutinį poveikį galite užpildyti ir pateikti Valstybinės vaistų kontrolės tarnybos prie Lietuvos Respublikos sveikatos apsaugos ministerijos tinklalapyje </w:t>
      </w:r>
      <w:r w:rsidRPr="006250AF">
        <w:rPr>
          <w:color w:val="0000EE"/>
          <w:u w:val="single"/>
          <w:lang w:eastAsia="lt-LT"/>
        </w:rPr>
        <w:t>https://vvkt.lrv.lt/lt/</w:t>
      </w:r>
      <w:r w:rsidRPr="006250AF">
        <w:rPr>
          <w:lang w:eastAsia="lt-LT"/>
        </w:rPr>
        <w:t xml:space="preserve"> nurodytais būdais arba paskambinti nemokamu telefonu +370 800 73 568. Pranešdami apie šalutinį poveikį galite mums padėti gauti daugiau informacijos apie šio vaisto saugumą.</w:t>
      </w:r>
    </w:p>
    <w:p w14:paraId="6D8698A4" w14:textId="77777777" w:rsidR="00C0147E" w:rsidRPr="00130A96" w:rsidRDefault="00C0147E" w:rsidP="00130A96">
      <w:pPr>
        <w:pStyle w:val="Pagrindinistekstas"/>
      </w:pPr>
    </w:p>
    <w:p w14:paraId="6D8698A5" w14:textId="77777777" w:rsidR="00C0147E" w:rsidRPr="00130A96" w:rsidRDefault="00C0147E" w:rsidP="00130A96">
      <w:pPr>
        <w:pStyle w:val="Pagrindinistekstas"/>
      </w:pPr>
    </w:p>
    <w:p w14:paraId="6D8698A6" w14:textId="1C3C1EB1" w:rsidR="00C0147E" w:rsidRPr="00130A96" w:rsidRDefault="001175EF" w:rsidP="00165A28">
      <w:pPr>
        <w:pStyle w:val="Antrat2"/>
        <w:numPr>
          <w:ilvl w:val="0"/>
          <w:numId w:val="5"/>
        </w:numPr>
        <w:tabs>
          <w:tab w:val="left" w:pos="852"/>
        </w:tabs>
        <w:ind w:left="567"/>
      </w:pPr>
      <w:r w:rsidRPr="00130A96">
        <w:t xml:space="preserve">Kaip laikyti </w:t>
      </w:r>
      <w:proofErr w:type="spellStart"/>
      <w:r w:rsidR="00873FCC">
        <w:t>Dapagliflozin</w:t>
      </w:r>
      <w:proofErr w:type="spellEnd"/>
      <w:r w:rsidR="00873FCC">
        <w:t xml:space="preserve"> Olpha</w:t>
      </w:r>
    </w:p>
    <w:p w14:paraId="6D8698A7" w14:textId="77777777" w:rsidR="00C0147E" w:rsidRPr="00130A96" w:rsidRDefault="00C0147E" w:rsidP="00130A96">
      <w:pPr>
        <w:pStyle w:val="Pagrindinistekstas"/>
        <w:rPr>
          <w:b/>
        </w:rPr>
      </w:pPr>
    </w:p>
    <w:p w14:paraId="6D8698A8" w14:textId="77777777" w:rsidR="00C0147E" w:rsidRDefault="001175EF" w:rsidP="00130A96">
      <w:pPr>
        <w:pStyle w:val="Pagrindinistekstas"/>
      </w:pPr>
      <w:r w:rsidRPr="00130A96">
        <w:t>Šį vaistą laikykite vaikams nepastebimoje ir nepasiekiamoje vietoje.</w:t>
      </w:r>
    </w:p>
    <w:p w14:paraId="05BA3BBE" w14:textId="77777777" w:rsidR="00165A28" w:rsidRPr="00130A96" w:rsidRDefault="00165A28" w:rsidP="00130A96">
      <w:pPr>
        <w:pStyle w:val="Pagrindinistekstas"/>
      </w:pPr>
    </w:p>
    <w:p w14:paraId="6D8698A9" w14:textId="77777777" w:rsidR="00C0147E" w:rsidRPr="00130A96" w:rsidRDefault="001175EF" w:rsidP="00130A96">
      <w:pPr>
        <w:pStyle w:val="Pagrindinistekstas"/>
      </w:pPr>
      <w:r w:rsidRPr="00130A96">
        <w:t>Ant lizdinės plokštelės ar dėžutės po „EXP“ nurodytam tinkamumo laikui pasibaigus, šio vaisto vartoti negalima. Vaistas tinkamas vartoti iki paskutinės nurodyto mėnesio dienos.</w:t>
      </w:r>
    </w:p>
    <w:p w14:paraId="6D8698AA" w14:textId="77777777" w:rsidR="00C0147E" w:rsidRPr="00130A96" w:rsidRDefault="00C0147E" w:rsidP="00130A96">
      <w:pPr>
        <w:pStyle w:val="Pagrindinistekstas"/>
      </w:pPr>
    </w:p>
    <w:p w14:paraId="6D8698AB" w14:textId="77777777" w:rsidR="00C0147E" w:rsidRDefault="001175EF" w:rsidP="00130A96">
      <w:pPr>
        <w:pStyle w:val="Pagrindinistekstas"/>
      </w:pPr>
      <w:r w:rsidRPr="00130A96">
        <w:t>Šiam vaistui specialių laikymo sąlygų nereikia.</w:t>
      </w:r>
    </w:p>
    <w:p w14:paraId="15FFDF36" w14:textId="77777777" w:rsidR="00165A28" w:rsidRPr="00130A96" w:rsidRDefault="00165A28" w:rsidP="00130A96">
      <w:pPr>
        <w:pStyle w:val="Pagrindinistekstas"/>
      </w:pPr>
    </w:p>
    <w:p w14:paraId="6D8698AC" w14:textId="77777777" w:rsidR="00C0147E" w:rsidRPr="00130A96" w:rsidRDefault="001175EF" w:rsidP="00130A96">
      <w:pPr>
        <w:pStyle w:val="Pagrindinistekstas"/>
      </w:pPr>
      <w:r w:rsidRPr="00130A96">
        <w:t>Vaistų negalima išmesti į kanalizaciją arba su buitinėmis atliekomis. Kaip išmesti nereikalingus vaistus, klauskite vaistininko. Šios priemonės padės apsaugoti aplinką.</w:t>
      </w:r>
    </w:p>
    <w:p w14:paraId="6D8698AD" w14:textId="77777777" w:rsidR="00C0147E" w:rsidRDefault="00C0147E" w:rsidP="00130A96">
      <w:pPr>
        <w:pStyle w:val="Pagrindinistekstas"/>
      </w:pPr>
    </w:p>
    <w:p w14:paraId="180F6BF6" w14:textId="77777777" w:rsidR="00165A28" w:rsidRPr="00130A96" w:rsidRDefault="00165A28" w:rsidP="00130A96">
      <w:pPr>
        <w:pStyle w:val="Pagrindinistekstas"/>
      </w:pPr>
    </w:p>
    <w:p w14:paraId="1ACC40E2" w14:textId="77777777" w:rsidR="00165A28" w:rsidRDefault="001175EF" w:rsidP="00165A28">
      <w:pPr>
        <w:pStyle w:val="Antrat2"/>
        <w:numPr>
          <w:ilvl w:val="0"/>
          <w:numId w:val="5"/>
        </w:numPr>
        <w:tabs>
          <w:tab w:val="left" w:pos="852"/>
        </w:tabs>
        <w:ind w:left="567"/>
      </w:pPr>
      <w:r w:rsidRPr="00130A96">
        <w:t>Pakuotės turinys ir kita informacija</w:t>
      </w:r>
    </w:p>
    <w:p w14:paraId="79715519" w14:textId="77777777" w:rsidR="00165A28" w:rsidRDefault="00165A28" w:rsidP="00165A28">
      <w:pPr>
        <w:pStyle w:val="Antrat2"/>
        <w:tabs>
          <w:tab w:val="left" w:pos="852"/>
        </w:tabs>
        <w:ind w:left="0"/>
      </w:pPr>
    </w:p>
    <w:p w14:paraId="6D8698AE" w14:textId="3C5EEE44" w:rsidR="00C0147E" w:rsidRPr="00130A96" w:rsidRDefault="00873FCC" w:rsidP="00165A28">
      <w:pPr>
        <w:pStyle w:val="Antrat2"/>
        <w:tabs>
          <w:tab w:val="left" w:pos="852"/>
        </w:tabs>
        <w:ind w:left="0"/>
      </w:pPr>
      <w:proofErr w:type="spellStart"/>
      <w:r>
        <w:t>Dapagliflozin</w:t>
      </w:r>
      <w:proofErr w:type="spellEnd"/>
      <w:r>
        <w:t xml:space="preserve"> Olpha</w:t>
      </w:r>
      <w:r w:rsidR="001175EF" w:rsidRPr="00130A96">
        <w:t xml:space="preserve"> sudėtis</w:t>
      </w:r>
    </w:p>
    <w:p w14:paraId="6D8698AF" w14:textId="77777777" w:rsidR="00C0147E" w:rsidRPr="00130A96" w:rsidRDefault="001175EF" w:rsidP="00165A28">
      <w:pPr>
        <w:pStyle w:val="Sraopastraipa"/>
        <w:numPr>
          <w:ilvl w:val="1"/>
          <w:numId w:val="5"/>
        </w:numPr>
        <w:tabs>
          <w:tab w:val="left" w:pos="852"/>
        </w:tabs>
        <w:ind w:left="567" w:hanging="567"/>
      </w:pPr>
      <w:r w:rsidRPr="00130A96">
        <w:t>Veiklioji medžiaga yra dapagliflozinas.</w:t>
      </w:r>
    </w:p>
    <w:p w14:paraId="6D8698B0" w14:textId="569BD8BD" w:rsidR="00C0147E" w:rsidRPr="00130A96" w:rsidRDefault="001175EF" w:rsidP="00A2730B">
      <w:pPr>
        <w:pStyle w:val="Pagrindinistekstas"/>
      </w:pPr>
      <w:r w:rsidRPr="00130A96">
        <w:t xml:space="preserve">Kiekvienoje </w:t>
      </w:r>
      <w:proofErr w:type="spellStart"/>
      <w:r w:rsidR="00873FCC">
        <w:t>Dapagliflozin</w:t>
      </w:r>
      <w:proofErr w:type="spellEnd"/>
      <w:r w:rsidR="00873FCC">
        <w:t xml:space="preserve"> Olpha</w:t>
      </w:r>
      <w:r w:rsidRPr="00130A96">
        <w:t xml:space="preserve"> 5</w:t>
      </w:r>
      <w:r w:rsidR="00873FCC">
        <w:t> mg</w:t>
      </w:r>
      <w:r w:rsidRPr="00130A96">
        <w:t xml:space="preserve"> plėvele dengtoje tabletėje yra dapagliflozino </w:t>
      </w:r>
      <w:proofErr w:type="spellStart"/>
      <w:r w:rsidRPr="00130A96">
        <w:t>propandiol</w:t>
      </w:r>
      <w:r w:rsidR="000836B7">
        <w:t>i</w:t>
      </w:r>
      <w:r w:rsidRPr="00130A96">
        <w:t>o</w:t>
      </w:r>
      <w:proofErr w:type="spellEnd"/>
      <w:r w:rsidRPr="00130A96">
        <w:t xml:space="preserve"> </w:t>
      </w:r>
      <w:proofErr w:type="spellStart"/>
      <w:r w:rsidRPr="00130A96">
        <w:t>monohidrato</w:t>
      </w:r>
      <w:proofErr w:type="spellEnd"/>
      <w:r w:rsidRPr="00130A96">
        <w:t xml:space="preserve"> kiekis, atitinkantis 5</w:t>
      </w:r>
      <w:r w:rsidR="00873FCC">
        <w:t> mg</w:t>
      </w:r>
      <w:r w:rsidRPr="00130A96">
        <w:t xml:space="preserve"> dapagliflozino</w:t>
      </w:r>
      <w:r w:rsidR="00CC34C9">
        <w:t>.</w:t>
      </w:r>
    </w:p>
    <w:p w14:paraId="6D8698B1" w14:textId="33D6AEB1" w:rsidR="00C0147E" w:rsidRPr="00130A96" w:rsidRDefault="001175EF" w:rsidP="00A2730B">
      <w:pPr>
        <w:pStyle w:val="Pagrindinistekstas"/>
      </w:pPr>
      <w:r w:rsidRPr="00130A96">
        <w:t xml:space="preserve">Kiekvienoje </w:t>
      </w:r>
      <w:proofErr w:type="spellStart"/>
      <w:r w:rsidR="00873FCC">
        <w:t>Dapagliflozin</w:t>
      </w:r>
      <w:proofErr w:type="spellEnd"/>
      <w:r w:rsidR="00873FCC">
        <w:t xml:space="preserve"> Olpha</w:t>
      </w:r>
      <w:r w:rsidRPr="00130A96">
        <w:t xml:space="preserve"> 10</w:t>
      </w:r>
      <w:r w:rsidR="00873FCC">
        <w:t> mg</w:t>
      </w:r>
      <w:r w:rsidRPr="00130A96">
        <w:t xml:space="preserve"> plėvele dengtoje tabletėje yra dapagliflozino </w:t>
      </w:r>
      <w:proofErr w:type="spellStart"/>
      <w:r w:rsidRPr="00130A96">
        <w:t>propandiol</w:t>
      </w:r>
      <w:r w:rsidR="001A1E04">
        <w:t>i</w:t>
      </w:r>
      <w:r w:rsidRPr="00130A96">
        <w:t>o</w:t>
      </w:r>
      <w:proofErr w:type="spellEnd"/>
      <w:r w:rsidRPr="00130A96">
        <w:t xml:space="preserve"> </w:t>
      </w:r>
      <w:proofErr w:type="spellStart"/>
      <w:r w:rsidRPr="00130A96">
        <w:t>monohidrato</w:t>
      </w:r>
      <w:proofErr w:type="spellEnd"/>
      <w:r w:rsidRPr="00130A96">
        <w:t xml:space="preserve"> kiekis, atitinkantis 10</w:t>
      </w:r>
      <w:r w:rsidR="00873FCC">
        <w:t> mg</w:t>
      </w:r>
      <w:r w:rsidRPr="00130A96">
        <w:t xml:space="preserve"> dapagliflozino.</w:t>
      </w:r>
    </w:p>
    <w:p w14:paraId="6D8698B2" w14:textId="77777777" w:rsidR="00C0147E" w:rsidRPr="00130A96" w:rsidRDefault="001175EF" w:rsidP="00165A28">
      <w:pPr>
        <w:pStyle w:val="Sraopastraipa"/>
        <w:numPr>
          <w:ilvl w:val="1"/>
          <w:numId w:val="5"/>
        </w:numPr>
        <w:tabs>
          <w:tab w:val="left" w:pos="852"/>
        </w:tabs>
        <w:ind w:left="567" w:hanging="567"/>
      </w:pPr>
      <w:r w:rsidRPr="00130A96">
        <w:t>Pagalbinės medžiagos yra:</w:t>
      </w:r>
    </w:p>
    <w:p w14:paraId="386B92D1" w14:textId="4DF88295" w:rsidR="00590390" w:rsidRPr="00C53055" w:rsidRDefault="00BD417A" w:rsidP="00A2730B">
      <w:pPr>
        <w:pStyle w:val="paragraph"/>
        <w:spacing w:before="0" w:beforeAutospacing="0" w:after="0" w:afterAutospacing="0"/>
        <w:textAlignment w:val="baseline"/>
        <w:rPr>
          <w:sz w:val="22"/>
          <w:szCs w:val="22"/>
          <w:lang w:val="lt-LT"/>
        </w:rPr>
      </w:pPr>
      <w:r w:rsidRPr="005C3878">
        <w:rPr>
          <w:i/>
          <w:iCs/>
          <w:sz w:val="22"/>
          <w:szCs w:val="22"/>
          <w:lang w:val="lt-LT"/>
        </w:rPr>
        <w:t>t</w:t>
      </w:r>
      <w:r w:rsidR="007C48C4" w:rsidRPr="005C3878">
        <w:rPr>
          <w:i/>
          <w:iCs/>
          <w:sz w:val="22"/>
          <w:szCs w:val="22"/>
          <w:lang w:val="lt-LT"/>
        </w:rPr>
        <w:t>abletės</w:t>
      </w:r>
      <w:r w:rsidR="007C48C4" w:rsidRPr="005C3878">
        <w:rPr>
          <w:i/>
          <w:iCs/>
          <w:spacing w:val="-3"/>
          <w:sz w:val="22"/>
          <w:szCs w:val="22"/>
          <w:lang w:val="lt-LT"/>
        </w:rPr>
        <w:t xml:space="preserve"> </w:t>
      </w:r>
      <w:r w:rsidR="007C48C4" w:rsidRPr="005C3878">
        <w:rPr>
          <w:i/>
          <w:iCs/>
          <w:sz w:val="22"/>
          <w:szCs w:val="22"/>
          <w:lang w:val="lt-LT"/>
        </w:rPr>
        <w:t>šerdis:</w:t>
      </w:r>
      <w:r w:rsidR="00AE4E43" w:rsidRPr="005C3878">
        <w:rPr>
          <w:sz w:val="22"/>
          <w:szCs w:val="22"/>
          <w:lang w:val="lt-LT"/>
        </w:rPr>
        <w:t xml:space="preserve"> </w:t>
      </w:r>
      <w:proofErr w:type="spellStart"/>
      <w:r w:rsidR="00590390">
        <w:rPr>
          <w:rStyle w:val="normaltextrun"/>
          <w:sz w:val="22"/>
          <w:szCs w:val="22"/>
          <w:lang w:val="lt-LT"/>
        </w:rPr>
        <w:t>mikrokristalinė</w:t>
      </w:r>
      <w:proofErr w:type="spellEnd"/>
      <w:r w:rsidR="00590390">
        <w:rPr>
          <w:rStyle w:val="normaltextrun"/>
          <w:sz w:val="22"/>
          <w:szCs w:val="22"/>
          <w:lang w:val="lt-LT"/>
        </w:rPr>
        <w:t> celiuliozė, laktozė (žr. 2</w:t>
      </w:r>
      <w:r w:rsidR="00C53055">
        <w:rPr>
          <w:rStyle w:val="normaltextrun"/>
          <w:sz w:val="22"/>
          <w:szCs w:val="22"/>
          <w:lang w:val="lt-LT"/>
        </w:rPr>
        <w:t> </w:t>
      </w:r>
      <w:r w:rsidR="00590390">
        <w:rPr>
          <w:rStyle w:val="normaltextrun"/>
          <w:sz w:val="22"/>
          <w:szCs w:val="22"/>
          <w:lang w:val="lt-LT"/>
        </w:rPr>
        <w:t>skyrių „</w:t>
      </w:r>
      <w:proofErr w:type="spellStart"/>
      <w:r w:rsidR="00590390">
        <w:rPr>
          <w:rStyle w:val="normaltextrun"/>
          <w:sz w:val="22"/>
          <w:szCs w:val="22"/>
          <w:lang w:val="lt-LT"/>
        </w:rPr>
        <w:t>Dapagliflozin</w:t>
      </w:r>
      <w:proofErr w:type="spellEnd"/>
      <w:r w:rsidR="00AC6C75">
        <w:rPr>
          <w:rStyle w:val="normaltextrun"/>
          <w:sz w:val="22"/>
          <w:szCs w:val="22"/>
          <w:lang w:val="lt-LT"/>
        </w:rPr>
        <w:t xml:space="preserve"> </w:t>
      </w:r>
      <w:r w:rsidR="00590390">
        <w:rPr>
          <w:rStyle w:val="normaltextrun"/>
          <w:sz w:val="22"/>
          <w:szCs w:val="22"/>
          <w:lang w:val="lt-LT"/>
        </w:rPr>
        <w:t>Olpha</w:t>
      </w:r>
      <w:r w:rsidR="00AC6C75">
        <w:rPr>
          <w:rStyle w:val="normaltextrun"/>
          <w:sz w:val="22"/>
          <w:szCs w:val="22"/>
          <w:lang w:val="lt-LT"/>
        </w:rPr>
        <w:t xml:space="preserve"> </w:t>
      </w:r>
      <w:r w:rsidR="00590390">
        <w:rPr>
          <w:rStyle w:val="normaltextrun"/>
          <w:sz w:val="22"/>
          <w:szCs w:val="22"/>
          <w:lang w:val="lt-LT"/>
        </w:rPr>
        <w:t>sudėtyje yra laktozės“),</w:t>
      </w:r>
      <w:r w:rsidR="00AC6C75">
        <w:rPr>
          <w:rStyle w:val="normaltextrun"/>
          <w:sz w:val="22"/>
          <w:szCs w:val="22"/>
          <w:lang w:val="lt-LT"/>
        </w:rPr>
        <w:t xml:space="preserve"> </w:t>
      </w:r>
      <w:proofErr w:type="spellStart"/>
      <w:r w:rsidR="00590390">
        <w:rPr>
          <w:rStyle w:val="normaltextrun"/>
          <w:sz w:val="22"/>
          <w:szCs w:val="22"/>
          <w:lang w:val="lt-LT"/>
        </w:rPr>
        <w:t>krospovidonas</w:t>
      </w:r>
      <w:proofErr w:type="spellEnd"/>
      <w:r w:rsidR="00E964EB">
        <w:rPr>
          <w:rStyle w:val="normaltextrun"/>
          <w:sz w:val="22"/>
          <w:szCs w:val="22"/>
          <w:lang w:val="lt-LT"/>
        </w:rPr>
        <w:t> </w:t>
      </w:r>
      <w:r w:rsidR="00292FB7">
        <w:rPr>
          <w:rStyle w:val="normaltextrun"/>
          <w:sz w:val="22"/>
          <w:szCs w:val="22"/>
          <w:lang w:val="lt-LT"/>
        </w:rPr>
        <w:t>(</w:t>
      </w:r>
      <w:r w:rsidR="00A63797">
        <w:rPr>
          <w:rStyle w:val="normaltextrun"/>
          <w:sz w:val="22"/>
          <w:szCs w:val="22"/>
          <w:lang w:val="lt-LT"/>
        </w:rPr>
        <w:t>A</w:t>
      </w:r>
      <w:r w:rsidR="00E964EB">
        <w:rPr>
          <w:rStyle w:val="normaltextrun"/>
          <w:sz w:val="22"/>
          <w:szCs w:val="22"/>
          <w:lang w:val="lt-LT"/>
        </w:rPr>
        <w:t> </w:t>
      </w:r>
      <w:r w:rsidR="00292FB7">
        <w:rPr>
          <w:rStyle w:val="normaltextrun"/>
          <w:sz w:val="22"/>
          <w:szCs w:val="22"/>
          <w:lang w:val="lt-LT"/>
        </w:rPr>
        <w:t>tipo)</w:t>
      </w:r>
      <w:r w:rsidR="00590390">
        <w:rPr>
          <w:rStyle w:val="normaltextrun"/>
          <w:sz w:val="22"/>
          <w:szCs w:val="22"/>
          <w:lang w:val="lt-LT"/>
        </w:rPr>
        <w:t>,</w:t>
      </w:r>
      <w:r w:rsidR="0077653E">
        <w:rPr>
          <w:rStyle w:val="normaltextrun"/>
          <w:sz w:val="22"/>
          <w:szCs w:val="22"/>
          <w:lang w:val="lt-LT"/>
        </w:rPr>
        <w:t xml:space="preserve"> </w:t>
      </w:r>
      <w:r w:rsidR="001A1E04" w:rsidRPr="00C53055">
        <w:rPr>
          <w:sz w:val="22"/>
          <w:szCs w:val="22"/>
          <w:lang w:val="lt-LT"/>
        </w:rPr>
        <w:t>bevandenis</w:t>
      </w:r>
      <w:r w:rsidR="001A1E04">
        <w:rPr>
          <w:sz w:val="22"/>
          <w:szCs w:val="22"/>
          <w:lang w:val="lt-LT"/>
        </w:rPr>
        <w:t xml:space="preserve"> </w:t>
      </w:r>
      <w:r w:rsidR="00C53055">
        <w:rPr>
          <w:sz w:val="22"/>
          <w:szCs w:val="22"/>
          <w:lang w:val="lt-LT"/>
        </w:rPr>
        <w:t>k</w:t>
      </w:r>
      <w:r w:rsidR="00C53055" w:rsidRPr="00C53055">
        <w:rPr>
          <w:sz w:val="22"/>
          <w:szCs w:val="22"/>
          <w:lang w:val="lt-LT"/>
        </w:rPr>
        <w:t>oloidinis silicio dioksidas</w:t>
      </w:r>
      <w:r w:rsidR="00590390" w:rsidRPr="00C53055">
        <w:rPr>
          <w:rStyle w:val="normaltextrun"/>
          <w:sz w:val="22"/>
          <w:szCs w:val="22"/>
          <w:lang w:val="lt-LT"/>
        </w:rPr>
        <w:t>,</w:t>
      </w:r>
      <w:r w:rsidR="00590390">
        <w:rPr>
          <w:rStyle w:val="normaltextrun"/>
          <w:sz w:val="22"/>
          <w:szCs w:val="22"/>
          <w:lang w:val="lt-LT"/>
        </w:rPr>
        <w:t xml:space="preserve"> magnio</w:t>
      </w:r>
      <w:r w:rsidR="0077653E">
        <w:rPr>
          <w:rStyle w:val="normaltextrun"/>
          <w:sz w:val="22"/>
          <w:szCs w:val="22"/>
          <w:lang w:val="lt-LT"/>
        </w:rPr>
        <w:t xml:space="preserve"> </w:t>
      </w:r>
      <w:proofErr w:type="spellStart"/>
      <w:r w:rsidR="00590390">
        <w:rPr>
          <w:rStyle w:val="normaltextrun"/>
          <w:sz w:val="22"/>
          <w:szCs w:val="22"/>
          <w:lang w:val="lt-LT"/>
        </w:rPr>
        <w:t>stearatas</w:t>
      </w:r>
      <w:proofErr w:type="spellEnd"/>
      <w:r w:rsidR="00590390">
        <w:rPr>
          <w:rStyle w:val="normaltextrun"/>
          <w:sz w:val="22"/>
          <w:szCs w:val="22"/>
          <w:lang w:val="lt-LT"/>
        </w:rPr>
        <w:t>;</w:t>
      </w:r>
    </w:p>
    <w:p w14:paraId="34811067" w14:textId="3779A922" w:rsidR="00590390" w:rsidRPr="005C3878" w:rsidRDefault="00265F74" w:rsidP="00A2730B">
      <w:pPr>
        <w:pStyle w:val="paragraph"/>
        <w:spacing w:before="0" w:beforeAutospacing="0" w:after="0" w:afterAutospacing="0"/>
        <w:textAlignment w:val="baseline"/>
        <w:rPr>
          <w:sz w:val="22"/>
          <w:szCs w:val="22"/>
          <w:lang w:val="lt-LT"/>
        </w:rPr>
      </w:pPr>
      <w:r>
        <w:rPr>
          <w:i/>
          <w:iCs/>
          <w:sz w:val="22"/>
          <w:szCs w:val="22"/>
          <w:lang w:val="lt-LT"/>
        </w:rPr>
        <w:lastRenderedPageBreak/>
        <w:t xml:space="preserve">tabletės </w:t>
      </w:r>
      <w:r w:rsidR="00BD417A" w:rsidRPr="005C3878">
        <w:rPr>
          <w:i/>
          <w:iCs/>
          <w:sz w:val="22"/>
          <w:szCs w:val="22"/>
          <w:lang w:val="lt-LT"/>
        </w:rPr>
        <w:t>p</w:t>
      </w:r>
      <w:r w:rsidR="00DB241B" w:rsidRPr="005C3878">
        <w:rPr>
          <w:i/>
          <w:iCs/>
          <w:sz w:val="22"/>
          <w:szCs w:val="22"/>
          <w:lang w:val="lt-LT"/>
        </w:rPr>
        <w:t>lėvelė:</w:t>
      </w:r>
      <w:r w:rsidR="00DB241B" w:rsidRPr="005C3878">
        <w:rPr>
          <w:sz w:val="22"/>
          <w:szCs w:val="22"/>
          <w:lang w:val="lt-LT"/>
        </w:rPr>
        <w:t xml:space="preserve"> </w:t>
      </w:r>
      <w:r w:rsidR="00590390">
        <w:rPr>
          <w:rStyle w:val="normaltextrun"/>
          <w:sz w:val="22"/>
          <w:szCs w:val="22"/>
          <w:lang w:val="lt-LT"/>
        </w:rPr>
        <w:t>polivinilo alkoholis, titano dioksidas</w:t>
      </w:r>
      <w:r w:rsidR="00E964EB">
        <w:rPr>
          <w:rStyle w:val="normaltextrun"/>
          <w:sz w:val="22"/>
          <w:szCs w:val="22"/>
          <w:lang w:val="lt-LT"/>
        </w:rPr>
        <w:t> </w:t>
      </w:r>
      <w:r w:rsidR="00590390">
        <w:rPr>
          <w:rStyle w:val="normaltextrun"/>
          <w:sz w:val="22"/>
          <w:szCs w:val="22"/>
          <w:lang w:val="lt-LT"/>
        </w:rPr>
        <w:t>(E171),</w:t>
      </w:r>
      <w:r w:rsidR="00BA0158">
        <w:rPr>
          <w:rStyle w:val="normaltextrun"/>
          <w:sz w:val="22"/>
          <w:szCs w:val="22"/>
          <w:lang w:val="lt-LT"/>
        </w:rPr>
        <w:t xml:space="preserve"> </w:t>
      </w:r>
      <w:proofErr w:type="spellStart"/>
      <w:r w:rsidR="00590390">
        <w:rPr>
          <w:rStyle w:val="normaltextrun"/>
          <w:sz w:val="22"/>
          <w:szCs w:val="22"/>
          <w:lang w:val="lt-LT"/>
        </w:rPr>
        <w:t>makrogolis</w:t>
      </w:r>
      <w:proofErr w:type="spellEnd"/>
      <w:r w:rsidR="00E964EB">
        <w:rPr>
          <w:rStyle w:val="normaltextrun"/>
          <w:sz w:val="22"/>
          <w:szCs w:val="22"/>
          <w:lang w:val="lt-LT"/>
        </w:rPr>
        <w:t> </w:t>
      </w:r>
      <w:r w:rsidR="00BD417A">
        <w:rPr>
          <w:rStyle w:val="normaltextrun"/>
          <w:sz w:val="22"/>
          <w:szCs w:val="22"/>
          <w:lang w:val="lt-LT"/>
        </w:rPr>
        <w:t>(</w:t>
      </w:r>
      <w:r w:rsidR="008806D4" w:rsidRPr="005C3878">
        <w:rPr>
          <w:sz w:val="22"/>
          <w:szCs w:val="22"/>
          <w:lang w:val="lt-LT"/>
        </w:rPr>
        <w:t>3350)</w:t>
      </w:r>
      <w:r w:rsidR="00590390">
        <w:rPr>
          <w:rStyle w:val="normaltextrun"/>
          <w:sz w:val="22"/>
          <w:szCs w:val="22"/>
          <w:lang w:val="lt-LT"/>
        </w:rPr>
        <w:t>, talkas,</w:t>
      </w:r>
      <w:r w:rsidR="00E964EB">
        <w:rPr>
          <w:rStyle w:val="normaltextrun"/>
          <w:sz w:val="22"/>
          <w:szCs w:val="22"/>
          <w:lang w:val="lt-LT"/>
        </w:rPr>
        <w:t xml:space="preserve"> </w:t>
      </w:r>
      <w:r w:rsidR="00590390">
        <w:rPr>
          <w:rStyle w:val="normaltextrun"/>
          <w:sz w:val="22"/>
          <w:szCs w:val="22"/>
          <w:lang w:val="lt-LT"/>
        </w:rPr>
        <w:t>geltonasis geležies oksidas</w:t>
      </w:r>
      <w:r w:rsidR="00E964EB">
        <w:rPr>
          <w:rStyle w:val="normaltextrun"/>
          <w:sz w:val="22"/>
          <w:szCs w:val="22"/>
          <w:lang w:val="lt-LT"/>
        </w:rPr>
        <w:t> </w:t>
      </w:r>
      <w:r w:rsidR="00590390">
        <w:rPr>
          <w:rStyle w:val="normaltextrun"/>
          <w:sz w:val="22"/>
          <w:szCs w:val="22"/>
          <w:lang w:val="lt-LT"/>
        </w:rPr>
        <w:t>(E172).</w:t>
      </w:r>
    </w:p>
    <w:p w14:paraId="6D8698B6" w14:textId="77777777" w:rsidR="00C0147E" w:rsidRPr="00130A96" w:rsidRDefault="00C0147E" w:rsidP="00130A96">
      <w:pPr>
        <w:pStyle w:val="Pagrindinistekstas"/>
      </w:pPr>
    </w:p>
    <w:p w14:paraId="737AE4DD" w14:textId="51B67681" w:rsidR="00356EE5" w:rsidRPr="007E7DFC" w:rsidRDefault="00356EE5" w:rsidP="00356EE5">
      <w:pPr>
        <w:widowControl/>
        <w:autoSpaceDE/>
        <w:autoSpaceDN/>
        <w:jc w:val="both"/>
        <w:textAlignment w:val="baseline"/>
      </w:pPr>
      <w:proofErr w:type="spellStart"/>
      <w:r w:rsidRPr="00356EE5">
        <w:rPr>
          <w:b/>
          <w:bCs/>
        </w:rPr>
        <w:t>Dapagliflozin</w:t>
      </w:r>
      <w:proofErr w:type="spellEnd"/>
      <w:r w:rsidR="004545DD">
        <w:rPr>
          <w:b/>
          <w:bCs/>
        </w:rPr>
        <w:t xml:space="preserve"> </w:t>
      </w:r>
      <w:r w:rsidRPr="00356EE5">
        <w:rPr>
          <w:b/>
          <w:bCs/>
        </w:rPr>
        <w:t>Olpha</w:t>
      </w:r>
      <w:r w:rsidR="004545DD">
        <w:rPr>
          <w:b/>
          <w:bCs/>
        </w:rPr>
        <w:t xml:space="preserve"> </w:t>
      </w:r>
      <w:r w:rsidRPr="00356EE5">
        <w:rPr>
          <w:b/>
          <w:bCs/>
        </w:rPr>
        <w:t>išvaizda ir kiekis pakuotėje</w:t>
      </w:r>
    </w:p>
    <w:p w14:paraId="40CAC7B7" w14:textId="24328562" w:rsidR="00752A29" w:rsidRPr="00356EE5" w:rsidRDefault="00356EE5" w:rsidP="00812702">
      <w:pPr>
        <w:widowControl/>
        <w:autoSpaceDE/>
        <w:autoSpaceDN/>
        <w:textAlignment w:val="baseline"/>
      </w:pPr>
      <w:proofErr w:type="spellStart"/>
      <w:r w:rsidRPr="00356EE5">
        <w:t>Dapagliflozin</w:t>
      </w:r>
      <w:proofErr w:type="spellEnd"/>
      <w:r w:rsidR="004545DD">
        <w:t xml:space="preserve"> </w:t>
      </w:r>
      <w:r w:rsidRPr="00356EE5">
        <w:t>Olpha</w:t>
      </w:r>
      <w:r w:rsidR="004F6578">
        <w:t xml:space="preserve"> </w:t>
      </w:r>
      <w:r w:rsidRPr="00356EE5">
        <w:t>5</w:t>
      </w:r>
      <w:r w:rsidR="004F6578">
        <w:t> </w:t>
      </w:r>
      <w:r w:rsidRPr="00356EE5">
        <w:t xml:space="preserve">mg plėvele dengtos tabletės </w:t>
      </w:r>
      <w:r w:rsidR="00812702">
        <w:t xml:space="preserve">(tabletės) </w:t>
      </w:r>
      <w:r w:rsidRPr="00356EE5">
        <w:t xml:space="preserve">yra geltonos, abipus išgaubtos, </w:t>
      </w:r>
      <w:r w:rsidR="004F6578">
        <w:t xml:space="preserve">maždaug </w:t>
      </w:r>
      <w:r w:rsidRPr="00356EE5">
        <w:t>0,7</w:t>
      </w:r>
      <w:r w:rsidR="00E964EB">
        <w:t> </w:t>
      </w:r>
      <w:r w:rsidRPr="00356EE5">
        <w:t>cm skersmens</w:t>
      </w:r>
      <w:r w:rsidR="00214279">
        <w:t>,</w:t>
      </w:r>
      <w:r w:rsidR="0033477A">
        <w:t xml:space="preserve"> apvalios</w:t>
      </w:r>
      <w:r w:rsidR="00214279">
        <w:t>,</w:t>
      </w:r>
      <w:r w:rsidR="0033477A">
        <w:t xml:space="preserve"> </w:t>
      </w:r>
      <w:r w:rsidR="0033477A" w:rsidRPr="00130A96">
        <w:t>plėvele dengtos tabletės</w:t>
      </w:r>
      <w:r w:rsidR="00812702">
        <w:t xml:space="preserve">, </w:t>
      </w:r>
      <w:r w:rsidR="00BA6863">
        <w:t xml:space="preserve">kurių </w:t>
      </w:r>
      <w:r w:rsidR="00812702">
        <w:t>v</w:t>
      </w:r>
      <w:r w:rsidRPr="00356EE5">
        <w:t>ienoje pusėje</w:t>
      </w:r>
      <w:r w:rsidR="004545DD">
        <w:t xml:space="preserve"> </w:t>
      </w:r>
      <w:r w:rsidRPr="00356EE5">
        <w:t>įspausta „A“, kitoje – „D2“.</w:t>
      </w:r>
    </w:p>
    <w:p w14:paraId="54B41CF7" w14:textId="6331EC5D" w:rsidR="00356EE5" w:rsidRDefault="00356EE5" w:rsidP="00812702">
      <w:pPr>
        <w:widowControl/>
        <w:autoSpaceDE/>
        <w:autoSpaceDN/>
        <w:textAlignment w:val="baseline"/>
      </w:pPr>
      <w:proofErr w:type="spellStart"/>
      <w:r w:rsidRPr="00356EE5">
        <w:t>Dapagliflozin</w:t>
      </w:r>
      <w:proofErr w:type="spellEnd"/>
      <w:r w:rsidR="004545DD">
        <w:t xml:space="preserve"> </w:t>
      </w:r>
      <w:r w:rsidRPr="00356EE5">
        <w:t>Olpha</w:t>
      </w:r>
      <w:r w:rsidR="002F4251">
        <w:t> </w:t>
      </w:r>
      <w:r w:rsidRPr="00356EE5">
        <w:t>10</w:t>
      </w:r>
      <w:r w:rsidR="00214279">
        <w:t> </w:t>
      </w:r>
      <w:r w:rsidRPr="00356EE5">
        <w:t xml:space="preserve">mg plėvele dengtos tabletės </w:t>
      </w:r>
      <w:r w:rsidR="00812702">
        <w:t xml:space="preserve">(tabletės) </w:t>
      </w:r>
      <w:r w:rsidRPr="00356EE5">
        <w:t xml:space="preserve">yra geltonos, abipus išgaubtos, </w:t>
      </w:r>
      <w:r w:rsidR="00812702" w:rsidRPr="00130A96">
        <w:t>maždaug 1,1</w:t>
      </w:r>
      <w:r w:rsidR="00812702">
        <w:t> </w:t>
      </w:r>
      <w:r w:rsidR="00812702" w:rsidRPr="00130A96">
        <w:t>x</w:t>
      </w:r>
      <w:r w:rsidR="00812702">
        <w:t> </w:t>
      </w:r>
      <w:r w:rsidR="00812702" w:rsidRPr="00130A96">
        <w:t>0,8</w:t>
      </w:r>
      <w:r w:rsidR="00812702">
        <w:t> cm</w:t>
      </w:r>
      <w:r w:rsidR="008434F8">
        <w:t xml:space="preserve"> dydžio,</w:t>
      </w:r>
      <w:r w:rsidR="00812702" w:rsidRPr="00130A96">
        <w:t xml:space="preserve"> rombo formos</w:t>
      </w:r>
      <w:r w:rsidR="008434F8">
        <w:t>,</w:t>
      </w:r>
      <w:r w:rsidR="00812702" w:rsidRPr="00130A96">
        <w:t xml:space="preserve"> plėvele dengtos tabletės, </w:t>
      </w:r>
      <w:r w:rsidR="00BA6863">
        <w:t xml:space="preserve">kurių </w:t>
      </w:r>
      <w:r w:rsidR="00812702" w:rsidRPr="00130A96">
        <w:t xml:space="preserve">vienoje pusėje yra </w:t>
      </w:r>
      <w:r w:rsidR="00812702">
        <w:t>įspausta</w:t>
      </w:r>
      <w:r w:rsidR="00812702" w:rsidRPr="00130A96">
        <w:t xml:space="preserve"> „</w:t>
      </w:r>
      <w:r w:rsidR="00812702">
        <w:t>A</w:t>
      </w:r>
      <w:r w:rsidR="00812702" w:rsidRPr="00130A96">
        <w:t>“, kitoje – „</w:t>
      </w:r>
      <w:r w:rsidR="00812702">
        <w:t>D1</w:t>
      </w:r>
      <w:r w:rsidR="00812702" w:rsidRPr="00130A96">
        <w:t>“</w:t>
      </w:r>
      <w:r w:rsidRPr="00356EE5">
        <w:t>.</w:t>
      </w:r>
    </w:p>
    <w:p w14:paraId="560F0B3F" w14:textId="77777777" w:rsidR="00752A29" w:rsidRPr="00356EE5" w:rsidRDefault="00752A29" w:rsidP="00356EE5">
      <w:pPr>
        <w:widowControl/>
        <w:autoSpaceDE/>
        <w:autoSpaceDN/>
        <w:jc w:val="both"/>
        <w:textAlignment w:val="baseline"/>
      </w:pPr>
    </w:p>
    <w:p w14:paraId="1CC8109D" w14:textId="4F958CE5" w:rsidR="00356EE5" w:rsidRPr="00356EE5" w:rsidRDefault="00356EE5" w:rsidP="00356EE5">
      <w:pPr>
        <w:widowControl/>
        <w:autoSpaceDE/>
        <w:autoSpaceDN/>
        <w:textAlignment w:val="baseline"/>
      </w:pPr>
      <w:proofErr w:type="spellStart"/>
      <w:r w:rsidRPr="00356EE5">
        <w:t>Dapagliflozin</w:t>
      </w:r>
      <w:proofErr w:type="spellEnd"/>
      <w:r w:rsidR="004545DD">
        <w:t xml:space="preserve"> </w:t>
      </w:r>
      <w:r w:rsidRPr="00356EE5">
        <w:t>Olpha</w:t>
      </w:r>
      <w:r w:rsidR="008434F8">
        <w:t xml:space="preserve"> </w:t>
      </w:r>
      <w:r w:rsidRPr="00356EE5">
        <w:t>5</w:t>
      </w:r>
      <w:r w:rsidR="008434F8">
        <w:t> </w:t>
      </w:r>
      <w:r w:rsidRPr="00356EE5">
        <w:t>mg plėvele dengtos tabletės tiekiamos</w:t>
      </w:r>
      <w:r w:rsidR="00CB007E">
        <w:t xml:space="preserve"> </w:t>
      </w:r>
      <w:r w:rsidRPr="00356EE5">
        <w:t>neperforuotose</w:t>
      </w:r>
      <w:r w:rsidR="00CB007E">
        <w:t xml:space="preserve"> </w:t>
      </w:r>
      <w:r w:rsidRPr="00356EE5">
        <w:t>Al</w:t>
      </w:r>
      <w:r w:rsidR="00BF4436">
        <w:noBreakHyphen/>
      </w:r>
      <w:r w:rsidRPr="00356EE5">
        <w:t>PVC/Al/OPA</w:t>
      </w:r>
      <w:r w:rsidR="00CB007E">
        <w:t xml:space="preserve"> </w:t>
      </w:r>
      <w:r w:rsidRPr="00356EE5">
        <w:t xml:space="preserve">lizdinėse plokštelėse po 28 (14x2) </w:t>
      </w:r>
      <w:r w:rsidR="00F906C2">
        <w:t>arba</w:t>
      </w:r>
      <w:r w:rsidRPr="00356EE5">
        <w:t xml:space="preserve"> 98</w:t>
      </w:r>
      <w:r w:rsidR="004545DD">
        <w:t xml:space="preserve"> </w:t>
      </w:r>
      <w:r w:rsidRPr="00356EE5">
        <w:t>(14x7) plėvele dengtas tabletes</w:t>
      </w:r>
      <w:r w:rsidR="008C64AE">
        <w:t xml:space="preserve"> </w:t>
      </w:r>
      <w:r w:rsidRPr="00356EE5">
        <w:t>ir</w:t>
      </w:r>
      <w:r w:rsidR="008C64AE">
        <w:t xml:space="preserve"> </w:t>
      </w:r>
      <w:r w:rsidRPr="00356EE5">
        <w:t>perforuotose</w:t>
      </w:r>
      <w:r w:rsidR="008C64AE">
        <w:t xml:space="preserve"> </w:t>
      </w:r>
      <w:r w:rsidRPr="00356EE5">
        <w:t>Al</w:t>
      </w:r>
      <w:r w:rsidR="008C64AE">
        <w:noBreakHyphen/>
      </w:r>
      <w:r w:rsidRPr="00356EE5">
        <w:t>PVC/Al/OPA</w:t>
      </w:r>
      <w:r w:rsidR="008C64AE">
        <w:t xml:space="preserve"> </w:t>
      </w:r>
      <w:proofErr w:type="spellStart"/>
      <w:r w:rsidRPr="00356EE5">
        <w:t>dalomosiose</w:t>
      </w:r>
      <w:proofErr w:type="spellEnd"/>
      <w:r w:rsidR="008C64AE">
        <w:t xml:space="preserve"> </w:t>
      </w:r>
      <w:r w:rsidRPr="00356EE5">
        <w:t>lizdinėse plokštelėse</w:t>
      </w:r>
      <w:r w:rsidR="004545DD">
        <w:t xml:space="preserve"> </w:t>
      </w:r>
      <w:r w:rsidRPr="00356EE5">
        <w:t xml:space="preserve">po 30x1, 60x1 </w:t>
      </w:r>
      <w:r w:rsidR="00F906C2">
        <w:t>arba</w:t>
      </w:r>
      <w:r w:rsidRPr="00356EE5">
        <w:t xml:space="preserve"> 90x1 plėvele dengt</w:t>
      </w:r>
      <w:r w:rsidR="00587958">
        <w:t>ų</w:t>
      </w:r>
      <w:r w:rsidRPr="00356EE5">
        <w:t xml:space="preserve"> table</w:t>
      </w:r>
      <w:r w:rsidR="00587958">
        <w:t>čių</w:t>
      </w:r>
      <w:r w:rsidRPr="00356EE5">
        <w:t>.</w:t>
      </w:r>
    </w:p>
    <w:p w14:paraId="19BDBC3B" w14:textId="474B67A2" w:rsidR="00356EE5" w:rsidRDefault="00356EE5" w:rsidP="00752A29">
      <w:pPr>
        <w:widowControl/>
        <w:autoSpaceDE/>
        <w:autoSpaceDN/>
        <w:textAlignment w:val="baseline"/>
      </w:pPr>
      <w:proofErr w:type="spellStart"/>
      <w:r w:rsidRPr="00356EE5">
        <w:t>Dapagliflozin</w:t>
      </w:r>
      <w:proofErr w:type="spellEnd"/>
      <w:r w:rsidR="004545DD">
        <w:t xml:space="preserve"> </w:t>
      </w:r>
      <w:r w:rsidRPr="00356EE5">
        <w:t>Olpha</w:t>
      </w:r>
      <w:r w:rsidR="00C04975">
        <w:t xml:space="preserve"> </w:t>
      </w:r>
      <w:r w:rsidRPr="00356EE5">
        <w:t>10</w:t>
      </w:r>
      <w:r w:rsidR="00CE022A">
        <w:t> </w:t>
      </w:r>
      <w:r w:rsidRPr="00356EE5">
        <w:t>mg</w:t>
      </w:r>
      <w:r w:rsidR="00CE022A">
        <w:t xml:space="preserve"> </w:t>
      </w:r>
      <w:r w:rsidRPr="00356EE5">
        <w:t>plėvele dengtos tabletės tiekiamos neperforuotose</w:t>
      </w:r>
      <w:r w:rsidR="004545DD">
        <w:t xml:space="preserve"> </w:t>
      </w:r>
      <w:r w:rsidRPr="00356EE5">
        <w:t xml:space="preserve">Al-PVC/Al/OPA lizdinėse plokštelėse po 28 (14x2) </w:t>
      </w:r>
      <w:r w:rsidR="00587958">
        <w:t>arba</w:t>
      </w:r>
      <w:r w:rsidRPr="00356EE5">
        <w:t xml:space="preserve"> 98 (14x7) plėvele dengtas tabletes</w:t>
      </w:r>
      <w:r w:rsidR="001E5C60">
        <w:t xml:space="preserve"> </w:t>
      </w:r>
      <w:r w:rsidRPr="00356EE5">
        <w:t>ir</w:t>
      </w:r>
      <w:r w:rsidR="001E5C60">
        <w:t xml:space="preserve"> </w:t>
      </w:r>
      <w:r w:rsidRPr="00356EE5">
        <w:t>perforuotose Al</w:t>
      </w:r>
      <w:r w:rsidR="001E5C60">
        <w:noBreakHyphen/>
      </w:r>
      <w:r w:rsidRPr="00356EE5">
        <w:t>PVC/Al/OPA </w:t>
      </w:r>
      <w:proofErr w:type="spellStart"/>
      <w:r w:rsidRPr="00356EE5">
        <w:t>dalomosiose</w:t>
      </w:r>
      <w:proofErr w:type="spellEnd"/>
      <w:r w:rsidR="004545DD">
        <w:t xml:space="preserve"> </w:t>
      </w:r>
      <w:r w:rsidRPr="00356EE5">
        <w:t>lizdinėse plokštelėse</w:t>
      </w:r>
      <w:r w:rsidR="004545DD">
        <w:t xml:space="preserve"> </w:t>
      </w:r>
      <w:r w:rsidRPr="00356EE5">
        <w:t xml:space="preserve">po 30x1, 60x1 </w:t>
      </w:r>
      <w:r w:rsidR="00CD01AE">
        <w:t>arba</w:t>
      </w:r>
      <w:r w:rsidRPr="00356EE5">
        <w:t xml:space="preserve"> 90x1 plėvele dengt</w:t>
      </w:r>
      <w:r w:rsidR="003E5234">
        <w:t>ų</w:t>
      </w:r>
      <w:r w:rsidRPr="00356EE5">
        <w:t xml:space="preserve"> table</w:t>
      </w:r>
      <w:r w:rsidR="003E5234">
        <w:t>čių</w:t>
      </w:r>
      <w:r w:rsidRPr="00356EE5">
        <w:t>.</w:t>
      </w:r>
    </w:p>
    <w:p w14:paraId="758C807E" w14:textId="77777777" w:rsidR="00752A29" w:rsidRDefault="00752A29" w:rsidP="00752A29">
      <w:pPr>
        <w:widowControl/>
        <w:autoSpaceDE/>
        <w:autoSpaceDN/>
        <w:textAlignment w:val="baseline"/>
      </w:pPr>
    </w:p>
    <w:p w14:paraId="35CCF194" w14:textId="02D0A808" w:rsidR="00356EE5" w:rsidRDefault="00356EE5" w:rsidP="00356EE5">
      <w:pPr>
        <w:widowControl/>
        <w:autoSpaceDE/>
        <w:autoSpaceDN/>
        <w:jc w:val="both"/>
        <w:textAlignment w:val="baseline"/>
      </w:pPr>
      <w:r w:rsidRPr="00356EE5">
        <w:t>Gali būti tiekiamos ne visų dydžių pakuotės.</w:t>
      </w:r>
    </w:p>
    <w:p w14:paraId="1BC5B925" w14:textId="77777777" w:rsidR="00752A29" w:rsidRPr="00356EE5" w:rsidRDefault="00752A29" w:rsidP="00356EE5">
      <w:pPr>
        <w:widowControl/>
        <w:autoSpaceDE/>
        <w:autoSpaceDN/>
        <w:jc w:val="both"/>
        <w:textAlignment w:val="baseline"/>
        <w:rPr>
          <w:sz w:val="18"/>
          <w:szCs w:val="18"/>
        </w:rPr>
      </w:pPr>
    </w:p>
    <w:p w14:paraId="761C0212" w14:textId="49892D93" w:rsidR="006923BF" w:rsidRPr="00356EE5" w:rsidRDefault="00356EE5" w:rsidP="00356EE5">
      <w:pPr>
        <w:widowControl/>
        <w:autoSpaceDE/>
        <w:autoSpaceDN/>
        <w:jc w:val="both"/>
        <w:textAlignment w:val="baseline"/>
      </w:pPr>
      <w:r w:rsidRPr="00356EE5">
        <w:rPr>
          <w:b/>
          <w:bCs/>
        </w:rPr>
        <w:t>Registruotojas ir gamintojas</w:t>
      </w:r>
    </w:p>
    <w:p w14:paraId="059B2607" w14:textId="32D3877F" w:rsidR="006923BF" w:rsidRPr="00356EE5" w:rsidRDefault="00356EE5" w:rsidP="00356EE5">
      <w:pPr>
        <w:widowControl/>
        <w:autoSpaceDE/>
        <w:autoSpaceDN/>
        <w:jc w:val="both"/>
        <w:textAlignment w:val="baseline"/>
      </w:pPr>
      <w:r w:rsidRPr="00356EE5">
        <w:t>Olpha AS</w:t>
      </w:r>
      <w:r w:rsidR="002F4251">
        <w:t>,</w:t>
      </w:r>
    </w:p>
    <w:p w14:paraId="2C0E8328" w14:textId="7801DE36" w:rsidR="006923BF" w:rsidRPr="00356EE5" w:rsidRDefault="00356EE5" w:rsidP="00356EE5">
      <w:pPr>
        <w:widowControl/>
        <w:autoSpaceDE/>
        <w:autoSpaceDN/>
        <w:jc w:val="both"/>
        <w:textAlignment w:val="baseline"/>
      </w:pPr>
      <w:proofErr w:type="spellStart"/>
      <w:r w:rsidRPr="00356EE5">
        <w:t>R</w:t>
      </w:r>
      <w:r w:rsidR="006C0DF4">
        <w:t>ū</w:t>
      </w:r>
      <w:r w:rsidRPr="00356EE5">
        <w:t>pn</w:t>
      </w:r>
      <w:r w:rsidR="006C0DF4">
        <w:t>ī</w:t>
      </w:r>
      <w:r w:rsidRPr="00356EE5">
        <w:t>cu</w:t>
      </w:r>
      <w:proofErr w:type="spellEnd"/>
      <w:r w:rsidR="004545DD">
        <w:t xml:space="preserve"> </w:t>
      </w:r>
      <w:proofErr w:type="spellStart"/>
      <w:r w:rsidRPr="00356EE5">
        <w:t>iela</w:t>
      </w:r>
      <w:proofErr w:type="spellEnd"/>
      <w:r w:rsidRPr="00356EE5">
        <w:t> 5</w:t>
      </w:r>
      <w:r w:rsidR="002F4251">
        <w:t>,</w:t>
      </w:r>
    </w:p>
    <w:p w14:paraId="43CA5A3E" w14:textId="7AB6BDF7" w:rsidR="006923BF" w:rsidRPr="00356EE5" w:rsidRDefault="00356EE5" w:rsidP="00356EE5">
      <w:pPr>
        <w:widowControl/>
        <w:autoSpaceDE/>
        <w:autoSpaceDN/>
        <w:jc w:val="both"/>
        <w:textAlignment w:val="baseline"/>
      </w:pPr>
      <w:proofErr w:type="spellStart"/>
      <w:r w:rsidRPr="00356EE5">
        <w:t>Olaine</w:t>
      </w:r>
      <w:proofErr w:type="spellEnd"/>
      <w:r w:rsidRPr="00356EE5">
        <w:t>,</w:t>
      </w:r>
      <w:r w:rsidR="004545DD">
        <w:t xml:space="preserve"> </w:t>
      </w:r>
      <w:proofErr w:type="spellStart"/>
      <w:r w:rsidRPr="00356EE5">
        <w:t>Olaines</w:t>
      </w:r>
      <w:proofErr w:type="spellEnd"/>
      <w:r w:rsidR="004545DD">
        <w:t xml:space="preserve"> </w:t>
      </w:r>
      <w:proofErr w:type="spellStart"/>
      <w:r w:rsidRPr="00356EE5">
        <w:t>novads</w:t>
      </w:r>
      <w:proofErr w:type="spellEnd"/>
      <w:r w:rsidRPr="00356EE5">
        <w:t>, LV-2114</w:t>
      </w:r>
      <w:r w:rsidR="002F4251">
        <w:t>,</w:t>
      </w:r>
    </w:p>
    <w:p w14:paraId="77F3F288" w14:textId="48FF5C1D" w:rsidR="00C71975" w:rsidRDefault="00356EE5" w:rsidP="00356EE5">
      <w:pPr>
        <w:widowControl/>
        <w:autoSpaceDE/>
        <w:autoSpaceDN/>
        <w:jc w:val="both"/>
        <w:textAlignment w:val="baseline"/>
      </w:pPr>
      <w:r w:rsidRPr="00356EE5">
        <w:t>Latvija</w:t>
      </w:r>
    </w:p>
    <w:p w14:paraId="7C05F9F4" w14:textId="77777777" w:rsidR="00752A29" w:rsidRPr="00356EE5" w:rsidRDefault="00752A29" w:rsidP="00356EE5">
      <w:pPr>
        <w:widowControl/>
        <w:autoSpaceDE/>
        <w:autoSpaceDN/>
        <w:jc w:val="both"/>
        <w:textAlignment w:val="baseline"/>
      </w:pPr>
    </w:p>
    <w:p w14:paraId="219B365A" w14:textId="3FA4BC5F" w:rsidR="00356EE5" w:rsidRDefault="00356EE5" w:rsidP="00356EE5">
      <w:pPr>
        <w:widowControl/>
        <w:autoSpaceDE/>
        <w:autoSpaceDN/>
        <w:jc w:val="both"/>
        <w:textAlignment w:val="baseline"/>
      </w:pPr>
      <w:r w:rsidRPr="00356EE5">
        <w:rPr>
          <w:b/>
          <w:bCs/>
        </w:rPr>
        <w:t>Šis vaistas Europos ekonominės erdvės valstybėse narėse registruotas tokiais pavadinimais:</w:t>
      </w:r>
    </w:p>
    <w:p w14:paraId="0769B901" w14:textId="77777777" w:rsidR="006923BF" w:rsidRPr="00356EE5" w:rsidRDefault="006923BF" w:rsidP="00356EE5">
      <w:pPr>
        <w:widowControl/>
        <w:autoSpaceDE/>
        <w:autoSpaceDN/>
        <w:jc w:val="both"/>
        <w:textAlignment w:val="baseline"/>
      </w:pP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936"/>
      </w:tblGrid>
      <w:tr w:rsidR="00BE27F7" w:rsidRPr="00356EE5" w14:paraId="5192D31F"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5A80E027" w14:textId="753932EC" w:rsidR="00356EE5" w:rsidRPr="00356EE5" w:rsidRDefault="00356EE5" w:rsidP="00356EE5">
            <w:pPr>
              <w:widowControl/>
              <w:autoSpaceDE/>
              <w:autoSpaceDN/>
              <w:jc w:val="both"/>
              <w:textAlignment w:val="baseline"/>
              <w:rPr>
                <w:sz w:val="24"/>
                <w:szCs w:val="24"/>
              </w:rPr>
            </w:pPr>
            <w:r w:rsidRPr="00356EE5">
              <w:t>Latvija</w:t>
            </w:r>
          </w:p>
        </w:tc>
        <w:tc>
          <w:tcPr>
            <w:tcW w:w="6936" w:type="dxa"/>
            <w:tcBorders>
              <w:top w:val="single" w:sz="6" w:space="0" w:color="auto"/>
              <w:left w:val="single" w:sz="6" w:space="0" w:color="auto"/>
              <w:bottom w:val="single" w:sz="6" w:space="0" w:color="auto"/>
              <w:right w:val="single" w:sz="6" w:space="0" w:color="auto"/>
            </w:tcBorders>
            <w:hideMark/>
          </w:tcPr>
          <w:p w14:paraId="1D24209F" w14:textId="4239A619"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w:t>
            </w:r>
            <w:r w:rsidR="00BE27F7">
              <w:t xml:space="preserve"> </w:t>
            </w:r>
            <w:proofErr w:type="spellStart"/>
            <w:r w:rsidRPr="00356EE5">
              <w:t>apvalkotās</w:t>
            </w:r>
            <w:proofErr w:type="spellEnd"/>
            <w:r w:rsidR="00BE27F7">
              <w:t xml:space="preserve"> </w:t>
            </w:r>
            <w:r w:rsidRPr="00356EE5">
              <w:t>tabletes</w:t>
            </w:r>
          </w:p>
          <w:p w14:paraId="0E042F2F" w14:textId="4E1D4E7A"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w:t>
            </w:r>
            <w:r w:rsidR="00BE27F7">
              <w:t xml:space="preserve"> </w:t>
            </w:r>
            <w:proofErr w:type="spellStart"/>
            <w:r w:rsidRPr="00356EE5">
              <w:t>apvalkotās</w:t>
            </w:r>
            <w:proofErr w:type="spellEnd"/>
            <w:r w:rsidR="00BE27F7">
              <w:t xml:space="preserve"> </w:t>
            </w:r>
            <w:r w:rsidRPr="00356EE5">
              <w:t>tabletes</w:t>
            </w:r>
          </w:p>
        </w:tc>
      </w:tr>
      <w:tr w:rsidR="00BE27F7" w:rsidRPr="00356EE5" w14:paraId="3A3B0F9D"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08BA3D2F" w14:textId="2E63786E" w:rsidR="00356EE5" w:rsidRPr="00356EE5" w:rsidRDefault="00356EE5" w:rsidP="00356EE5">
            <w:pPr>
              <w:widowControl/>
              <w:autoSpaceDE/>
              <w:autoSpaceDN/>
              <w:jc w:val="both"/>
              <w:textAlignment w:val="baseline"/>
              <w:rPr>
                <w:sz w:val="24"/>
                <w:szCs w:val="24"/>
              </w:rPr>
            </w:pPr>
            <w:r w:rsidRPr="00356EE5">
              <w:t>Čekija</w:t>
            </w:r>
          </w:p>
        </w:tc>
        <w:tc>
          <w:tcPr>
            <w:tcW w:w="6936" w:type="dxa"/>
            <w:tcBorders>
              <w:top w:val="single" w:sz="6" w:space="0" w:color="auto"/>
              <w:left w:val="single" w:sz="6" w:space="0" w:color="auto"/>
              <w:bottom w:val="single" w:sz="6" w:space="0" w:color="auto"/>
              <w:right w:val="single" w:sz="6" w:space="0" w:color="auto"/>
            </w:tcBorders>
            <w:hideMark/>
          </w:tcPr>
          <w:p w14:paraId="6BC9DD48" w14:textId="1B4AB422"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60BB608F"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06D2C8A4" w14:textId="390FCEA1" w:rsidR="00356EE5" w:rsidRPr="00356EE5" w:rsidRDefault="00356EE5" w:rsidP="00356EE5">
            <w:pPr>
              <w:widowControl/>
              <w:autoSpaceDE/>
              <w:autoSpaceDN/>
              <w:jc w:val="both"/>
              <w:textAlignment w:val="baseline"/>
              <w:rPr>
                <w:sz w:val="24"/>
                <w:szCs w:val="24"/>
              </w:rPr>
            </w:pPr>
            <w:r w:rsidRPr="00356EE5">
              <w:t>Vokietija</w:t>
            </w:r>
          </w:p>
        </w:tc>
        <w:tc>
          <w:tcPr>
            <w:tcW w:w="6936" w:type="dxa"/>
            <w:tcBorders>
              <w:top w:val="single" w:sz="6" w:space="0" w:color="auto"/>
              <w:left w:val="single" w:sz="6" w:space="0" w:color="auto"/>
              <w:bottom w:val="single" w:sz="6" w:space="0" w:color="auto"/>
              <w:right w:val="single" w:sz="6" w:space="0" w:color="auto"/>
            </w:tcBorders>
            <w:hideMark/>
          </w:tcPr>
          <w:p w14:paraId="5F67DD72" w14:textId="3EFDC372"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w:t>
            </w:r>
            <w:r w:rsidR="00BE27F7">
              <w:t xml:space="preserve"> </w:t>
            </w:r>
            <w:proofErr w:type="spellStart"/>
            <w:r w:rsidRPr="00356EE5">
              <w:t>Filmtabletten</w:t>
            </w:r>
            <w:proofErr w:type="spellEnd"/>
          </w:p>
          <w:p w14:paraId="2EA73C27" w14:textId="30358DD7"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w:t>
            </w:r>
            <w:r w:rsidR="00BE27F7">
              <w:t xml:space="preserve"> </w:t>
            </w:r>
            <w:proofErr w:type="spellStart"/>
            <w:r w:rsidRPr="00356EE5">
              <w:t>Filmtabletten</w:t>
            </w:r>
            <w:proofErr w:type="spellEnd"/>
          </w:p>
        </w:tc>
      </w:tr>
      <w:tr w:rsidR="00BE27F7" w:rsidRPr="00356EE5" w14:paraId="17C721F4"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0F74373A" w14:textId="2E76D8F2" w:rsidR="00356EE5" w:rsidRPr="00356EE5" w:rsidRDefault="00356EE5" w:rsidP="00356EE5">
            <w:pPr>
              <w:widowControl/>
              <w:autoSpaceDE/>
              <w:autoSpaceDN/>
              <w:jc w:val="both"/>
              <w:textAlignment w:val="baseline"/>
              <w:rPr>
                <w:sz w:val="24"/>
                <w:szCs w:val="24"/>
              </w:rPr>
            </w:pPr>
            <w:r w:rsidRPr="00356EE5">
              <w:t>Estija</w:t>
            </w:r>
          </w:p>
        </w:tc>
        <w:tc>
          <w:tcPr>
            <w:tcW w:w="6936" w:type="dxa"/>
            <w:tcBorders>
              <w:top w:val="single" w:sz="6" w:space="0" w:color="auto"/>
              <w:left w:val="single" w:sz="6" w:space="0" w:color="auto"/>
              <w:bottom w:val="single" w:sz="6" w:space="0" w:color="auto"/>
              <w:right w:val="single" w:sz="6" w:space="0" w:color="auto"/>
            </w:tcBorders>
            <w:hideMark/>
          </w:tcPr>
          <w:p w14:paraId="78776769" w14:textId="2E4D9798"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406FFAFE"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4D6E5C64" w14:textId="206D8951" w:rsidR="00356EE5" w:rsidRPr="00356EE5" w:rsidRDefault="00356EE5" w:rsidP="00356EE5">
            <w:pPr>
              <w:widowControl/>
              <w:autoSpaceDE/>
              <w:autoSpaceDN/>
              <w:jc w:val="both"/>
              <w:textAlignment w:val="baseline"/>
              <w:rPr>
                <w:sz w:val="24"/>
                <w:szCs w:val="24"/>
              </w:rPr>
            </w:pPr>
            <w:r w:rsidRPr="00356EE5">
              <w:t>Ispanija</w:t>
            </w:r>
          </w:p>
        </w:tc>
        <w:tc>
          <w:tcPr>
            <w:tcW w:w="6936" w:type="dxa"/>
            <w:tcBorders>
              <w:top w:val="single" w:sz="6" w:space="0" w:color="auto"/>
              <w:left w:val="single" w:sz="6" w:space="0" w:color="auto"/>
              <w:bottom w:val="single" w:sz="6" w:space="0" w:color="auto"/>
              <w:right w:val="single" w:sz="6" w:space="0" w:color="auto"/>
            </w:tcBorders>
            <w:hideMark/>
          </w:tcPr>
          <w:p w14:paraId="1DDB3E80" w14:textId="76D2E7AC" w:rsidR="00356EE5" w:rsidRPr="00356EE5" w:rsidRDefault="00356EE5" w:rsidP="00BB5365">
            <w:pPr>
              <w:widowControl/>
              <w:autoSpaceDE/>
              <w:autoSpaceDN/>
              <w:ind w:left="135"/>
              <w:jc w:val="both"/>
              <w:textAlignment w:val="baseline"/>
              <w:rPr>
                <w:sz w:val="24"/>
                <w:szCs w:val="24"/>
              </w:rPr>
            </w:pPr>
            <w:proofErr w:type="spellStart"/>
            <w:r w:rsidRPr="00356EE5">
              <w:t>Dapagliflozina</w:t>
            </w:r>
            <w:proofErr w:type="spellEnd"/>
            <w:r w:rsidR="00BE27F7">
              <w:t xml:space="preserve"> </w:t>
            </w:r>
            <w:r w:rsidRPr="00356EE5">
              <w:t>Olpha 5</w:t>
            </w:r>
            <w:r w:rsidR="00BE27F7">
              <w:t> </w:t>
            </w:r>
            <w:r w:rsidRPr="00356EE5">
              <w:t>mg</w:t>
            </w:r>
            <w:r w:rsidR="00BE27F7">
              <w:t xml:space="preserve"> </w:t>
            </w:r>
            <w:proofErr w:type="spellStart"/>
            <w:r w:rsidRPr="00356EE5">
              <w:t>comprimidos</w:t>
            </w:r>
            <w:proofErr w:type="spellEnd"/>
            <w:r w:rsidR="00BE27F7">
              <w:t xml:space="preserve"> </w:t>
            </w:r>
            <w:proofErr w:type="spellStart"/>
            <w:r w:rsidRPr="00356EE5">
              <w:t>recubiertos</w:t>
            </w:r>
            <w:proofErr w:type="spellEnd"/>
            <w:r w:rsidR="00BE27F7">
              <w:t xml:space="preserve"> </w:t>
            </w:r>
            <w:proofErr w:type="spellStart"/>
            <w:r w:rsidRPr="00356EE5">
              <w:t>con</w:t>
            </w:r>
            <w:proofErr w:type="spellEnd"/>
            <w:r w:rsidR="00BE27F7">
              <w:t xml:space="preserve"> </w:t>
            </w:r>
            <w:proofErr w:type="spellStart"/>
            <w:r w:rsidRPr="00356EE5">
              <w:t>pel</w:t>
            </w:r>
            <w:proofErr w:type="spellEnd"/>
            <w:r w:rsidR="006C0DF4" w:rsidRPr="006E64FA">
              <w:rPr>
                <w:noProof/>
                <w:lang w:val="es-ES"/>
              </w:rPr>
              <w:t>í</w:t>
            </w:r>
            <w:proofErr w:type="spellStart"/>
            <w:r w:rsidRPr="00356EE5">
              <w:t>cula</w:t>
            </w:r>
            <w:proofErr w:type="spellEnd"/>
            <w:r w:rsidR="00BE27F7">
              <w:t xml:space="preserve"> </w:t>
            </w:r>
            <w:r w:rsidRPr="00356EE5">
              <w:t>EFG</w:t>
            </w:r>
          </w:p>
          <w:p w14:paraId="7EF963A0" w14:textId="140EB07E" w:rsidR="00356EE5" w:rsidRPr="00356EE5" w:rsidRDefault="00356EE5" w:rsidP="00BB5365">
            <w:pPr>
              <w:widowControl/>
              <w:autoSpaceDE/>
              <w:autoSpaceDN/>
              <w:ind w:left="135"/>
              <w:jc w:val="both"/>
              <w:textAlignment w:val="baseline"/>
              <w:rPr>
                <w:sz w:val="24"/>
                <w:szCs w:val="24"/>
              </w:rPr>
            </w:pPr>
            <w:proofErr w:type="spellStart"/>
            <w:r w:rsidRPr="00356EE5">
              <w:t>Dapagliflozina</w:t>
            </w:r>
            <w:proofErr w:type="spellEnd"/>
            <w:r w:rsidR="00BE27F7">
              <w:t xml:space="preserve"> </w:t>
            </w:r>
            <w:r w:rsidRPr="00356EE5">
              <w:t>Olpha 10</w:t>
            </w:r>
            <w:r w:rsidR="00BE27F7">
              <w:t> </w:t>
            </w:r>
            <w:r w:rsidRPr="00356EE5">
              <w:t>mg</w:t>
            </w:r>
            <w:r w:rsidR="00BE27F7">
              <w:t xml:space="preserve"> </w:t>
            </w:r>
            <w:proofErr w:type="spellStart"/>
            <w:r w:rsidRPr="00356EE5">
              <w:t>comprimidos</w:t>
            </w:r>
            <w:proofErr w:type="spellEnd"/>
            <w:r w:rsidR="00BE27F7">
              <w:t xml:space="preserve"> </w:t>
            </w:r>
            <w:proofErr w:type="spellStart"/>
            <w:r w:rsidRPr="00356EE5">
              <w:t>recubiertos</w:t>
            </w:r>
            <w:proofErr w:type="spellEnd"/>
            <w:r w:rsidR="00BE27F7">
              <w:t xml:space="preserve"> </w:t>
            </w:r>
            <w:proofErr w:type="spellStart"/>
            <w:r w:rsidRPr="00356EE5">
              <w:t>con</w:t>
            </w:r>
            <w:proofErr w:type="spellEnd"/>
            <w:r w:rsidR="00BE27F7">
              <w:t xml:space="preserve"> </w:t>
            </w:r>
            <w:proofErr w:type="spellStart"/>
            <w:r w:rsidRPr="00356EE5">
              <w:t>pel</w:t>
            </w:r>
            <w:proofErr w:type="spellEnd"/>
            <w:r w:rsidR="006C0DF4" w:rsidRPr="006E64FA">
              <w:rPr>
                <w:noProof/>
                <w:lang w:val="es-ES"/>
              </w:rPr>
              <w:t>í</w:t>
            </w:r>
            <w:proofErr w:type="spellStart"/>
            <w:r w:rsidRPr="00356EE5">
              <w:t>cula</w:t>
            </w:r>
            <w:proofErr w:type="spellEnd"/>
            <w:r w:rsidR="00BE27F7">
              <w:t xml:space="preserve"> </w:t>
            </w:r>
            <w:r w:rsidRPr="00356EE5">
              <w:t>EFG</w:t>
            </w:r>
          </w:p>
        </w:tc>
      </w:tr>
      <w:tr w:rsidR="00BE27F7" w:rsidRPr="00356EE5" w14:paraId="515DA6E0"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22FCC482" w14:textId="2539B441" w:rsidR="00356EE5" w:rsidRPr="00356EE5" w:rsidRDefault="00356EE5" w:rsidP="00356EE5">
            <w:pPr>
              <w:widowControl/>
              <w:autoSpaceDE/>
              <w:autoSpaceDN/>
              <w:jc w:val="both"/>
              <w:textAlignment w:val="baseline"/>
              <w:rPr>
                <w:sz w:val="24"/>
                <w:szCs w:val="24"/>
              </w:rPr>
            </w:pPr>
            <w:r w:rsidRPr="00356EE5">
              <w:t>Prancūzija</w:t>
            </w:r>
          </w:p>
        </w:tc>
        <w:tc>
          <w:tcPr>
            <w:tcW w:w="6936" w:type="dxa"/>
            <w:tcBorders>
              <w:top w:val="single" w:sz="6" w:space="0" w:color="auto"/>
              <w:left w:val="single" w:sz="6" w:space="0" w:color="auto"/>
              <w:bottom w:val="single" w:sz="6" w:space="0" w:color="auto"/>
              <w:right w:val="single" w:sz="6" w:space="0" w:color="auto"/>
            </w:tcBorders>
            <w:hideMark/>
          </w:tcPr>
          <w:p w14:paraId="560B67B9" w14:textId="57030994" w:rsidR="00356EE5" w:rsidRPr="00356EE5" w:rsidRDefault="00356EE5" w:rsidP="00BB5365">
            <w:pPr>
              <w:widowControl/>
              <w:autoSpaceDE/>
              <w:autoSpaceDN/>
              <w:ind w:left="135"/>
              <w:jc w:val="both"/>
              <w:textAlignment w:val="baseline"/>
              <w:rPr>
                <w:sz w:val="24"/>
                <w:szCs w:val="24"/>
              </w:rPr>
            </w:pPr>
            <w:r w:rsidRPr="00356EE5">
              <w:t>DAPAGLIFLOZINE OLPHA 5</w:t>
            </w:r>
            <w:r w:rsidR="00BE27F7">
              <w:t> </w:t>
            </w:r>
            <w:r w:rsidRPr="00356EE5">
              <w:t>mg,</w:t>
            </w:r>
            <w:r w:rsidR="00BE27F7">
              <w:t xml:space="preserve"> </w:t>
            </w:r>
            <w:proofErr w:type="spellStart"/>
            <w:r w:rsidRPr="00356EE5">
              <w:t>comprimé</w:t>
            </w:r>
            <w:proofErr w:type="spellEnd"/>
            <w:r w:rsidR="00BE27F7">
              <w:t xml:space="preserve"> </w:t>
            </w:r>
            <w:proofErr w:type="spellStart"/>
            <w:r w:rsidRPr="00356EE5">
              <w:t>pelliculé</w:t>
            </w:r>
            <w:proofErr w:type="spellEnd"/>
          </w:p>
          <w:p w14:paraId="0E96FC67" w14:textId="739D7D8F" w:rsidR="00356EE5" w:rsidRPr="00356EE5" w:rsidRDefault="00356EE5" w:rsidP="00BB5365">
            <w:pPr>
              <w:widowControl/>
              <w:autoSpaceDE/>
              <w:autoSpaceDN/>
              <w:ind w:left="135"/>
              <w:jc w:val="both"/>
              <w:textAlignment w:val="baseline"/>
              <w:rPr>
                <w:sz w:val="24"/>
                <w:szCs w:val="24"/>
              </w:rPr>
            </w:pPr>
            <w:r w:rsidRPr="00356EE5">
              <w:t>DAPAGLIFLOZINE OLPHA 10</w:t>
            </w:r>
            <w:r w:rsidR="00BE27F7">
              <w:t> </w:t>
            </w:r>
            <w:r w:rsidRPr="00356EE5">
              <w:t>mg,</w:t>
            </w:r>
            <w:r w:rsidR="00BE27F7">
              <w:t xml:space="preserve"> </w:t>
            </w:r>
            <w:proofErr w:type="spellStart"/>
            <w:r w:rsidRPr="00356EE5">
              <w:t>comprimé</w:t>
            </w:r>
            <w:proofErr w:type="spellEnd"/>
            <w:r w:rsidR="00BE27F7">
              <w:t xml:space="preserve"> </w:t>
            </w:r>
            <w:proofErr w:type="spellStart"/>
            <w:r w:rsidRPr="00356EE5">
              <w:t>pelliculé</w:t>
            </w:r>
            <w:proofErr w:type="spellEnd"/>
          </w:p>
        </w:tc>
      </w:tr>
      <w:tr w:rsidR="00BE27F7" w:rsidRPr="00356EE5" w14:paraId="1F7E0861"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10D7C6B4" w14:textId="31C4F48F" w:rsidR="00356EE5" w:rsidRPr="00356EE5" w:rsidRDefault="00356EE5" w:rsidP="00356EE5">
            <w:pPr>
              <w:widowControl/>
              <w:autoSpaceDE/>
              <w:autoSpaceDN/>
              <w:jc w:val="both"/>
              <w:textAlignment w:val="baseline"/>
              <w:rPr>
                <w:sz w:val="24"/>
                <w:szCs w:val="24"/>
              </w:rPr>
            </w:pPr>
            <w:r w:rsidRPr="00356EE5">
              <w:t>Italija</w:t>
            </w:r>
          </w:p>
        </w:tc>
        <w:tc>
          <w:tcPr>
            <w:tcW w:w="6936" w:type="dxa"/>
            <w:tcBorders>
              <w:top w:val="single" w:sz="6" w:space="0" w:color="auto"/>
              <w:left w:val="single" w:sz="6" w:space="0" w:color="auto"/>
              <w:bottom w:val="single" w:sz="6" w:space="0" w:color="auto"/>
              <w:right w:val="single" w:sz="6" w:space="0" w:color="auto"/>
            </w:tcBorders>
            <w:hideMark/>
          </w:tcPr>
          <w:p w14:paraId="40EEAD60" w14:textId="732D1B40"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2F8AEA6C"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4114362C" w14:textId="6BE6EEB5" w:rsidR="00356EE5" w:rsidRPr="00356EE5" w:rsidRDefault="00356EE5" w:rsidP="00356EE5">
            <w:pPr>
              <w:widowControl/>
              <w:autoSpaceDE/>
              <w:autoSpaceDN/>
              <w:jc w:val="both"/>
              <w:textAlignment w:val="baseline"/>
              <w:rPr>
                <w:sz w:val="24"/>
                <w:szCs w:val="24"/>
              </w:rPr>
            </w:pPr>
            <w:r w:rsidRPr="00356EE5">
              <w:t>Lietuva</w:t>
            </w:r>
          </w:p>
        </w:tc>
        <w:tc>
          <w:tcPr>
            <w:tcW w:w="6936" w:type="dxa"/>
            <w:tcBorders>
              <w:top w:val="single" w:sz="6" w:space="0" w:color="auto"/>
              <w:left w:val="single" w:sz="6" w:space="0" w:color="auto"/>
              <w:bottom w:val="single" w:sz="6" w:space="0" w:color="auto"/>
              <w:right w:val="single" w:sz="6" w:space="0" w:color="auto"/>
            </w:tcBorders>
            <w:hideMark/>
          </w:tcPr>
          <w:p w14:paraId="3F6F1405" w14:textId="606E9535"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 plėvele dengtos tabletės</w:t>
            </w:r>
          </w:p>
          <w:p w14:paraId="235FDC16" w14:textId="11A4B794"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 plėvele dengtos tabletės</w:t>
            </w:r>
          </w:p>
        </w:tc>
      </w:tr>
      <w:tr w:rsidR="00BE27F7" w:rsidRPr="00356EE5" w14:paraId="5195322E"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7F4FEE13" w14:textId="15609104" w:rsidR="00356EE5" w:rsidRPr="00356EE5" w:rsidRDefault="00356EE5" w:rsidP="00356EE5">
            <w:pPr>
              <w:widowControl/>
              <w:autoSpaceDE/>
              <w:autoSpaceDN/>
              <w:jc w:val="both"/>
              <w:textAlignment w:val="baseline"/>
              <w:rPr>
                <w:sz w:val="24"/>
                <w:szCs w:val="24"/>
              </w:rPr>
            </w:pPr>
            <w:r w:rsidRPr="00356EE5">
              <w:t>Lenkija</w:t>
            </w:r>
          </w:p>
        </w:tc>
        <w:tc>
          <w:tcPr>
            <w:tcW w:w="6936" w:type="dxa"/>
            <w:tcBorders>
              <w:top w:val="single" w:sz="6" w:space="0" w:color="auto"/>
              <w:left w:val="single" w:sz="6" w:space="0" w:color="auto"/>
              <w:bottom w:val="single" w:sz="6" w:space="0" w:color="auto"/>
              <w:right w:val="single" w:sz="6" w:space="0" w:color="auto"/>
            </w:tcBorders>
            <w:hideMark/>
          </w:tcPr>
          <w:p w14:paraId="386D3BA0" w14:textId="4EFEE4C3"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w:t>
            </w:r>
          </w:p>
        </w:tc>
      </w:tr>
      <w:tr w:rsidR="00BE27F7" w:rsidRPr="00356EE5" w14:paraId="7EC4E8B1" w14:textId="77777777" w:rsidTr="00BB5365">
        <w:trPr>
          <w:trHeight w:val="300"/>
        </w:trPr>
        <w:tc>
          <w:tcPr>
            <w:tcW w:w="2119" w:type="dxa"/>
            <w:tcBorders>
              <w:top w:val="single" w:sz="6" w:space="0" w:color="auto"/>
              <w:left w:val="single" w:sz="6" w:space="0" w:color="auto"/>
              <w:bottom w:val="single" w:sz="6" w:space="0" w:color="auto"/>
              <w:right w:val="single" w:sz="6" w:space="0" w:color="auto"/>
            </w:tcBorders>
            <w:hideMark/>
          </w:tcPr>
          <w:p w14:paraId="63B2EC5F" w14:textId="34A7F24A" w:rsidR="00356EE5" w:rsidRPr="00356EE5" w:rsidRDefault="00356EE5" w:rsidP="00356EE5">
            <w:pPr>
              <w:widowControl/>
              <w:autoSpaceDE/>
              <w:autoSpaceDN/>
              <w:jc w:val="both"/>
              <w:textAlignment w:val="baseline"/>
              <w:rPr>
                <w:sz w:val="24"/>
                <w:szCs w:val="24"/>
              </w:rPr>
            </w:pPr>
            <w:r w:rsidRPr="00356EE5">
              <w:t>Slovakija</w:t>
            </w:r>
          </w:p>
        </w:tc>
        <w:tc>
          <w:tcPr>
            <w:tcW w:w="6936" w:type="dxa"/>
            <w:tcBorders>
              <w:top w:val="single" w:sz="6" w:space="0" w:color="auto"/>
              <w:left w:val="single" w:sz="6" w:space="0" w:color="auto"/>
              <w:bottom w:val="single" w:sz="6" w:space="0" w:color="auto"/>
              <w:right w:val="single" w:sz="6" w:space="0" w:color="auto"/>
            </w:tcBorders>
            <w:hideMark/>
          </w:tcPr>
          <w:p w14:paraId="6222D44C" w14:textId="648E8318"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5</w:t>
            </w:r>
            <w:r w:rsidR="00BE27F7">
              <w:t> </w:t>
            </w:r>
            <w:r w:rsidRPr="00356EE5">
              <w:t>mg</w:t>
            </w:r>
          </w:p>
          <w:p w14:paraId="6D375501" w14:textId="4C5819F1" w:rsidR="00356EE5" w:rsidRPr="00356EE5" w:rsidRDefault="00356EE5" w:rsidP="00BB5365">
            <w:pPr>
              <w:widowControl/>
              <w:autoSpaceDE/>
              <w:autoSpaceDN/>
              <w:ind w:left="135"/>
              <w:jc w:val="both"/>
              <w:textAlignment w:val="baseline"/>
              <w:rPr>
                <w:sz w:val="24"/>
                <w:szCs w:val="24"/>
              </w:rPr>
            </w:pPr>
            <w:proofErr w:type="spellStart"/>
            <w:r w:rsidRPr="00356EE5">
              <w:t>Dapagliflozin</w:t>
            </w:r>
            <w:proofErr w:type="spellEnd"/>
            <w:r w:rsidR="00BE27F7">
              <w:t xml:space="preserve"> </w:t>
            </w:r>
            <w:r w:rsidRPr="00356EE5">
              <w:t>Olpha 10</w:t>
            </w:r>
            <w:r w:rsidR="00BE27F7">
              <w:t> </w:t>
            </w:r>
            <w:r w:rsidRPr="00356EE5">
              <w:t>mg</w:t>
            </w:r>
          </w:p>
        </w:tc>
      </w:tr>
    </w:tbl>
    <w:p w14:paraId="631FCCB4" w14:textId="22165CA2" w:rsidR="00356EE5" w:rsidRPr="00356EE5" w:rsidRDefault="00356EE5" w:rsidP="00356EE5">
      <w:pPr>
        <w:widowControl/>
        <w:autoSpaceDE/>
        <w:autoSpaceDN/>
        <w:jc w:val="both"/>
        <w:textAlignment w:val="baseline"/>
      </w:pPr>
    </w:p>
    <w:p w14:paraId="65EADFA7" w14:textId="2F1B272A" w:rsidR="00356EE5" w:rsidRDefault="00356EE5" w:rsidP="00356EE5">
      <w:pPr>
        <w:widowControl/>
        <w:autoSpaceDE/>
        <w:autoSpaceDN/>
        <w:jc w:val="both"/>
        <w:textAlignment w:val="baseline"/>
      </w:pPr>
      <w:r w:rsidRPr="00356EE5">
        <w:rPr>
          <w:b/>
          <w:bCs/>
        </w:rPr>
        <w:t xml:space="preserve">Šis pakuotės lapelis paskutinį kartą peržiūrėtas </w:t>
      </w:r>
      <w:r w:rsidR="00FF4E73">
        <w:rPr>
          <w:b/>
          <w:bCs/>
        </w:rPr>
        <w:t>2026-06-04.</w:t>
      </w:r>
    </w:p>
    <w:p w14:paraId="4A0274C9" w14:textId="77777777" w:rsidR="009C1789" w:rsidRDefault="009C1789" w:rsidP="00356EE5">
      <w:pPr>
        <w:widowControl/>
        <w:autoSpaceDE/>
        <w:autoSpaceDN/>
        <w:jc w:val="both"/>
        <w:textAlignment w:val="baseline"/>
      </w:pPr>
    </w:p>
    <w:p w14:paraId="6D86993E" w14:textId="5FC04DE4" w:rsidR="00C0147E" w:rsidRPr="009C1789" w:rsidRDefault="00356EE5" w:rsidP="009C1789">
      <w:pPr>
        <w:widowControl/>
        <w:autoSpaceDE/>
        <w:autoSpaceDN/>
        <w:jc w:val="both"/>
        <w:textAlignment w:val="baseline"/>
      </w:pPr>
      <w:r w:rsidRPr="00356EE5">
        <w:t>Išsami informacija apie šį vaistą pateikiama Valstybinės vaistų kontrolės tarnybos prie Lietuvos Respublikos sveikatos apsaugos ministerijos tinklalapyje</w:t>
      </w:r>
      <w:r w:rsidR="004545DD">
        <w:t xml:space="preserve"> </w:t>
      </w:r>
      <w:r w:rsidRPr="00356EE5">
        <w:rPr>
          <w:color w:val="0000EE"/>
          <w:u w:val="single"/>
        </w:rPr>
        <w:t>https://vvkt.lrv.lt/lt/</w:t>
      </w:r>
      <w:r w:rsidRPr="00356EE5">
        <w:t>.</w:t>
      </w:r>
    </w:p>
    <w:sectPr w:rsidR="00C0147E" w:rsidRPr="009C1789" w:rsidSect="00873FCC">
      <w:headerReference w:type="default" r:id="rId18"/>
      <w:footerReference w:type="default" r:id="rId1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8A5E" w14:textId="77777777" w:rsidR="00C918F1" w:rsidRDefault="00C918F1">
      <w:r>
        <w:separator/>
      </w:r>
    </w:p>
  </w:endnote>
  <w:endnote w:type="continuationSeparator" w:id="0">
    <w:p w14:paraId="66FD738E" w14:textId="77777777" w:rsidR="00C918F1" w:rsidRDefault="00C9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99E1" w14:textId="77777777" w:rsidR="00C0147E" w:rsidRDefault="001175EF">
    <w:pPr>
      <w:pStyle w:val="Pagrindinistekstas"/>
      <w:spacing w:line="14" w:lineRule="auto"/>
      <w:rPr>
        <w:sz w:val="20"/>
      </w:rPr>
    </w:pPr>
    <w:r>
      <w:rPr>
        <w:noProof/>
        <w:sz w:val="20"/>
      </w:rPr>
      <mc:AlternateContent>
        <mc:Choice Requires="wps">
          <w:drawing>
            <wp:anchor distT="0" distB="0" distL="0" distR="0" simplePos="0" relativeHeight="251658240" behindDoc="1" locked="0" layoutInCell="1" allowOverlap="1" wp14:anchorId="6D8699E2" wp14:editId="6D8699E3">
              <wp:simplePos x="0" y="0"/>
              <wp:positionH relativeFrom="page">
                <wp:posOffset>3682365</wp:posOffset>
              </wp:positionH>
              <wp:positionV relativeFrom="page">
                <wp:posOffset>10088899</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D869A42" w14:textId="77777777" w:rsidR="00C0147E" w:rsidRDefault="001175EF">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6D8699E2" id="_x0000_t202" coordsize="21600,21600" o:spt="202" path="m,l,21600r21600,l21600,xe">
              <v:stroke joinstyle="miter"/>
              <v:path gradientshapeok="t" o:connecttype="rect"/>
            </v:shapetype>
            <v:shape id="Textbox 1" o:spid="_x0000_s1039" type="#_x0000_t202" style="position:absolute;margin-left:289.95pt;margin-top:794.4pt;width:10.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" filled="f" stroked="f">
              <v:textbox inset="0,0,0,0">
                <w:txbxContent>
                  <w:p w14:paraId="6D869A42" w14:textId="77777777" w:rsidR="00C0147E" w:rsidRDefault="001175EF">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C8E9" w14:textId="77777777" w:rsidR="00C918F1" w:rsidRDefault="00C918F1">
      <w:r>
        <w:separator/>
      </w:r>
    </w:p>
  </w:footnote>
  <w:footnote w:type="continuationSeparator" w:id="0">
    <w:p w14:paraId="606D2E81" w14:textId="77777777" w:rsidR="00C918F1" w:rsidRDefault="00C9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F887" w14:textId="77777777" w:rsidR="007E7DFC" w:rsidRDefault="007E7D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D"/>
    <w:multiLevelType w:val="multilevel"/>
    <w:tmpl w:val="FFFFFFFF"/>
    <w:lvl w:ilvl="0">
      <w:start w:val="1"/>
      <w:numFmt w:val="decimal"/>
      <w:lvlText w:val="%1."/>
      <w:lvlJc w:val="left"/>
      <w:pPr>
        <w:ind w:left="430" w:hanging="567"/>
      </w:pPr>
      <w:rPr>
        <w:rFonts w:ascii="Times New Roman" w:hAnsi="Times New Roman" w:cs="Times New Roman"/>
        <w:b/>
        <w:bCs/>
        <w:i w:val="0"/>
        <w:iCs w:val="0"/>
        <w:spacing w:val="0"/>
        <w:w w:val="100"/>
        <w:sz w:val="22"/>
        <w:szCs w:val="22"/>
      </w:rPr>
    </w:lvl>
    <w:lvl w:ilvl="1">
      <w:numFmt w:val="bullet"/>
      <w:lvlText w:val=""/>
      <w:lvlJc w:val="left"/>
      <w:pPr>
        <w:ind w:left="997" w:hanging="360"/>
      </w:pPr>
      <w:rPr>
        <w:rFonts w:ascii="Symbol" w:hAnsi="Symbol" w:cs="Symbol"/>
        <w:b w:val="0"/>
        <w:bCs w:val="0"/>
        <w:i w:val="0"/>
        <w:iCs w:val="0"/>
        <w:spacing w:val="0"/>
        <w:w w:val="100"/>
        <w:sz w:val="22"/>
        <w:szCs w:val="22"/>
      </w:rPr>
    </w:lvl>
    <w:lvl w:ilvl="2">
      <w:numFmt w:val="bullet"/>
      <w:lvlText w:val="-"/>
      <w:lvlJc w:val="left"/>
      <w:pPr>
        <w:ind w:left="1150" w:hanging="360"/>
      </w:pPr>
      <w:rPr>
        <w:rFonts w:ascii="Times New Roman" w:hAnsi="Times New Roman" w:cs="Times New Roman"/>
        <w:b w:val="0"/>
        <w:bCs w:val="0"/>
        <w:i w:val="0"/>
        <w:iCs w:val="0"/>
        <w:spacing w:val="0"/>
        <w:w w:val="100"/>
        <w:sz w:val="22"/>
        <w:szCs w:val="22"/>
      </w:rPr>
    </w:lvl>
    <w:lvl w:ilvl="3">
      <w:numFmt w:val="bullet"/>
      <w:lvlText w:val="•"/>
      <w:lvlJc w:val="left"/>
      <w:pPr>
        <w:ind w:left="2207" w:hanging="360"/>
      </w:pPr>
    </w:lvl>
    <w:lvl w:ilvl="4">
      <w:numFmt w:val="bullet"/>
      <w:lvlText w:val="•"/>
      <w:lvlJc w:val="left"/>
      <w:pPr>
        <w:ind w:left="3269" w:hanging="360"/>
      </w:pPr>
    </w:lvl>
    <w:lvl w:ilvl="5">
      <w:numFmt w:val="bullet"/>
      <w:lvlText w:val="•"/>
      <w:lvlJc w:val="left"/>
      <w:pPr>
        <w:ind w:left="4331" w:hanging="360"/>
      </w:pPr>
    </w:lvl>
    <w:lvl w:ilvl="6">
      <w:numFmt w:val="bullet"/>
      <w:lvlText w:val="•"/>
      <w:lvlJc w:val="left"/>
      <w:pPr>
        <w:ind w:left="5394" w:hanging="360"/>
      </w:pPr>
    </w:lvl>
    <w:lvl w:ilvl="7">
      <w:numFmt w:val="bullet"/>
      <w:lvlText w:val="•"/>
      <w:lvlJc w:val="left"/>
      <w:pPr>
        <w:ind w:left="6456" w:hanging="360"/>
      </w:pPr>
    </w:lvl>
    <w:lvl w:ilvl="8">
      <w:numFmt w:val="bullet"/>
      <w:lvlText w:val="•"/>
      <w:lvlJc w:val="left"/>
      <w:pPr>
        <w:ind w:left="7518" w:hanging="360"/>
      </w:pPr>
    </w:lvl>
  </w:abstractNum>
  <w:abstractNum w:abstractNumId="1"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2" w15:restartNumberingAfterBreak="0">
    <w:nsid w:val="06837C9D"/>
    <w:multiLevelType w:val="hybridMultilevel"/>
    <w:tmpl w:val="ECC01C0A"/>
    <w:lvl w:ilvl="0" w:tplc="BC4AF89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33AE2"/>
    <w:multiLevelType w:val="hybridMultilevel"/>
    <w:tmpl w:val="602CCC90"/>
    <w:lvl w:ilvl="0" w:tplc="FFFFFFFF">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B60C61A8">
      <w:numFmt w:val="bullet"/>
      <w:lvlText w:val=""/>
      <w:lvlJc w:val="left"/>
      <w:pPr>
        <w:ind w:left="2160" w:hanging="360"/>
      </w:pPr>
      <w:rPr>
        <w:rFonts w:ascii="Symbol" w:eastAsia="Symbol" w:hAnsi="Symbol" w:cs="Symbol" w:hint="default"/>
        <w:w w:val="100"/>
        <w:sz w:val="22"/>
        <w:szCs w:val="22"/>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373B63"/>
    <w:multiLevelType w:val="hybridMultilevel"/>
    <w:tmpl w:val="1BFAC622"/>
    <w:lvl w:ilvl="0" w:tplc="BF360290">
      <w:start w:val="1"/>
      <w:numFmt w:val="upperLetter"/>
      <w:lvlText w:val="%1."/>
      <w:lvlJc w:val="left"/>
      <w:pPr>
        <w:ind w:left="852" w:hanging="567"/>
      </w:pPr>
      <w:rPr>
        <w:rFonts w:ascii="Times New Roman" w:eastAsia="Times New Roman" w:hAnsi="Times New Roman" w:cs="Times New Roman" w:hint="default"/>
        <w:b/>
        <w:bCs/>
        <w:i w:val="0"/>
        <w:iCs w:val="0"/>
        <w:spacing w:val="-2"/>
        <w:w w:val="100"/>
        <w:sz w:val="22"/>
        <w:szCs w:val="22"/>
        <w:lang w:val="lt-LT" w:eastAsia="en-US" w:bidi="ar-SA"/>
      </w:rPr>
    </w:lvl>
    <w:lvl w:ilvl="1" w:tplc="ADB0E498">
      <w:start w:val="1"/>
      <w:numFmt w:val="upperLetter"/>
      <w:lvlText w:val="%2."/>
      <w:lvlJc w:val="left"/>
      <w:pPr>
        <w:ind w:left="4159"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20BAFE26">
      <w:numFmt w:val="bullet"/>
      <w:lvlText w:val="•"/>
      <w:lvlJc w:val="left"/>
      <w:pPr>
        <w:ind w:left="4753" w:hanging="269"/>
      </w:pPr>
      <w:rPr>
        <w:rFonts w:hint="default"/>
        <w:lang w:val="lt-LT" w:eastAsia="en-US" w:bidi="ar-SA"/>
      </w:rPr>
    </w:lvl>
    <w:lvl w:ilvl="3" w:tplc="81A626D6">
      <w:numFmt w:val="bullet"/>
      <w:lvlText w:val="•"/>
      <w:lvlJc w:val="left"/>
      <w:pPr>
        <w:ind w:left="5346" w:hanging="269"/>
      </w:pPr>
      <w:rPr>
        <w:rFonts w:hint="default"/>
        <w:lang w:val="lt-LT" w:eastAsia="en-US" w:bidi="ar-SA"/>
      </w:rPr>
    </w:lvl>
    <w:lvl w:ilvl="4" w:tplc="6D1E94C2">
      <w:numFmt w:val="bullet"/>
      <w:lvlText w:val="•"/>
      <w:lvlJc w:val="left"/>
      <w:pPr>
        <w:ind w:left="5939" w:hanging="269"/>
      </w:pPr>
      <w:rPr>
        <w:rFonts w:hint="default"/>
        <w:lang w:val="lt-LT" w:eastAsia="en-US" w:bidi="ar-SA"/>
      </w:rPr>
    </w:lvl>
    <w:lvl w:ilvl="5" w:tplc="5D503268">
      <w:numFmt w:val="bullet"/>
      <w:lvlText w:val="•"/>
      <w:lvlJc w:val="left"/>
      <w:pPr>
        <w:ind w:left="6532" w:hanging="269"/>
      </w:pPr>
      <w:rPr>
        <w:rFonts w:hint="default"/>
        <w:lang w:val="lt-LT" w:eastAsia="en-US" w:bidi="ar-SA"/>
      </w:rPr>
    </w:lvl>
    <w:lvl w:ilvl="6" w:tplc="35B6EA96">
      <w:numFmt w:val="bullet"/>
      <w:lvlText w:val="•"/>
      <w:lvlJc w:val="left"/>
      <w:pPr>
        <w:ind w:left="7125" w:hanging="269"/>
      </w:pPr>
      <w:rPr>
        <w:rFonts w:hint="default"/>
        <w:lang w:val="lt-LT" w:eastAsia="en-US" w:bidi="ar-SA"/>
      </w:rPr>
    </w:lvl>
    <w:lvl w:ilvl="7" w:tplc="3F68C8FE">
      <w:numFmt w:val="bullet"/>
      <w:lvlText w:val="•"/>
      <w:lvlJc w:val="left"/>
      <w:pPr>
        <w:ind w:left="7718" w:hanging="269"/>
      </w:pPr>
      <w:rPr>
        <w:rFonts w:hint="default"/>
        <w:lang w:val="lt-LT" w:eastAsia="en-US" w:bidi="ar-SA"/>
      </w:rPr>
    </w:lvl>
    <w:lvl w:ilvl="8" w:tplc="3FC278BA">
      <w:numFmt w:val="bullet"/>
      <w:lvlText w:val="•"/>
      <w:lvlJc w:val="left"/>
      <w:pPr>
        <w:ind w:left="8312" w:hanging="269"/>
      </w:pPr>
      <w:rPr>
        <w:rFonts w:hint="default"/>
        <w:lang w:val="lt-LT" w:eastAsia="en-US" w:bidi="ar-SA"/>
      </w:rPr>
    </w:lvl>
  </w:abstractNum>
  <w:abstractNum w:abstractNumId="5" w15:restartNumberingAfterBreak="0">
    <w:nsid w:val="11940B10"/>
    <w:multiLevelType w:val="hybridMultilevel"/>
    <w:tmpl w:val="3646AD60"/>
    <w:lvl w:ilvl="0" w:tplc="AD3C44D0">
      <w:numFmt w:val="bullet"/>
      <w:lvlText w:val="-"/>
      <w:lvlJc w:val="left"/>
      <w:pPr>
        <w:ind w:left="427" w:hanging="144"/>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7664">
      <w:numFmt w:val="bullet"/>
      <w:lvlText w:val="•"/>
      <w:lvlJc w:val="left"/>
      <w:pPr>
        <w:ind w:left="645" w:hanging="144"/>
      </w:pPr>
      <w:rPr>
        <w:rFonts w:hint="default"/>
        <w:lang w:val="lt-LT" w:eastAsia="en-US" w:bidi="ar-SA"/>
      </w:rPr>
    </w:lvl>
    <w:lvl w:ilvl="2" w:tplc="4754CDCC">
      <w:numFmt w:val="bullet"/>
      <w:lvlText w:val="•"/>
      <w:lvlJc w:val="left"/>
      <w:pPr>
        <w:ind w:left="870" w:hanging="144"/>
      </w:pPr>
      <w:rPr>
        <w:rFonts w:hint="default"/>
        <w:lang w:val="lt-LT" w:eastAsia="en-US" w:bidi="ar-SA"/>
      </w:rPr>
    </w:lvl>
    <w:lvl w:ilvl="3" w:tplc="9D428418">
      <w:numFmt w:val="bullet"/>
      <w:lvlText w:val="•"/>
      <w:lvlJc w:val="left"/>
      <w:pPr>
        <w:ind w:left="1096" w:hanging="144"/>
      </w:pPr>
      <w:rPr>
        <w:rFonts w:hint="default"/>
        <w:lang w:val="lt-LT" w:eastAsia="en-US" w:bidi="ar-SA"/>
      </w:rPr>
    </w:lvl>
    <w:lvl w:ilvl="4" w:tplc="06381050">
      <w:numFmt w:val="bullet"/>
      <w:lvlText w:val="•"/>
      <w:lvlJc w:val="left"/>
      <w:pPr>
        <w:ind w:left="1321" w:hanging="144"/>
      </w:pPr>
      <w:rPr>
        <w:rFonts w:hint="default"/>
        <w:lang w:val="lt-LT" w:eastAsia="en-US" w:bidi="ar-SA"/>
      </w:rPr>
    </w:lvl>
    <w:lvl w:ilvl="5" w:tplc="3998FBC4">
      <w:numFmt w:val="bullet"/>
      <w:lvlText w:val="•"/>
      <w:lvlJc w:val="left"/>
      <w:pPr>
        <w:ind w:left="1547" w:hanging="144"/>
      </w:pPr>
      <w:rPr>
        <w:rFonts w:hint="default"/>
        <w:lang w:val="lt-LT" w:eastAsia="en-US" w:bidi="ar-SA"/>
      </w:rPr>
    </w:lvl>
    <w:lvl w:ilvl="6" w:tplc="441E9C7E">
      <w:numFmt w:val="bullet"/>
      <w:lvlText w:val="•"/>
      <w:lvlJc w:val="left"/>
      <w:pPr>
        <w:ind w:left="1772" w:hanging="144"/>
      </w:pPr>
      <w:rPr>
        <w:rFonts w:hint="default"/>
        <w:lang w:val="lt-LT" w:eastAsia="en-US" w:bidi="ar-SA"/>
      </w:rPr>
    </w:lvl>
    <w:lvl w:ilvl="7" w:tplc="3F4A5A4A">
      <w:numFmt w:val="bullet"/>
      <w:lvlText w:val="•"/>
      <w:lvlJc w:val="left"/>
      <w:pPr>
        <w:ind w:left="1997" w:hanging="144"/>
      </w:pPr>
      <w:rPr>
        <w:rFonts w:hint="default"/>
        <w:lang w:val="lt-LT" w:eastAsia="en-US" w:bidi="ar-SA"/>
      </w:rPr>
    </w:lvl>
    <w:lvl w:ilvl="8" w:tplc="246E133A">
      <w:numFmt w:val="bullet"/>
      <w:lvlText w:val="•"/>
      <w:lvlJc w:val="left"/>
      <w:pPr>
        <w:ind w:left="2223" w:hanging="144"/>
      </w:pPr>
      <w:rPr>
        <w:rFonts w:hint="default"/>
        <w:lang w:val="lt-LT" w:eastAsia="en-US" w:bidi="ar-SA"/>
      </w:rPr>
    </w:lvl>
  </w:abstractNum>
  <w:abstractNum w:abstractNumId="6" w15:restartNumberingAfterBreak="0">
    <w:nsid w:val="125E60F6"/>
    <w:multiLevelType w:val="hybridMultilevel"/>
    <w:tmpl w:val="EC88AE7C"/>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7" w15:restartNumberingAfterBreak="0">
    <w:nsid w:val="127E167E"/>
    <w:multiLevelType w:val="hybridMultilevel"/>
    <w:tmpl w:val="2A08BBAC"/>
    <w:lvl w:ilvl="0" w:tplc="2A0EEA22">
      <w:start w:val="1"/>
      <w:numFmt w:val="upperLetter"/>
      <w:lvlText w:val="%1."/>
      <w:lvlJc w:val="left"/>
      <w:pPr>
        <w:ind w:left="1987" w:hanging="708"/>
      </w:pPr>
      <w:rPr>
        <w:rFonts w:ascii="Times New Roman" w:eastAsia="Times New Roman" w:hAnsi="Times New Roman" w:cs="Times New Roman" w:hint="default"/>
        <w:b/>
        <w:bCs/>
        <w:i w:val="0"/>
        <w:iCs w:val="0"/>
        <w:spacing w:val="-2"/>
        <w:w w:val="100"/>
        <w:sz w:val="22"/>
        <w:szCs w:val="22"/>
        <w:lang w:val="lt-LT" w:eastAsia="en-US" w:bidi="ar-SA"/>
      </w:rPr>
    </w:lvl>
    <w:lvl w:ilvl="1" w:tplc="D13461D2">
      <w:numFmt w:val="bullet"/>
      <w:lvlText w:val="•"/>
      <w:lvlJc w:val="left"/>
      <w:pPr>
        <w:ind w:left="2731" w:hanging="708"/>
      </w:pPr>
      <w:rPr>
        <w:rFonts w:hint="default"/>
        <w:lang w:val="lt-LT" w:eastAsia="en-US" w:bidi="ar-SA"/>
      </w:rPr>
    </w:lvl>
    <w:lvl w:ilvl="2" w:tplc="102CABCE">
      <w:numFmt w:val="bullet"/>
      <w:lvlText w:val="•"/>
      <w:lvlJc w:val="left"/>
      <w:pPr>
        <w:ind w:left="3483" w:hanging="708"/>
      </w:pPr>
      <w:rPr>
        <w:rFonts w:hint="default"/>
        <w:lang w:val="lt-LT" w:eastAsia="en-US" w:bidi="ar-SA"/>
      </w:rPr>
    </w:lvl>
    <w:lvl w:ilvl="3" w:tplc="7C4CE9C6">
      <w:numFmt w:val="bullet"/>
      <w:lvlText w:val="•"/>
      <w:lvlJc w:val="left"/>
      <w:pPr>
        <w:ind w:left="4235" w:hanging="708"/>
      </w:pPr>
      <w:rPr>
        <w:rFonts w:hint="default"/>
        <w:lang w:val="lt-LT" w:eastAsia="en-US" w:bidi="ar-SA"/>
      </w:rPr>
    </w:lvl>
    <w:lvl w:ilvl="4" w:tplc="E9D887BA">
      <w:numFmt w:val="bullet"/>
      <w:lvlText w:val="•"/>
      <w:lvlJc w:val="left"/>
      <w:pPr>
        <w:ind w:left="4987" w:hanging="708"/>
      </w:pPr>
      <w:rPr>
        <w:rFonts w:hint="default"/>
        <w:lang w:val="lt-LT" w:eastAsia="en-US" w:bidi="ar-SA"/>
      </w:rPr>
    </w:lvl>
    <w:lvl w:ilvl="5" w:tplc="4E0C90DC">
      <w:numFmt w:val="bullet"/>
      <w:lvlText w:val="•"/>
      <w:lvlJc w:val="left"/>
      <w:pPr>
        <w:ind w:left="5739" w:hanging="708"/>
      </w:pPr>
      <w:rPr>
        <w:rFonts w:hint="default"/>
        <w:lang w:val="lt-LT" w:eastAsia="en-US" w:bidi="ar-SA"/>
      </w:rPr>
    </w:lvl>
    <w:lvl w:ilvl="6" w:tplc="DEEE0120">
      <w:numFmt w:val="bullet"/>
      <w:lvlText w:val="•"/>
      <w:lvlJc w:val="left"/>
      <w:pPr>
        <w:ind w:left="6491" w:hanging="708"/>
      </w:pPr>
      <w:rPr>
        <w:rFonts w:hint="default"/>
        <w:lang w:val="lt-LT" w:eastAsia="en-US" w:bidi="ar-SA"/>
      </w:rPr>
    </w:lvl>
    <w:lvl w:ilvl="7" w:tplc="A0AEE342">
      <w:numFmt w:val="bullet"/>
      <w:lvlText w:val="•"/>
      <w:lvlJc w:val="left"/>
      <w:pPr>
        <w:ind w:left="7242" w:hanging="708"/>
      </w:pPr>
      <w:rPr>
        <w:rFonts w:hint="default"/>
        <w:lang w:val="lt-LT" w:eastAsia="en-US" w:bidi="ar-SA"/>
      </w:rPr>
    </w:lvl>
    <w:lvl w:ilvl="8" w:tplc="DF1A8F0C">
      <w:numFmt w:val="bullet"/>
      <w:lvlText w:val="•"/>
      <w:lvlJc w:val="left"/>
      <w:pPr>
        <w:ind w:left="7994" w:hanging="708"/>
      </w:pPr>
      <w:rPr>
        <w:rFonts w:hint="default"/>
        <w:lang w:val="lt-LT" w:eastAsia="en-US" w:bidi="ar-SA"/>
      </w:rPr>
    </w:lvl>
  </w:abstractNum>
  <w:abstractNum w:abstractNumId="8" w15:restartNumberingAfterBreak="0">
    <w:nsid w:val="18AA7656"/>
    <w:multiLevelType w:val="hybridMultilevel"/>
    <w:tmpl w:val="2C7273A6"/>
    <w:lvl w:ilvl="0" w:tplc="1F5EA100">
      <w:numFmt w:val="bullet"/>
      <w:lvlText w:val=""/>
      <w:lvlJc w:val="left"/>
      <w:pPr>
        <w:ind w:left="852" w:hanging="567"/>
      </w:pPr>
      <w:rPr>
        <w:rFonts w:ascii="Symbol" w:eastAsia="Symbol" w:hAnsi="Symbol" w:cs="Symbol" w:hint="default"/>
        <w:b w:val="0"/>
        <w:bCs w:val="0"/>
        <w:i w:val="0"/>
        <w:iCs w:val="0"/>
        <w:spacing w:val="0"/>
        <w:w w:val="100"/>
        <w:sz w:val="22"/>
        <w:szCs w:val="22"/>
        <w:lang w:val="lt-LT" w:eastAsia="en-US" w:bidi="ar-SA"/>
      </w:rPr>
    </w:lvl>
    <w:lvl w:ilvl="1" w:tplc="26F271DC">
      <w:numFmt w:val="bullet"/>
      <w:lvlText w:val="•"/>
      <w:lvlJc w:val="left"/>
      <w:pPr>
        <w:ind w:left="1723" w:hanging="567"/>
      </w:pPr>
      <w:rPr>
        <w:rFonts w:hint="default"/>
        <w:lang w:val="lt-LT" w:eastAsia="en-US" w:bidi="ar-SA"/>
      </w:rPr>
    </w:lvl>
    <w:lvl w:ilvl="2" w:tplc="99FE1868">
      <w:numFmt w:val="bullet"/>
      <w:lvlText w:val="•"/>
      <w:lvlJc w:val="left"/>
      <w:pPr>
        <w:ind w:left="2587" w:hanging="567"/>
      </w:pPr>
      <w:rPr>
        <w:rFonts w:hint="default"/>
        <w:lang w:val="lt-LT" w:eastAsia="en-US" w:bidi="ar-SA"/>
      </w:rPr>
    </w:lvl>
    <w:lvl w:ilvl="3" w:tplc="A3C8AC52">
      <w:numFmt w:val="bullet"/>
      <w:lvlText w:val="•"/>
      <w:lvlJc w:val="left"/>
      <w:pPr>
        <w:ind w:left="3451" w:hanging="567"/>
      </w:pPr>
      <w:rPr>
        <w:rFonts w:hint="default"/>
        <w:lang w:val="lt-LT" w:eastAsia="en-US" w:bidi="ar-SA"/>
      </w:rPr>
    </w:lvl>
    <w:lvl w:ilvl="4" w:tplc="41D29FC6">
      <w:numFmt w:val="bullet"/>
      <w:lvlText w:val="•"/>
      <w:lvlJc w:val="left"/>
      <w:pPr>
        <w:ind w:left="4315" w:hanging="567"/>
      </w:pPr>
      <w:rPr>
        <w:rFonts w:hint="default"/>
        <w:lang w:val="lt-LT" w:eastAsia="en-US" w:bidi="ar-SA"/>
      </w:rPr>
    </w:lvl>
    <w:lvl w:ilvl="5" w:tplc="01845F6C">
      <w:numFmt w:val="bullet"/>
      <w:lvlText w:val="•"/>
      <w:lvlJc w:val="left"/>
      <w:pPr>
        <w:ind w:left="5179" w:hanging="567"/>
      </w:pPr>
      <w:rPr>
        <w:rFonts w:hint="default"/>
        <w:lang w:val="lt-LT" w:eastAsia="en-US" w:bidi="ar-SA"/>
      </w:rPr>
    </w:lvl>
    <w:lvl w:ilvl="6" w:tplc="263EA5FC">
      <w:numFmt w:val="bullet"/>
      <w:lvlText w:val="•"/>
      <w:lvlJc w:val="left"/>
      <w:pPr>
        <w:ind w:left="6043" w:hanging="567"/>
      </w:pPr>
      <w:rPr>
        <w:rFonts w:hint="default"/>
        <w:lang w:val="lt-LT" w:eastAsia="en-US" w:bidi="ar-SA"/>
      </w:rPr>
    </w:lvl>
    <w:lvl w:ilvl="7" w:tplc="4CE4540E">
      <w:numFmt w:val="bullet"/>
      <w:lvlText w:val="•"/>
      <w:lvlJc w:val="left"/>
      <w:pPr>
        <w:ind w:left="6906" w:hanging="567"/>
      </w:pPr>
      <w:rPr>
        <w:rFonts w:hint="default"/>
        <w:lang w:val="lt-LT" w:eastAsia="en-US" w:bidi="ar-SA"/>
      </w:rPr>
    </w:lvl>
    <w:lvl w:ilvl="8" w:tplc="F5A423E6">
      <w:numFmt w:val="bullet"/>
      <w:lvlText w:val="•"/>
      <w:lvlJc w:val="left"/>
      <w:pPr>
        <w:ind w:left="7770" w:hanging="567"/>
      </w:pPr>
      <w:rPr>
        <w:rFonts w:hint="default"/>
        <w:lang w:val="lt-LT" w:eastAsia="en-US" w:bidi="ar-SA"/>
      </w:rPr>
    </w:lvl>
  </w:abstractNum>
  <w:abstractNum w:abstractNumId="9" w15:restartNumberingAfterBreak="0">
    <w:nsid w:val="1E682856"/>
    <w:multiLevelType w:val="hybridMultilevel"/>
    <w:tmpl w:val="4BE61CE0"/>
    <w:lvl w:ilvl="0" w:tplc="31C6E80C">
      <w:numFmt w:val="bullet"/>
      <w:lvlText w:val="-"/>
      <w:lvlJc w:val="left"/>
      <w:pPr>
        <w:ind w:left="85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0364A4A">
      <w:numFmt w:val="bullet"/>
      <w:lvlText w:val="•"/>
      <w:lvlJc w:val="left"/>
      <w:pPr>
        <w:ind w:left="1723" w:hanging="567"/>
      </w:pPr>
      <w:rPr>
        <w:rFonts w:hint="default"/>
        <w:lang w:val="lt-LT" w:eastAsia="en-US" w:bidi="ar-SA"/>
      </w:rPr>
    </w:lvl>
    <w:lvl w:ilvl="2" w:tplc="4C3613CC">
      <w:numFmt w:val="bullet"/>
      <w:lvlText w:val="•"/>
      <w:lvlJc w:val="left"/>
      <w:pPr>
        <w:ind w:left="2587" w:hanging="567"/>
      </w:pPr>
      <w:rPr>
        <w:rFonts w:hint="default"/>
        <w:lang w:val="lt-LT" w:eastAsia="en-US" w:bidi="ar-SA"/>
      </w:rPr>
    </w:lvl>
    <w:lvl w:ilvl="3" w:tplc="B6542388">
      <w:numFmt w:val="bullet"/>
      <w:lvlText w:val="•"/>
      <w:lvlJc w:val="left"/>
      <w:pPr>
        <w:ind w:left="3451" w:hanging="567"/>
      </w:pPr>
      <w:rPr>
        <w:rFonts w:hint="default"/>
        <w:lang w:val="lt-LT" w:eastAsia="en-US" w:bidi="ar-SA"/>
      </w:rPr>
    </w:lvl>
    <w:lvl w:ilvl="4" w:tplc="A1083CBC">
      <w:numFmt w:val="bullet"/>
      <w:lvlText w:val="•"/>
      <w:lvlJc w:val="left"/>
      <w:pPr>
        <w:ind w:left="4315" w:hanging="567"/>
      </w:pPr>
      <w:rPr>
        <w:rFonts w:hint="default"/>
        <w:lang w:val="lt-LT" w:eastAsia="en-US" w:bidi="ar-SA"/>
      </w:rPr>
    </w:lvl>
    <w:lvl w:ilvl="5" w:tplc="6F7A148A">
      <w:numFmt w:val="bullet"/>
      <w:lvlText w:val="•"/>
      <w:lvlJc w:val="left"/>
      <w:pPr>
        <w:ind w:left="5179" w:hanging="567"/>
      </w:pPr>
      <w:rPr>
        <w:rFonts w:hint="default"/>
        <w:lang w:val="lt-LT" w:eastAsia="en-US" w:bidi="ar-SA"/>
      </w:rPr>
    </w:lvl>
    <w:lvl w:ilvl="6" w:tplc="36944FAE">
      <w:numFmt w:val="bullet"/>
      <w:lvlText w:val="•"/>
      <w:lvlJc w:val="left"/>
      <w:pPr>
        <w:ind w:left="6043" w:hanging="567"/>
      </w:pPr>
      <w:rPr>
        <w:rFonts w:hint="default"/>
        <w:lang w:val="lt-LT" w:eastAsia="en-US" w:bidi="ar-SA"/>
      </w:rPr>
    </w:lvl>
    <w:lvl w:ilvl="7" w:tplc="60CE3CF6">
      <w:numFmt w:val="bullet"/>
      <w:lvlText w:val="•"/>
      <w:lvlJc w:val="left"/>
      <w:pPr>
        <w:ind w:left="6906" w:hanging="567"/>
      </w:pPr>
      <w:rPr>
        <w:rFonts w:hint="default"/>
        <w:lang w:val="lt-LT" w:eastAsia="en-US" w:bidi="ar-SA"/>
      </w:rPr>
    </w:lvl>
    <w:lvl w:ilvl="8" w:tplc="108E8BA8">
      <w:numFmt w:val="bullet"/>
      <w:lvlText w:val="•"/>
      <w:lvlJc w:val="left"/>
      <w:pPr>
        <w:ind w:left="7770" w:hanging="567"/>
      </w:pPr>
      <w:rPr>
        <w:rFonts w:hint="default"/>
        <w:lang w:val="lt-LT" w:eastAsia="en-US" w:bidi="ar-SA"/>
      </w:rPr>
    </w:lvl>
  </w:abstractNum>
  <w:abstractNum w:abstractNumId="10" w15:restartNumberingAfterBreak="0">
    <w:nsid w:val="246730AD"/>
    <w:multiLevelType w:val="hybridMultilevel"/>
    <w:tmpl w:val="146E203A"/>
    <w:lvl w:ilvl="0" w:tplc="98383E6E">
      <w:numFmt w:val="bullet"/>
      <w:lvlText w:val="-"/>
      <w:lvlJc w:val="left"/>
      <w:pPr>
        <w:ind w:left="85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32AC9BE">
      <w:numFmt w:val="bullet"/>
      <w:lvlText w:val="•"/>
      <w:lvlJc w:val="left"/>
      <w:pPr>
        <w:ind w:left="1723" w:hanging="567"/>
      </w:pPr>
      <w:rPr>
        <w:rFonts w:hint="default"/>
        <w:lang w:val="lt-LT" w:eastAsia="en-US" w:bidi="ar-SA"/>
      </w:rPr>
    </w:lvl>
    <w:lvl w:ilvl="2" w:tplc="37C28384">
      <w:numFmt w:val="bullet"/>
      <w:lvlText w:val="•"/>
      <w:lvlJc w:val="left"/>
      <w:pPr>
        <w:ind w:left="2587" w:hanging="567"/>
      </w:pPr>
      <w:rPr>
        <w:rFonts w:hint="default"/>
        <w:lang w:val="lt-LT" w:eastAsia="en-US" w:bidi="ar-SA"/>
      </w:rPr>
    </w:lvl>
    <w:lvl w:ilvl="3" w:tplc="D884D028">
      <w:numFmt w:val="bullet"/>
      <w:lvlText w:val="•"/>
      <w:lvlJc w:val="left"/>
      <w:pPr>
        <w:ind w:left="3451" w:hanging="567"/>
      </w:pPr>
      <w:rPr>
        <w:rFonts w:hint="default"/>
        <w:lang w:val="lt-LT" w:eastAsia="en-US" w:bidi="ar-SA"/>
      </w:rPr>
    </w:lvl>
    <w:lvl w:ilvl="4" w:tplc="2D7428EE">
      <w:numFmt w:val="bullet"/>
      <w:lvlText w:val="•"/>
      <w:lvlJc w:val="left"/>
      <w:pPr>
        <w:ind w:left="4315" w:hanging="567"/>
      </w:pPr>
      <w:rPr>
        <w:rFonts w:hint="default"/>
        <w:lang w:val="lt-LT" w:eastAsia="en-US" w:bidi="ar-SA"/>
      </w:rPr>
    </w:lvl>
    <w:lvl w:ilvl="5" w:tplc="7672523E">
      <w:numFmt w:val="bullet"/>
      <w:lvlText w:val="•"/>
      <w:lvlJc w:val="left"/>
      <w:pPr>
        <w:ind w:left="5179" w:hanging="567"/>
      </w:pPr>
      <w:rPr>
        <w:rFonts w:hint="default"/>
        <w:lang w:val="lt-LT" w:eastAsia="en-US" w:bidi="ar-SA"/>
      </w:rPr>
    </w:lvl>
    <w:lvl w:ilvl="6" w:tplc="8C0E96C4">
      <w:numFmt w:val="bullet"/>
      <w:lvlText w:val="•"/>
      <w:lvlJc w:val="left"/>
      <w:pPr>
        <w:ind w:left="6043" w:hanging="567"/>
      </w:pPr>
      <w:rPr>
        <w:rFonts w:hint="default"/>
        <w:lang w:val="lt-LT" w:eastAsia="en-US" w:bidi="ar-SA"/>
      </w:rPr>
    </w:lvl>
    <w:lvl w:ilvl="7" w:tplc="5EA41CC2">
      <w:numFmt w:val="bullet"/>
      <w:lvlText w:val="•"/>
      <w:lvlJc w:val="left"/>
      <w:pPr>
        <w:ind w:left="6906" w:hanging="567"/>
      </w:pPr>
      <w:rPr>
        <w:rFonts w:hint="default"/>
        <w:lang w:val="lt-LT" w:eastAsia="en-US" w:bidi="ar-SA"/>
      </w:rPr>
    </w:lvl>
    <w:lvl w:ilvl="8" w:tplc="A0C2B55E">
      <w:numFmt w:val="bullet"/>
      <w:lvlText w:val="•"/>
      <w:lvlJc w:val="left"/>
      <w:pPr>
        <w:ind w:left="7770" w:hanging="567"/>
      </w:pPr>
      <w:rPr>
        <w:rFonts w:hint="default"/>
        <w:lang w:val="lt-LT" w:eastAsia="en-US" w:bidi="ar-SA"/>
      </w:rPr>
    </w:lvl>
  </w:abstractNum>
  <w:abstractNum w:abstractNumId="11"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C717E10"/>
    <w:multiLevelType w:val="hybridMultilevel"/>
    <w:tmpl w:val="2A044380"/>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13" w15:restartNumberingAfterBreak="0">
    <w:nsid w:val="40BC31DB"/>
    <w:multiLevelType w:val="hybridMultilevel"/>
    <w:tmpl w:val="D3005DC2"/>
    <w:lvl w:ilvl="0" w:tplc="691CE98C">
      <w:numFmt w:val="bullet"/>
      <w:lvlText w:val=""/>
      <w:lvlJc w:val="left"/>
      <w:pPr>
        <w:ind w:left="1233" w:hanging="360"/>
      </w:pPr>
      <w:rPr>
        <w:rFonts w:ascii="Symbol" w:eastAsia="Symbol" w:hAnsi="Symbol" w:cs="Symbol" w:hint="default"/>
        <w:b w:val="0"/>
        <w:bCs w:val="0"/>
        <w:i w:val="0"/>
        <w:iCs w:val="0"/>
        <w:spacing w:val="0"/>
        <w:w w:val="100"/>
        <w:sz w:val="22"/>
        <w:szCs w:val="22"/>
        <w:lang w:val="lt-LT" w:eastAsia="en-US" w:bidi="ar-SA"/>
      </w:rPr>
    </w:lvl>
    <w:lvl w:ilvl="1" w:tplc="3E56C852">
      <w:numFmt w:val="bullet"/>
      <w:lvlText w:val="•"/>
      <w:lvlJc w:val="left"/>
      <w:pPr>
        <w:ind w:left="2065" w:hanging="360"/>
      </w:pPr>
      <w:rPr>
        <w:rFonts w:hint="default"/>
        <w:lang w:val="lt-LT" w:eastAsia="en-US" w:bidi="ar-SA"/>
      </w:rPr>
    </w:lvl>
    <w:lvl w:ilvl="2" w:tplc="76143A60">
      <w:numFmt w:val="bullet"/>
      <w:lvlText w:val="•"/>
      <w:lvlJc w:val="left"/>
      <w:pPr>
        <w:ind w:left="2891" w:hanging="360"/>
      </w:pPr>
      <w:rPr>
        <w:rFonts w:hint="default"/>
        <w:lang w:val="lt-LT" w:eastAsia="en-US" w:bidi="ar-SA"/>
      </w:rPr>
    </w:lvl>
    <w:lvl w:ilvl="3" w:tplc="FF4C8EE6">
      <w:numFmt w:val="bullet"/>
      <w:lvlText w:val="•"/>
      <w:lvlJc w:val="left"/>
      <w:pPr>
        <w:ind w:left="3717" w:hanging="360"/>
      </w:pPr>
      <w:rPr>
        <w:rFonts w:hint="default"/>
        <w:lang w:val="lt-LT" w:eastAsia="en-US" w:bidi="ar-SA"/>
      </w:rPr>
    </w:lvl>
    <w:lvl w:ilvl="4" w:tplc="8E2E2146">
      <w:numFmt w:val="bullet"/>
      <w:lvlText w:val="•"/>
      <w:lvlJc w:val="left"/>
      <w:pPr>
        <w:ind w:left="4543" w:hanging="360"/>
      </w:pPr>
      <w:rPr>
        <w:rFonts w:hint="default"/>
        <w:lang w:val="lt-LT" w:eastAsia="en-US" w:bidi="ar-SA"/>
      </w:rPr>
    </w:lvl>
    <w:lvl w:ilvl="5" w:tplc="C896CB36">
      <w:numFmt w:val="bullet"/>
      <w:lvlText w:val="•"/>
      <w:lvlJc w:val="left"/>
      <w:pPr>
        <w:ind w:left="5369" w:hanging="360"/>
      </w:pPr>
      <w:rPr>
        <w:rFonts w:hint="default"/>
        <w:lang w:val="lt-LT" w:eastAsia="en-US" w:bidi="ar-SA"/>
      </w:rPr>
    </w:lvl>
    <w:lvl w:ilvl="6" w:tplc="55341DD4">
      <w:numFmt w:val="bullet"/>
      <w:lvlText w:val="•"/>
      <w:lvlJc w:val="left"/>
      <w:pPr>
        <w:ind w:left="6195" w:hanging="360"/>
      </w:pPr>
      <w:rPr>
        <w:rFonts w:hint="default"/>
        <w:lang w:val="lt-LT" w:eastAsia="en-US" w:bidi="ar-SA"/>
      </w:rPr>
    </w:lvl>
    <w:lvl w:ilvl="7" w:tplc="A91C1A90">
      <w:numFmt w:val="bullet"/>
      <w:lvlText w:val="•"/>
      <w:lvlJc w:val="left"/>
      <w:pPr>
        <w:ind w:left="7020" w:hanging="360"/>
      </w:pPr>
      <w:rPr>
        <w:rFonts w:hint="default"/>
        <w:lang w:val="lt-LT" w:eastAsia="en-US" w:bidi="ar-SA"/>
      </w:rPr>
    </w:lvl>
    <w:lvl w:ilvl="8" w:tplc="8BEA0D48">
      <w:numFmt w:val="bullet"/>
      <w:lvlText w:val="•"/>
      <w:lvlJc w:val="left"/>
      <w:pPr>
        <w:ind w:left="7846" w:hanging="360"/>
      </w:pPr>
      <w:rPr>
        <w:rFonts w:hint="default"/>
        <w:lang w:val="lt-LT" w:eastAsia="en-US" w:bidi="ar-SA"/>
      </w:rPr>
    </w:lvl>
  </w:abstractNum>
  <w:abstractNum w:abstractNumId="14" w15:restartNumberingAfterBreak="0">
    <w:nsid w:val="43E84D69"/>
    <w:multiLevelType w:val="hybridMultilevel"/>
    <w:tmpl w:val="CEFAD05C"/>
    <w:lvl w:ilvl="0" w:tplc="036C9480">
      <w:numFmt w:val="bullet"/>
      <w:lvlText w:val=""/>
      <w:lvlJc w:val="left"/>
      <w:pPr>
        <w:ind w:left="1212" w:hanging="360"/>
      </w:pPr>
      <w:rPr>
        <w:rFonts w:ascii="Symbol" w:eastAsia="Symbol" w:hAnsi="Symbol" w:cs="Symbol" w:hint="default"/>
        <w:b w:val="0"/>
        <w:bCs w:val="0"/>
        <w:i w:val="0"/>
        <w:iCs w:val="0"/>
        <w:spacing w:val="0"/>
        <w:w w:val="100"/>
        <w:sz w:val="22"/>
        <w:szCs w:val="22"/>
        <w:lang w:val="lt-LT" w:eastAsia="en-US" w:bidi="ar-SA"/>
      </w:rPr>
    </w:lvl>
    <w:lvl w:ilvl="1" w:tplc="9634B9F6">
      <w:numFmt w:val="bullet"/>
      <w:lvlText w:val="•"/>
      <w:lvlJc w:val="left"/>
      <w:pPr>
        <w:ind w:left="2047" w:hanging="360"/>
      </w:pPr>
      <w:rPr>
        <w:rFonts w:hint="default"/>
        <w:lang w:val="lt-LT" w:eastAsia="en-US" w:bidi="ar-SA"/>
      </w:rPr>
    </w:lvl>
    <w:lvl w:ilvl="2" w:tplc="C61CC754">
      <w:numFmt w:val="bullet"/>
      <w:lvlText w:val="•"/>
      <w:lvlJc w:val="left"/>
      <w:pPr>
        <w:ind w:left="2875" w:hanging="360"/>
      </w:pPr>
      <w:rPr>
        <w:rFonts w:hint="default"/>
        <w:lang w:val="lt-LT" w:eastAsia="en-US" w:bidi="ar-SA"/>
      </w:rPr>
    </w:lvl>
    <w:lvl w:ilvl="3" w:tplc="9CF024E4">
      <w:numFmt w:val="bullet"/>
      <w:lvlText w:val="•"/>
      <w:lvlJc w:val="left"/>
      <w:pPr>
        <w:ind w:left="3703" w:hanging="360"/>
      </w:pPr>
      <w:rPr>
        <w:rFonts w:hint="default"/>
        <w:lang w:val="lt-LT" w:eastAsia="en-US" w:bidi="ar-SA"/>
      </w:rPr>
    </w:lvl>
    <w:lvl w:ilvl="4" w:tplc="A8DECE86">
      <w:numFmt w:val="bullet"/>
      <w:lvlText w:val="•"/>
      <w:lvlJc w:val="left"/>
      <w:pPr>
        <w:ind w:left="4531" w:hanging="360"/>
      </w:pPr>
      <w:rPr>
        <w:rFonts w:hint="default"/>
        <w:lang w:val="lt-LT" w:eastAsia="en-US" w:bidi="ar-SA"/>
      </w:rPr>
    </w:lvl>
    <w:lvl w:ilvl="5" w:tplc="766C90A4">
      <w:numFmt w:val="bullet"/>
      <w:lvlText w:val="•"/>
      <w:lvlJc w:val="left"/>
      <w:pPr>
        <w:ind w:left="5359" w:hanging="360"/>
      </w:pPr>
      <w:rPr>
        <w:rFonts w:hint="default"/>
        <w:lang w:val="lt-LT" w:eastAsia="en-US" w:bidi="ar-SA"/>
      </w:rPr>
    </w:lvl>
    <w:lvl w:ilvl="6" w:tplc="5DD06C5E">
      <w:numFmt w:val="bullet"/>
      <w:lvlText w:val="•"/>
      <w:lvlJc w:val="left"/>
      <w:pPr>
        <w:ind w:left="6187" w:hanging="360"/>
      </w:pPr>
      <w:rPr>
        <w:rFonts w:hint="default"/>
        <w:lang w:val="lt-LT" w:eastAsia="en-US" w:bidi="ar-SA"/>
      </w:rPr>
    </w:lvl>
    <w:lvl w:ilvl="7" w:tplc="C9CEA186">
      <w:numFmt w:val="bullet"/>
      <w:lvlText w:val="•"/>
      <w:lvlJc w:val="left"/>
      <w:pPr>
        <w:ind w:left="7014" w:hanging="360"/>
      </w:pPr>
      <w:rPr>
        <w:rFonts w:hint="default"/>
        <w:lang w:val="lt-LT" w:eastAsia="en-US" w:bidi="ar-SA"/>
      </w:rPr>
    </w:lvl>
    <w:lvl w:ilvl="8" w:tplc="435EFE12">
      <w:numFmt w:val="bullet"/>
      <w:lvlText w:val="•"/>
      <w:lvlJc w:val="left"/>
      <w:pPr>
        <w:ind w:left="7842" w:hanging="360"/>
      </w:pPr>
      <w:rPr>
        <w:rFonts w:hint="default"/>
        <w:lang w:val="lt-LT" w:eastAsia="en-US" w:bidi="ar-SA"/>
      </w:rPr>
    </w:lvl>
  </w:abstractNum>
  <w:abstractNum w:abstractNumId="15" w15:restartNumberingAfterBreak="0">
    <w:nsid w:val="45C30674"/>
    <w:multiLevelType w:val="hybridMultilevel"/>
    <w:tmpl w:val="739CC3F4"/>
    <w:lvl w:ilvl="0" w:tplc="FFFFFFFF">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BC4AF898">
      <w:numFmt w:val="bullet"/>
      <w:lvlText w:val="•"/>
      <w:lvlJc w:val="left"/>
      <w:pPr>
        <w:ind w:left="2160" w:hanging="360"/>
      </w:pPr>
      <w:rPr>
        <w:rFonts w:hint="default"/>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4F1626"/>
    <w:multiLevelType w:val="hybridMultilevel"/>
    <w:tmpl w:val="6860A64E"/>
    <w:lvl w:ilvl="0" w:tplc="E7508D92">
      <w:numFmt w:val="bullet"/>
      <w:lvlText w:val="-"/>
      <w:lvlJc w:val="left"/>
      <w:pPr>
        <w:ind w:left="123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65" w:hanging="360"/>
      </w:pPr>
      <w:rPr>
        <w:rFonts w:hint="default"/>
        <w:lang w:val="lt-LT" w:eastAsia="en-US" w:bidi="ar-SA"/>
      </w:rPr>
    </w:lvl>
    <w:lvl w:ilvl="2" w:tplc="FFFFFFFF">
      <w:numFmt w:val="bullet"/>
      <w:lvlText w:val="•"/>
      <w:lvlJc w:val="left"/>
      <w:pPr>
        <w:ind w:left="2891" w:hanging="360"/>
      </w:pPr>
      <w:rPr>
        <w:rFonts w:hint="default"/>
        <w:lang w:val="lt-LT" w:eastAsia="en-US" w:bidi="ar-SA"/>
      </w:rPr>
    </w:lvl>
    <w:lvl w:ilvl="3" w:tplc="FFFFFFFF">
      <w:numFmt w:val="bullet"/>
      <w:lvlText w:val="•"/>
      <w:lvlJc w:val="left"/>
      <w:pPr>
        <w:ind w:left="3717" w:hanging="360"/>
      </w:pPr>
      <w:rPr>
        <w:rFonts w:hint="default"/>
        <w:lang w:val="lt-LT" w:eastAsia="en-US" w:bidi="ar-SA"/>
      </w:rPr>
    </w:lvl>
    <w:lvl w:ilvl="4" w:tplc="FFFFFFFF">
      <w:numFmt w:val="bullet"/>
      <w:lvlText w:val="•"/>
      <w:lvlJc w:val="left"/>
      <w:pPr>
        <w:ind w:left="4543" w:hanging="360"/>
      </w:pPr>
      <w:rPr>
        <w:rFonts w:hint="default"/>
        <w:lang w:val="lt-LT" w:eastAsia="en-US" w:bidi="ar-SA"/>
      </w:rPr>
    </w:lvl>
    <w:lvl w:ilvl="5" w:tplc="FFFFFFFF">
      <w:numFmt w:val="bullet"/>
      <w:lvlText w:val="•"/>
      <w:lvlJc w:val="left"/>
      <w:pPr>
        <w:ind w:left="5369" w:hanging="360"/>
      </w:pPr>
      <w:rPr>
        <w:rFonts w:hint="default"/>
        <w:lang w:val="lt-LT" w:eastAsia="en-US" w:bidi="ar-SA"/>
      </w:rPr>
    </w:lvl>
    <w:lvl w:ilvl="6" w:tplc="FFFFFFFF">
      <w:numFmt w:val="bullet"/>
      <w:lvlText w:val="•"/>
      <w:lvlJc w:val="left"/>
      <w:pPr>
        <w:ind w:left="6195" w:hanging="360"/>
      </w:pPr>
      <w:rPr>
        <w:rFonts w:hint="default"/>
        <w:lang w:val="lt-LT" w:eastAsia="en-US" w:bidi="ar-SA"/>
      </w:rPr>
    </w:lvl>
    <w:lvl w:ilvl="7" w:tplc="FFFFFFFF">
      <w:numFmt w:val="bullet"/>
      <w:lvlText w:val="•"/>
      <w:lvlJc w:val="left"/>
      <w:pPr>
        <w:ind w:left="7020" w:hanging="360"/>
      </w:pPr>
      <w:rPr>
        <w:rFonts w:hint="default"/>
        <w:lang w:val="lt-LT" w:eastAsia="en-US" w:bidi="ar-SA"/>
      </w:rPr>
    </w:lvl>
    <w:lvl w:ilvl="8" w:tplc="FFFFFFFF">
      <w:numFmt w:val="bullet"/>
      <w:lvlText w:val="•"/>
      <w:lvlJc w:val="left"/>
      <w:pPr>
        <w:ind w:left="7846" w:hanging="360"/>
      </w:pPr>
      <w:rPr>
        <w:rFonts w:hint="default"/>
        <w:lang w:val="lt-LT" w:eastAsia="en-US" w:bidi="ar-SA"/>
      </w:rPr>
    </w:lvl>
  </w:abstractNum>
  <w:abstractNum w:abstractNumId="17" w15:restartNumberingAfterBreak="0">
    <w:nsid w:val="50BB6B5D"/>
    <w:multiLevelType w:val="hybridMultilevel"/>
    <w:tmpl w:val="33747256"/>
    <w:lvl w:ilvl="0" w:tplc="C00C00B0">
      <w:numFmt w:val="bullet"/>
      <w:lvlText w:val=""/>
      <w:lvlJc w:val="left"/>
      <w:pPr>
        <w:ind w:left="1212" w:hanging="360"/>
      </w:pPr>
      <w:rPr>
        <w:rFonts w:ascii="Symbol" w:eastAsia="Symbol" w:hAnsi="Symbol" w:cs="Symbol" w:hint="default"/>
        <w:b w:val="0"/>
        <w:bCs w:val="0"/>
        <w:i w:val="0"/>
        <w:iCs w:val="0"/>
        <w:spacing w:val="0"/>
        <w:w w:val="100"/>
        <w:sz w:val="22"/>
        <w:szCs w:val="22"/>
        <w:lang w:val="lt-LT" w:eastAsia="en-US" w:bidi="ar-SA"/>
      </w:rPr>
    </w:lvl>
    <w:lvl w:ilvl="1" w:tplc="9E0CABF6">
      <w:numFmt w:val="bullet"/>
      <w:lvlText w:val="•"/>
      <w:lvlJc w:val="left"/>
      <w:pPr>
        <w:ind w:left="2047" w:hanging="360"/>
      </w:pPr>
      <w:rPr>
        <w:rFonts w:hint="default"/>
        <w:lang w:val="lt-LT" w:eastAsia="en-US" w:bidi="ar-SA"/>
      </w:rPr>
    </w:lvl>
    <w:lvl w:ilvl="2" w:tplc="AB3A5ACA">
      <w:numFmt w:val="bullet"/>
      <w:lvlText w:val="•"/>
      <w:lvlJc w:val="left"/>
      <w:pPr>
        <w:ind w:left="2875" w:hanging="360"/>
      </w:pPr>
      <w:rPr>
        <w:rFonts w:hint="default"/>
        <w:lang w:val="lt-LT" w:eastAsia="en-US" w:bidi="ar-SA"/>
      </w:rPr>
    </w:lvl>
    <w:lvl w:ilvl="3" w:tplc="4A3A2612">
      <w:numFmt w:val="bullet"/>
      <w:lvlText w:val="•"/>
      <w:lvlJc w:val="left"/>
      <w:pPr>
        <w:ind w:left="3703" w:hanging="360"/>
      </w:pPr>
      <w:rPr>
        <w:rFonts w:hint="default"/>
        <w:lang w:val="lt-LT" w:eastAsia="en-US" w:bidi="ar-SA"/>
      </w:rPr>
    </w:lvl>
    <w:lvl w:ilvl="4" w:tplc="ED32594A">
      <w:numFmt w:val="bullet"/>
      <w:lvlText w:val="•"/>
      <w:lvlJc w:val="left"/>
      <w:pPr>
        <w:ind w:left="4531" w:hanging="360"/>
      </w:pPr>
      <w:rPr>
        <w:rFonts w:hint="default"/>
        <w:lang w:val="lt-LT" w:eastAsia="en-US" w:bidi="ar-SA"/>
      </w:rPr>
    </w:lvl>
    <w:lvl w:ilvl="5" w:tplc="D8A6F772">
      <w:numFmt w:val="bullet"/>
      <w:lvlText w:val="•"/>
      <w:lvlJc w:val="left"/>
      <w:pPr>
        <w:ind w:left="5359" w:hanging="360"/>
      </w:pPr>
      <w:rPr>
        <w:rFonts w:hint="default"/>
        <w:lang w:val="lt-LT" w:eastAsia="en-US" w:bidi="ar-SA"/>
      </w:rPr>
    </w:lvl>
    <w:lvl w:ilvl="6" w:tplc="9CECA73C">
      <w:numFmt w:val="bullet"/>
      <w:lvlText w:val="•"/>
      <w:lvlJc w:val="left"/>
      <w:pPr>
        <w:ind w:left="6187" w:hanging="360"/>
      </w:pPr>
      <w:rPr>
        <w:rFonts w:hint="default"/>
        <w:lang w:val="lt-LT" w:eastAsia="en-US" w:bidi="ar-SA"/>
      </w:rPr>
    </w:lvl>
    <w:lvl w:ilvl="7" w:tplc="4C3C24B0">
      <w:numFmt w:val="bullet"/>
      <w:lvlText w:val="•"/>
      <w:lvlJc w:val="left"/>
      <w:pPr>
        <w:ind w:left="7014" w:hanging="360"/>
      </w:pPr>
      <w:rPr>
        <w:rFonts w:hint="default"/>
        <w:lang w:val="lt-LT" w:eastAsia="en-US" w:bidi="ar-SA"/>
      </w:rPr>
    </w:lvl>
    <w:lvl w:ilvl="8" w:tplc="D262B444">
      <w:numFmt w:val="bullet"/>
      <w:lvlText w:val="•"/>
      <w:lvlJc w:val="left"/>
      <w:pPr>
        <w:ind w:left="7842" w:hanging="360"/>
      </w:pPr>
      <w:rPr>
        <w:rFonts w:hint="default"/>
        <w:lang w:val="lt-LT" w:eastAsia="en-US" w:bidi="ar-SA"/>
      </w:rPr>
    </w:lvl>
  </w:abstractNum>
  <w:abstractNum w:abstractNumId="18" w15:restartNumberingAfterBreak="0">
    <w:nsid w:val="51E86E95"/>
    <w:multiLevelType w:val="hybridMultilevel"/>
    <w:tmpl w:val="268AC65A"/>
    <w:lvl w:ilvl="0" w:tplc="EEC6C504">
      <w:start w:val="1"/>
      <w:numFmt w:val="decimal"/>
      <w:lvlText w:val="%1."/>
      <w:lvlJc w:val="left"/>
      <w:pPr>
        <w:ind w:left="285" w:hanging="567"/>
      </w:pPr>
      <w:rPr>
        <w:rFonts w:ascii="Times New Roman" w:eastAsia="Times New Roman" w:hAnsi="Times New Roman" w:cs="Times New Roman" w:hint="default"/>
        <w:b/>
        <w:bCs/>
        <w:i w:val="0"/>
        <w:iCs w:val="0"/>
        <w:spacing w:val="0"/>
        <w:w w:val="100"/>
        <w:sz w:val="22"/>
        <w:szCs w:val="22"/>
        <w:lang w:val="lt-LT" w:eastAsia="en-US" w:bidi="ar-SA"/>
      </w:rPr>
    </w:lvl>
    <w:lvl w:ilvl="1" w:tplc="DD5C8F2A">
      <w:numFmt w:val="bullet"/>
      <w:lvlText w:val=""/>
      <w:lvlJc w:val="left"/>
      <w:pPr>
        <w:ind w:left="852" w:hanging="360"/>
      </w:pPr>
      <w:rPr>
        <w:rFonts w:ascii="Symbol" w:eastAsia="Symbol" w:hAnsi="Symbol" w:cs="Symbol" w:hint="default"/>
        <w:b w:val="0"/>
        <w:bCs w:val="0"/>
        <w:i w:val="0"/>
        <w:iCs w:val="0"/>
        <w:spacing w:val="0"/>
        <w:w w:val="100"/>
        <w:sz w:val="22"/>
        <w:szCs w:val="22"/>
        <w:lang w:val="lt-LT" w:eastAsia="en-US" w:bidi="ar-SA"/>
      </w:rPr>
    </w:lvl>
    <w:lvl w:ilvl="2" w:tplc="E7508D92">
      <w:numFmt w:val="bullet"/>
      <w:lvlText w:val="-"/>
      <w:lvlJc w:val="left"/>
      <w:pPr>
        <w:ind w:left="1005"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3" w:tplc="8E666CF8">
      <w:numFmt w:val="bullet"/>
      <w:lvlText w:val="•"/>
      <w:lvlJc w:val="left"/>
      <w:pPr>
        <w:ind w:left="2062" w:hanging="360"/>
      </w:pPr>
      <w:rPr>
        <w:rFonts w:hint="default"/>
        <w:lang w:val="lt-LT" w:eastAsia="en-US" w:bidi="ar-SA"/>
      </w:rPr>
    </w:lvl>
    <w:lvl w:ilvl="4" w:tplc="D06A1226">
      <w:numFmt w:val="bullet"/>
      <w:lvlText w:val="•"/>
      <w:lvlJc w:val="left"/>
      <w:pPr>
        <w:ind w:left="3124" w:hanging="360"/>
      </w:pPr>
      <w:rPr>
        <w:rFonts w:hint="default"/>
        <w:lang w:val="lt-LT" w:eastAsia="en-US" w:bidi="ar-SA"/>
      </w:rPr>
    </w:lvl>
    <w:lvl w:ilvl="5" w:tplc="B9B4D00A">
      <w:numFmt w:val="bullet"/>
      <w:lvlText w:val="•"/>
      <w:lvlJc w:val="left"/>
      <w:pPr>
        <w:ind w:left="4186" w:hanging="360"/>
      </w:pPr>
      <w:rPr>
        <w:rFonts w:hint="default"/>
        <w:lang w:val="lt-LT" w:eastAsia="en-US" w:bidi="ar-SA"/>
      </w:rPr>
    </w:lvl>
    <w:lvl w:ilvl="6" w:tplc="A932620E">
      <w:numFmt w:val="bullet"/>
      <w:lvlText w:val="•"/>
      <w:lvlJc w:val="left"/>
      <w:pPr>
        <w:ind w:left="5249" w:hanging="360"/>
      </w:pPr>
      <w:rPr>
        <w:rFonts w:hint="default"/>
        <w:lang w:val="lt-LT" w:eastAsia="en-US" w:bidi="ar-SA"/>
      </w:rPr>
    </w:lvl>
    <w:lvl w:ilvl="7" w:tplc="3BF6D148">
      <w:numFmt w:val="bullet"/>
      <w:lvlText w:val="•"/>
      <w:lvlJc w:val="left"/>
      <w:pPr>
        <w:ind w:left="6311" w:hanging="360"/>
      </w:pPr>
      <w:rPr>
        <w:rFonts w:hint="default"/>
        <w:lang w:val="lt-LT" w:eastAsia="en-US" w:bidi="ar-SA"/>
      </w:rPr>
    </w:lvl>
    <w:lvl w:ilvl="8" w:tplc="5A2808F4">
      <w:numFmt w:val="bullet"/>
      <w:lvlText w:val="•"/>
      <w:lvlJc w:val="left"/>
      <w:pPr>
        <w:ind w:left="7373" w:hanging="360"/>
      </w:pPr>
      <w:rPr>
        <w:rFonts w:hint="default"/>
        <w:lang w:val="lt-LT" w:eastAsia="en-US" w:bidi="ar-SA"/>
      </w:rPr>
    </w:lvl>
  </w:abstractNum>
  <w:abstractNum w:abstractNumId="19"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20" w15:restartNumberingAfterBreak="0">
    <w:nsid w:val="5D6C336D"/>
    <w:multiLevelType w:val="hybridMultilevel"/>
    <w:tmpl w:val="2E6C2AF0"/>
    <w:lvl w:ilvl="0" w:tplc="89BA4A52">
      <w:start w:val="2"/>
      <w:numFmt w:val="decimal"/>
      <w:lvlText w:val="%1"/>
      <w:lvlJc w:val="left"/>
      <w:pPr>
        <w:ind w:left="285" w:hanging="166"/>
      </w:pPr>
      <w:rPr>
        <w:rFonts w:ascii="Times New Roman" w:eastAsia="Times New Roman" w:hAnsi="Times New Roman" w:cs="Times New Roman" w:hint="default"/>
        <w:b/>
        <w:bCs/>
        <w:i w:val="0"/>
        <w:iCs w:val="0"/>
        <w:spacing w:val="0"/>
        <w:w w:val="100"/>
        <w:sz w:val="22"/>
        <w:szCs w:val="22"/>
        <w:lang w:val="lt-LT" w:eastAsia="en-US" w:bidi="ar-SA"/>
      </w:rPr>
    </w:lvl>
    <w:lvl w:ilvl="1" w:tplc="BE90365E">
      <w:numFmt w:val="bullet"/>
      <w:lvlText w:val="•"/>
      <w:lvlJc w:val="left"/>
      <w:pPr>
        <w:ind w:left="1201" w:hanging="166"/>
      </w:pPr>
      <w:rPr>
        <w:rFonts w:hint="default"/>
        <w:lang w:val="lt-LT" w:eastAsia="en-US" w:bidi="ar-SA"/>
      </w:rPr>
    </w:lvl>
    <w:lvl w:ilvl="2" w:tplc="4560FC5E">
      <w:numFmt w:val="bullet"/>
      <w:lvlText w:val="•"/>
      <w:lvlJc w:val="left"/>
      <w:pPr>
        <w:ind w:left="2123" w:hanging="166"/>
      </w:pPr>
      <w:rPr>
        <w:rFonts w:hint="default"/>
        <w:lang w:val="lt-LT" w:eastAsia="en-US" w:bidi="ar-SA"/>
      </w:rPr>
    </w:lvl>
    <w:lvl w:ilvl="3" w:tplc="2E8E72F4">
      <w:numFmt w:val="bullet"/>
      <w:lvlText w:val="•"/>
      <w:lvlJc w:val="left"/>
      <w:pPr>
        <w:ind w:left="3045" w:hanging="166"/>
      </w:pPr>
      <w:rPr>
        <w:rFonts w:hint="default"/>
        <w:lang w:val="lt-LT" w:eastAsia="en-US" w:bidi="ar-SA"/>
      </w:rPr>
    </w:lvl>
    <w:lvl w:ilvl="4" w:tplc="903E3888">
      <w:numFmt w:val="bullet"/>
      <w:lvlText w:val="•"/>
      <w:lvlJc w:val="left"/>
      <w:pPr>
        <w:ind w:left="3967" w:hanging="166"/>
      </w:pPr>
      <w:rPr>
        <w:rFonts w:hint="default"/>
        <w:lang w:val="lt-LT" w:eastAsia="en-US" w:bidi="ar-SA"/>
      </w:rPr>
    </w:lvl>
    <w:lvl w:ilvl="5" w:tplc="091CB10C">
      <w:numFmt w:val="bullet"/>
      <w:lvlText w:val="•"/>
      <w:lvlJc w:val="left"/>
      <w:pPr>
        <w:ind w:left="4889" w:hanging="166"/>
      </w:pPr>
      <w:rPr>
        <w:rFonts w:hint="default"/>
        <w:lang w:val="lt-LT" w:eastAsia="en-US" w:bidi="ar-SA"/>
      </w:rPr>
    </w:lvl>
    <w:lvl w:ilvl="6" w:tplc="8E141BCC">
      <w:numFmt w:val="bullet"/>
      <w:lvlText w:val="•"/>
      <w:lvlJc w:val="left"/>
      <w:pPr>
        <w:ind w:left="5811" w:hanging="166"/>
      </w:pPr>
      <w:rPr>
        <w:rFonts w:hint="default"/>
        <w:lang w:val="lt-LT" w:eastAsia="en-US" w:bidi="ar-SA"/>
      </w:rPr>
    </w:lvl>
    <w:lvl w:ilvl="7" w:tplc="E9C03166">
      <w:numFmt w:val="bullet"/>
      <w:lvlText w:val="•"/>
      <w:lvlJc w:val="left"/>
      <w:pPr>
        <w:ind w:left="6732" w:hanging="166"/>
      </w:pPr>
      <w:rPr>
        <w:rFonts w:hint="default"/>
        <w:lang w:val="lt-LT" w:eastAsia="en-US" w:bidi="ar-SA"/>
      </w:rPr>
    </w:lvl>
    <w:lvl w:ilvl="8" w:tplc="A0348918">
      <w:numFmt w:val="bullet"/>
      <w:lvlText w:val="•"/>
      <w:lvlJc w:val="left"/>
      <w:pPr>
        <w:ind w:left="7654" w:hanging="166"/>
      </w:pPr>
      <w:rPr>
        <w:rFonts w:hint="default"/>
        <w:lang w:val="lt-LT" w:eastAsia="en-US" w:bidi="ar-SA"/>
      </w:rPr>
    </w:lvl>
  </w:abstractNum>
  <w:abstractNum w:abstractNumId="21" w15:restartNumberingAfterBreak="0">
    <w:nsid w:val="5D863895"/>
    <w:multiLevelType w:val="hybridMultilevel"/>
    <w:tmpl w:val="DBA848C8"/>
    <w:lvl w:ilvl="0" w:tplc="B03427A2">
      <w:start w:val="1"/>
      <w:numFmt w:val="decimal"/>
      <w:lvlText w:val="%1"/>
      <w:lvlJc w:val="left"/>
      <w:pPr>
        <w:ind w:left="285" w:hanging="166"/>
      </w:pPr>
      <w:rPr>
        <w:rFonts w:hint="default"/>
        <w:spacing w:val="0"/>
        <w:w w:val="100"/>
        <w:lang w:val="lt-LT" w:eastAsia="en-US" w:bidi="ar-SA"/>
      </w:rPr>
    </w:lvl>
    <w:lvl w:ilvl="1" w:tplc="CB7E1654">
      <w:numFmt w:val="bullet"/>
      <w:lvlText w:val="•"/>
      <w:lvlJc w:val="left"/>
      <w:pPr>
        <w:ind w:left="1201" w:hanging="166"/>
      </w:pPr>
      <w:rPr>
        <w:rFonts w:hint="default"/>
        <w:lang w:val="lt-LT" w:eastAsia="en-US" w:bidi="ar-SA"/>
      </w:rPr>
    </w:lvl>
    <w:lvl w:ilvl="2" w:tplc="E7F8D4C8">
      <w:numFmt w:val="bullet"/>
      <w:lvlText w:val="•"/>
      <w:lvlJc w:val="left"/>
      <w:pPr>
        <w:ind w:left="2123" w:hanging="166"/>
      </w:pPr>
      <w:rPr>
        <w:rFonts w:hint="default"/>
        <w:lang w:val="lt-LT" w:eastAsia="en-US" w:bidi="ar-SA"/>
      </w:rPr>
    </w:lvl>
    <w:lvl w:ilvl="3" w:tplc="A240DF1A">
      <w:numFmt w:val="bullet"/>
      <w:lvlText w:val="•"/>
      <w:lvlJc w:val="left"/>
      <w:pPr>
        <w:ind w:left="3045" w:hanging="166"/>
      </w:pPr>
      <w:rPr>
        <w:rFonts w:hint="default"/>
        <w:lang w:val="lt-LT" w:eastAsia="en-US" w:bidi="ar-SA"/>
      </w:rPr>
    </w:lvl>
    <w:lvl w:ilvl="4" w:tplc="9F642648">
      <w:numFmt w:val="bullet"/>
      <w:lvlText w:val="•"/>
      <w:lvlJc w:val="left"/>
      <w:pPr>
        <w:ind w:left="3967" w:hanging="166"/>
      </w:pPr>
      <w:rPr>
        <w:rFonts w:hint="default"/>
        <w:lang w:val="lt-LT" w:eastAsia="en-US" w:bidi="ar-SA"/>
      </w:rPr>
    </w:lvl>
    <w:lvl w:ilvl="5" w:tplc="2670DE76">
      <w:numFmt w:val="bullet"/>
      <w:lvlText w:val="•"/>
      <w:lvlJc w:val="left"/>
      <w:pPr>
        <w:ind w:left="4889" w:hanging="166"/>
      </w:pPr>
      <w:rPr>
        <w:rFonts w:hint="default"/>
        <w:lang w:val="lt-LT" w:eastAsia="en-US" w:bidi="ar-SA"/>
      </w:rPr>
    </w:lvl>
    <w:lvl w:ilvl="6" w:tplc="139C97AC">
      <w:numFmt w:val="bullet"/>
      <w:lvlText w:val="•"/>
      <w:lvlJc w:val="left"/>
      <w:pPr>
        <w:ind w:left="5811" w:hanging="166"/>
      </w:pPr>
      <w:rPr>
        <w:rFonts w:hint="default"/>
        <w:lang w:val="lt-LT" w:eastAsia="en-US" w:bidi="ar-SA"/>
      </w:rPr>
    </w:lvl>
    <w:lvl w:ilvl="7" w:tplc="24204CB2">
      <w:numFmt w:val="bullet"/>
      <w:lvlText w:val="•"/>
      <w:lvlJc w:val="left"/>
      <w:pPr>
        <w:ind w:left="6732" w:hanging="166"/>
      </w:pPr>
      <w:rPr>
        <w:rFonts w:hint="default"/>
        <w:lang w:val="lt-LT" w:eastAsia="en-US" w:bidi="ar-SA"/>
      </w:rPr>
    </w:lvl>
    <w:lvl w:ilvl="8" w:tplc="C5BC4CA4">
      <w:numFmt w:val="bullet"/>
      <w:lvlText w:val="•"/>
      <w:lvlJc w:val="left"/>
      <w:pPr>
        <w:ind w:left="7654" w:hanging="166"/>
      </w:pPr>
      <w:rPr>
        <w:rFonts w:hint="default"/>
        <w:lang w:val="lt-LT" w:eastAsia="en-US" w:bidi="ar-SA"/>
      </w:rPr>
    </w:lvl>
  </w:abstractNum>
  <w:abstractNum w:abstractNumId="22" w15:restartNumberingAfterBreak="0">
    <w:nsid w:val="5E4A0102"/>
    <w:multiLevelType w:val="hybridMultilevel"/>
    <w:tmpl w:val="CC6CE298"/>
    <w:lvl w:ilvl="0" w:tplc="77AC9D30">
      <w:numFmt w:val="bullet"/>
      <w:lvlText w:val=""/>
      <w:lvlJc w:val="left"/>
      <w:pPr>
        <w:ind w:left="1212" w:hanging="360"/>
      </w:pPr>
      <w:rPr>
        <w:rFonts w:ascii="Symbol" w:eastAsia="Symbol" w:hAnsi="Symbol" w:cs="Symbol" w:hint="default"/>
        <w:b w:val="0"/>
        <w:bCs w:val="0"/>
        <w:i w:val="0"/>
        <w:iCs w:val="0"/>
        <w:spacing w:val="0"/>
        <w:w w:val="100"/>
        <w:sz w:val="22"/>
        <w:szCs w:val="22"/>
        <w:lang w:val="lt-LT" w:eastAsia="en-US" w:bidi="ar-SA"/>
      </w:rPr>
    </w:lvl>
    <w:lvl w:ilvl="1" w:tplc="B3D6B106">
      <w:numFmt w:val="bullet"/>
      <w:lvlText w:val="•"/>
      <w:lvlJc w:val="left"/>
      <w:pPr>
        <w:ind w:left="2047" w:hanging="360"/>
      </w:pPr>
      <w:rPr>
        <w:rFonts w:hint="default"/>
        <w:lang w:val="lt-LT" w:eastAsia="en-US" w:bidi="ar-SA"/>
      </w:rPr>
    </w:lvl>
    <w:lvl w:ilvl="2" w:tplc="BA40E264">
      <w:numFmt w:val="bullet"/>
      <w:lvlText w:val="•"/>
      <w:lvlJc w:val="left"/>
      <w:pPr>
        <w:ind w:left="2875" w:hanging="360"/>
      </w:pPr>
      <w:rPr>
        <w:rFonts w:hint="default"/>
        <w:lang w:val="lt-LT" w:eastAsia="en-US" w:bidi="ar-SA"/>
      </w:rPr>
    </w:lvl>
    <w:lvl w:ilvl="3" w:tplc="C5387A2A">
      <w:numFmt w:val="bullet"/>
      <w:lvlText w:val="•"/>
      <w:lvlJc w:val="left"/>
      <w:pPr>
        <w:ind w:left="3703" w:hanging="360"/>
      </w:pPr>
      <w:rPr>
        <w:rFonts w:hint="default"/>
        <w:lang w:val="lt-LT" w:eastAsia="en-US" w:bidi="ar-SA"/>
      </w:rPr>
    </w:lvl>
    <w:lvl w:ilvl="4" w:tplc="2802374E">
      <w:numFmt w:val="bullet"/>
      <w:lvlText w:val="•"/>
      <w:lvlJc w:val="left"/>
      <w:pPr>
        <w:ind w:left="4531" w:hanging="360"/>
      </w:pPr>
      <w:rPr>
        <w:rFonts w:hint="default"/>
        <w:lang w:val="lt-LT" w:eastAsia="en-US" w:bidi="ar-SA"/>
      </w:rPr>
    </w:lvl>
    <w:lvl w:ilvl="5" w:tplc="34249EB6">
      <w:numFmt w:val="bullet"/>
      <w:lvlText w:val="•"/>
      <w:lvlJc w:val="left"/>
      <w:pPr>
        <w:ind w:left="5359" w:hanging="360"/>
      </w:pPr>
      <w:rPr>
        <w:rFonts w:hint="default"/>
        <w:lang w:val="lt-LT" w:eastAsia="en-US" w:bidi="ar-SA"/>
      </w:rPr>
    </w:lvl>
    <w:lvl w:ilvl="6" w:tplc="26A85420">
      <w:numFmt w:val="bullet"/>
      <w:lvlText w:val="•"/>
      <w:lvlJc w:val="left"/>
      <w:pPr>
        <w:ind w:left="6187" w:hanging="360"/>
      </w:pPr>
      <w:rPr>
        <w:rFonts w:hint="default"/>
        <w:lang w:val="lt-LT" w:eastAsia="en-US" w:bidi="ar-SA"/>
      </w:rPr>
    </w:lvl>
    <w:lvl w:ilvl="7" w:tplc="E4366EC4">
      <w:numFmt w:val="bullet"/>
      <w:lvlText w:val="•"/>
      <w:lvlJc w:val="left"/>
      <w:pPr>
        <w:ind w:left="7014" w:hanging="360"/>
      </w:pPr>
      <w:rPr>
        <w:rFonts w:hint="default"/>
        <w:lang w:val="lt-LT" w:eastAsia="en-US" w:bidi="ar-SA"/>
      </w:rPr>
    </w:lvl>
    <w:lvl w:ilvl="8" w:tplc="B6D20F02">
      <w:numFmt w:val="bullet"/>
      <w:lvlText w:val="•"/>
      <w:lvlJc w:val="left"/>
      <w:pPr>
        <w:ind w:left="7842" w:hanging="360"/>
      </w:pPr>
      <w:rPr>
        <w:rFonts w:hint="default"/>
        <w:lang w:val="lt-LT" w:eastAsia="en-US" w:bidi="ar-SA"/>
      </w:rPr>
    </w:lvl>
  </w:abstractNum>
  <w:abstractNum w:abstractNumId="23" w15:restartNumberingAfterBreak="0">
    <w:nsid w:val="5E790688"/>
    <w:multiLevelType w:val="hybridMultilevel"/>
    <w:tmpl w:val="C15A3E20"/>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24" w15:restartNumberingAfterBreak="0">
    <w:nsid w:val="6C9F5551"/>
    <w:multiLevelType w:val="hybridMultilevel"/>
    <w:tmpl w:val="BE14A0E8"/>
    <w:lvl w:ilvl="0" w:tplc="61F2F982">
      <w:numFmt w:val="bullet"/>
      <w:lvlText w:val="-"/>
      <w:lvlJc w:val="left"/>
      <w:pPr>
        <w:ind w:left="283" w:hanging="144"/>
      </w:pPr>
      <w:rPr>
        <w:rFonts w:ascii="Times New Roman" w:eastAsia="Times New Roman" w:hAnsi="Times New Roman" w:cs="Times New Roman" w:hint="default"/>
        <w:spacing w:val="0"/>
        <w:w w:val="100"/>
        <w:lang w:val="lt-LT" w:eastAsia="en-US" w:bidi="ar-SA"/>
      </w:rPr>
    </w:lvl>
    <w:lvl w:ilvl="1" w:tplc="AC92E186">
      <w:numFmt w:val="bullet"/>
      <w:lvlText w:val="•"/>
      <w:lvlJc w:val="left"/>
      <w:pPr>
        <w:ind w:left="519" w:hanging="144"/>
      </w:pPr>
      <w:rPr>
        <w:rFonts w:hint="default"/>
        <w:lang w:val="lt-LT" w:eastAsia="en-US" w:bidi="ar-SA"/>
      </w:rPr>
    </w:lvl>
    <w:lvl w:ilvl="2" w:tplc="80664AFC">
      <w:numFmt w:val="bullet"/>
      <w:lvlText w:val="•"/>
      <w:lvlJc w:val="left"/>
      <w:pPr>
        <w:ind w:left="758" w:hanging="144"/>
      </w:pPr>
      <w:rPr>
        <w:rFonts w:hint="default"/>
        <w:lang w:val="lt-LT" w:eastAsia="en-US" w:bidi="ar-SA"/>
      </w:rPr>
    </w:lvl>
    <w:lvl w:ilvl="3" w:tplc="1FFEDB10">
      <w:numFmt w:val="bullet"/>
      <w:lvlText w:val="•"/>
      <w:lvlJc w:val="left"/>
      <w:pPr>
        <w:ind w:left="998" w:hanging="144"/>
      </w:pPr>
      <w:rPr>
        <w:rFonts w:hint="default"/>
        <w:lang w:val="lt-LT" w:eastAsia="en-US" w:bidi="ar-SA"/>
      </w:rPr>
    </w:lvl>
    <w:lvl w:ilvl="4" w:tplc="6F6E69E6">
      <w:numFmt w:val="bullet"/>
      <w:lvlText w:val="•"/>
      <w:lvlJc w:val="left"/>
      <w:pPr>
        <w:ind w:left="1237" w:hanging="144"/>
      </w:pPr>
      <w:rPr>
        <w:rFonts w:hint="default"/>
        <w:lang w:val="lt-LT" w:eastAsia="en-US" w:bidi="ar-SA"/>
      </w:rPr>
    </w:lvl>
    <w:lvl w:ilvl="5" w:tplc="31D2CBFA">
      <w:numFmt w:val="bullet"/>
      <w:lvlText w:val="•"/>
      <w:lvlJc w:val="left"/>
      <w:pPr>
        <w:ind w:left="1477" w:hanging="144"/>
      </w:pPr>
      <w:rPr>
        <w:rFonts w:hint="default"/>
        <w:lang w:val="lt-LT" w:eastAsia="en-US" w:bidi="ar-SA"/>
      </w:rPr>
    </w:lvl>
    <w:lvl w:ilvl="6" w:tplc="BE7879FE">
      <w:numFmt w:val="bullet"/>
      <w:lvlText w:val="•"/>
      <w:lvlJc w:val="left"/>
      <w:pPr>
        <w:ind w:left="1716" w:hanging="144"/>
      </w:pPr>
      <w:rPr>
        <w:rFonts w:hint="default"/>
        <w:lang w:val="lt-LT" w:eastAsia="en-US" w:bidi="ar-SA"/>
      </w:rPr>
    </w:lvl>
    <w:lvl w:ilvl="7" w:tplc="6BB22018">
      <w:numFmt w:val="bullet"/>
      <w:lvlText w:val="•"/>
      <w:lvlJc w:val="left"/>
      <w:pPr>
        <w:ind w:left="1955" w:hanging="144"/>
      </w:pPr>
      <w:rPr>
        <w:rFonts w:hint="default"/>
        <w:lang w:val="lt-LT" w:eastAsia="en-US" w:bidi="ar-SA"/>
      </w:rPr>
    </w:lvl>
    <w:lvl w:ilvl="8" w:tplc="888248B4">
      <w:numFmt w:val="bullet"/>
      <w:lvlText w:val="•"/>
      <w:lvlJc w:val="left"/>
      <w:pPr>
        <w:ind w:left="2195" w:hanging="144"/>
      </w:pPr>
      <w:rPr>
        <w:rFonts w:hint="default"/>
        <w:lang w:val="lt-LT" w:eastAsia="en-US" w:bidi="ar-SA"/>
      </w:rPr>
    </w:lvl>
  </w:abstractNum>
  <w:abstractNum w:abstractNumId="25" w15:restartNumberingAfterBreak="0">
    <w:nsid w:val="706A51A8"/>
    <w:multiLevelType w:val="hybridMultilevel"/>
    <w:tmpl w:val="ACE454EA"/>
    <w:lvl w:ilvl="0" w:tplc="FFDC5498">
      <w:start w:val="1"/>
      <w:numFmt w:val="decimal"/>
      <w:lvlText w:val="%1."/>
      <w:lvlJc w:val="left"/>
      <w:pPr>
        <w:ind w:left="85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B4AF98">
      <w:numFmt w:val="bullet"/>
      <w:lvlText w:val="•"/>
      <w:lvlJc w:val="left"/>
      <w:pPr>
        <w:ind w:left="1723" w:hanging="567"/>
      </w:pPr>
      <w:rPr>
        <w:rFonts w:hint="default"/>
        <w:lang w:val="lt-LT" w:eastAsia="en-US" w:bidi="ar-SA"/>
      </w:rPr>
    </w:lvl>
    <w:lvl w:ilvl="2" w:tplc="EED8522E">
      <w:numFmt w:val="bullet"/>
      <w:lvlText w:val="•"/>
      <w:lvlJc w:val="left"/>
      <w:pPr>
        <w:ind w:left="2587" w:hanging="567"/>
      </w:pPr>
      <w:rPr>
        <w:rFonts w:hint="default"/>
        <w:lang w:val="lt-LT" w:eastAsia="en-US" w:bidi="ar-SA"/>
      </w:rPr>
    </w:lvl>
    <w:lvl w:ilvl="3" w:tplc="2C82F284">
      <w:numFmt w:val="bullet"/>
      <w:lvlText w:val="•"/>
      <w:lvlJc w:val="left"/>
      <w:pPr>
        <w:ind w:left="3451" w:hanging="567"/>
      </w:pPr>
      <w:rPr>
        <w:rFonts w:hint="default"/>
        <w:lang w:val="lt-LT" w:eastAsia="en-US" w:bidi="ar-SA"/>
      </w:rPr>
    </w:lvl>
    <w:lvl w:ilvl="4" w:tplc="3C3E6D92">
      <w:numFmt w:val="bullet"/>
      <w:lvlText w:val="•"/>
      <w:lvlJc w:val="left"/>
      <w:pPr>
        <w:ind w:left="4315" w:hanging="567"/>
      </w:pPr>
      <w:rPr>
        <w:rFonts w:hint="default"/>
        <w:lang w:val="lt-LT" w:eastAsia="en-US" w:bidi="ar-SA"/>
      </w:rPr>
    </w:lvl>
    <w:lvl w:ilvl="5" w:tplc="ED3CBD60">
      <w:numFmt w:val="bullet"/>
      <w:lvlText w:val="•"/>
      <w:lvlJc w:val="left"/>
      <w:pPr>
        <w:ind w:left="5179" w:hanging="567"/>
      </w:pPr>
      <w:rPr>
        <w:rFonts w:hint="default"/>
        <w:lang w:val="lt-LT" w:eastAsia="en-US" w:bidi="ar-SA"/>
      </w:rPr>
    </w:lvl>
    <w:lvl w:ilvl="6" w:tplc="9C0E42B4">
      <w:numFmt w:val="bullet"/>
      <w:lvlText w:val="•"/>
      <w:lvlJc w:val="left"/>
      <w:pPr>
        <w:ind w:left="6043" w:hanging="567"/>
      </w:pPr>
      <w:rPr>
        <w:rFonts w:hint="default"/>
        <w:lang w:val="lt-LT" w:eastAsia="en-US" w:bidi="ar-SA"/>
      </w:rPr>
    </w:lvl>
    <w:lvl w:ilvl="7" w:tplc="3ED280DE">
      <w:numFmt w:val="bullet"/>
      <w:lvlText w:val="•"/>
      <w:lvlJc w:val="left"/>
      <w:pPr>
        <w:ind w:left="6906" w:hanging="567"/>
      </w:pPr>
      <w:rPr>
        <w:rFonts w:hint="default"/>
        <w:lang w:val="lt-LT" w:eastAsia="en-US" w:bidi="ar-SA"/>
      </w:rPr>
    </w:lvl>
    <w:lvl w:ilvl="8" w:tplc="2E8C37DA">
      <w:numFmt w:val="bullet"/>
      <w:lvlText w:val="•"/>
      <w:lvlJc w:val="left"/>
      <w:pPr>
        <w:ind w:left="7770" w:hanging="567"/>
      </w:pPr>
      <w:rPr>
        <w:rFonts w:hint="default"/>
        <w:lang w:val="lt-LT" w:eastAsia="en-US" w:bidi="ar-SA"/>
      </w:rPr>
    </w:lvl>
  </w:abstractNum>
  <w:abstractNum w:abstractNumId="26" w15:restartNumberingAfterBreak="0">
    <w:nsid w:val="7ACB0931"/>
    <w:multiLevelType w:val="multilevel"/>
    <w:tmpl w:val="7BC21CDC"/>
    <w:lvl w:ilvl="0">
      <w:start w:val="1"/>
      <w:numFmt w:val="decimal"/>
      <w:lvlText w:val="%1."/>
      <w:lvlJc w:val="left"/>
      <w:pPr>
        <w:ind w:left="85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5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587" w:hanging="567"/>
      </w:pPr>
      <w:rPr>
        <w:rFonts w:hint="default"/>
        <w:lang w:val="lt-LT" w:eastAsia="en-US" w:bidi="ar-SA"/>
      </w:rPr>
    </w:lvl>
    <w:lvl w:ilvl="3">
      <w:numFmt w:val="bullet"/>
      <w:lvlText w:val="•"/>
      <w:lvlJc w:val="left"/>
      <w:pPr>
        <w:ind w:left="3451" w:hanging="567"/>
      </w:pPr>
      <w:rPr>
        <w:rFonts w:hint="default"/>
        <w:lang w:val="lt-LT" w:eastAsia="en-US" w:bidi="ar-SA"/>
      </w:rPr>
    </w:lvl>
    <w:lvl w:ilvl="4">
      <w:numFmt w:val="bullet"/>
      <w:lvlText w:val="•"/>
      <w:lvlJc w:val="left"/>
      <w:pPr>
        <w:ind w:left="4315" w:hanging="567"/>
      </w:pPr>
      <w:rPr>
        <w:rFonts w:hint="default"/>
        <w:lang w:val="lt-LT" w:eastAsia="en-US" w:bidi="ar-SA"/>
      </w:rPr>
    </w:lvl>
    <w:lvl w:ilvl="5">
      <w:numFmt w:val="bullet"/>
      <w:lvlText w:val="•"/>
      <w:lvlJc w:val="left"/>
      <w:pPr>
        <w:ind w:left="5179" w:hanging="567"/>
      </w:pPr>
      <w:rPr>
        <w:rFonts w:hint="default"/>
        <w:lang w:val="lt-LT" w:eastAsia="en-US" w:bidi="ar-SA"/>
      </w:rPr>
    </w:lvl>
    <w:lvl w:ilvl="6">
      <w:numFmt w:val="bullet"/>
      <w:lvlText w:val="•"/>
      <w:lvlJc w:val="left"/>
      <w:pPr>
        <w:ind w:left="6043" w:hanging="567"/>
      </w:pPr>
      <w:rPr>
        <w:rFonts w:hint="default"/>
        <w:lang w:val="lt-LT" w:eastAsia="en-US" w:bidi="ar-SA"/>
      </w:rPr>
    </w:lvl>
    <w:lvl w:ilvl="7">
      <w:numFmt w:val="bullet"/>
      <w:lvlText w:val="•"/>
      <w:lvlJc w:val="left"/>
      <w:pPr>
        <w:ind w:left="6906" w:hanging="567"/>
      </w:pPr>
      <w:rPr>
        <w:rFonts w:hint="default"/>
        <w:lang w:val="lt-LT" w:eastAsia="en-US" w:bidi="ar-SA"/>
      </w:rPr>
    </w:lvl>
    <w:lvl w:ilvl="8">
      <w:numFmt w:val="bullet"/>
      <w:lvlText w:val="•"/>
      <w:lvlJc w:val="left"/>
      <w:pPr>
        <w:ind w:left="7770" w:hanging="567"/>
      </w:pPr>
      <w:rPr>
        <w:rFonts w:hint="default"/>
        <w:lang w:val="lt-LT" w:eastAsia="en-US" w:bidi="ar-SA"/>
      </w:rPr>
    </w:lvl>
  </w:abstractNum>
  <w:num w:numId="1" w16cid:durableId="380830487">
    <w:abstractNumId w:val="22"/>
  </w:num>
  <w:num w:numId="2" w16cid:durableId="1572697502">
    <w:abstractNumId w:val="17"/>
  </w:num>
  <w:num w:numId="3" w16cid:durableId="1951666000">
    <w:abstractNumId w:val="13"/>
  </w:num>
  <w:num w:numId="4" w16cid:durableId="1250383109">
    <w:abstractNumId w:val="14"/>
  </w:num>
  <w:num w:numId="5" w16cid:durableId="756052203">
    <w:abstractNumId w:val="18"/>
  </w:num>
  <w:num w:numId="6" w16cid:durableId="1980575390">
    <w:abstractNumId w:val="25"/>
  </w:num>
  <w:num w:numId="7" w16cid:durableId="1536188717">
    <w:abstractNumId w:val="10"/>
  </w:num>
  <w:num w:numId="8" w16cid:durableId="817108366">
    <w:abstractNumId w:val="8"/>
  </w:num>
  <w:num w:numId="9" w16cid:durableId="323972081">
    <w:abstractNumId w:val="4"/>
  </w:num>
  <w:num w:numId="10" w16cid:durableId="305817886">
    <w:abstractNumId w:val="7"/>
  </w:num>
  <w:num w:numId="11" w16cid:durableId="197472755">
    <w:abstractNumId w:val="21"/>
  </w:num>
  <w:num w:numId="12" w16cid:durableId="215052469">
    <w:abstractNumId w:val="5"/>
  </w:num>
  <w:num w:numId="13" w16cid:durableId="1988973127">
    <w:abstractNumId w:val="24"/>
  </w:num>
  <w:num w:numId="14" w16cid:durableId="1261060281">
    <w:abstractNumId w:val="20"/>
  </w:num>
  <w:num w:numId="15" w16cid:durableId="138813794">
    <w:abstractNumId w:val="9"/>
  </w:num>
  <w:num w:numId="16" w16cid:durableId="36510698">
    <w:abstractNumId w:val="26"/>
  </w:num>
  <w:num w:numId="17" w16cid:durableId="855732240">
    <w:abstractNumId w:val="19"/>
  </w:num>
  <w:num w:numId="18" w16cid:durableId="1833176011">
    <w:abstractNumId w:val="11"/>
  </w:num>
  <w:num w:numId="19" w16cid:durableId="1012605267">
    <w:abstractNumId w:val="1"/>
  </w:num>
  <w:num w:numId="20" w16cid:durableId="1480686133">
    <w:abstractNumId w:val="2"/>
  </w:num>
  <w:num w:numId="21" w16cid:durableId="993491086">
    <w:abstractNumId w:val="15"/>
  </w:num>
  <w:num w:numId="22" w16cid:durableId="861356754">
    <w:abstractNumId w:val="3"/>
  </w:num>
  <w:num w:numId="23" w16cid:durableId="253368387">
    <w:abstractNumId w:val="0"/>
  </w:num>
  <w:num w:numId="24" w16cid:durableId="2005739471">
    <w:abstractNumId w:val="6"/>
  </w:num>
  <w:num w:numId="25" w16cid:durableId="1664043991">
    <w:abstractNumId w:val="16"/>
  </w:num>
  <w:num w:numId="26" w16cid:durableId="1853034727">
    <w:abstractNumId w:val="12"/>
  </w:num>
  <w:num w:numId="27" w16cid:durableId="13079025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7E"/>
    <w:rsid w:val="00001B84"/>
    <w:rsid w:val="000022CB"/>
    <w:rsid w:val="0000524B"/>
    <w:rsid w:val="0001078E"/>
    <w:rsid w:val="00013D56"/>
    <w:rsid w:val="000142FE"/>
    <w:rsid w:val="00017A2B"/>
    <w:rsid w:val="00020D70"/>
    <w:rsid w:val="00030E95"/>
    <w:rsid w:val="00034E76"/>
    <w:rsid w:val="000352D3"/>
    <w:rsid w:val="000365A2"/>
    <w:rsid w:val="00037B75"/>
    <w:rsid w:val="00040E62"/>
    <w:rsid w:val="00042228"/>
    <w:rsid w:val="00042C9B"/>
    <w:rsid w:val="00042EAA"/>
    <w:rsid w:val="00043DAB"/>
    <w:rsid w:val="0004602F"/>
    <w:rsid w:val="000510B5"/>
    <w:rsid w:val="00053980"/>
    <w:rsid w:val="000578A4"/>
    <w:rsid w:val="000601C2"/>
    <w:rsid w:val="00060E43"/>
    <w:rsid w:val="00062812"/>
    <w:rsid w:val="00062A17"/>
    <w:rsid w:val="0006480C"/>
    <w:rsid w:val="000648F4"/>
    <w:rsid w:val="0006765B"/>
    <w:rsid w:val="00067A32"/>
    <w:rsid w:val="000706FF"/>
    <w:rsid w:val="00071DF5"/>
    <w:rsid w:val="00074769"/>
    <w:rsid w:val="000754EE"/>
    <w:rsid w:val="000811CD"/>
    <w:rsid w:val="00081B84"/>
    <w:rsid w:val="000836B7"/>
    <w:rsid w:val="00084B4F"/>
    <w:rsid w:val="00086B43"/>
    <w:rsid w:val="00087FAA"/>
    <w:rsid w:val="00092A18"/>
    <w:rsid w:val="00093AF3"/>
    <w:rsid w:val="00093C26"/>
    <w:rsid w:val="000972D5"/>
    <w:rsid w:val="000A21B5"/>
    <w:rsid w:val="000A291E"/>
    <w:rsid w:val="000A3F64"/>
    <w:rsid w:val="000A4EC3"/>
    <w:rsid w:val="000A5BEA"/>
    <w:rsid w:val="000C1228"/>
    <w:rsid w:val="000C728A"/>
    <w:rsid w:val="000D0065"/>
    <w:rsid w:val="000D1EB1"/>
    <w:rsid w:val="000D24A3"/>
    <w:rsid w:val="000D2E94"/>
    <w:rsid w:val="000D41BC"/>
    <w:rsid w:val="000D4440"/>
    <w:rsid w:val="000D7E3C"/>
    <w:rsid w:val="000D7ECA"/>
    <w:rsid w:val="000E0643"/>
    <w:rsid w:val="000E1507"/>
    <w:rsid w:val="000E3852"/>
    <w:rsid w:val="000E4F4C"/>
    <w:rsid w:val="000E57E5"/>
    <w:rsid w:val="000E6002"/>
    <w:rsid w:val="000E7033"/>
    <w:rsid w:val="000E78E2"/>
    <w:rsid w:val="000E7B3C"/>
    <w:rsid w:val="000F3C11"/>
    <w:rsid w:val="000F70C2"/>
    <w:rsid w:val="000F7CCB"/>
    <w:rsid w:val="000F7E7A"/>
    <w:rsid w:val="00100B51"/>
    <w:rsid w:val="00104208"/>
    <w:rsid w:val="001049FB"/>
    <w:rsid w:val="001051BF"/>
    <w:rsid w:val="00112DCF"/>
    <w:rsid w:val="001175EF"/>
    <w:rsid w:val="00117F93"/>
    <w:rsid w:val="00121890"/>
    <w:rsid w:val="001226BB"/>
    <w:rsid w:val="00123424"/>
    <w:rsid w:val="00130A96"/>
    <w:rsid w:val="00131969"/>
    <w:rsid w:val="00131D52"/>
    <w:rsid w:val="0013370D"/>
    <w:rsid w:val="00133F1B"/>
    <w:rsid w:val="00134D5F"/>
    <w:rsid w:val="001351C0"/>
    <w:rsid w:val="00135DB4"/>
    <w:rsid w:val="001365F9"/>
    <w:rsid w:val="00137200"/>
    <w:rsid w:val="00141FE3"/>
    <w:rsid w:val="00145FC0"/>
    <w:rsid w:val="001460BB"/>
    <w:rsid w:val="001463FB"/>
    <w:rsid w:val="00147AB4"/>
    <w:rsid w:val="00155700"/>
    <w:rsid w:val="00156669"/>
    <w:rsid w:val="001574CB"/>
    <w:rsid w:val="00162010"/>
    <w:rsid w:val="001633C5"/>
    <w:rsid w:val="00164796"/>
    <w:rsid w:val="00164BDF"/>
    <w:rsid w:val="00165A28"/>
    <w:rsid w:val="00166258"/>
    <w:rsid w:val="00167436"/>
    <w:rsid w:val="00170465"/>
    <w:rsid w:val="001704CD"/>
    <w:rsid w:val="00172019"/>
    <w:rsid w:val="00172115"/>
    <w:rsid w:val="00173769"/>
    <w:rsid w:val="00173AC8"/>
    <w:rsid w:val="0017406D"/>
    <w:rsid w:val="00177D44"/>
    <w:rsid w:val="00181D96"/>
    <w:rsid w:val="0018511C"/>
    <w:rsid w:val="001857F9"/>
    <w:rsid w:val="00186945"/>
    <w:rsid w:val="00187B33"/>
    <w:rsid w:val="00190E44"/>
    <w:rsid w:val="00193AFA"/>
    <w:rsid w:val="00194D67"/>
    <w:rsid w:val="0019741F"/>
    <w:rsid w:val="001A1877"/>
    <w:rsid w:val="001A1E04"/>
    <w:rsid w:val="001A2B75"/>
    <w:rsid w:val="001A3E5F"/>
    <w:rsid w:val="001A5EA3"/>
    <w:rsid w:val="001A7024"/>
    <w:rsid w:val="001B071F"/>
    <w:rsid w:val="001B15D8"/>
    <w:rsid w:val="001B4018"/>
    <w:rsid w:val="001B4747"/>
    <w:rsid w:val="001B6CA7"/>
    <w:rsid w:val="001C04CA"/>
    <w:rsid w:val="001C0CF0"/>
    <w:rsid w:val="001C31AB"/>
    <w:rsid w:val="001C5E5D"/>
    <w:rsid w:val="001C65AA"/>
    <w:rsid w:val="001C6A08"/>
    <w:rsid w:val="001C789F"/>
    <w:rsid w:val="001D1969"/>
    <w:rsid w:val="001D20B1"/>
    <w:rsid w:val="001D25C8"/>
    <w:rsid w:val="001D7CB2"/>
    <w:rsid w:val="001E1B81"/>
    <w:rsid w:val="001E4793"/>
    <w:rsid w:val="001E5C60"/>
    <w:rsid w:val="001E7020"/>
    <w:rsid w:val="001F016E"/>
    <w:rsid w:val="001F0182"/>
    <w:rsid w:val="001F1014"/>
    <w:rsid w:val="001F2521"/>
    <w:rsid w:val="001F7FF0"/>
    <w:rsid w:val="0020255C"/>
    <w:rsid w:val="002027B5"/>
    <w:rsid w:val="00202D6C"/>
    <w:rsid w:val="00204465"/>
    <w:rsid w:val="0021061A"/>
    <w:rsid w:val="002108B7"/>
    <w:rsid w:val="00210968"/>
    <w:rsid w:val="002122AD"/>
    <w:rsid w:val="00213B51"/>
    <w:rsid w:val="00213D2E"/>
    <w:rsid w:val="00214058"/>
    <w:rsid w:val="00214279"/>
    <w:rsid w:val="0021760A"/>
    <w:rsid w:val="0022047F"/>
    <w:rsid w:val="00223E17"/>
    <w:rsid w:val="0022513D"/>
    <w:rsid w:val="00226402"/>
    <w:rsid w:val="00226D69"/>
    <w:rsid w:val="0022757F"/>
    <w:rsid w:val="00230177"/>
    <w:rsid w:val="00230B1D"/>
    <w:rsid w:val="00231AE0"/>
    <w:rsid w:val="00232EEC"/>
    <w:rsid w:val="002340EE"/>
    <w:rsid w:val="0023560D"/>
    <w:rsid w:val="00236301"/>
    <w:rsid w:val="0024089C"/>
    <w:rsid w:val="00241A82"/>
    <w:rsid w:val="0024491C"/>
    <w:rsid w:val="00246C41"/>
    <w:rsid w:val="002478F6"/>
    <w:rsid w:val="0025198D"/>
    <w:rsid w:val="002533C9"/>
    <w:rsid w:val="00253900"/>
    <w:rsid w:val="00253BD7"/>
    <w:rsid w:val="0025438D"/>
    <w:rsid w:val="002546B0"/>
    <w:rsid w:val="00255865"/>
    <w:rsid w:val="00256C76"/>
    <w:rsid w:val="00261F2F"/>
    <w:rsid w:val="00265F74"/>
    <w:rsid w:val="002707FD"/>
    <w:rsid w:val="00270AAD"/>
    <w:rsid w:val="00270BA6"/>
    <w:rsid w:val="00271092"/>
    <w:rsid w:val="00271301"/>
    <w:rsid w:val="002723D8"/>
    <w:rsid w:val="00273C4C"/>
    <w:rsid w:val="00277CC1"/>
    <w:rsid w:val="0028616E"/>
    <w:rsid w:val="0028699C"/>
    <w:rsid w:val="0029188B"/>
    <w:rsid w:val="00292FB7"/>
    <w:rsid w:val="00293D33"/>
    <w:rsid w:val="002B0E69"/>
    <w:rsid w:val="002B29B7"/>
    <w:rsid w:val="002B2D96"/>
    <w:rsid w:val="002B3795"/>
    <w:rsid w:val="002B3C63"/>
    <w:rsid w:val="002B43B2"/>
    <w:rsid w:val="002B6FD1"/>
    <w:rsid w:val="002B72F9"/>
    <w:rsid w:val="002C0944"/>
    <w:rsid w:val="002C0E9B"/>
    <w:rsid w:val="002C1C3E"/>
    <w:rsid w:val="002C3AEC"/>
    <w:rsid w:val="002C3F15"/>
    <w:rsid w:val="002C4CD2"/>
    <w:rsid w:val="002C5659"/>
    <w:rsid w:val="002C6D04"/>
    <w:rsid w:val="002D273E"/>
    <w:rsid w:val="002D3993"/>
    <w:rsid w:val="002D3A81"/>
    <w:rsid w:val="002D3F65"/>
    <w:rsid w:val="002D44B6"/>
    <w:rsid w:val="002D6765"/>
    <w:rsid w:val="002E0D8D"/>
    <w:rsid w:val="002E2A2A"/>
    <w:rsid w:val="002E583A"/>
    <w:rsid w:val="002E5ADC"/>
    <w:rsid w:val="002E6B56"/>
    <w:rsid w:val="002E7F23"/>
    <w:rsid w:val="002F0298"/>
    <w:rsid w:val="002F0842"/>
    <w:rsid w:val="002F2351"/>
    <w:rsid w:val="002F4061"/>
    <w:rsid w:val="002F4251"/>
    <w:rsid w:val="002F5A09"/>
    <w:rsid w:val="002F5CB9"/>
    <w:rsid w:val="002F5CE4"/>
    <w:rsid w:val="002F6C59"/>
    <w:rsid w:val="002F75CF"/>
    <w:rsid w:val="003009F4"/>
    <w:rsid w:val="00301265"/>
    <w:rsid w:val="003047C8"/>
    <w:rsid w:val="00305A40"/>
    <w:rsid w:val="0031067D"/>
    <w:rsid w:val="0031375B"/>
    <w:rsid w:val="00314787"/>
    <w:rsid w:val="003170B7"/>
    <w:rsid w:val="003201FA"/>
    <w:rsid w:val="00324795"/>
    <w:rsid w:val="0032532D"/>
    <w:rsid w:val="00326AE2"/>
    <w:rsid w:val="003337B1"/>
    <w:rsid w:val="00333AAA"/>
    <w:rsid w:val="0033443C"/>
    <w:rsid w:val="0033477A"/>
    <w:rsid w:val="00334A99"/>
    <w:rsid w:val="00335190"/>
    <w:rsid w:val="003355DC"/>
    <w:rsid w:val="00340EE3"/>
    <w:rsid w:val="0034227D"/>
    <w:rsid w:val="00342879"/>
    <w:rsid w:val="00342963"/>
    <w:rsid w:val="00343ABC"/>
    <w:rsid w:val="00346C60"/>
    <w:rsid w:val="00346E7A"/>
    <w:rsid w:val="0034717E"/>
    <w:rsid w:val="00347ABA"/>
    <w:rsid w:val="0035181C"/>
    <w:rsid w:val="00353DD1"/>
    <w:rsid w:val="00356EE5"/>
    <w:rsid w:val="003576D6"/>
    <w:rsid w:val="003607D2"/>
    <w:rsid w:val="00360C7C"/>
    <w:rsid w:val="00361A86"/>
    <w:rsid w:val="00362433"/>
    <w:rsid w:val="003635E9"/>
    <w:rsid w:val="003642C3"/>
    <w:rsid w:val="00365582"/>
    <w:rsid w:val="0036646D"/>
    <w:rsid w:val="0037138E"/>
    <w:rsid w:val="00371ED0"/>
    <w:rsid w:val="00373A14"/>
    <w:rsid w:val="00381002"/>
    <w:rsid w:val="00383A49"/>
    <w:rsid w:val="0038662C"/>
    <w:rsid w:val="0038735D"/>
    <w:rsid w:val="00391F3F"/>
    <w:rsid w:val="003949D0"/>
    <w:rsid w:val="00394F10"/>
    <w:rsid w:val="00395140"/>
    <w:rsid w:val="00396FF2"/>
    <w:rsid w:val="003A1E6C"/>
    <w:rsid w:val="003A20D2"/>
    <w:rsid w:val="003A2D9F"/>
    <w:rsid w:val="003A5221"/>
    <w:rsid w:val="003A61C8"/>
    <w:rsid w:val="003B0592"/>
    <w:rsid w:val="003B2764"/>
    <w:rsid w:val="003B3344"/>
    <w:rsid w:val="003B33D2"/>
    <w:rsid w:val="003B3EF6"/>
    <w:rsid w:val="003B51F6"/>
    <w:rsid w:val="003B6816"/>
    <w:rsid w:val="003B73D4"/>
    <w:rsid w:val="003C0ADC"/>
    <w:rsid w:val="003C11A3"/>
    <w:rsid w:val="003C31EB"/>
    <w:rsid w:val="003C49B3"/>
    <w:rsid w:val="003C4D6E"/>
    <w:rsid w:val="003D1BBA"/>
    <w:rsid w:val="003D27CD"/>
    <w:rsid w:val="003D78D8"/>
    <w:rsid w:val="003D7F8B"/>
    <w:rsid w:val="003E05B4"/>
    <w:rsid w:val="003E29B3"/>
    <w:rsid w:val="003E3F39"/>
    <w:rsid w:val="003E43B3"/>
    <w:rsid w:val="003E4F35"/>
    <w:rsid w:val="003E5234"/>
    <w:rsid w:val="003E584E"/>
    <w:rsid w:val="003E6C3C"/>
    <w:rsid w:val="003F1147"/>
    <w:rsid w:val="003F1327"/>
    <w:rsid w:val="003F36CF"/>
    <w:rsid w:val="003F3F7D"/>
    <w:rsid w:val="003F4174"/>
    <w:rsid w:val="003F641C"/>
    <w:rsid w:val="00401764"/>
    <w:rsid w:val="004021CC"/>
    <w:rsid w:val="00403E37"/>
    <w:rsid w:val="004040F0"/>
    <w:rsid w:val="00404EB2"/>
    <w:rsid w:val="004060DF"/>
    <w:rsid w:val="00411C02"/>
    <w:rsid w:val="00414153"/>
    <w:rsid w:val="0041696D"/>
    <w:rsid w:val="00417B65"/>
    <w:rsid w:val="004203B5"/>
    <w:rsid w:val="00423B84"/>
    <w:rsid w:val="0042659D"/>
    <w:rsid w:val="00427599"/>
    <w:rsid w:val="00430508"/>
    <w:rsid w:val="00430ECF"/>
    <w:rsid w:val="00432A1E"/>
    <w:rsid w:val="00434B90"/>
    <w:rsid w:val="00435141"/>
    <w:rsid w:val="004357D5"/>
    <w:rsid w:val="00435D1D"/>
    <w:rsid w:val="00437C3D"/>
    <w:rsid w:val="00440B4C"/>
    <w:rsid w:val="00440D0D"/>
    <w:rsid w:val="00441E6D"/>
    <w:rsid w:val="004421AA"/>
    <w:rsid w:val="00442ECA"/>
    <w:rsid w:val="00444181"/>
    <w:rsid w:val="00444A35"/>
    <w:rsid w:val="004453F3"/>
    <w:rsid w:val="00450714"/>
    <w:rsid w:val="004545DD"/>
    <w:rsid w:val="004557B3"/>
    <w:rsid w:val="0045796D"/>
    <w:rsid w:val="00462022"/>
    <w:rsid w:val="00463DC3"/>
    <w:rsid w:val="00464341"/>
    <w:rsid w:val="0046560C"/>
    <w:rsid w:val="004661D2"/>
    <w:rsid w:val="00473550"/>
    <w:rsid w:val="00473BD7"/>
    <w:rsid w:val="00473DDC"/>
    <w:rsid w:val="00474F33"/>
    <w:rsid w:val="00475265"/>
    <w:rsid w:val="00480D8C"/>
    <w:rsid w:val="004815C0"/>
    <w:rsid w:val="0048218C"/>
    <w:rsid w:val="00482F1A"/>
    <w:rsid w:val="0048366D"/>
    <w:rsid w:val="00484459"/>
    <w:rsid w:val="00487194"/>
    <w:rsid w:val="00491A39"/>
    <w:rsid w:val="004949F9"/>
    <w:rsid w:val="00495180"/>
    <w:rsid w:val="004969C7"/>
    <w:rsid w:val="004A1847"/>
    <w:rsid w:val="004A291B"/>
    <w:rsid w:val="004A301C"/>
    <w:rsid w:val="004A56F6"/>
    <w:rsid w:val="004A581C"/>
    <w:rsid w:val="004A74CF"/>
    <w:rsid w:val="004A76CE"/>
    <w:rsid w:val="004B179F"/>
    <w:rsid w:val="004B2827"/>
    <w:rsid w:val="004B3161"/>
    <w:rsid w:val="004B3C38"/>
    <w:rsid w:val="004B6062"/>
    <w:rsid w:val="004B6D2A"/>
    <w:rsid w:val="004B7B6B"/>
    <w:rsid w:val="004C5C24"/>
    <w:rsid w:val="004C6D4D"/>
    <w:rsid w:val="004D11C3"/>
    <w:rsid w:val="004D2A20"/>
    <w:rsid w:val="004D372F"/>
    <w:rsid w:val="004D3F26"/>
    <w:rsid w:val="004D6A9F"/>
    <w:rsid w:val="004E0257"/>
    <w:rsid w:val="004E301E"/>
    <w:rsid w:val="004E496E"/>
    <w:rsid w:val="004E4B3C"/>
    <w:rsid w:val="004E6530"/>
    <w:rsid w:val="004E6A44"/>
    <w:rsid w:val="004F1AEC"/>
    <w:rsid w:val="004F2960"/>
    <w:rsid w:val="004F3FC6"/>
    <w:rsid w:val="004F6578"/>
    <w:rsid w:val="00502073"/>
    <w:rsid w:val="0050239D"/>
    <w:rsid w:val="005038E5"/>
    <w:rsid w:val="00503F69"/>
    <w:rsid w:val="0050434D"/>
    <w:rsid w:val="005048CB"/>
    <w:rsid w:val="00504B9B"/>
    <w:rsid w:val="00504E84"/>
    <w:rsid w:val="005053DC"/>
    <w:rsid w:val="00506D2F"/>
    <w:rsid w:val="00507E9E"/>
    <w:rsid w:val="005100FB"/>
    <w:rsid w:val="00512486"/>
    <w:rsid w:val="005132C3"/>
    <w:rsid w:val="005135D8"/>
    <w:rsid w:val="00513B18"/>
    <w:rsid w:val="0051521B"/>
    <w:rsid w:val="00520E11"/>
    <w:rsid w:val="005226F8"/>
    <w:rsid w:val="005234ED"/>
    <w:rsid w:val="005245C8"/>
    <w:rsid w:val="005260E7"/>
    <w:rsid w:val="005309FD"/>
    <w:rsid w:val="00536FA9"/>
    <w:rsid w:val="005465CD"/>
    <w:rsid w:val="00550982"/>
    <w:rsid w:val="00550EE2"/>
    <w:rsid w:val="005511D5"/>
    <w:rsid w:val="00551514"/>
    <w:rsid w:val="0055407E"/>
    <w:rsid w:val="0055627E"/>
    <w:rsid w:val="00560FE8"/>
    <w:rsid w:val="005626FE"/>
    <w:rsid w:val="0056553C"/>
    <w:rsid w:val="00565A28"/>
    <w:rsid w:val="00566052"/>
    <w:rsid w:val="00572430"/>
    <w:rsid w:val="00572A56"/>
    <w:rsid w:val="00572EAB"/>
    <w:rsid w:val="0057311D"/>
    <w:rsid w:val="005751A4"/>
    <w:rsid w:val="00577076"/>
    <w:rsid w:val="00580B74"/>
    <w:rsid w:val="005845FC"/>
    <w:rsid w:val="005846AC"/>
    <w:rsid w:val="00584EEB"/>
    <w:rsid w:val="00586974"/>
    <w:rsid w:val="00587958"/>
    <w:rsid w:val="00590390"/>
    <w:rsid w:val="005A11D9"/>
    <w:rsid w:val="005A2832"/>
    <w:rsid w:val="005A37AB"/>
    <w:rsid w:val="005A5986"/>
    <w:rsid w:val="005A5BC4"/>
    <w:rsid w:val="005A5EE7"/>
    <w:rsid w:val="005B1B7B"/>
    <w:rsid w:val="005B2DDA"/>
    <w:rsid w:val="005B5C48"/>
    <w:rsid w:val="005B64BE"/>
    <w:rsid w:val="005B7CFB"/>
    <w:rsid w:val="005C2363"/>
    <w:rsid w:val="005C2371"/>
    <w:rsid w:val="005C3878"/>
    <w:rsid w:val="005C4A03"/>
    <w:rsid w:val="005C4C8A"/>
    <w:rsid w:val="005D343B"/>
    <w:rsid w:val="005D54CD"/>
    <w:rsid w:val="005D5A59"/>
    <w:rsid w:val="005E0F1D"/>
    <w:rsid w:val="005E20EA"/>
    <w:rsid w:val="005E3031"/>
    <w:rsid w:val="005E3979"/>
    <w:rsid w:val="005E3D97"/>
    <w:rsid w:val="005E5056"/>
    <w:rsid w:val="005F0F02"/>
    <w:rsid w:val="005F2F9F"/>
    <w:rsid w:val="005F3686"/>
    <w:rsid w:val="005F5970"/>
    <w:rsid w:val="005F6ACC"/>
    <w:rsid w:val="005F6F5D"/>
    <w:rsid w:val="005F7033"/>
    <w:rsid w:val="006017B3"/>
    <w:rsid w:val="00603272"/>
    <w:rsid w:val="0060373E"/>
    <w:rsid w:val="00605C45"/>
    <w:rsid w:val="00607A8A"/>
    <w:rsid w:val="00611CA5"/>
    <w:rsid w:val="0061619A"/>
    <w:rsid w:val="00621D88"/>
    <w:rsid w:val="00621EF3"/>
    <w:rsid w:val="00622758"/>
    <w:rsid w:val="00623CC4"/>
    <w:rsid w:val="0062407D"/>
    <w:rsid w:val="00624397"/>
    <w:rsid w:val="0062443D"/>
    <w:rsid w:val="006250AF"/>
    <w:rsid w:val="0062590C"/>
    <w:rsid w:val="00627EB0"/>
    <w:rsid w:val="00633819"/>
    <w:rsid w:val="00635B72"/>
    <w:rsid w:val="006365B7"/>
    <w:rsid w:val="006377D3"/>
    <w:rsid w:val="006379C6"/>
    <w:rsid w:val="00644E43"/>
    <w:rsid w:val="00645106"/>
    <w:rsid w:val="006453D6"/>
    <w:rsid w:val="006455B3"/>
    <w:rsid w:val="00646F10"/>
    <w:rsid w:val="006474DB"/>
    <w:rsid w:val="00652747"/>
    <w:rsid w:val="006557CD"/>
    <w:rsid w:val="006566A6"/>
    <w:rsid w:val="00656DFE"/>
    <w:rsid w:val="006577A3"/>
    <w:rsid w:val="006646E6"/>
    <w:rsid w:val="00665B62"/>
    <w:rsid w:val="00667D4F"/>
    <w:rsid w:val="00673379"/>
    <w:rsid w:val="0067457B"/>
    <w:rsid w:val="00674658"/>
    <w:rsid w:val="0067765E"/>
    <w:rsid w:val="00677BE7"/>
    <w:rsid w:val="006837EB"/>
    <w:rsid w:val="00683D54"/>
    <w:rsid w:val="006923BF"/>
    <w:rsid w:val="006A0EAA"/>
    <w:rsid w:val="006A2C2E"/>
    <w:rsid w:val="006B0AA6"/>
    <w:rsid w:val="006B5857"/>
    <w:rsid w:val="006B67C0"/>
    <w:rsid w:val="006B6BA5"/>
    <w:rsid w:val="006B6F02"/>
    <w:rsid w:val="006B7497"/>
    <w:rsid w:val="006C0417"/>
    <w:rsid w:val="006C0C64"/>
    <w:rsid w:val="006C0DF4"/>
    <w:rsid w:val="006C1A78"/>
    <w:rsid w:val="006C37C1"/>
    <w:rsid w:val="006C5A56"/>
    <w:rsid w:val="006D1243"/>
    <w:rsid w:val="006D357B"/>
    <w:rsid w:val="006D51A1"/>
    <w:rsid w:val="006D64B3"/>
    <w:rsid w:val="006D66AD"/>
    <w:rsid w:val="006E021B"/>
    <w:rsid w:val="006E2481"/>
    <w:rsid w:val="006E3F55"/>
    <w:rsid w:val="006E4881"/>
    <w:rsid w:val="006F1548"/>
    <w:rsid w:val="006F26C8"/>
    <w:rsid w:val="006F3981"/>
    <w:rsid w:val="006F6FF3"/>
    <w:rsid w:val="006F7707"/>
    <w:rsid w:val="007006F5"/>
    <w:rsid w:val="0070502C"/>
    <w:rsid w:val="0070564B"/>
    <w:rsid w:val="0070580A"/>
    <w:rsid w:val="00706CD9"/>
    <w:rsid w:val="00713029"/>
    <w:rsid w:val="00713D67"/>
    <w:rsid w:val="00713D82"/>
    <w:rsid w:val="00714332"/>
    <w:rsid w:val="00714381"/>
    <w:rsid w:val="00715FE7"/>
    <w:rsid w:val="0071674D"/>
    <w:rsid w:val="00723B4F"/>
    <w:rsid w:val="0072620E"/>
    <w:rsid w:val="00727B3E"/>
    <w:rsid w:val="00730FC5"/>
    <w:rsid w:val="007321B9"/>
    <w:rsid w:val="007326C0"/>
    <w:rsid w:val="00735264"/>
    <w:rsid w:val="00735F63"/>
    <w:rsid w:val="0074105C"/>
    <w:rsid w:val="00742676"/>
    <w:rsid w:val="00744828"/>
    <w:rsid w:val="00747C55"/>
    <w:rsid w:val="00747D67"/>
    <w:rsid w:val="00747E28"/>
    <w:rsid w:val="00750A11"/>
    <w:rsid w:val="00751B22"/>
    <w:rsid w:val="00752A29"/>
    <w:rsid w:val="00753A60"/>
    <w:rsid w:val="00754118"/>
    <w:rsid w:val="0075498D"/>
    <w:rsid w:val="00761911"/>
    <w:rsid w:val="00763CD5"/>
    <w:rsid w:val="00766D6E"/>
    <w:rsid w:val="00767B44"/>
    <w:rsid w:val="00767D32"/>
    <w:rsid w:val="007704CF"/>
    <w:rsid w:val="00771EEB"/>
    <w:rsid w:val="00772AEF"/>
    <w:rsid w:val="00773790"/>
    <w:rsid w:val="00775DCF"/>
    <w:rsid w:val="0077653E"/>
    <w:rsid w:val="00777791"/>
    <w:rsid w:val="007844C4"/>
    <w:rsid w:val="00785209"/>
    <w:rsid w:val="007865B1"/>
    <w:rsid w:val="0078731F"/>
    <w:rsid w:val="00791D20"/>
    <w:rsid w:val="0079362A"/>
    <w:rsid w:val="00795DAD"/>
    <w:rsid w:val="00796556"/>
    <w:rsid w:val="007A183E"/>
    <w:rsid w:val="007A42CE"/>
    <w:rsid w:val="007B0B11"/>
    <w:rsid w:val="007B170C"/>
    <w:rsid w:val="007B197C"/>
    <w:rsid w:val="007B294E"/>
    <w:rsid w:val="007B304C"/>
    <w:rsid w:val="007B441C"/>
    <w:rsid w:val="007B51EB"/>
    <w:rsid w:val="007B6F85"/>
    <w:rsid w:val="007C0937"/>
    <w:rsid w:val="007C17D6"/>
    <w:rsid w:val="007C48C4"/>
    <w:rsid w:val="007C6484"/>
    <w:rsid w:val="007C7413"/>
    <w:rsid w:val="007C7A4A"/>
    <w:rsid w:val="007D2E93"/>
    <w:rsid w:val="007D371A"/>
    <w:rsid w:val="007D3EA6"/>
    <w:rsid w:val="007D45CA"/>
    <w:rsid w:val="007D5C37"/>
    <w:rsid w:val="007D626C"/>
    <w:rsid w:val="007D6AE2"/>
    <w:rsid w:val="007D70A6"/>
    <w:rsid w:val="007D7159"/>
    <w:rsid w:val="007D7CA0"/>
    <w:rsid w:val="007E2049"/>
    <w:rsid w:val="007E424D"/>
    <w:rsid w:val="007E58DB"/>
    <w:rsid w:val="007E7DFC"/>
    <w:rsid w:val="007F0ACC"/>
    <w:rsid w:val="007F2DB6"/>
    <w:rsid w:val="007F3C58"/>
    <w:rsid w:val="007F3FE2"/>
    <w:rsid w:val="007F6FD1"/>
    <w:rsid w:val="007F7793"/>
    <w:rsid w:val="00802B01"/>
    <w:rsid w:val="00803206"/>
    <w:rsid w:val="008112C9"/>
    <w:rsid w:val="0081243D"/>
    <w:rsid w:val="00812702"/>
    <w:rsid w:val="00814AD8"/>
    <w:rsid w:val="00815AD6"/>
    <w:rsid w:val="0081640B"/>
    <w:rsid w:val="008173DC"/>
    <w:rsid w:val="00822CF0"/>
    <w:rsid w:val="008243F8"/>
    <w:rsid w:val="00824894"/>
    <w:rsid w:val="00825235"/>
    <w:rsid w:val="0083153C"/>
    <w:rsid w:val="008317F3"/>
    <w:rsid w:val="00831885"/>
    <w:rsid w:val="008331E5"/>
    <w:rsid w:val="0083413D"/>
    <w:rsid w:val="00835B5E"/>
    <w:rsid w:val="00835FA6"/>
    <w:rsid w:val="00837B7B"/>
    <w:rsid w:val="00837B83"/>
    <w:rsid w:val="008403F2"/>
    <w:rsid w:val="008434F8"/>
    <w:rsid w:val="00843D71"/>
    <w:rsid w:val="0084508F"/>
    <w:rsid w:val="00845DE6"/>
    <w:rsid w:val="008535AF"/>
    <w:rsid w:val="00855225"/>
    <w:rsid w:val="00855FEB"/>
    <w:rsid w:val="0086034A"/>
    <w:rsid w:val="00860A03"/>
    <w:rsid w:val="00860D2B"/>
    <w:rsid w:val="00861EF0"/>
    <w:rsid w:val="008620BB"/>
    <w:rsid w:val="00864019"/>
    <w:rsid w:val="00865AAC"/>
    <w:rsid w:val="00865BE4"/>
    <w:rsid w:val="00865DBC"/>
    <w:rsid w:val="00867F85"/>
    <w:rsid w:val="00871799"/>
    <w:rsid w:val="00872A24"/>
    <w:rsid w:val="008732C5"/>
    <w:rsid w:val="00873FCC"/>
    <w:rsid w:val="00877D09"/>
    <w:rsid w:val="00877F24"/>
    <w:rsid w:val="008806D4"/>
    <w:rsid w:val="00881B98"/>
    <w:rsid w:val="008851BC"/>
    <w:rsid w:val="00885309"/>
    <w:rsid w:val="00886D3A"/>
    <w:rsid w:val="0089447C"/>
    <w:rsid w:val="008945F8"/>
    <w:rsid w:val="00895351"/>
    <w:rsid w:val="008A1F8C"/>
    <w:rsid w:val="008A2F98"/>
    <w:rsid w:val="008A43CD"/>
    <w:rsid w:val="008A480F"/>
    <w:rsid w:val="008A6504"/>
    <w:rsid w:val="008A77F0"/>
    <w:rsid w:val="008A7C9F"/>
    <w:rsid w:val="008B044A"/>
    <w:rsid w:val="008B04E8"/>
    <w:rsid w:val="008B5146"/>
    <w:rsid w:val="008B6808"/>
    <w:rsid w:val="008B7D3E"/>
    <w:rsid w:val="008C2933"/>
    <w:rsid w:val="008C61AA"/>
    <w:rsid w:val="008C64AE"/>
    <w:rsid w:val="008C7580"/>
    <w:rsid w:val="008D1F4C"/>
    <w:rsid w:val="008D1F55"/>
    <w:rsid w:val="008D2D99"/>
    <w:rsid w:val="008D374F"/>
    <w:rsid w:val="008D544A"/>
    <w:rsid w:val="008D77FD"/>
    <w:rsid w:val="008E010F"/>
    <w:rsid w:val="008E1A3C"/>
    <w:rsid w:val="008E37C3"/>
    <w:rsid w:val="008E425A"/>
    <w:rsid w:val="008E5981"/>
    <w:rsid w:val="008F0DA2"/>
    <w:rsid w:val="008F2452"/>
    <w:rsid w:val="008F54D4"/>
    <w:rsid w:val="008F58D1"/>
    <w:rsid w:val="008F66F5"/>
    <w:rsid w:val="008F7340"/>
    <w:rsid w:val="00906459"/>
    <w:rsid w:val="00907624"/>
    <w:rsid w:val="00907625"/>
    <w:rsid w:val="00907723"/>
    <w:rsid w:val="00915AFA"/>
    <w:rsid w:val="0091730C"/>
    <w:rsid w:val="009209CC"/>
    <w:rsid w:val="00920B5E"/>
    <w:rsid w:val="00922667"/>
    <w:rsid w:val="00922AD8"/>
    <w:rsid w:val="009234FC"/>
    <w:rsid w:val="00925AA8"/>
    <w:rsid w:val="00925F11"/>
    <w:rsid w:val="00926FE6"/>
    <w:rsid w:val="00930A6F"/>
    <w:rsid w:val="0093143D"/>
    <w:rsid w:val="00935547"/>
    <w:rsid w:val="009362FC"/>
    <w:rsid w:val="00940CB5"/>
    <w:rsid w:val="00941734"/>
    <w:rsid w:val="00941993"/>
    <w:rsid w:val="009437D6"/>
    <w:rsid w:val="00943C7D"/>
    <w:rsid w:val="0094422B"/>
    <w:rsid w:val="009442B0"/>
    <w:rsid w:val="00945F54"/>
    <w:rsid w:val="00946057"/>
    <w:rsid w:val="0094725D"/>
    <w:rsid w:val="00947C30"/>
    <w:rsid w:val="0095195B"/>
    <w:rsid w:val="00953A10"/>
    <w:rsid w:val="0095655E"/>
    <w:rsid w:val="00960B6E"/>
    <w:rsid w:val="009611D2"/>
    <w:rsid w:val="00963ABA"/>
    <w:rsid w:val="00964890"/>
    <w:rsid w:val="009670B1"/>
    <w:rsid w:val="009671F6"/>
    <w:rsid w:val="00967AB1"/>
    <w:rsid w:val="009706CB"/>
    <w:rsid w:val="009713C5"/>
    <w:rsid w:val="00974F64"/>
    <w:rsid w:val="00975AD1"/>
    <w:rsid w:val="009804C0"/>
    <w:rsid w:val="00981020"/>
    <w:rsid w:val="009833A4"/>
    <w:rsid w:val="00985973"/>
    <w:rsid w:val="00985DBA"/>
    <w:rsid w:val="009864A7"/>
    <w:rsid w:val="00987789"/>
    <w:rsid w:val="00993158"/>
    <w:rsid w:val="00993F31"/>
    <w:rsid w:val="00994224"/>
    <w:rsid w:val="009951C2"/>
    <w:rsid w:val="00996A0F"/>
    <w:rsid w:val="009973D4"/>
    <w:rsid w:val="009978DE"/>
    <w:rsid w:val="009A008C"/>
    <w:rsid w:val="009A1656"/>
    <w:rsid w:val="009A203B"/>
    <w:rsid w:val="009A2E44"/>
    <w:rsid w:val="009A52BA"/>
    <w:rsid w:val="009A67E2"/>
    <w:rsid w:val="009B1821"/>
    <w:rsid w:val="009B3E10"/>
    <w:rsid w:val="009B4FBB"/>
    <w:rsid w:val="009B6D93"/>
    <w:rsid w:val="009B7449"/>
    <w:rsid w:val="009C0BE6"/>
    <w:rsid w:val="009C1789"/>
    <w:rsid w:val="009C1BA6"/>
    <w:rsid w:val="009C58F6"/>
    <w:rsid w:val="009D046A"/>
    <w:rsid w:val="009D065B"/>
    <w:rsid w:val="009D2A78"/>
    <w:rsid w:val="009D3637"/>
    <w:rsid w:val="009D4005"/>
    <w:rsid w:val="009D67D6"/>
    <w:rsid w:val="009E051B"/>
    <w:rsid w:val="009E05A0"/>
    <w:rsid w:val="009E0972"/>
    <w:rsid w:val="009E36EA"/>
    <w:rsid w:val="009E3EF3"/>
    <w:rsid w:val="009E6634"/>
    <w:rsid w:val="009E66A2"/>
    <w:rsid w:val="009F0192"/>
    <w:rsid w:val="009F1F69"/>
    <w:rsid w:val="009F2908"/>
    <w:rsid w:val="009F3994"/>
    <w:rsid w:val="009F3D9E"/>
    <w:rsid w:val="009F4744"/>
    <w:rsid w:val="009F681B"/>
    <w:rsid w:val="00A071E0"/>
    <w:rsid w:val="00A1014E"/>
    <w:rsid w:val="00A10673"/>
    <w:rsid w:val="00A10F20"/>
    <w:rsid w:val="00A12E02"/>
    <w:rsid w:val="00A13C0A"/>
    <w:rsid w:val="00A159FE"/>
    <w:rsid w:val="00A2001F"/>
    <w:rsid w:val="00A20E0E"/>
    <w:rsid w:val="00A244B1"/>
    <w:rsid w:val="00A26128"/>
    <w:rsid w:val="00A26AA1"/>
    <w:rsid w:val="00A26EED"/>
    <w:rsid w:val="00A2730B"/>
    <w:rsid w:val="00A27915"/>
    <w:rsid w:val="00A3004A"/>
    <w:rsid w:val="00A301E5"/>
    <w:rsid w:val="00A33383"/>
    <w:rsid w:val="00A34948"/>
    <w:rsid w:val="00A421BE"/>
    <w:rsid w:val="00A4406D"/>
    <w:rsid w:val="00A45FF0"/>
    <w:rsid w:val="00A52865"/>
    <w:rsid w:val="00A53634"/>
    <w:rsid w:val="00A53F32"/>
    <w:rsid w:val="00A5491E"/>
    <w:rsid w:val="00A549B7"/>
    <w:rsid w:val="00A55D06"/>
    <w:rsid w:val="00A57715"/>
    <w:rsid w:val="00A61C47"/>
    <w:rsid w:val="00A61CCC"/>
    <w:rsid w:val="00A62907"/>
    <w:rsid w:val="00A62BA3"/>
    <w:rsid w:val="00A63797"/>
    <w:rsid w:val="00A63B19"/>
    <w:rsid w:val="00A64053"/>
    <w:rsid w:val="00A677B0"/>
    <w:rsid w:val="00A67846"/>
    <w:rsid w:val="00A70D6D"/>
    <w:rsid w:val="00A74704"/>
    <w:rsid w:val="00A76F51"/>
    <w:rsid w:val="00A8226B"/>
    <w:rsid w:val="00A82582"/>
    <w:rsid w:val="00A8378D"/>
    <w:rsid w:val="00A83AFA"/>
    <w:rsid w:val="00A856CE"/>
    <w:rsid w:val="00A909C5"/>
    <w:rsid w:val="00A9252B"/>
    <w:rsid w:val="00A9359B"/>
    <w:rsid w:val="00A9668F"/>
    <w:rsid w:val="00A9716E"/>
    <w:rsid w:val="00AA0340"/>
    <w:rsid w:val="00AA1C95"/>
    <w:rsid w:val="00AA1F17"/>
    <w:rsid w:val="00AA3BBA"/>
    <w:rsid w:val="00AA412F"/>
    <w:rsid w:val="00AA41A9"/>
    <w:rsid w:val="00AA5F57"/>
    <w:rsid w:val="00AA7802"/>
    <w:rsid w:val="00AA7E96"/>
    <w:rsid w:val="00AB3E27"/>
    <w:rsid w:val="00AB51AE"/>
    <w:rsid w:val="00AB549A"/>
    <w:rsid w:val="00AB645B"/>
    <w:rsid w:val="00AB7F71"/>
    <w:rsid w:val="00AC0C5B"/>
    <w:rsid w:val="00AC2DB4"/>
    <w:rsid w:val="00AC6C75"/>
    <w:rsid w:val="00AC78AA"/>
    <w:rsid w:val="00AC7CE6"/>
    <w:rsid w:val="00AC7E5F"/>
    <w:rsid w:val="00AD2545"/>
    <w:rsid w:val="00AD41F0"/>
    <w:rsid w:val="00AD44F2"/>
    <w:rsid w:val="00AD6095"/>
    <w:rsid w:val="00AD6A25"/>
    <w:rsid w:val="00AD6A44"/>
    <w:rsid w:val="00AE2F6E"/>
    <w:rsid w:val="00AE35D0"/>
    <w:rsid w:val="00AE3B38"/>
    <w:rsid w:val="00AE4324"/>
    <w:rsid w:val="00AE4D68"/>
    <w:rsid w:val="00AE4E43"/>
    <w:rsid w:val="00AE593B"/>
    <w:rsid w:val="00AE67DC"/>
    <w:rsid w:val="00AE7204"/>
    <w:rsid w:val="00AF1803"/>
    <w:rsid w:val="00AF1A72"/>
    <w:rsid w:val="00B02F24"/>
    <w:rsid w:val="00B0589E"/>
    <w:rsid w:val="00B07E02"/>
    <w:rsid w:val="00B10049"/>
    <w:rsid w:val="00B10D22"/>
    <w:rsid w:val="00B117F0"/>
    <w:rsid w:val="00B20874"/>
    <w:rsid w:val="00B21659"/>
    <w:rsid w:val="00B21D11"/>
    <w:rsid w:val="00B252E9"/>
    <w:rsid w:val="00B27EA5"/>
    <w:rsid w:val="00B37F60"/>
    <w:rsid w:val="00B446D0"/>
    <w:rsid w:val="00B46604"/>
    <w:rsid w:val="00B46C61"/>
    <w:rsid w:val="00B51682"/>
    <w:rsid w:val="00B5241C"/>
    <w:rsid w:val="00B538EE"/>
    <w:rsid w:val="00B60343"/>
    <w:rsid w:val="00B61FCD"/>
    <w:rsid w:val="00B64A7C"/>
    <w:rsid w:val="00B67903"/>
    <w:rsid w:val="00B75BB3"/>
    <w:rsid w:val="00B75E10"/>
    <w:rsid w:val="00B7735D"/>
    <w:rsid w:val="00B83372"/>
    <w:rsid w:val="00B83F3D"/>
    <w:rsid w:val="00B84666"/>
    <w:rsid w:val="00B9288D"/>
    <w:rsid w:val="00B92DFF"/>
    <w:rsid w:val="00B92EFA"/>
    <w:rsid w:val="00B96ED0"/>
    <w:rsid w:val="00BA0158"/>
    <w:rsid w:val="00BA0A93"/>
    <w:rsid w:val="00BA10E7"/>
    <w:rsid w:val="00BA29E6"/>
    <w:rsid w:val="00BA3861"/>
    <w:rsid w:val="00BA577E"/>
    <w:rsid w:val="00BA58DE"/>
    <w:rsid w:val="00BA6863"/>
    <w:rsid w:val="00BB1863"/>
    <w:rsid w:val="00BB5365"/>
    <w:rsid w:val="00BB55DA"/>
    <w:rsid w:val="00BB5DAE"/>
    <w:rsid w:val="00BB7775"/>
    <w:rsid w:val="00BC41AC"/>
    <w:rsid w:val="00BC422F"/>
    <w:rsid w:val="00BC4255"/>
    <w:rsid w:val="00BC435D"/>
    <w:rsid w:val="00BC4AAB"/>
    <w:rsid w:val="00BC7D9D"/>
    <w:rsid w:val="00BD0125"/>
    <w:rsid w:val="00BD417A"/>
    <w:rsid w:val="00BD4AE3"/>
    <w:rsid w:val="00BE1E92"/>
    <w:rsid w:val="00BE27F7"/>
    <w:rsid w:val="00BE4AEF"/>
    <w:rsid w:val="00BE5022"/>
    <w:rsid w:val="00BF3150"/>
    <w:rsid w:val="00BF4436"/>
    <w:rsid w:val="00BF4E95"/>
    <w:rsid w:val="00C00FC9"/>
    <w:rsid w:val="00C0147E"/>
    <w:rsid w:val="00C043E5"/>
    <w:rsid w:val="00C04975"/>
    <w:rsid w:val="00C05AB4"/>
    <w:rsid w:val="00C06F1F"/>
    <w:rsid w:val="00C10487"/>
    <w:rsid w:val="00C12237"/>
    <w:rsid w:val="00C12D6E"/>
    <w:rsid w:val="00C16110"/>
    <w:rsid w:val="00C16F9C"/>
    <w:rsid w:val="00C20427"/>
    <w:rsid w:val="00C23A6C"/>
    <w:rsid w:val="00C2469B"/>
    <w:rsid w:val="00C266C6"/>
    <w:rsid w:val="00C268AC"/>
    <w:rsid w:val="00C26EFF"/>
    <w:rsid w:val="00C32B4A"/>
    <w:rsid w:val="00C32ECE"/>
    <w:rsid w:val="00C372CB"/>
    <w:rsid w:val="00C43C23"/>
    <w:rsid w:val="00C443AD"/>
    <w:rsid w:val="00C46E41"/>
    <w:rsid w:val="00C51294"/>
    <w:rsid w:val="00C51557"/>
    <w:rsid w:val="00C52081"/>
    <w:rsid w:val="00C53055"/>
    <w:rsid w:val="00C55708"/>
    <w:rsid w:val="00C57AAE"/>
    <w:rsid w:val="00C610D1"/>
    <w:rsid w:val="00C63673"/>
    <w:rsid w:val="00C647A1"/>
    <w:rsid w:val="00C65943"/>
    <w:rsid w:val="00C669DD"/>
    <w:rsid w:val="00C70237"/>
    <w:rsid w:val="00C71975"/>
    <w:rsid w:val="00C74FBB"/>
    <w:rsid w:val="00C75102"/>
    <w:rsid w:val="00C7514F"/>
    <w:rsid w:val="00C765DD"/>
    <w:rsid w:val="00C77CB8"/>
    <w:rsid w:val="00C803F4"/>
    <w:rsid w:val="00C806F2"/>
    <w:rsid w:val="00C8072F"/>
    <w:rsid w:val="00C811AF"/>
    <w:rsid w:val="00C8220C"/>
    <w:rsid w:val="00C853D4"/>
    <w:rsid w:val="00C9037E"/>
    <w:rsid w:val="00C9110D"/>
    <w:rsid w:val="00C918F1"/>
    <w:rsid w:val="00C9268F"/>
    <w:rsid w:val="00C93FF1"/>
    <w:rsid w:val="00C97FA9"/>
    <w:rsid w:val="00CA3E75"/>
    <w:rsid w:val="00CA6144"/>
    <w:rsid w:val="00CB007E"/>
    <w:rsid w:val="00CB107B"/>
    <w:rsid w:val="00CB1A74"/>
    <w:rsid w:val="00CB2802"/>
    <w:rsid w:val="00CB35F1"/>
    <w:rsid w:val="00CB3F9F"/>
    <w:rsid w:val="00CB651E"/>
    <w:rsid w:val="00CC01AF"/>
    <w:rsid w:val="00CC1653"/>
    <w:rsid w:val="00CC1D36"/>
    <w:rsid w:val="00CC2B61"/>
    <w:rsid w:val="00CC34C9"/>
    <w:rsid w:val="00CC458B"/>
    <w:rsid w:val="00CD01AE"/>
    <w:rsid w:val="00CD391A"/>
    <w:rsid w:val="00CD663F"/>
    <w:rsid w:val="00CE022A"/>
    <w:rsid w:val="00CE062C"/>
    <w:rsid w:val="00CE0744"/>
    <w:rsid w:val="00CE0B32"/>
    <w:rsid w:val="00CE1162"/>
    <w:rsid w:val="00CE390A"/>
    <w:rsid w:val="00CE7038"/>
    <w:rsid w:val="00CF0040"/>
    <w:rsid w:val="00CF0B0C"/>
    <w:rsid w:val="00CF0BAC"/>
    <w:rsid w:val="00CF275C"/>
    <w:rsid w:val="00CF4177"/>
    <w:rsid w:val="00CF6DE1"/>
    <w:rsid w:val="00CF7522"/>
    <w:rsid w:val="00D01428"/>
    <w:rsid w:val="00D02CD2"/>
    <w:rsid w:val="00D05C1F"/>
    <w:rsid w:val="00D0610C"/>
    <w:rsid w:val="00D13DCA"/>
    <w:rsid w:val="00D14499"/>
    <w:rsid w:val="00D168CF"/>
    <w:rsid w:val="00D16A19"/>
    <w:rsid w:val="00D1712B"/>
    <w:rsid w:val="00D206CF"/>
    <w:rsid w:val="00D22E9B"/>
    <w:rsid w:val="00D237F2"/>
    <w:rsid w:val="00D3250C"/>
    <w:rsid w:val="00D33EEE"/>
    <w:rsid w:val="00D35AA9"/>
    <w:rsid w:val="00D37909"/>
    <w:rsid w:val="00D4127F"/>
    <w:rsid w:val="00D41467"/>
    <w:rsid w:val="00D41DF2"/>
    <w:rsid w:val="00D42D7B"/>
    <w:rsid w:val="00D437A1"/>
    <w:rsid w:val="00D45967"/>
    <w:rsid w:val="00D477CB"/>
    <w:rsid w:val="00D52192"/>
    <w:rsid w:val="00D525EB"/>
    <w:rsid w:val="00D54BC0"/>
    <w:rsid w:val="00D55784"/>
    <w:rsid w:val="00D64F2E"/>
    <w:rsid w:val="00D65136"/>
    <w:rsid w:val="00D65DB5"/>
    <w:rsid w:val="00D66242"/>
    <w:rsid w:val="00D72B65"/>
    <w:rsid w:val="00D72FB0"/>
    <w:rsid w:val="00D73062"/>
    <w:rsid w:val="00D8676A"/>
    <w:rsid w:val="00D915D8"/>
    <w:rsid w:val="00D91E35"/>
    <w:rsid w:val="00D921BD"/>
    <w:rsid w:val="00D93BE2"/>
    <w:rsid w:val="00D97A31"/>
    <w:rsid w:val="00DA582F"/>
    <w:rsid w:val="00DA7851"/>
    <w:rsid w:val="00DB1987"/>
    <w:rsid w:val="00DB241B"/>
    <w:rsid w:val="00DB4F39"/>
    <w:rsid w:val="00DC2577"/>
    <w:rsid w:val="00DC634B"/>
    <w:rsid w:val="00DC71AA"/>
    <w:rsid w:val="00DD09D0"/>
    <w:rsid w:val="00DD0C0F"/>
    <w:rsid w:val="00DD43AA"/>
    <w:rsid w:val="00DD44D8"/>
    <w:rsid w:val="00DD6C8E"/>
    <w:rsid w:val="00DD7093"/>
    <w:rsid w:val="00DE0273"/>
    <w:rsid w:val="00DE1762"/>
    <w:rsid w:val="00DE2FA4"/>
    <w:rsid w:val="00DE31AF"/>
    <w:rsid w:val="00DE6A56"/>
    <w:rsid w:val="00DF019D"/>
    <w:rsid w:val="00DF24F2"/>
    <w:rsid w:val="00DF460A"/>
    <w:rsid w:val="00DF4CB6"/>
    <w:rsid w:val="00DF6314"/>
    <w:rsid w:val="00DF751C"/>
    <w:rsid w:val="00E0281F"/>
    <w:rsid w:val="00E02823"/>
    <w:rsid w:val="00E0466B"/>
    <w:rsid w:val="00E07DCB"/>
    <w:rsid w:val="00E1030C"/>
    <w:rsid w:val="00E10FF3"/>
    <w:rsid w:val="00E11ACE"/>
    <w:rsid w:val="00E14B4E"/>
    <w:rsid w:val="00E158A4"/>
    <w:rsid w:val="00E15F47"/>
    <w:rsid w:val="00E177E1"/>
    <w:rsid w:val="00E2096D"/>
    <w:rsid w:val="00E21441"/>
    <w:rsid w:val="00E23473"/>
    <w:rsid w:val="00E23F1E"/>
    <w:rsid w:val="00E26D43"/>
    <w:rsid w:val="00E26F17"/>
    <w:rsid w:val="00E27B61"/>
    <w:rsid w:val="00E320B8"/>
    <w:rsid w:val="00E32C8B"/>
    <w:rsid w:val="00E34B86"/>
    <w:rsid w:val="00E353EE"/>
    <w:rsid w:val="00E35B86"/>
    <w:rsid w:val="00E364C7"/>
    <w:rsid w:val="00E402D9"/>
    <w:rsid w:val="00E40C3A"/>
    <w:rsid w:val="00E41DF7"/>
    <w:rsid w:val="00E429EF"/>
    <w:rsid w:val="00E43A8A"/>
    <w:rsid w:val="00E43C7C"/>
    <w:rsid w:val="00E45F3E"/>
    <w:rsid w:val="00E46956"/>
    <w:rsid w:val="00E46C5C"/>
    <w:rsid w:val="00E47C79"/>
    <w:rsid w:val="00E47CDD"/>
    <w:rsid w:val="00E5007B"/>
    <w:rsid w:val="00E5248F"/>
    <w:rsid w:val="00E528D2"/>
    <w:rsid w:val="00E551D6"/>
    <w:rsid w:val="00E55244"/>
    <w:rsid w:val="00E640BE"/>
    <w:rsid w:val="00E701DB"/>
    <w:rsid w:val="00E7053A"/>
    <w:rsid w:val="00E75CF6"/>
    <w:rsid w:val="00E805CC"/>
    <w:rsid w:val="00E83992"/>
    <w:rsid w:val="00E83E08"/>
    <w:rsid w:val="00E84B5F"/>
    <w:rsid w:val="00E8616A"/>
    <w:rsid w:val="00E912B8"/>
    <w:rsid w:val="00E92592"/>
    <w:rsid w:val="00E964EB"/>
    <w:rsid w:val="00E96716"/>
    <w:rsid w:val="00E97E14"/>
    <w:rsid w:val="00EA1764"/>
    <w:rsid w:val="00EA32F6"/>
    <w:rsid w:val="00EA3DEA"/>
    <w:rsid w:val="00EA4A9D"/>
    <w:rsid w:val="00EA6259"/>
    <w:rsid w:val="00EB14D3"/>
    <w:rsid w:val="00EB7592"/>
    <w:rsid w:val="00EC069A"/>
    <w:rsid w:val="00EC69B5"/>
    <w:rsid w:val="00ED02BE"/>
    <w:rsid w:val="00ED0731"/>
    <w:rsid w:val="00ED1173"/>
    <w:rsid w:val="00ED2E8D"/>
    <w:rsid w:val="00ED6A21"/>
    <w:rsid w:val="00ED7AD2"/>
    <w:rsid w:val="00EE07A7"/>
    <w:rsid w:val="00EE0923"/>
    <w:rsid w:val="00EE0FDA"/>
    <w:rsid w:val="00EE3630"/>
    <w:rsid w:val="00EE4A02"/>
    <w:rsid w:val="00EF0E63"/>
    <w:rsid w:val="00EF7975"/>
    <w:rsid w:val="00F017D0"/>
    <w:rsid w:val="00F01D73"/>
    <w:rsid w:val="00F02E9F"/>
    <w:rsid w:val="00F06553"/>
    <w:rsid w:val="00F101CA"/>
    <w:rsid w:val="00F10325"/>
    <w:rsid w:val="00F11A1B"/>
    <w:rsid w:val="00F151FC"/>
    <w:rsid w:val="00F17268"/>
    <w:rsid w:val="00F175EF"/>
    <w:rsid w:val="00F22D22"/>
    <w:rsid w:val="00F251C6"/>
    <w:rsid w:val="00F26689"/>
    <w:rsid w:val="00F2714A"/>
    <w:rsid w:val="00F365F2"/>
    <w:rsid w:val="00F377EF"/>
    <w:rsid w:val="00F431E5"/>
    <w:rsid w:val="00F4478A"/>
    <w:rsid w:val="00F46702"/>
    <w:rsid w:val="00F46723"/>
    <w:rsid w:val="00F4683F"/>
    <w:rsid w:val="00F47C46"/>
    <w:rsid w:val="00F52C93"/>
    <w:rsid w:val="00F5513D"/>
    <w:rsid w:val="00F647FA"/>
    <w:rsid w:val="00F658C7"/>
    <w:rsid w:val="00F663D9"/>
    <w:rsid w:val="00F663F5"/>
    <w:rsid w:val="00F70382"/>
    <w:rsid w:val="00F714C9"/>
    <w:rsid w:val="00F71701"/>
    <w:rsid w:val="00F73989"/>
    <w:rsid w:val="00F75742"/>
    <w:rsid w:val="00F7697B"/>
    <w:rsid w:val="00F856BE"/>
    <w:rsid w:val="00F906C2"/>
    <w:rsid w:val="00F91030"/>
    <w:rsid w:val="00F91563"/>
    <w:rsid w:val="00F96E32"/>
    <w:rsid w:val="00F96E55"/>
    <w:rsid w:val="00FA12C3"/>
    <w:rsid w:val="00FA2B1A"/>
    <w:rsid w:val="00FA4584"/>
    <w:rsid w:val="00FB1E9C"/>
    <w:rsid w:val="00FB41A7"/>
    <w:rsid w:val="00FB5C06"/>
    <w:rsid w:val="00FB5D17"/>
    <w:rsid w:val="00FB626F"/>
    <w:rsid w:val="00FB69EA"/>
    <w:rsid w:val="00FB7B12"/>
    <w:rsid w:val="00FC0294"/>
    <w:rsid w:val="00FC59BB"/>
    <w:rsid w:val="00FC5A67"/>
    <w:rsid w:val="00FD3A32"/>
    <w:rsid w:val="00FD6DC1"/>
    <w:rsid w:val="00FE1604"/>
    <w:rsid w:val="00FE1F28"/>
    <w:rsid w:val="00FE34C3"/>
    <w:rsid w:val="00FE34F8"/>
    <w:rsid w:val="00FE78E4"/>
    <w:rsid w:val="00FE7B8C"/>
    <w:rsid w:val="00FF04F8"/>
    <w:rsid w:val="00FF33B3"/>
    <w:rsid w:val="00FF4E73"/>
    <w:rsid w:val="00FF5AF0"/>
    <w:rsid w:val="06F17FB1"/>
    <w:rsid w:val="0938A00E"/>
    <w:rsid w:val="121FABE7"/>
    <w:rsid w:val="1A2A55FE"/>
    <w:rsid w:val="32CE2F30"/>
    <w:rsid w:val="401830A3"/>
    <w:rsid w:val="47320550"/>
    <w:rsid w:val="47B1F940"/>
    <w:rsid w:val="4EFEEE48"/>
    <w:rsid w:val="685087E9"/>
    <w:rsid w:val="69626C30"/>
    <w:rsid w:val="7A47DA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8FE4"/>
  <w15:docId w15:val="{AD9A8E29-D4C7-405F-8193-BBBCF5B1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uiPriority w:val="9"/>
    <w:unhideWhenUsed/>
    <w:qFormat/>
    <w:pPr>
      <w:ind w:left="28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852" w:hanging="567"/>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BC435D"/>
    <w:pPr>
      <w:tabs>
        <w:tab w:val="center" w:pos="4680"/>
        <w:tab w:val="right" w:pos="9360"/>
      </w:tabs>
    </w:pPr>
  </w:style>
  <w:style w:type="character" w:customStyle="1" w:styleId="AntratsDiagrama">
    <w:name w:val="Antraštės Diagrama"/>
    <w:basedOn w:val="Numatytasispastraiposriftas"/>
    <w:link w:val="Antrats"/>
    <w:uiPriority w:val="99"/>
    <w:rsid w:val="00BC435D"/>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BC435D"/>
    <w:pPr>
      <w:tabs>
        <w:tab w:val="center" w:pos="4680"/>
        <w:tab w:val="right" w:pos="9360"/>
      </w:tabs>
    </w:pPr>
  </w:style>
  <w:style w:type="character" w:customStyle="1" w:styleId="PoratDiagrama">
    <w:name w:val="Poraštė Diagrama"/>
    <w:basedOn w:val="Numatytasispastraiposriftas"/>
    <w:link w:val="Porat"/>
    <w:uiPriority w:val="99"/>
    <w:semiHidden/>
    <w:rsid w:val="00BC435D"/>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506D2F"/>
    <w:rPr>
      <w:rFonts w:ascii="Times New Roman" w:eastAsia="Times New Roman" w:hAnsi="Times New Roman" w:cs="Times New Roman"/>
      <w:b/>
      <w:bCs/>
      <w:lang w:val="lt-LT"/>
    </w:rPr>
  </w:style>
  <w:style w:type="character" w:styleId="Komentaronuoroda">
    <w:name w:val="annotation reference"/>
    <w:uiPriority w:val="99"/>
    <w:rsid w:val="00147AB4"/>
    <w:rPr>
      <w:sz w:val="16"/>
      <w:szCs w:val="16"/>
    </w:rPr>
  </w:style>
  <w:style w:type="paragraph" w:styleId="Komentarotekstas">
    <w:name w:val="annotation text"/>
    <w:basedOn w:val="prastasis"/>
    <w:link w:val="KomentarotekstasDiagrama"/>
    <w:uiPriority w:val="99"/>
    <w:rsid w:val="00147AB4"/>
    <w:pPr>
      <w:widowControl/>
      <w:tabs>
        <w:tab w:val="left" w:pos="567"/>
      </w:tabs>
      <w:autoSpaceDE/>
      <w:autoSpaceDN/>
      <w:spacing w:line="260" w:lineRule="exact"/>
    </w:pPr>
    <w:rPr>
      <w:snapToGrid w:val="0"/>
      <w:sz w:val="20"/>
      <w:szCs w:val="20"/>
      <w:lang w:val="en-GB"/>
    </w:rPr>
  </w:style>
  <w:style w:type="character" w:customStyle="1" w:styleId="KomentarotekstasDiagrama">
    <w:name w:val="Komentaro tekstas Diagrama"/>
    <w:basedOn w:val="Numatytasispastraiposriftas"/>
    <w:link w:val="Komentarotekstas"/>
    <w:uiPriority w:val="99"/>
    <w:rsid w:val="00147AB4"/>
    <w:rPr>
      <w:rFonts w:ascii="Times New Roman" w:eastAsia="Times New Roman" w:hAnsi="Times New Roman" w:cs="Times New Roman"/>
      <w:snapToGrid w:val="0"/>
      <w:sz w:val="20"/>
      <w:szCs w:val="20"/>
      <w:lang w:val="en-GB"/>
    </w:rPr>
  </w:style>
  <w:style w:type="paragraph" w:customStyle="1" w:styleId="paragraph">
    <w:name w:val="paragraph"/>
    <w:basedOn w:val="prastasis"/>
    <w:rsid w:val="00590390"/>
    <w:pPr>
      <w:widowControl/>
      <w:autoSpaceDE/>
      <w:autoSpaceDN/>
      <w:spacing w:before="100" w:beforeAutospacing="1" w:after="100" w:afterAutospacing="1"/>
    </w:pPr>
    <w:rPr>
      <w:sz w:val="24"/>
      <w:szCs w:val="24"/>
      <w:lang w:val="en-US"/>
    </w:rPr>
  </w:style>
  <w:style w:type="character" w:customStyle="1" w:styleId="normaltextrun">
    <w:name w:val="normaltextrun"/>
    <w:basedOn w:val="Numatytasispastraiposriftas"/>
    <w:rsid w:val="00590390"/>
  </w:style>
  <w:style w:type="character" w:customStyle="1" w:styleId="eop">
    <w:name w:val="eop"/>
    <w:basedOn w:val="Numatytasispastraiposriftas"/>
    <w:rsid w:val="00590390"/>
  </w:style>
  <w:style w:type="paragraph" w:styleId="Pataisymai">
    <w:name w:val="Revision"/>
    <w:hidden/>
    <w:uiPriority w:val="99"/>
    <w:semiHidden/>
    <w:rsid w:val="00E551D6"/>
    <w:pPr>
      <w:widowControl/>
      <w:autoSpaceDE/>
      <w:autoSpaceDN/>
    </w:pPr>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4557B3"/>
    <w:pPr>
      <w:widowControl w:val="0"/>
      <w:tabs>
        <w:tab w:val="clear" w:pos="567"/>
      </w:tabs>
      <w:autoSpaceDE w:val="0"/>
      <w:autoSpaceDN w:val="0"/>
      <w:spacing w:line="240" w:lineRule="auto"/>
    </w:pPr>
    <w:rPr>
      <w:b/>
      <w:bCs/>
      <w:snapToGrid/>
      <w:lang w:val="lt-LT"/>
    </w:rPr>
  </w:style>
  <w:style w:type="character" w:customStyle="1" w:styleId="KomentarotemaDiagrama">
    <w:name w:val="Komentaro tema Diagrama"/>
    <w:basedOn w:val="KomentarotekstasDiagrama"/>
    <w:link w:val="Komentarotema"/>
    <w:uiPriority w:val="99"/>
    <w:semiHidden/>
    <w:rsid w:val="004557B3"/>
    <w:rPr>
      <w:rFonts w:ascii="Times New Roman" w:eastAsia="Times New Roman" w:hAnsi="Times New Roman" w:cs="Times New Roman"/>
      <w:b/>
      <w:bCs/>
      <w:snapToGrid/>
      <w:sz w:val="20"/>
      <w:szCs w:val="20"/>
      <w:lang w:val="lt-LT"/>
    </w:rPr>
  </w:style>
  <w:style w:type="table" w:styleId="Lentelstinklelis">
    <w:name w:val="Table Grid"/>
    <w:basedOn w:val="prastojilentel"/>
    <w:uiPriority w:val="39"/>
    <w:rsid w:val="00FF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2482e01d49d31af116741260d6e341d">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e9304bad9cecd924e21177cb5a11ab"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5941-D0BF-4782-A35B-8A3B0A3A1F94}">
  <ds:schemaRefs>
    <ds:schemaRef ds:uri="http://schemas.microsoft.com/sharepoint/v3/contenttype/forms"/>
  </ds:schemaRefs>
</ds:datastoreItem>
</file>

<file path=customXml/itemProps2.xml><?xml version="1.0" encoding="utf-8"?>
<ds:datastoreItem xmlns:ds="http://schemas.openxmlformats.org/officeDocument/2006/customXml" ds:itemID="{B753FEAC-3B9B-42EC-84D2-F72F3125201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F55B7726-B87D-4047-9433-CEAFF1635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84261</Words>
  <Characters>48030</Characters>
  <Application>Microsoft Office Word</Application>
  <DocSecurity>0</DocSecurity>
  <Lines>400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dc:creator>
  <cp:keywords/>
  <cp:lastModifiedBy>Birutė Valkauskaitė</cp:lastModifiedBy>
  <cp:revision>2</cp:revision>
  <dcterms:created xsi:type="dcterms:W3CDTF">2026-06-04T05:46:00Z</dcterms:created>
  <dcterms:modified xsi:type="dcterms:W3CDTF">2026-06-04T05:46:00Z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Veeva Vault</vt:lpwstr>
  </property>
  <property fmtid="{D5CDD505-2E9C-101B-9397-08002B2CF9AE}" pid="4" name="LastSaved">
    <vt:filetime>2025-05-14T00:00:00Z</vt:filetime>
  </property>
  <property fmtid="{D5CDD505-2E9C-101B-9397-08002B2CF9AE}" pid="5" name="Producer">
    <vt:lpwstr>Veeva Vault</vt:lpwstr>
  </property>
  <property fmtid="{D5CDD505-2E9C-101B-9397-08002B2CF9AE}" pid="6" name="ContentTypeId">
    <vt:lpwstr>0x010100EAA28F1D48C544479D4018E052664351</vt:lpwstr>
  </property>
  <property fmtid="{D5CDD505-2E9C-101B-9397-08002B2CF9AE}" pid="7" name="MediaServiceImageTags">
    <vt:lpwstr/>
  </property>
</Properties>
</file>