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516F8" w14:textId="77777777" w:rsidR="0001754C" w:rsidRPr="0001754C" w:rsidRDefault="0001754C" w:rsidP="0001754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kern w:val="28"/>
          <w:szCs w:val="20"/>
          <w:lang w:eastAsia="lt-LT"/>
          <w14:ligatures w14:val="none"/>
        </w:rPr>
        <w:t>A. ŽENKLINIMAS</w:t>
      </w:r>
    </w:p>
    <w:p w14:paraId="3FFF1D6F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br w:type="page"/>
      </w:r>
    </w:p>
    <w:p w14:paraId="3918F02F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 xml:space="preserve">Informacija ant </w:t>
      </w:r>
      <w:r w:rsidRPr="0001754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IŠORINĖS</w:t>
      </w: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 xml:space="preserve">pakuotės </w:t>
      </w:r>
    </w:p>
    <w:p w14:paraId="0CC31225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29BCB77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KARTONINĖ DĖŽUTĖ</w:t>
      </w:r>
    </w:p>
    <w:p w14:paraId="1DD96CA6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929DCAB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6036716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1.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vaistinio preparato pavadinimas</w:t>
      </w:r>
    </w:p>
    <w:p w14:paraId="1B967E1A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F211C73" w14:textId="54BCF386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proofErr w:type="spellStart"/>
      <w:r w:rsidRPr="0001754C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>Traumeel</w:t>
      </w:r>
      <w:proofErr w:type="spellEnd"/>
      <w:r w:rsidRPr="0001754C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 xml:space="preserve"> S</w:t>
      </w:r>
      <w:r w:rsidRPr="0001754C">
        <w:rPr>
          <w:rFonts w:ascii="Times New Roman" w:eastAsia="Times New Roman" w:hAnsi="Times New Roman" w:cs="Times New Roman"/>
          <w:b/>
          <w:bCs/>
          <w:iCs/>
          <w:kern w:val="0"/>
          <w:szCs w:val="20"/>
          <w:lang w:eastAsia="lt-LT"/>
          <w14:ligatures w14:val="none"/>
        </w:rPr>
        <w:t xml:space="preserve"> </w:t>
      </w: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tabletės</w:t>
      </w:r>
    </w:p>
    <w:p w14:paraId="244D2525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Homeopatinis vaistinis preparatas</w:t>
      </w:r>
    </w:p>
    <w:p w14:paraId="3E96CD37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A4B897A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EE5E6A2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2.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 xml:space="preserve">veikliOJI (-IOS) medžiagA </w:t>
      </w:r>
      <w:r w:rsidRPr="0001754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 xml:space="preserve">(-OS) 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 xml:space="preserve">ir JOS </w:t>
      </w:r>
      <w:r w:rsidRPr="0001754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 xml:space="preserve">(-Ų) 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 xml:space="preserve">kiekis </w:t>
      </w:r>
      <w:r w:rsidRPr="0001754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>(-IAI)</w:t>
      </w:r>
    </w:p>
    <w:p w14:paraId="54CDC279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74AA6BE7" w14:textId="0EA61792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 tabletėje yra veikliųjų medžiagų: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Arnica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montana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D2 15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Calendula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officinalis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D2 15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Hamamelis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virginiana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D2 15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Achillea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millefolium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D3 15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Atropa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belladonna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D4 75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Aconitum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napellus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D3 30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Mercurius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solubilis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Hahnemanni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D8 30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Hepar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sulfuris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D8 30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Chamomilla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recutita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D3 24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Symphytum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officinale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D8 24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Bellis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perennis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D2 6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Echinacea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angustifolia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D2 6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Echinacea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purpurea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D2 6 mg,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Hypericum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perforatum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D2 3 mg.</w:t>
      </w:r>
    </w:p>
    <w:p w14:paraId="48FA75DA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4B880CA1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3.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pagalbinių medžiagų sąrašas</w:t>
      </w:r>
    </w:p>
    <w:p w14:paraId="3D594D90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1C32F39F" w14:textId="7A0E38CD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Sudėtyje yra laktozės </w:t>
      </w:r>
      <w:proofErr w:type="spellStart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monohidrato</w:t>
      </w:r>
      <w:proofErr w:type="spellEnd"/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.</w:t>
      </w:r>
    </w:p>
    <w:p w14:paraId="69B8E384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74FD271A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4.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FARMACINĖ forma ir KIEKIS PAKUOTĖJE</w:t>
      </w:r>
    </w:p>
    <w:p w14:paraId="2ED1FCB8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3C1062A" w14:textId="717E66A0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50 tablečių</w:t>
      </w:r>
    </w:p>
    <w:p w14:paraId="5F1652CC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76733845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5.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vartojimo METODAS IR būdas (-AI)</w:t>
      </w:r>
    </w:p>
    <w:p w14:paraId="3D4298F1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3EF2225A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Vartoti per burną</w:t>
      </w:r>
      <w:r w:rsidRPr="0001754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AB89D69" w14:textId="5DA315A8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Prieš vartojimą perskaitykite pakuotės lapelį.</w:t>
      </w:r>
    </w:p>
    <w:p w14:paraId="477BC546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724BD921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630" w:hanging="630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6.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SPECIALUS Įspėjimas</w:t>
      </w: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, </w:t>
      </w:r>
      <w:r w:rsidRPr="0001754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 xml:space="preserve">KAD VAISTINĮ PREPARATĄ BŪTINA LAIKYTI 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vaikams nepastebimoje IR nepasiekiamoje vietoje</w:t>
      </w:r>
    </w:p>
    <w:p w14:paraId="62D5CADC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1C663FC" w14:textId="0F4C9892" w:rsidR="0001754C" w:rsidRPr="0001754C" w:rsidRDefault="0001754C" w:rsidP="00B628B7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Laikyti vaikams nepastebimoje ir nepasiekiamoje vietoje.</w:t>
      </w:r>
    </w:p>
    <w:p w14:paraId="62F6C17E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F69DDDC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7.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 xml:space="preserve">kitas </w:t>
      </w:r>
      <w:r w:rsidRPr="0001754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 xml:space="preserve">(-I) 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specialus (-ŪS) Įspėjimas (-AI) (jei reikia)</w:t>
      </w:r>
    </w:p>
    <w:p w14:paraId="0B7107A8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0A3F7D7E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40BE0CDC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8.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tinkamumo laikas</w:t>
      </w:r>
    </w:p>
    <w:p w14:paraId="560035B4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A664A64" w14:textId="5AD68E3A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Tinka iki </w:t>
      </w:r>
      <w:r w:rsidRPr="0001754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{MMMM mm}</w:t>
      </w:r>
    </w:p>
    <w:p w14:paraId="6140ADE6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95C4D04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9.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SPECIALIOS laikymo sąlygos</w:t>
      </w:r>
    </w:p>
    <w:p w14:paraId="35033A9E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7EC80A9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710B541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10.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specialios atsargumo priemonės</w:t>
      </w:r>
      <w:r w:rsidRPr="0001754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 xml:space="preserve"> DĖL NESUVARTOTO VAISTINIO PREPARATO AR JO ATLIEKŲ TVARKYMO</w:t>
      </w:r>
      <w:r w:rsidRPr="0001754C"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  <w:t xml:space="preserve"> 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(jei reikia)</w:t>
      </w:r>
    </w:p>
    <w:p w14:paraId="47063AA1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55041F48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Cs w:val="20"/>
          <w:lang w:eastAsia="lt-LT"/>
          <w14:ligatures w14:val="none"/>
        </w:rPr>
      </w:pPr>
    </w:p>
    <w:p w14:paraId="04B49C67" w14:textId="77777777" w:rsidR="00B628B7" w:rsidRPr="00B628B7" w:rsidRDefault="00B628B7" w:rsidP="00B62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628B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B628B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1FE0CC20" w14:textId="77777777" w:rsidR="00B628B7" w:rsidRPr="00B628B7" w:rsidRDefault="00B628B7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E039DA7" w14:textId="77777777" w:rsidR="00B628B7" w:rsidRPr="00B628B7" w:rsidRDefault="00B628B7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B628B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</w:t>
      </w:r>
      <w:bookmarkStart w:id="0" w:name="_GoBack"/>
      <w:bookmarkEnd w:id="0"/>
      <w:r w:rsidRPr="00B628B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 „</w:t>
      </w:r>
      <w:proofErr w:type="spellStart"/>
      <w:r w:rsidRPr="00B628B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B628B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3BC3C1B8" w14:textId="77777777" w:rsidR="00B628B7" w:rsidRPr="00B628B7" w:rsidRDefault="00B628B7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628B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5FEB9692" w14:textId="77777777" w:rsidR="00B628B7" w:rsidRPr="00B628B7" w:rsidRDefault="00B628B7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B628B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6BFC3A00" w14:textId="77777777" w:rsidR="00B628B7" w:rsidRPr="00B628B7" w:rsidRDefault="00B628B7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628B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4649FF78" w14:textId="77777777" w:rsidR="00B628B7" w:rsidRPr="00B628B7" w:rsidRDefault="00B628B7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FDA86F9" w14:textId="77777777" w:rsidR="00B628B7" w:rsidRPr="00B628B7" w:rsidRDefault="00B628B7" w:rsidP="00B62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B628B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B628B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D78B2E9" w14:textId="77777777" w:rsidR="00B628B7" w:rsidRPr="00B628B7" w:rsidRDefault="00B628B7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5A4B4EB" w14:textId="011B8E73" w:rsidR="0001754C" w:rsidRPr="0001754C" w:rsidRDefault="00985AB4" w:rsidP="00B628B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985AB4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LT/L/25/2422/001</w:t>
      </w:r>
    </w:p>
    <w:p w14:paraId="0ABD5DD6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DC592A4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13.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serijos numeris</w:t>
      </w:r>
    </w:p>
    <w:p w14:paraId="3F976463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CE33EA8" w14:textId="71335A1F" w:rsidR="0001754C" w:rsidRPr="0001754C" w:rsidRDefault="0001754C" w:rsidP="00B628B7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Serija </w:t>
      </w:r>
    </w:p>
    <w:p w14:paraId="14E79531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3532A55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14.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PARDAVIMO (IŠDAVIMO) tvarka</w:t>
      </w:r>
    </w:p>
    <w:p w14:paraId="788BB4D3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E296BCB" w14:textId="4534A43E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Nereceptinis vaistinis preparatas.</w:t>
      </w:r>
    </w:p>
    <w:p w14:paraId="061905F1" w14:textId="77777777" w:rsidR="0001754C" w:rsidRPr="0001754C" w:rsidRDefault="0001754C" w:rsidP="000175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905B510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15.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vartojimo instrukcijA</w:t>
      </w:r>
    </w:p>
    <w:p w14:paraId="3AFFD75E" w14:textId="77777777" w:rsidR="0001754C" w:rsidRPr="0001754C" w:rsidRDefault="0001754C" w:rsidP="0001754C">
      <w:pPr>
        <w:spacing w:after="0" w:line="240" w:lineRule="auto"/>
        <w:rPr>
          <w:rFonts w:ascii="ArialMT" w:eastAsia="Times New Roman" w:hAnsi="ArialMT" w:cs="ArialMT"/>
          <w:i/>
          <w:kern w:val="0"/>
          <w:lang w:eastAsia="lt-LT"/>
          <w14:ligatures w14:val="none"/>
        </w:rPr>
      </w:pPr>
    </w:p>
    <w:p w14:paraId="03F5FF9A" w14:textId="77777777" w:rsidR="0001754C" w:rsidRPr="0001754C" w:rsidRDefault="0001754C" w:rsidP="00017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Bukų traumų (pvz., raiščių patempimo, sumušimo, panirimo, mėlynių), kaulų ir sąnarių degeneracijos simptomų gydymas.</w:t>
      </w:r>
    </w:p>
    <w:p w14:paraId="0F5B713E" w14:textId="77777777" w:rsidR="0001754C" w:rsidRPr="0001754C" w:rsidRDefault="0001754C" w:rsidP="00017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2141723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Indikacijos pagrįstos tik homeopatijos principais.</w:t>
      </w:r>
    </w:p>
    <w:p w14:paraId="17C87BB9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13F322A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Dozavimas.</w:t>
      </w: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Suaugusiems žmonėms, 12 metų ir vyresniems paaugliams: paprastai reikia vartoti </w:t>
      </w:r>
    </w:p>
    <w:p w14:paraId="70743372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po 1 tabletę 3 kartus per dieną (laikyti burnoje, kol ištirps).</w:t>
      </w:r>
    </w:p>
    <w:p w14:paraId="34E6937A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CB48677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497403A" w14:textId="77777777" w:rsidR="0001754C" w:rsidRPr="0001754C" w:rsidRDefault="0001754C" w:rsidP="0001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</w:pP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>16.</w:t>
      </w:r>
      <w:r w:rsidRPr="0001754C">
        <w:rPr>
          <w:rFonts w:ascii="Times New Roman" w:eastAsia="Times New Roman" w:hAnsi="Times New Roman" w:cs="Times New Roman"/>
          <w:b/>
          <w:caps/>
          <w:kern w:val="0"/>
          <w:szCs w:val="20"/>
          <w:lang w:eastAsia="lt-LT"/>
          <w14:ligatures w14:val="none"/>
        </w:rPr>
        <w:tab/>
        <w:t>INFORMACIJA BRAILIO RAŠTU</w:t>
      </w:r>
    </w:p>
    <w:p w14:paraId="39879F01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2EBAA1A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</w:pPr>
      <w:proofErr w:type="spellStart"/>
      <w:r w:rsidRPr="0001754C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>traumeel</w:t>
      </w:r>
      <w:proofErr w:type="spellEnd"/>
      <w:r w:rsidRPr="0001754C"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  <w:t xml:space="preserve"> s </w:t>
      </w:r>
    </w:p>
    <w:p w14:paraId="45E97EE3" w14:textId="77777777" w:rsidR="0001754C" w:rsidRPr="0001754C" w:rsidRDefault="0001754C" w:rsidP="000175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Cs w:val="20"/>
          <w:lang w:eastAsia="lt-LT"/>
          <w14:ligatures w14:val="none"/>
        </w:rPr>
      </w:pPr>
    </w:p>
    <w:p w14:paraId="0FCE9B34" w14:textId="77777777" w:rsidR="0000188D" w:rsidRPr="0000188D" w:rsidRDefault="0000188D" w:rsidP="0000188D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14:ligatures w14:val="none"/>
        </w:rPr>
      </w:pP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17.</w:t>
      </w: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2D BRŪKŠNINIS KODAS</w:t>
      </w:r>
      <w:r w:rsidRPr="0000188D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00188D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VAULT_ND_1f5fdaa4-f6ec-4640-8038-a6eae76f10f6 \* MERGEFORMAT </w:instrText>
      </w:r>
      <w:r w:rsidRPr="0000188D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0424C62D" w14:textId="77777777" w:rsidR="0000188D" w:rsidRPr="0000188D" w:rsidRDefault="0000188D" w:rsidP="0000188D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77127C2C" w14:textId="45E27A76" w:rsidR="0000188D" w:rsidRPr="0000188D" w:rsidRDefault="0000188D" w:rsidP="0000188D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00188D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1B329AF9" w14:textId="77777777" w:rsidR="0000188D" w:rsidRPr="0000188D" w:rsidRDefault="0000188D" w:rsidP="0000188D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7F700703" w14:textId="77777777" w:rsidR="0000188D" w:rsidRPr="0000188D" w:rsidRDefault="0000188D" w:rsidP="000018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14:ligatures w14:val="none"/>
        </w:rPr>
      </w:pP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18.</w:t>
      </w: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ŽMONĖMS SUPRANTAMI DUOMENYS</w:t>
      </w:r>
      <w:r w:rsidRPr="0000188D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00188D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VAULT_ND_196ea4c9-1a19-4f85-84d9-d79613644475 \* MERGEFORMAT </w:instrText>
      </w:r>
      <w:r w:rsidRPr="0000188D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00188D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07CA0603" w14:textId="77777777" w:rsidR="0000188D" w:rsidRPr="0000188D" w:rsidRDefault="0000188D" w:rsidP="0000188D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59D5FB91" w14:textId="77777777" w:rsidR="00B628B7" w:rsidRDefault="0000188D" w:rsidP="00B628B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0188D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1916439D" w14:textId="77777777" w:rsidR="00B628B7" w:rsidRDefault="00B628B7" w:rsidP="00B628B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62B9DC73" w14:textId="77777777" w:rsidR="00B628B7" w:rsidRDefault="00B628B7" w:rsidP="00B628B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1982AD3A" w14:textId="000360DC" w:rsidR="00E77BB9" w:rsidRPr="00E77BB9" w:rsidRDefault="00E77BB9" w:rsidP="004F5F69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Biologische</w:t>
      </w:r>
      <w:proofErr w:type="spellEnd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Heilmittel</w:t>
      </w:r>
      <w:proofErr w:type="spellEnd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Heel</w:t>
      </w:r>
      <w:proofErr w:type="spellEnd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 w:rsid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Dr.-</w:t>
      </w:r>
      <w:proofErr w:type="spellStart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Reckeweg</w:t>
      </w:r>
      <w:proofErr w:type="spellEnd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-</w:t>
      </w:r>
      <w:proofErr w:type="spellStart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Straße</w:t>
      </w:r>
      <w:proofErr w:type="spellEnd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2-4</w:t>
      </w:r>
      <w:r w:rsid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76532 </w:t>
      </w:r>
      <w:proofErr w:type="spellStart"/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Baden-Baden</w:t>
      </w:r>
      <w:proofErr w:type="spellEnd"/>
      <w:r w:rsid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4F5F69" w:rsidRP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 w:rsidR="004F5F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53C4AA9" w14:textId="77777777" w:rsidR="00E77BB9" w:rsidRPr="00E77BB9" w:rsidRDefault="00E77BB9" w:rsidP="00E77B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508FEE6" w14:textId="77777777" w:rsidR="00E77BB9" w:rsidRPr="00E77BB9" w:rsidRDefault="00E77BB9" w:rsidP="00E77B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35279EAA" w14:textId="77777777" w:rsidR="00E77BB9" w:rsidRPr="00E77BB9" w:rsidRDefault="00E77BB9" w:rsidP="00E77B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8F9625B" w14:textId="013914B7" w:rsidR="00E7340C" w:rsidRPr="00AF3E9A" w:rsidRDefault="00E77BB9" w:rsidP="00AF3E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77B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AF3E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9D"/>
    <w:rsid w:val="0000188D"/>
    <w:rsid w:val="0001754C"/>
    <w:rsid w:val="00093FB5"/>
    <w:rsid w:val="000D032A"/>
    <w:rsid w:val="001739C9"/>
    <w:rsid w:val="002F2D2A"/>
    <w:rsid w:val="00375F79"/>
    <w:rsid w:val="003E359D"/>
    <w:rsid w:val="004F5F69"/>
    <w:rsid w:val="00523F47"/>
    <w:rsid w:val="00985AB4"/>
    <w:rsid w:val="00AF3E9A"/>
    <w:rsid w:val="00B628B7"/>
    <w:rsid w:val="00BA1455"/>
    <w:rsid w:val="00E7340C"/>
    <w:rsid w:val="00E7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8D3A"/>
  <w15:chartTrackingRefBased/>
  <w15:docId w15:val="{6E10EF36-EB15-4853-9587-DA3ACDFB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1649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8</cp:revision>
  <dcterms:created xsi:type="dcterms:W3CDTF">2024-06-25T06:34:00Z</dcterms:created>
  <dcterms:modified xsi:type="dcterms:W3CDTF">2025-03-14T11:20:00Z</dcterms:modified>
</cp:coreProperties>
</file>