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D143" w14:textId="77777777" w:rsidR="004F2E63" w:rsidRDefault="004F2E63" w:rsidP="004F2E63">
      <w:pPr>
        <w:widowControl w:val="0"/>
        <w:spacing w:after="160" w:line="259" w:lineRule="auto"/>
        <w:jc w:val="center"/>
        <w:outlineLvl w:val="0"/>
        <w:rPr>
          <w:b/>
          <w:sz w:val="22"/>
          <w:szCs w:val="22"/>
          <w:lang w:eastAsia="sl-SI"/>
        </w:rPr>
      </w:pPr>
      <w:r>
        <w:rPr>
          <w:b/>
          <w:bCs/>
          <w:sz w:val="22"/>
          <w:szCs w:val="22"/>
          <w:lang w:eastAsia="sl-SI"/>
        </w:rPr>
        <w:t>Pakuotės lapelis: informacija pacientui</w:t>
      </w:r>
    </w:p>
    <w:p w14:paraId="0DBBEF74" w14:textId="77777777" w:rsidR="004F2E63" w:rsidRDefault="004F2E63" w:rsidP="004F2E63">
      <w:pPr>
        <w:widowControl w:val="0"/>
        <w:jc w:val="center"/>
        <w:outlineLvl w:val="0"/>
        <w:rPr>
          <w:b/>
          <w:sz w:val="22"/>
          <w:szCs w:val="22"/>
          <w:lang w:eastAsia="sl-SI"/>
        </w:rPr>
      </w:pPr>
    </w:p>
    <w:p w14:paraId="7DDDEF22" w14:textId="77777777" w:rsidR="004F2E63" w:rsidRDefault="004F2E63" w:rsidP="004F2E63">
      <w:pPr>
        <w:widowControl w:val="0"/>
        <w:jc w:val="center"/>
        <w:rPr>
          <w:b/>
          <w:bCs/>
          <w:sz w:val="22"/>
          <w:szCs w:val="22"/>
          <w:lang w:eastAsia="sl-SI"/>
        </w:rPr>
      </w:pPr>
      <w:proofErr w:type="spellStart"/>
      <w:r>
        <w:rPr>
          <w:b/>
          <w:bCs/>
          <w:sz w:val="22"/>
          <w:szCs w:val="22"/>
          <w:lang w:eastAsia="sl-SI"/>
        </w:rPr>
        <w:t>Balutar</w:t>
      </w:r>
      <w:proofErr w:type="spellEnd"/>
      <w:r>
        <w:rPr>
          <w:b/>
          <w:bCs/>
          <w:sz w:val="22"/>
          <w:szCs w:val="22"/>
          <w:lang w:eastAsia="sl-SI"/>
        </w:rPr>
        <w:t xml:space="preserve"> 5 mg/10 mg plėvele dengtos tabletės</w:t>
      </w:r>
    </w:p>
    <w:p w14:paraId="462BDBD2" w14:textId="77777777" w:rsidR="004F2E63" w:rsidRDefault="004F2E63" w:rsidP="004F2E63">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1B9CD37E" w14:textId="77777777" w:rsidR="004F2E63" w:rsidRDefault="004F2E63" w:rsidP="004F2E63">
      <w:pPr>
        <w:jc w:val="center"/>
        <w:rPr>
          <w:rFonts w:eastAsia="Cambria"/>
          <w:b/>
          <w:sz w:val="22"/>
          <w:szCs w:val="22"/>
          <w:lang w:eastAsia="en-US"/>
        </w:rPr>
      </w:pPr>
    </w:p>
    <w:p w14:paraId="6A6A5832" w14:textId="77777777" w:rsidR="004F2E63" w:rsidRDefault="004F2E63" w:rsidP="004F2E63">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0CC664B0" w14:textId="77777777" w:rsidR="004F2E63" w:rsidRDefault="004F2E63" w:rsidP="004F2E63">
      <w:pPr>
        <w:numPr>
          <w:ilvl w:val="0"/>
          <w:numId w:val="7"/>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32116458" w14:textId="77777777" w:rsidR="004F2E63" w:rsidRDefault="004F2E63" w:rsidP="004F2E63">
      <w:pPr>
        <w:numPr>
          <w:ilvl w:val="0"/>
          <w:numId w:val="7"/>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6043447B" w14:textId="77777777" w:rsidR="004F2E63" w:rsidRDefault="004F2E63" w:rsidP="004F2E63">
      <w:pPr>
        <w:numPr>
          <w:ilvl w:val="0"/>
          <w:numId w:val="7"/>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0FA70B96" w14:textId="77777777" w:rsidR="004F2E63" w:rsidRDefault="004F2E63" w:rsidP="004F2E63">
      <w:pPr>
        <w:numPr>
          <w:ilvl w:val="0"/>
          <w:numId w:val="7"/>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1674385C" w14:textId="77777777" w:rsidR="004F2E63" w:rsidRDefault="004F2E63" w:rsidP="004F2E63">
      <w:pPr>
        <w:rPr>
          <w:sz w:val="22"/>
          <w:szCs w:val="22"/>
          <w:lang w:eastAsia="lt-LT"/>
        </w:rPr>
      </w:pPr>
    </w:p>
    <w:p w14:paraId="03A2E41D" w14:textId="77777777" w:rsidR="004F2E63" w:rsidRDefault="004F2E63" w:rsidP="004F2E63">
      <w:pPr>
        <w:rPr>
          <w:b/>
          <w:sz w:val="22"/>
          <w:szCs w:val="22"/>
          <w:lang w:eastAsia="lt-LT"/>
        </w:rPr>
      </w:pPr>
      <w:r>
        <w:rPr>
          <w:b/>
          <w:sz w:val="22"/>
          <w:szCs w:val="22"/>
          <w:lang w:eastAsia="lt-LT"/>
        </w:rPr>
        <w:t>Apie ką rašoma šiame lapelyje?</w:t>
      </w:r>
    </w:p>
    <w:p w14:paraId="1B15D2FA" w14:textId="77777777" w:rsidR="004F2E63" w:rsidRDefault="004F2E63" w:rsidP="004F2E63">
      <w:pPr>
        <w:rPr>
          <w:b/>
          <w:sz w:val="22"/>
          <w:szCs w:val="22"/>
          <w:lang w:eastAsia="lt-LT"/>
        </w:rPr>
      </w:pPr>
    </w:p>
    <w:p w14:paraId="2F4B7B44" w14:textId="77777777" w:rsidR="004F2E63" w:rsidRDefault="004F2E63" w:rsidP="004F2E63">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Balutar</w:t>
      </w:r>
      <w:proofErr w:type="spellEnd"/>
      <w:r>
        <w:rPr>
          <w:sz w:val="22"/>
          <w:szCs w:val="22"/>
          <w:lang w:eastAsia="lt-LT"/>
        </w:rPr>
        <w:t xml:space="preserve"> ir kam jis vartojamas</w:t>
      </w:r>
    </w:p>
    <w:p w14:paraId="7DC4AD40" w14:textId="77777777" w:rsidR="004F2E63" w:rsidRDefault="004F2E63" w:rsidP="004F2E63">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Balutar</w:t>
      </w:r>
      <w:proofErr w:type="spellEnd"/>
    </w:p>
    <w:p w14:paraId="7D377060" w14:textId="77777777" w:rsidR="004F2E63" w:rsidRDefault="004F2E63" w:rsidP="004F2E63">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Balutar</w:t>
      </w:r>
      <w:proofErr w:type="spellEnd"/>
    </w:p>
    <w:p w14:paraId="52DF0417" w14:textId="77777777" w:rsidR="004F2E63" w:rsidRDefault="004F2E63" w:rsidP="004F2E63">
      <w:pPr>
        <w:ind w:left="540" w:hanging="540"/>
        <w:rPr>
          <w:sz w:val="22"/>
          <w:szCs w:val="22"/>
          <w:lang w:eastAsia="lt-LT"/>
        </w:rPr>
      </w:pPr>
      <w:r>
        <w:rPr>
          <w:sz w:val="22"/>
          <w:szCs w:val="22"/>
          <w:lang w:eastAsia="lt-LT"/>
        </w:rPr>
        <w:t>4.</w:t>
      </w:r>
      <w:r>
        <w:rPr>
          <w:sz w:val="22"/>
          <w:szCs w:val="22"/>
          <w:lang w:eastAsia="lt-LT"/>
        </w:rPr>
        <w:tab/>
        <w:t>Galimas šalutinis poveikis</w:t>
      </w:r>
    </w:p>
    <w:p w14:paraId="50ACD1E0" w14:textId="77777777" w:rsidR="004F2E63" w:rsidRDefault="004F2E63" w:rsidP="004F2E63">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Balutar</w:t>
      </w:r>
      <w:proofErr w:type="spellEnd"/>
    </w:p>
    <w:p w14:paraId="10FC7151" w14:textId="77777777" w:rsidR="004F2E63" w:rsidRDefault="004F2E63" w:rsidP="004F2E63">
      <w:pPr>
        <w:ind w:left="540" w:hanging="540"/>
        <w:rPr>
          <w:sz w:val="22"/>
          <w:szCs w:val="22"/>
          <w:lang w:eastAsia="lt-LT"/>
        </w:rPr>
      </w:pPr>
      <w:r>
        <w:rPr>
          <w:sz w:val="22"/>
          <w:szCs w:val="22"/>
          <w:lang w:eastAsia="lt-LT"/>
        </w:rPr>
        <w:t>6.</w:t>
      </w:r>
      <w:r>
        <w:rPr>
          <w:sz w:val="22"/>
          <w:szCs w:val="22"/>
          <w:lang w:eastAsia="lt-LT"/>
        </w:rPr>
        <w:tab/>
        <w:t>Pakuotės turinys ir kita informacija</w:t>
      </w:r>
    </w:p>
    <w:p w14:paraId="3F93FC54" w14:textId="77777777" w:rsidR="004F2E63" w:rsidRDefault="004F2E63" w:rsidP="004F2E63">
      <w:pPr>
        <w:widowControl w:val="0"/>
        <w:numPr>
          <w:ilvl w:val="12"/>
          <w:numId w:val="0"/>
        </w:numPr>
        <w:ind w:left="567" w:hanging="567"/>
        <w:outlineLvl w:val="0"/>
        <w:rPr>
          <w:b/>
          <w:sz w:val="22"/>
          <w:szCs w:val="22"/>
          <w:lang w:eastAsia="en-US"/>
        </w:rPr>
      </w:pPr>
    </w:p>
    <w:p w14:paraId="2B43FC6E" w14:textId="77777777" w:rsidR="004F2E63" w:rsidRDefault="004F2E63" w:rsidP="004F2E63">
      <w:pPr>
        <w:widowControl w:val="0"/>
        <w:numPr>
          <w:ilvl w:val="12"/>
          <w:numId w:val="0"/>
        </w:numPr>
        <w:ind w:left="567" w:hanging="567"/>
        <w:outlineLvl w:val="0"/>
        <w:rPr>
          <w:b/>
          <w:sz w:val="22"/>
          <w:szCs w:val="22"/>
          <w:lang w:eastAsia="en-US"/>
        </w:rPr>
      </w:pPr>
    </w:p>
    <w:p w14:paraId="6A37E099" w14:textId="77777777" w:rsidR="004F2E63" w:rsidRDefault="004F2E63" w:rsidP="004F2E63">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Balutar</w:t>
      </w:r>
      <w:proofErr w:type="spellEnd"/>
      <w:r>
        <w:rPr>
          <w:b/>
          <w:bCs/>
          <w:sz w:val="22"/>
          <w:szCs w:val="22"/>
          <w:lang w:eastAsia="en-US"/>
        </w:rPr>
        <w:t xml:space="preserve"> </w:t>
      </w:r>
      <w:r>
        <w:rPr>
          <w:b/>
          <w:sz w:val="22"/>
          <w:szCs w:val="22"/>
          <w:lang w:eastAsia="en-US"/>
        </w:rPr>
        <w:t>ir kam jis vartojamas</w:t>
      </w:r>
    </w:p>
    <w:p w14:paraId="7CB04936" w14:textId="77777777" w:rsidR="004F2E63" w:rsidRDefault="004F2E63" w:rsidP="004F2E63">
      <w:pPr>
        <w:widowControl w:val="0"/>
        <w:ind w:left="567" w:hanging="567"/>
        <w:rPr>
          <w:sz w:val="22"/>
          <w:szCs w:val="22"/>
          <w:lang w:eastAsia="en-US"/>
        </w:rPr>
      </w:pPr>
    </w:p>
    <w:p w14:paraId="11F59195" w14:textId="77777777" w:rsidR="004F2E63" w:rsidRDefault="004F2E63" w:rsidP="004F2E63">
      <w:pPr>
        <w:widowControl w:val="0"/>
        <w:autoSpaceDE w:val="0"/>
        <w:autoSpaceDN w:val="0"/>
        <w:adjustRightInd w:val="0"/>
        <w:rPr>
          <w:sz w:val="22"/>
          <w:szCs w:val="22"/>
          <w:lang w:eastAsia="en-US"/>
        </w:rPr>
      </w:pPr>
      <w:proofErr w:type="spellStart"/>
      <w:r>
        <w:rPr>
          <w:sz w:val="22"/>
          <w:szCs w:val="22"/>
          <w:lang w:eastAsia="en-US"/>
        </w:rPr>
        <w:t>Balutar</w:t>
      </w:r>
      <w:proofErr w:type="spellEnd"/>
      <w:r>
        <w:rPr>
          <w:sz w:val="22"/>
          <w:szCs w:val="22"/>
          <w:lang w:eastAsia="en-US"/>
        </w:rPr>
        <w:t xml:space="preserve"> sudėtyje yra dvi veikliosios medžiagos: </w:t>
      </w: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vienoje tabletėje.</w:t>
      </w:r>
    </w:p>
    <w:p w14:paraId="14DEC970" w14:textId="77777777" w:rsidR="004F2E63" w:rsidRDefault="004F2E63" w:rsidP="004F2E63">
      <w:pPr>
        <w:widowControl w:val="0"/>
        <w:autoSpaceDE w:val="0"/>
        <w:autoSpaceDN w:val="0"/>
        <w:adjustRightInd w:val="0"/>
        <w:rPr>
          <w:sz w:val="22"/>
          <w:szCs w:val="22"/>
          <w:lang w:eastAsia="en-US"/>
        </w:rPr>
      </w:pPr>
    </w:p>
    <w:p w14:paraId="41E28C07" w14:textId="77777777" w:rsidR="004F2E63" w:rsidRDefault="004F2E63" w:rsidP="004F2E63">
      <w:pPr>
        <w:numPr>
          <w:ilvl w:val="0"/>
          <w:numId w:val="2"/>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2B22C72E" w14:textId="77777777" w:rsidR="004F2E63" w:rsidRDefault="004F2E63" w:rsidP="004F2E63">
      <w:pPr>
        <w:numPr>
          <w:ilvl w:val="0"/>
          <w:numId w:val="2"/>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703FF2FE" w14:textId="77777777" w:rsidR="004F2E63" w:rsidRDefault="004F2E63" w:rsidP="004F2E63">
      <w:pPr>
        <w:rPr>
          <w:snapToGrid w:val="0"/>
          <w:color w:val="000000"/>
          <w:sz w:val="22"/>
          <w:szCs w:val="22"/>
          <w:lang w:eastAsia="en-US"/>
        </w:rPr>
      </w:pPr>
    </w:p>
    <w:p w14:paraId="6059FED2" w14:textId="77777777" w:rsidR="004F2E63" w:rsidRDefault="004F2E63" w:rsidP="004F2E63">
      <w:pPr>
        <w:rPr>
          <w:snapToGrid w:val="0"/>
          <w:color w:val="000000"/>
          <w:sz w:val="22"/>
          <w:szCs w:val="22"/>
          <w:lang w:eastAsia="en-US"/>
        </w:rPr>
      </w:pPr>
      <w:proofErr w:type="spellStart"/>
      <w:r>
        <w:rPr>
          <w:sz w:val="22"/>
          <w:szCs w:val="22"/>
          <w:lang w:eastAsia="en-US"/>
        </w:rPr>
        <w:t>Balutar</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7791A490" w14:textId="77777777" w:rsidR="004F2E63" w:rsidRDefault="004F2E63" w:rsidP="004F2E63">
      <w:pPr>
        <w:widowControl w:val="0"/>
        <w:numPr>
          <w:ilvl w:val="12"/>
          <w:numId w:val="0"/>
        </w:numPr>
        <w:rPr>
          <w:sz w:val="22"/>
          <w:szCs w:val="22"/>
          <w:lang w:eastAsia="en-US"/>
        </w:rPr>
      </w:pPr>
    </w:p>
    <w:p w14:paraId="29632632" w14:textId="77777777" w:rsidR="004F2E63" w:rsidRDefault="004F2E63" w:rsidP="004F2E63">
      <w:pPr>
        <w:widowControl w:val="0"/>
        <w:numPr>
          <w:ilvl w:val="12"/>
          <w:numId w:val="0"/>
        </w:numPr>
        <w:rPr>
          <w:sz w:val="22"/>
          <w:szCs w:val="22"/>
          <w:lang w:eastAsia="en-US"/>
        </w:rPr>
      </w:pPr>
    </w:p>
    <w:p w14:paraId="5BBD05A2" w14:textId="77777777" w:rsidR="004F2E63" w:rsidRDefault="004F2E63" w:rsidP="004F2E63">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Balutar</w:t>
      </w:r>
      <w:proofErr w:type="spellEnd"/>
    </w:p>
    <w:p w14:paraId="7D8DFDE7" w14:textId="77777777" w:rsidR="004F2E63" w:rsidRDefault="004F2E63" w:rsidP="004F2E63">
      <w:pPr>
        <w:widowControl w:val="0"/>
        <w:ind w:left="567" w:hanging="567"/>
        <w:rPr>
          <w:sz w:val="22"/>
          <w:szCs w:val="22"/>
          <w:lang w:eastAsia="en-US"/>
        </w:rPr>
      </w:pPr>
    </w:p>
    <w:p w14:paraId="4B526FE4" w14:textId="77777777" w:rsidR="004F2E63" w:rsidRDefault="004F2E63" w:rsidP="004F2E63">
      <w:pPr>
        <w:widowControl w:val="0"/>
        <w:ind w:left="567" w:hanging="567"/>
        <w:rPr>
          <w:b/>
          <w:bCs/>
          <w:caps/>
          <w:sz w:val="22"/>
          <w:szCs w:val="22"/>
          <w:lang w:eastAsia="en-US"/>
        </w:rPr>
      </w:pPr>
      <w:proofErr w:type="spellStart"/>
      <w:r>
        <w:rPr>
          <w:b/>
          <w:bCs/>
          <w:sz w:val="22"/>
          <w:szCs w:val="22"/>
          <w:lang w:eastAsia="en-US"/>
        </w:rPr>
        <w:t>Balutar</w:t>
      </w:r>
      <w:proofErr w:type="spellEnd"/>
      <w:r>
        <w:rPr>
          <w:b/>
          <w:bCs/>
          <w:sz w:val="22"/>
          <w:szCs w:val="22"/>
          <w:lang w:eastAsia="en-US"/>
        </w:rPr>
        <w:t xml:space="preserve"> vartoti draudžiama:</w:t>
      </w:r>
    </w:p>
    <w:p w14:paraId="349B6A1A"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49422CFB"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0AC4623E"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2AF99BD2"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44DBA314"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lastRenderedPageBreak/>
        <w:t>jeigu yra retas širdies plakimas;</w:t>
      </w:r>
    </w:p>
    <w:p w14:paraId="390BFD4C"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1C012DF2"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744C4E84"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2E6D013C"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26D52833"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5A73F85A"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2E0B8E01"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Balutar</w:t>
      </w:r>
      <w:proofErr w:type="spellEnd"/>
      <w:r>
        <w:rPr>
          <w:sz w:val="22"/>
          <w:szCs w:val="22"/>
          <w:lang w:eastAsia="sl-SI"/>
        </w:rPr>
        <w:t xml:space="preserve"> vartoti ankstyvuoju nėštumo laikotarpiu, žr. poskyrį „Nėštumas ir žindymo laikotarpis“);</w:t>
      </w:r>
    </w:p>
    <w:p w14:paraId="0C539921"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7E263584"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Balutar</w:t>
      </w:r>
      <w:proofErr w:type="spellEnd"/>
      <w:r>
        <w:rPr>
          <w:sz w:val="22"/>
          <w:szCs w:val="22"/>
          <w:lang w:eastAsia="sl-SI"/>
        </w:rPr>
        <w:t xml:space="preserve"> Jums gali netikti;</w:t>
      </w:r>
    </w:p>
    <w:p w14:paraId="1AE00171"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1EA40287" w14:textId="77777777" w:rsidR="004F2E63" w:rsidRDefault="004F2E63" w:rsidP="004F2E63">
      <w:pPr>
        <w:widowControl w:val="0"/>
        <w:numPr>
          <w:ilvl w:val="0"/>
          <w:numId w:val="3"/>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Balutar</w:t>
      </w:r>
      <w:proofErr w:type="spellEnd"/>
      <w:r>
        <w:rPr>
          <w:sz w:val="22"/>
          <w:szCs w:val="22"/>
          <w:lang w:eastAsia="sl-SI"/>
        </w:rPr>
        <w:t>“).</w:t>
      </w:r>
    </w:p>
    <w:p w14:paraId="1501AA8B" w14:textId="77777777" w:rsidR="004F2E63" w:rsidRDefault="004F2E63" w:rsidP="004F2E63">
      <w:pPr>
        <w:widowControl w:val="0"/>
        <w:autoSpaceDE w:val="0"/>
        <w:autoSpaceDN w:val="0"/>
        <w:adjustRightInd w:val="0"/>
        <w:rPr>
          <w:sz w:val="22"/>
          <w:szCs w:val="22"/>
          <w:lang w:eastAsia="en-US"/>
        </w:rPr>
      </w:pPr>
    </w:p>
    <w:p w14:paraId="7BF8647E" w14:textId="77777777" w:rsidR="004F2E63" w:rsidRDefault="004F2E63" w:rsidP="004F2E63">
      <w:pPr>
        <w:widowControl w:val="0"/>
        <w:ind w:left="567" w:hanging="567"/>
        <w:rPr>
          <w:b/>
          <w:sz w:val="22"/>
          <w:szCs w:val="22"/>
          <w:lang w:eastAsia="en-US"/>
        </w:rPr>
      </w:pPr>
      <w:r>
        <w:rPr>
          <w:b/>
          <w:sz w:val="22"/>
          <w:szCs w:val="22"/>
          <w:lang w:eastAsia="en-US"/>
        </w:rPr>
        <w:t>Įspėjimai ir atsargumo priemonės</w:t>
      </w:r>
    </w:p>
    <w:p w14:paraId="0334395A" w14:textId="77777777" w:rsidR="004F2E63" w:rsidRDefault="004F2E63" w:rsidP="004F2E63">
      <w:pPr>
        <w:widowControl w:val="0"/>
        <w:rPr>
          <w:sz w:val="22"/>
          <w:szCs w:val="22"/>
          <w:lang w:eastAsia="sl-SI"/>
        </w:rPr>
      </w:pPr>
    </w:p>
    <w:p w14:paraId="0588E3AD" w14:textId="77777777" w:rsidR="004F2E63" w:rsidRDefault="004F2E63" w:rsidP="004F2E63">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Balutar</w:t>
      </w:r>
      <w:proofErr w:type="spellEnd"/>
      <w:r>
        <w:rPr>
          <w:sz w:val="22"/>
          <w:szCs w:val="22"/>
          <w:lang w:eastAsia="sl-SI"/>
        </w:rPr>
        <w:t>:</w:t>
      </w:r>
    </w:p>
    <w:p w14:paraId="6F931D3E"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79D5C999"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19A3EDD7"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40E8234D"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249F24C7"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0852BE0A"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69512DA4"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6A50ECA1"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3D92C696"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Balutar</w:t>
      </w:r>
      <w:proofErr w:type="spellEnd"/>
      <w:r>
        <w:rPr>
          <w:snapToGrid w:val="0"/>
          <w:sz w:val="22"/>
          <w:szCs w:val="22"/>
          <w:lang w:eastAsia="en-US"/>
        </w:rPr>
        <w:t xml:space="preserve"> gali sumažinti kraujospūdį);</w:t>
      </w:r>
    </w:p>
    <w:p w14:paraId="42D94A20"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24FD7B1A"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2B68673E"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5F4D8459"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3BDB2778"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6185F7F7"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6B86A29C"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27191962"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skydliaukės funkcija (</w:t>
      </w:r>
      <w:proofErr w:type="spellStart"/>
      <w:r>
        <w:rPr>
          <w:snapToGrid w:val="0"/>
          <w:sz w:val="22"/>
          <w:szCs w:val="22"/>
          <w:lang w:eastAsia="en-US"/>
        </w:rPr>
        <w:t>Balutar</w:t>
      </w:r>
      <w:proofErr w:type="spellEnd"/>
      <w:r>
        <w:rPr>
          <w:snapToGrid w:val="0"/>
          <w:sz w:val="22"/>
          <w:szCs w:val="22"/>
          <w:lang w:eastAsia="en-US"/>
        </w:rPr>
        <w:t xml:space="preserve"> gali paslėpti skydliaukės aktyvumo padidėjimo simptomus);</w:t>
      </w:r>
    </w:p>
    <w:p w14:paraId="08EF8EDC"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Balutar</w:t>
      </w:r>
      <w:proofErr w:type="spellEnd"/>
      <w:r>
        <w:rPr>
          <w:snapToGrid w:val="0"/>
          <w:sz w:val="22"/>
          <w:szCs w:val="22"/>
          <w:lang w:eastAsia="en-US"/>
        </w:rPr>
        <w:t xml:space="preserve"> vartojimą ir nedelsdami kreiptis į gydytoją;</w:t>
      </w:r>
    </w:p>
    <w:p w14:paraId="6948419F"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140A5757" w14:textId="77777777" w:rsidR="004F2E63" w:rsidRDefault="004F2E63" w:rsidP="004F2E63">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6BC571A1" w14:textId="77777777" w:rsidR="004F2E63" w:rsidRDefault="004F2E63" w:rsidP="004F2E63">
      <w:pPr>
        <w:numPr>
          <w:ilvl w:val="0"/>
          <w:numId w:val="4"/>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10A52334" w14:textId="77777777" w:rsidR="004F2E63" w:rsidRDefault="004F2E63" w:rsidP="004F2E63">
      <w:pPr>
        <w:numPr>
          <w:ilvl w:val="0"/>
          <w:numId w:val="4"/>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2A444328" w14:textId="77777777" w:rsidR="004F2E63" w:rsidRDefault="004F2E63" w:rsidP="004F2E63">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Balutar</w:t>
      </w:r>
      <w:proofErr w:type="spellEnd"/>
      <w:r>
        <w:rPr>
          <w:snapToGrid w:val="0"/>
          <w:sz w:val="22"/>
          <w:szCs w:val="22"/>
          <w:lang w:eastAsia="en-US"/>
        </w:rPr>
        <w:t xml:space="preserve"> vartoti draudžiama“.</w:t>
      </w:r>
    </w:p>
    <w:p w14:paraId="17D11107" w14:textId="77777777" w:rsidR="004F2E63" w:rsidRDefault="004F2E63" w:rsidP="004F2E63">
      <w:pPr>
        <w:numPr>
          <w:ilvl w:val="0"/>
          <w:numId w:val="4"/>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4A86F58F" w14:textId="77777777" w:rsidR="004F2E63" w:rsidRDefault="004F2E63" w:rsidP="004F2E63">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36875BBF" w14:textId="77777777" w:rsidR="004F2E63" w:rsidRDefault="004F2E63" w:rsidP="004F2E63">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01D77E57" w14:textId="77777777" w:rsidR="004F2E63" w:rsidRDefault="004F2E63" w:rsidP="004F2E63">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43167BD0" w14:textId="77777777" w:rsidR="004F2E63" w:rsidRDefault="004F2E63" w:rsidP="004F2E63">
      <w:pPr>
        <w:numPr>
          <w:ilvl w:val="0"/>
          <w:numId w:val="6"/>
        </w:numPr>
        <w:tabs>
          <w:tab w:val="left" w:pos="567"/>
          <w:tab w:val="left" w:pos="1134"/>
        </w:tabs>
        <w:spacing w:line="260" w:lineRule="exact"/>
        <w:ind w:left="1134" w:hanging="567"/>
        <w:rPr>
          <w:rFonts w:eastAsia="Calibri"/>
          <w:sz w:val="22"/>
          <w:szCs w:val="22"/>
          <w:lang w:eastAsia="en-US"/>
        </w:rPr>
      </w:pPr>
      <w:bookmarkStart w:id="0"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0"/>
    <w:p w14:paraId="5098BAD9" w14:textId="77777777" w:rsidR="004F2E63" w:rsidRDefault="004F2E63" w:rsidP="004F2E63">
      <w:pPr>
        <w:tabs>
          <w:tab w:val="left" w:pos="1134"/>
        </w:tabs>
        <w:rPr>
          <w:iCs/>
          <w:snapToGrid w:val="0"/>
          <w:color w:val="000000"/>
          <w:sz w:val="22"/>
          <w:szCs w:val="22"/>
          <w:lang w:eastAsia="en-US"/>
        </w:rPr>
      </w:pPr>
    </w:p>
    <w:p w14:paraId="0E44F0F9" w14:textId="77777777" w:rsidR="004F2E63" w:rsidRDefault="004F2E63" w:rsidP="004F2E63">
      <w:pPr>
        <w:rPr>
          <w:iCs/>
          <w:snapToGrid w:val="0"/>
          <w:color w:val="000000"/>
          <w:sz w:val="22"/>
          <w:szCs w:val="22"/>
          <w:lang w:eastAsia="en-US"/>
        </w:rPr>
      </w:pPr>
      <w:proofErr w:type="spellStart"/>
      <w:r>
        <w:rPr>
          <w:snapToGrid w:val="0"/>
          <w:sz w:val="22"/>
          <w:szCs w:val="22"/>
          <w:lang w:eastAsia="en-US"/>
        </w:rPr>
        <w:t>Balutar</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05DD47A5" w14:textId="77777777" w:rsidR="004F2E63" w:rsidRDefault="004F2E63" w:rsidP="004F2E63">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Balutar</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1512277C" w14:textId="77777777" w:rsidR="004F2E63" w:rsidRDefault="004F2E63" w:rsidP="004F2E63">
      <w:pPr>
        <w:widowControl w:val="0"/>
        <w:numPr>
          <w:ilvl w:val="12"/>
          <w:numId w:val="0"/>
        </w:numPr>
        <w:tabs>
          <w:tab w:val="left" w:pos="567"/>
        </w:tabs>
        <w:rPr>
          <w:sz w:val="22"/>
          <w:szCs w:val="22"/>
          <w:lang w:eastAsia="en-US"/>
        </w:rPr>
      </w:pPr>
    </w:p>
    <w:p w14:paraId="74818FC5" w14:textId="77777777" w:rsidR="004F2E63" w:rsidRDefault="004F2E63" w:rsidP="004F2E63">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29755C99" w14:textId="77777777" w:rsidR="004F2E63" w:rsidRDefault="004F2E63" w:rsidP="004F2E63">
      <w:pPr>
        <w:widowControl w:val="0"/>
        <w:numPr>
          <w:ilvl w:val="12"/>
          <w:numId w:val="0"/>
        </w:numPr>
        <w:rPr>
          <w:snapToGrid w:val="0"/>
          <w:color w:val="000000"/>
          <w:sz w:val="22"/>
          <w:szCs w:val="22"/>
          <w:lang w:eastAsia="en-US"/>
        </w:rPr>
      </w:pPr>
      <w:proofErr w:type="spellStart"/>
      <w:r>
        <w:rPr>
          <w:sz w:val="22"/>
          <w:szCs w:val="22"/>
          <w:lang w:eastAsia="sl-SI"/>
        </w:rPr>
        <w:t>Balutar</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166E1FF1" w14:textId="77777777" w:rsidR="004F2E63" w:rsidRDefault="004F2E63" w:rsidP="004F2E63">
      <w:pPr>
        <w:widowControl w:val="0"/>
        <w:numPr>
          <w:ilvl w:val="12"/>
          <w:numId w:val="0"/>
        </w:numPr>
        <w:ind w:right="-2"/>
        <w:rPr>
          <w:bCs/>
          <w:sz w:val="22"/>
          <w:szCs w:val="22"/>
          <w:lang w:eastAsia="en-US"/>
        </w:rPr>
      </w:pPr>
    </w:p>
    <w:p w14:paraId="19CC2989" w14:textId="77777777" w:rsidR="004F2E63" w:rsidRDefault="004F2E63" w:rsidP="004F2E63">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Balutar</w:t>
      </w:r>
      <w:proofErr w:type="spellEnd"/>
    </w:p>
    <w:p w14:paraId="48621D19" w14:textId="77777777" w:rsidR="004F2E63" w:rsidRDefault="004F2E63" w:rsidP="004F2E63">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770327FD" w14:textId="77777777" w:rsidR="004F2E63" w:rsidRDefault="004F2E63" w:rsidP="004F2E63">
      <w:pPr>
        <w:widowControl w:val="0"/>
        <w:autoSpaceDE w:val="0"/>
        <w:autoSpaceDN w:val="0"/>
        <w:adjustRightInd w:val="0"/>
        <w:rPr>
          <w:snapToGrid w:val="0"/>
          <w:sz w:val="22"/>
          <w:szCs w:val="20"/>
          <w:lang w:eastAsia="en-US"/>
        </w:rPr>
      </w:pPr>
    </w:p>
    <w:p w14:paraId="4F2201EE" w14:textId="77777777" w:rsidR="004F2E63" w:rsidRDefault="004F2E63" w:rsidP="004F2E63">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Balutar</w:t>
      </w:r>
      <w:proofErr w:type="spellEnd"/>
      <w:r>
        <w:rPr>
          <w:snapToGrid w:val="0"/>
          <w:sz w:val="22"/>
          <w:szCs w:val="22"/>
          <w:lang w:eastAsia="en-US"/>
        </w:rPr>
        <w:t xml:space="preserve"> poveikį arba </w:t>
      </w:r>
      <w:proofErr w:type="spellStart"/>
      <w:r>
        <w:rPr>
          <w:snapToGrid w:val="0"/>
          <w:sz w:val="22"/>
          <w:szCs w:val="22"/>
          <w:lang w:eastAsia="en-US"/>
        </w:rPr>
        <w:t>Balutar</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66B0EC63" w14:textId="77777777" w:rsidR="004F2E63" w:rsidRDefault="004F2E63" w:rsidP="004F2E63">
      <w:pPr>
        <w:numPr>
          <w:ilvl w:val="12"/>
          <w:numId w:val="0"/>
        </w:numPr>
        <w:rPr>
          <w:snapToGrid w:val="0"/>
          <w:sz w:val="22"/>
          <w:szCs w:val="22"/>
          <w:lang w:eastAsia="en-US"/>
        </w:rPr>
      </w:pPr>
    </w:p>
    <w:p w14:paraId="2C698581" w14:textId="77777777" w:rsidR="004F2E63" w:rsidRDefault="004F2E63" w:rsidP="004F2E63">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67338326"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3E3B281D"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Balutar</w:t>
      </w:r>
      <w:proofErr w:type="spellEnd"/>
      <w:r>
        <w:rPr>
          <w:sz w:val="22"/>
          <w:szCs w:val="22"/>
          <w:lang w:eastAsia="en-US"/>
        </w:rPr>
        <w:t xml:space="preserve"> vartoti draudžiama“ ir „Įspėjimai ir atsargumo priemonės”) arba diuretikų (vaistų, kurie didina inkstuose išskiriamo šlapimo kiekį);</w:t>
      </w:r>
    </w:p>
    <w:p w14:paraId="7E7EBC2B"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1" w:name="_Hlk53404843"/>
      <w:r>
        <w:rPr>
          <w:sz w:val="22"/>
          <w:szCs w:val="22"/>
          <w:lang w:eastAsia="en-US"/>
        </w:rPr>
        <w:t>vaisto, vartojamo siekiant skystinti kraują ir išvengti krešulių susidarymo;</w:t>
      </w:r>
      <w:bookmarkEnd w:id="1"/>
      <w:r>
        <w:rPr>
          <w:sz w:val="22"/>
          <w:szCs w:val="22"/>
          <w:lang w:eastAsia="en-US"/>
        </w:rPr>
        <w:t xml:space="preserve"> </w:t>
      </w:r>
      <w:proofErr w:type="spellStart"/>
      <w:r>
        <w:rPr>
          <w:sz w:val="22"/>
          <w:szCs w:val="22"/>
          <w:lang w:eastAsia="en-US"/>
        </w:rPr>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2" w:name="_Hlk53404857"/>
      <w:r>
        <w:rPr>
          <w:sz w:val="22"/>
          <w:szCs w:val="22"/>
          <w:lang w:eastAsia="en-US"/>
        </w:rPr>
        <w:t>ir yra vartojamas bakterijų sukeltoms infekcinėms ligoms gydyti</w:t>
      </w:r>
      <w:bookmarkEnd w:id="2"/>
      <w:r>
        <w:rPr>
          <w:sz w:val="22"/>
          <w:szCs w:val="22"/>
          <w:lang w:eastAsia="en-US"/>
        </w:rPr>
        <w:t>);</w:t>
      </w:r>
    </w:p>
    <w:p w14:paraId="5F05C371"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lastRenderedPageBreak/>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7B27AFC5" w14:textId="77777777" w:rsidR="004F2E63" w:rsidRDefault="004F2E63" w:rsidP="004F2E63">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3C8F2415" w14:textId="77777777" w:rsidR="004F2E63" w:rsidRDefault="004F2E63" w:rsidP="004F2E63">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5A681BDC"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6701A5C7" w14:textId="77777777" w:rsidR="004F2E63" w:rsidRDefault="004F2E63" w:rsidP="004F2E63">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Balutar</w:t>
      </w:r>
      <w:proofErr w:type="spellEnd"/>
      <w:r>
        <w:rPr>
          <w:sz w:val="22"/>
          <w:szCs w:val="22"/>
          <w:lang w:eastAsia="en-US"/>
        </w:rPr>
        <w:t xml:space="preserve"> </w:t>
      </w:r>
      <w:r>
        <w:rPr>
          <w:sz w:val="22"/>
        </w:rPr>
        <w:t xml:space="preserve">vartoti </w:t>
      </w:r>
      <w:r>
        <w:rPr>
          <w:sz w:val="22"/>
          <w:szCs w:val="22"/>
          <w:lang w:eastAsia="en-US"/>
        </w:rPr>
        <w:t>draudžiama</w:t>
      </w:r>
      <w:r>
        <w:rPr>
          <w:sz w:val="22"/>
        </w:rPr>
        <w:t>“</w:t>
      </w:r>
      <w:r>
        <w:rPr>
          <w:sz w:val="22"/>
          <w:szCs w:val="22"/>
          <w:lang w:eastAsia="en-US"/>
        </w:rPr>
        <w:t xml:space="preserve"> ir „Įspėjimai ir atsargumo priemonės“;</w:t>
      </w:r>
    </w:p>
    <w:p w14:paraId="4541C1D9"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06B673A8"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207FB4FF"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5E4F609E"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263A8044"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2D5775A3" w14:textId="77777777" w:rsidR="004F2E63" w:rsidRDefault="004F2E63" w:rsidP="004F2E63">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0F48CC41" w14:textId="77777777" w:rsidR="004F2E63" w:rsidRDefault="004F2E63" w:rsidP="004F2E63">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76D08B83" w14:textId="77777777" w:rsidR="004F2E63" w:rsidRDefault="004F2E63" w:rsidP="004F2E63">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39851FBE" w14:textId="77777777" w:rsidR="004F2E63" w:rsidRDefault="004F2E63" w:rsidP="004F2E63">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431F9F4E"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2F2F40AA"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42D07E9E" w14:textId="77777777" w:rsidR="004F2E63" w:rsidRDefault="004F2E63" w:rsidP="004F2E63">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53964A77" w14:textId="77777777" w:rsidR="004F2E63" w:rsidRDefault="004F2E63" w:rsidP="004F2E63">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47B3939E"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4F32ECD0"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6FB3CE49"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5FFDC7D8" w14:textId="77777777" w:rsidR="004F2E63" w:rsidRDefault="004F2E63" w:rsidP="004F2E63">
      <w:pPr>
        <w:widowControl w:val="0"/>
        <w:autoSpaceDE w:val="0"/>
        <w:autoSpaceDN w:val="0"/>
        <w:adjustRightInd w:val="0"/>
        <w:rPr>
          <w:sz w:val="22"/>
          <w:szCs w:val="22"/>
          <w:lang w:eastAsia="sl-SI"/>
        </w:rPr>
      </w:pPr>
    </w:p>
    <w:p w14:paraId="25E89717" w14:textId="77777777" w:rsidR="004F2E63" w:rsidRDefault="004F2E63" w:rsidP="004F2E63">
      <w:pPr>
        <w:widowControl w:val="0"/>
        <w:autoSpaceDE w:val="0"/>
        <w:autoSpaceDN w:val="0"/>
        <w:adjustRightInd w:val="0"/>
        <w:rPr>
          <w:b/>
          <w:sz w:val="22"/>
          <w:szCs w:val="22"/>
          <w:lang w:eastAsia="sl-SI"/>
        </w:rPr>
      </w:pPr>
      <w:proofErr w:type="spellStart"/>
      <w:r>
        <w:rPr>
          <w:b/>
          <w:sz w:val="22"/>
          <w:szCs w:val="22"/>
          <w:lang w:eastAsia="sl-SI"/>
        </w:rPr>
        <w:t>Balutar</w:t>
      </w:r>
      <w:proofErr w:type="spellEnd"/>
      <w:r>
        <w:rPr>
          <w:b/>
          <w:sz w:val="22"/>
          <w:szCs w:val="22"/>
          <w:lang w:eastAsia="sl-SI"/>
        </w:rPr>
        <w:t xml:space="preserve"> vartojimas su maistu, gėrimais ir alkoholiu</w:t>
      </w:r>
    </w:p>
    <w:p w14:paraId="66F91D3A" w14:textId="77777777" w:rsidR="004F2E63" w:rsidRDefault="004F2E63" w:rsidP="004F2E63">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geriausia vartoti prieš valgį.</w:t>
      </w:r>
    </w:p>
    <w:p w14:paraId="7DE32C08" w14:textId="77777777" w:rsidR="004F2E63" w:rsidRDefault="004F2E63" w:rsidP="004F2E63">
      <w:pPr>
        <w:widowControl w:val="0"/>
        <w:autoSpaceDE w:val="0"/>
        <w:autoSpaceDN w:val="0"/>
        <w:adjustRightInd w:val="0"/>
        <w:rPr>
          <w:sz w:val="22"/>
          <w:szCs w:val="22"/>
          <w:lang w:eastAsia="sl-SI"/>
        </w:rPr>
      </w:pPr>
    </w:p>
    <w:p w14:paraId="0F1D39AD" w14:textId="77777777" w:rsidR="004F2E63" w:rsidRDefault="004F2E63" w:rsidP="004F2E63">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6F3A649B" w14:textId="77777777" w:rsidR="004F2E63" w:rsidRDefault="004F2E63" w:rsidP="004F2E63">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2E328871" w14:textId="77777777" w:rsidR="004F2E63" w:rsidRDefault="004F2E63" w:rsidP="004F2E63">
      <w:pPr>
        <w:widowControl w:val="0"/>
        <w:tabs>
          <w:tab w:val="left" w:pos="567"/>
        </w:tabs>
        <w:rPr>
          <w:sz w:val="22"/>
          <w:szCs w:val="22"/>
          <w:lang w:eastAsia="sl-SI"/>
        </w:rPr>
      </w:pPr>
    </w:p>
    <w:p w14:paraId="63A933E3" w14:textId="77777777" w:rsidR="004F2E63" w:rsidRDefault="004F2E63" w:rsidP="004F2E63">
      <w:pPr>
        <w:numPr>
          <w:ilvl w:val="12"/>
          <w:numId w:val="0"/>
        </w:numPr>
        <w:rPr>
          <w:i/>
          <w:snapToGrid w:val="0"/>
          <w:sz w:val="22"/>
          <w:szCs w:val="22"/>
          <w:lang w:eastAsia="en-US"/>
        </w:rPr>
      </w:pPr>
      <w:r>
        <w:rPr>
          <w:i/>
          <w:snapToGrid w:val="0"/>
          <w:sz w:val="22"/>
          <w:szCs w:val="22"/>
          <w:lang w:eastAsia="en-US"/>
        </w:rPr>
        <w:t>Nėštumas</w:t>
      </w:r>
    </w:p>
    <w:p w14:paraId="6D386753" w14:textId="77777777" w:rsidR="004F2E63" w:rsidRDefault="004F2E63" w:rsidP="004F2E63">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mėnesio jis gali labai pakenkti Jūsų vaikui.</w:t>
      </w:r>
    </w:p>
    <w:p w14:paraId="27E0CF85" w14:textId="77777777" w:rsidR="004F2E63" w:rsidRDefault="004F2E63" w:rsidP="004F2E63">
      <w:pPr>
        <w:widowControl w:val="0"/>
        <w:tabs>
          <w:tab w:val="left" w:pos="567"/>
        </w:tabs>
        <w:rPr>
          <w:iCs/>
          <w:snapToGrid w:val="0"/>
          <w:color w:val="000000"/>
          <w:sz w:val="22"/>
          <w:szCs w:val="22"/>
          <w:lang w:eastAsia="en-US"/>
        </w:rPr>
      </w:pPr>
    </w:p>
    <w:p w14:paraId="7685D83C" w14:textId="77777777" w:rsidR="004F2E63" w:rsidRDefault="004F2E63" w:rsidP="004F2E63">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07C57B79" w14:textId="77777777" w:rsidR="004F2E63" w:rsidRDefault="004F2E63" w:rsidP="004F2E63">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3E1E863B" w14:textId="77777777" w:rsidR="004F2E63" w:rsidRDefault="004F2E63" w:rsidP="004F2E63">
      <w:pPr>
        <w:widowControl w:val="0"/>
        <w:tabs>
          <w:tab w:val="left" w:pos="567"/>
        </w:tabs>
        <w:rPr>
          <w:sz w:val="22"/>
          <w:szCs w:val="22"/>
          <w:lang w:eastAsia="sl-SI"/>
        </w:rPr>
      </w:pPr>
    </w:p>
    <w:p w14:paraId="341064E5" w14:textId="77777777" w:rsidR="004F2E63" w:rsidRDefault="004F2E63" w:rsidP="004F2E63">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73FB6866" w14:textId="77777777" w:rsidR="004F2E63" w:rsidRDefault="004F2E63" w:rsidP="004F2E63">
      <w:pPr>
        <w:numPr>
          <w:ilvl w:val="12"/>
          <w:numId w:val="0"/>
        </w:numPr>
        <w:rPr>
          <w:snapToGrid w:val="0"/>
          <w:sz w:val="22"/>
          <w:szCs w:val="22"/>
          <w:lang w:eastAsia="en-US"/>
        </w:rPr>
      </w:pPr>
      <w:proofErr w:type="spellStart"/>
      <w:r>
        <w:rPr>
          <w:snapToGrid w:val="0"/>
          <w:sz w:val="22"/>
          <w:szCs w:val="22"/>
          <w:lang w:eastAsia="en-US"/>
        </w:rPr>
        <w:lastRenderedPageBreak/>
        <w:t>Balutar</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0EE10EA3" w14:textId="77777777" w:rsidR="004F2E63" w:rsidRDefault="004F2E63" w:rsidP="004F2E63">
      <w:pPr>
        <w:numPr>
          <w:ilvl w:val="12"/>
          <w:numId w:val="0"/>
        </w:numPr>
        <w:rPr>
          <w:snapToGrid w:val="0"/>
          <w:sz w:val="22"/>
          <w:szCs w:val="22"/>
          <w:lang w:eastAsia="en-US"/>
        </w:rPr>
      </w:pPr>
    </w:p>
    <w:p w14:paraId="6AFB472C" w14:textId="77777777" w:rsidR="004F2E63" w:rsidRDefault="004F2E63" w:rsidP="004F2E63">
      <w:pPr>
        <w:numPr>
          <w:ilvl w:val="12"/>
          <w:numId w:val="0"/>
        </w:numPr>
        <w:rPr>
          <w:b/>
          <w:bCs/>
          <w:snapToGrid w:val="0"/>
          <w:sz w:val="22"/>
          <w:szCs w:val="22"/>
          <w:lang w:eastAsia="x-none"/>
        </w:rPr>
      </w:pPr>
      <w:proofErr w:type="spellStart"/>
      <w:r>
        <w:rPr>
          <w:b/>
          <w:bCs/>
          <w:snapToGrid w:val="0"/>
          <w:sz w:val="22"/>
          <w:szCs w:val="22"/>
          <w:lang w:eastAsia="x-none"/>
        </w:rPr>
        <w:t>Balutar</w:t>
      </w:r>
      <w:proofErr w:type="spellEnd"/>
      <w:r>
        <w:rPr>
          <w:b/>
          <w:bCs/>
          <w:snapToGrid w:val="0"/>
          <w:sz w:val="22"/>
          <w:szCs w:val="22"/>
          <w:lang w:eastAsia="x-none"/>
        </w:rPr>
        <w:t xml:space="preserve"> sudėtyje yra natrio ir laktozės</w:t>
      </w:r>
    </w:p>
    <w:p w14:paraId="44E65985" w14:textId="77777777" w:rsidR="004F2E63" w:rsidRDefault="004F2E63" w:rsidP="004F2E63">
      <w:pPr>
        <w:numPr>
          <w:ilvl w:val="12"/>
          <w:numId w:val="0"/>
        </w:numPr>
        <w:rPr>
          <w:b/>
          <w:bCs/>
          <w:snapToGrid w:val="0"/>
          <w:sz w:val="22"/>
          <w:szCs w:val="22"/>
          <w:lang w:eastAsia="x-none"/>
        </w:rPr>
      </w:pPr>
    </w:p>
    <w:p w14:paraId="54052AF1" w14:textId="77777777" w:rsidR="004F2E63" w:rsidRDefault="004F2E63" w:rsidP="004F2E63">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654D4168" w14:textId="77777777" w:rsidR="004F2E63" w:rsidRDefault="004F2E63" w:rsidP="004F2E63">
      <w:pPr>
        <w:widowControl w:val="0"/>
        <w:numPr>
          <w:ilvl w:val="12"/>
          <w:numId w:val="0"/>
        </w:numPr>
        <w:ind w:right="-2"/>
        <w:rPr>
          <w:sz w:val="22"/>
          <w:szCs w:val="22"/>
          <w:lang w:eastAsia="en-US"/>
        </w:rPr>
      </w:pPr>
    </w:p>
    <w:p w14:paraId="5FD31529" w14:textId="77777777" w:rsidR="004F2E63" w:rsidRDefault="004F2E63" w:rsidP="004F2E63">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3FDFB2B1" w14:textId="77777777" w:rsidR="004F2E63" w:rsidRDefault="004F2E63" w:rsidP="004F2E63">
      <w:pPr>
        <w:widowControl w:val="0"/>
        <w:numPr>
          <w:ilvl w:val="12"/>
          <w:numId w:val="0"/>
        </w:numPr>
        <w:ind w:right="-2"/>
        <w:rPr>
          <w:sz w:val="22"/>
          <w:szCs w:val="22"/>
          <w:lang w:eastAsia="en-US"/>
        </w:rPr>
      </w:pPr>
    </w:p>
    <w:p w14:paraId="03D70041" w14:textId="77777777" w:rsidR="004F2E63" w:rsidRDefault="004F2E63" w:rsidP="004F2E63">
      <w:pPr>
        <w:widowControl w:val="0"/>
        <w:numPr>
          <w:ilvl w:val="12"/>
          <w:numId w:val="0"/>
        </w:numPr>
        <w:ind w:right="-2"/>
        <w:rPr>
          <w:sz w:val="22"/>
          <w:szCs w:val="22"/>
          <w:lang w:eastAsia="en-US"/>
        </w:rPr>
      </w:pPr>
    </w:p>
    <w:p w14:paraId="6A3169D2" w14:textId="77777777" w:rsidR="004F2E63" w:rsidRDefault="004F2E63" w:rsidP="004F2E63">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Balutar</w:t>
      </w:r>
      <w:proofErr w:type="spellEnd"/>
    </w:p>
    <w:p w14:paraId="04B57D93" w14:textId="77777777" w:rsidR="004F2E63" w:rsidRDefault="004F2E63" w:rsidP="004F2E63">
      <w:pPr>
        <w:widowControl w:val="0"/>
        <w:ind w:left="567" w:hanging="567"/>
        <w:rPr>
          <w:sz w:val="22"/>
          <w:szCs w:val="22"/>
          <w:lang w:eastAsia="en-US"/>
        </w:rPr>
      </w:pPr>
    </w:p>
    <w:p w14:paraId="419F338A" w14:textId="77777777" w:rsidR="004F2E63" w:rsidRDefault="004F2E63" w:rsidP="004F2E63">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13890562" w14:textId="77777777" w:rsidR="004F2E63" w:rsidRDefault="004F2E63" w:rsidP="004F2E63">
      <w:pPr>
        <w:widowControl w:val="0"/>
        <w:rPr>
          <w:sz w:val="22"/>
          <w:szCs w:val="22"/>
          <w:lang w:eastAsia="sl-SI"/>
        </w:rPr>
      </w:pPr>
    </w:p>
    <w:p w14:paraId="0AA048B0" w14:textId="77777777" w:rsidR="004F2E63" w:rsidRDefault="004F2E63" w:rsidP="004F2E63">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42113160" w14:textId="77777777" w:rsidR="004F2E63" w:rsidRDefault="004F2E63" w:rsidP="004F2E63">
      <w:pPr>
        <w:widowControl w:val="0"/>
        <w:autoSpaceDE w:val="0"/>
        <w:autoSpaceDN w:val="0"/>
        <w:adjustRightInd w:val="0"/>
        <w:rPr>
          <w:sz w:val="22"/>
          <w:szCs w:val="22"/>
          <w:lang w:eastAsia="en-US"/>
        </w:rPr>
      </w:pPr>
    </w:p>
    <w:p w14:paraId="289FF483" w14:textId="77777777" w:rsidR="004F2E63" w:rsidRDefault="004F2E63" w:rsidP="004F2E63">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Balutar</w:t>
      </w:r>
      <w:proofErr w:type="spellEnd"/>
      <w:r>
        <w:rPr>
          <w:sz w:val="22"/>
          <w:szCs w:val="22"/>
          <w:lang w:eastAsia="sl-SI"/>
        </w:rPr>
        <w:t xml:space="preserve"> tabletės vieną kartą per parą ryte, prieš valgį.</w:t>
      </w:r>
    </w:p>
    <w:p w14:paraId="1B7407C1" w14:textId="77777777" w:rsidR="004F2E63" w:rsidRDefault="004F2E63" w:rsidP="004F2E63">
      <w:pPr>
        <w:widowControl w:val="0"/>
        <w:numPr>
          <w:ilvl w:val="12"/>
          <w:numId w:val="0"/>
        </w:numPr>
        <w:ind w:right="-2"/>
        <w:rPr>
          <w:b/>
          <w:bCs/>
          <w:sz w:val="22"/>
          <w:szCs w:val="22"/>
          <w:lang w:eastAsia="sl-SI"/>
        </w:rPr>
      </w:pPr>
    </w:p>
    <w:p w14:paraId="4D5A3980" w14:textId="77777777" w:rsidR="004F2E63" w:rsidRDefault="004F2E63" w:rsidP="004F2E63">
      <w:pPr>
        <w:widowControl w:val="0"/>
        <w:numPr>
          <w:ilvl w:val="12"/>
          <w:numId w:val="0"/>
        </w:numPr>
        <w:ind w:right="-2"/>
        <w:rPr>
          <w:b/>
          <w:bCs/>
          <w:sz w:val="22"/>
          <w:szCs w:val="22"/>
          <w:lang w:eastAsia="sl-SI"/>
        </w:rPr>
      </w:pPr>
      <w:r>
        <w:rPr>
          <w:b/>
          <w:bCs/>
          <w:sz w:val="22"/>
          <w:szCs w:val="22"/>
          <w:lang w:eastAsia="sl-SI"/>
        </w:rPr>
        <w:t>Sutrikusi inkstų funkcija</w:t>
      </w:r>
    </w:p>
    <w:p w14:paraId="195CBACB" w14:textId="77777777" w:rsidR="004F2E63" w:rsidRDefault="004F2E63" w:rsidP="004F2E63">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Balutar</w:t>
      </w:r>
      <w:proofErr w:type="spellEnd"/>
      <w:r>
        <w:rPr>
          <w:sz w:val="22"/>
          <w:szCs w:val="22"/>
          <w:lang w:eastAsia="sl-SI"/>
        </w:rPr>
        <w:t xml:space="preserve"> tabletės, jeigu sergate vidutinio sunkumo inkstų liga. </w:t>
      </w:r>
      <w:proofErr w:type="spellStart"/>
      <w:r>
        <w:rPr>
          <w:sz w:val="22"/>
          <w:szCs w:val="22"/>
          <w:lang w:eastAsia="sl-SI"/>
        </w:rPr>
        <w:t>Balutar</w:t>
      </w:r>
      <w:proofErr w:type="spellEnd"/>
      <w:r>
        <w:rPr>
          <w:sz w:val="22"/>
          <w:szCs w:val="22"/>
          <w:lang w:eastAsia="sl-SI"/>
        </w:rPr>
        <w:t xml:space="preserve"> nerekomenduojama vartoti, jeigu sergate sunkia inkstų liga.</w:t>
      </w:r>
    </w:p>
    <w:p w14:paraId="1576C8AD" w14:textId="77777777" w:rsidR="004F2E63" w:rsidRDefault="004F2E63" w:rsidP="004F2E63">
      <w:pPr>
        <w:widowControl w:val="0"/>
        <w:autoSpaceDE w:val="0"/>
        <w:autoSpaceDN w:val="0"/>
        <w:adjustRightInd w:val="0"/>
        <w:rPr>
          <w:sz w:val="22"/>
          <w:szCs w:val="22"/>
          <w:lang w:eastAsia="en-US"/>
        </w:rPr>
      </w:pPr>
    </w:p>
    <w:p w14:paraId="08FD60E7" w14:textId="77777777" w:rsidR="004F2E63" w:rsidRDefault="004F2E63" w:rsidP="004F2E63">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7B7B3F67" w14:textId="77777777" w:rsidR="004F2E63" w:rsidRDefault="004F2E63" w:rsidP="004F2E63">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423C492E" w14:textId="77777777" w:rsidR="004F2E63" w:rsidRDefault="004F2E63" w:rsidP="004F2E63">
      <w:pPr>
        <w:widowControl w:val="0"/>
        <w:autoSpaceDE w:val="0"/>
        <w:autoSpaceDN w:val="0"/>
        <w:adjustRightInd w:val="0"/>
        <w:rPr>
          <w:sz w:val="22"/>
          <w:szCs w:val="22"/>
          <w:lang w:eastAsia="en-US"/>
        </w:rPr>
      </w:pPr>
    </w:p>
    <w:p w14:paraId="1DD03FCE" w14:textId="77777777" w:rsidR="004F2E63" w:rsidRDefault="004F2E63" w:rsidP="004F2E63">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Balutar</w:t>
      </w:r>
      <w:proofErr w:type="spellEnd"/>
      <w:r>
        <w:rPr>
          <w:b/>
          <w:sz w:val="22"/>
          <w:szCs w:val="22"/>
          <w:lang w:eastAsia="en-US"/>
        </w:rPr>
        <w:t xml:space="preserve"> dozę?</w:t>
      </w:r>
    </w:p>
    <w:p w14:paraId="592C905C" w14:textId="77777777" w:rsidR="004F2E63" w:rsidRDefault="004F2E63" w:rsidP="004F2E63">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1DAB010D" w14:textId="77777777" w:rsidR="004F2E63" w:rsidRDefault="004F2E63" w:rsidP="004F2E63">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44540B37" w14:textId="77777777" w:rsidR="004F2E63" w:rsidRDefault="004F2E63" w:rsidP="004F2E63">
      <w:pPr>
        <w:widowControl w:val="0"/>
        <w:numPr>
          <w:ilvl w:val="12"/>
          <w:numId w:val="0"/>
        </w:numPr>
        <w:ind w:right="-2"/>
        <w:rPr>
          <w:sz w:val="22"/>
          <w:szCs w:val="22"/>
          <w:lang w:eastAsia="en-US"/>
        </w:rPr>
      </w:pPr>
    </w:p>
    <w:p w14:paraId="673F1F5C" w14:textId="77777777" w:rsidR="004F2E63" w:rsidRDefault="004F2E63" w:rsidP="004F2E63">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Balutar</w:t>
      </w:r>
      <w:proofErr w:type="spellEnd"/>
    </w:p>
    <w:p w14:paraId="7BA2F937" w14:textId="77777777" w:rsidR="004F2E63" w:rsidRDefault="004F2E63" w:rsidP="004F2E63">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Balutar</w:t>
      </w:r>
      <w:proofErr w:type="spellEnd"/>
      <w:r>
        <w:rPr>
          <w:snapToGrid w:val="0"/>
          <w:sz w:val="22"/>
          <w:szCs w:val="22"/>
          <w:lang w:eastAsia="en-US"/>
        </w:rPr>
        <w:t xml:space="preserve"> dozę, kitą dozę išgerkite įprastu laiku.</w:t>
      </w:r>
    </w:p>
    <w:p w14:paraId="363FA94B" w14:textId="77777777" w:rsidR="004F2E63" w:rsidRDefault="004F2E63" w:rsidP="004F2E63">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434E74E4" w14:textId="77777777" w:rsidR="004F2E63" w:rsidRDefault="004F2E63" w:rsidP="004F2E63">
      <w:pPr>
        <w:numPr>
          <w:ilvl w:val="12"/>
          <w:numId w:val="0"/>
        </w:numPr>
        <w:rPr>
          <w:snapToGrid w:val="0"/>
          <w:sz w:val="22"/>
          <w:szCs w:val="22"/>
          <w:lang w:eastAsia="en-US"/>
        </w:rPr>
      </w:pPr>
    </w:p>
    <w:p w14:paraId="33E73615" w14:textId="77777777" w:rsidR="004F2E63" w:rsidRDefault="004F2E63" w:rsidP="004F2E63">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Balutar</w:t>
      </w:r>
      <w:proofErr w:type="spellEnd"/>
    </w:p>
    <w:p w14:paraId="481282A5" w14:textId="77777777" w:rsidR="004F2E63" w:rsidRDefault="004F2E63" w:rsidP="004F2E63">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Balutar</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092AC491" w14:textId="77777777" w:rsidR="004F2E63" w:rsidRDefault="004F2E63" w:rsidP="004F2E63">
      <w:pPr>
        <w:numPr>
          <w:ilvl w:val="12"/>
          <w:numId w:val="0"/>
        </w:numPr>
        <w:rPr>
          <w:snapToGrid w:val="0"/>
          <w:sz w:val="22"/>
          <w:szCs w:val="22"/>
          <w:lang w:eastAsia="en-US"/>
        </w:rPr>
      </w:pPr>
    </w:p>
    <w:p w14:paraId="48C3B33C" w14:textId="77777777" w:rsidR="004F2E63" w:rsidRDefault="004F2E63" w:rsidP="004F2E63">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16BFE65B" w14:textId="77777777" w:rsidR="004F2E63" w:rsidRDefault="004F2E63" w:rsidP="004F2E63">
      <w:pPr>
        <w:widowControl w:val="0"/>
        <w:numPr>
          <w:ilvl w:val="12"/>
          <w:numId w:val="0"/>
        </w:numPr>
        <w:ind w:right="-2"/>
        <w:rPr>
          <w:sz w:val="22"/>
          <w:szCs w:val="22"/>
          <w:lang w:eastAsia="en-US"/>
        </w:rPr>
      </w:pPr>
    </w:p>
    <w:p w14:paraId="5AF4F791" w14:textId="77777777" w:rsidR="004F2E63" w:rsidRDefault="004F2E63" w:rsidP="004F2E63">
      <w:pPr>
        <w:widowControl w:val="0"/>
        <w:numPr>
          <w:ilvl w:val="12"/>
          <w:numId w:val="0"/>
        </w:numPr>
        <w:ind w:right="-2"/>
        <w:rPr>
          <w:sz w:val="22"/>
          <w:szCs w:val="22"/>
          <w:lang w:eastAsia="en-US"/>
        </w:rPr>
      </w:pPr>
    </w:p>
    <w:p w14:paraId="02CA4C99" w14:textId="77777777" w:rsidR="004F2E63" w:rsidRDefault="004F2E63" w:rsidP="004F2E63">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25E931AC" w14:textId="77777777" w:rsidR="004F2E63" w:rsidRDefault="004F2E63" w:rsidP="004F2E63">
      <w:pPr>
        <w:widowControl w:val="0"/>
        <w:ind w:left="567" w:hanging="567"/>
        <w:rPr>
          <w:sz w:val="22"/>
          <w:szCs w:val="22"/>
          <w:lang w:eastAsia="en-US"/>
        </w:rPr>
      </w:pPr>
    </w:p>
    <w:p w14:paraId="7E234DC7" w14:textId="77777777" w:rsidR="004F2E63" w:rsidRDefault="004F2E63" w:rsidP="004F2E63">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2B6BC846" w14:textId="77777777" w:rsidR="004F2E63" w:rsidRDefault="004F2E63" w:rsidP="004F2E63">
      <w:pPr>
        <w:widowControl w:val="0"/>
        <w:tabs>
          <w:tab w:val="left" w:pos="1296"/>
        </w:tabs>
        <w:snapToGrid w:val="0"/>
        <w:rPr>
          <w:sz w:val="22"/>
          <w:szCs w:val="22"/>
          <w:lang w:eastAsia="sl-SI"/>
        </w:rPr>
      </w:pPr>
    </w:p>
    <w:p w14:paraId="60EEFE5E" w14:textId="77777777" w:rsidR="004F2E63" w:rsidRDefault="004F2E63" w:rsidP="004F2E63">
      <w:pPr>
        <w:keepNext/>
        <w:tabs>
          <w:tab w:val="left" w:pos="567"/>
        </w:tabs>
        <w:outlineLvl w:val="3"/>
        <w:rPr>
          <w:b/>
          <w:bCs/>
          <w:snapToGrid w:val="0"/>
          <w:sz w:val="22"/>
          <w:szCs w:val="22"/>
          <w:lang w:eastAsia="x-none"/>
        </w:rPr>
      </w:pPr>
      <w:r>
        <w:rPr>
          <w:b/>
          <w:bCs/>
          <w:snapToGrid w:val="0"/>
          <w:sz w:val="22"/>
          <w:szCs w:val="22"/>
          <w:lang w:eastAsia="x-none"/>
        </w:rPr>
        <w:lastRenderedPageBreak/>
        <w:t>Nutraukite vaisto vartojimą ir nedelsdami kreipkitės į gydytoją, jeigu pasireiškia kuris nors toliau išvardytas šalutinis poveikis:</w:t>
      </w:r>
    </w:p>
    <w:p w14:paraId="4BA14D4A"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061EF45E"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6C915D83"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1FBD609B"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3F2FD115"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2874E401"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275BB7E2"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04AA1174"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0B6C3309" w14:textId="77777777" w:rsidR="004F2E63" w:rsidRDefault="004F2E63" w:rsidP="004F2E63">
      <w:pPr>
        <w:numPr>
          <w:ilvl w:val="0"/>
          <w:numId w:val="5"/>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50EE93F8" w14:textId="77777777" w:rsidR="004F2E63" w:rsidRDefault="004F2E63" w:rsidP="004F2E63">
      <w:pPr>
        <w:rPr>
          <w:snapToGrid w:val="0"/>
          <w:sz w:val="22"/>
          <w:szCs w:val="22"/>
          <w:lang w:eastAsia="en-US"/>
        </w:rPr>
      </w:pPr>
    </w:p>
    <w:p w14:paraId="6BAF77AB" w14:textId="77777777" w:rsidR="004F2E63" w:rsidRDefault="004F2E63" w:rsidP="004F2E63">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458ECE83" w14:textId="77777777" w:rsidR="004F2E63" w:rsidRDefault="004F2E63" w:rsidP="004F2E63">
      <w:pPr>
        <w:numPr>
          <w:ilvl w:val="12"/>
          <w:numId w:val="0"/>
        </w:numPr>
        <w:rPr>
          <w:snapToGrid w:val="0"/>
          <w:sz w:val="22"/>
          <w:szCs w:val="22"/>
          <w:lang w:eastAsia="en-US"/>
        </w:rPr>
      </w:pPr>
    </w:p>
    <w:p w14:paraId="129546F1" w14:textId="77777777" w:rsidR="004F2E63" w:rsidRDefault="004F2E63" w:rsidP="004F2E63">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03CF4CBE" w14:textId="77777777" w:rsidR="004F2E63" w:rsidRDefault="004F2E63" w:rsidP="004F2E63">
      <w:pPr>
        <w:numPr>
          <w:ilvl w:val="12"/>
          <w:numId w:val="0"/>
        </w:numPr>
        <w:rPr>
          <w:snapToGrid w:val="0"/>
          <w:sz w:val="22"/>
          <w:szCs w:val="22"/>
          <w:lang w:eastAsia="en-US"/>
        </w:rPr>
      </w:pPr>
    </w:p>
    <w:p w14:paraId="42BFC98C" w14:textId="77777777" w:rsidR="004F2E63" w:rsidRDefault="004F2E63" w:rsidP="004F2E63">
      <w:pPr>
        <w:numPr>
          <w:ilvl w:val="12"/>
          <w:numId w:val="0"/>
        </w:numPr>
        <w:ind w:right="-29"/>
        <w:rPr>
          <w:b/>
          <w:sz w:val="22"/>
        </w:rPr>
      </w:pPr>
      <w:r>
        <w:rPr>
          <w:b/>
          <w:sz w:val="22"/>
        </w:rPr>
        <w:t>Labai dažni šalutinio poveikio reiškiniai (gali pasireikšti ne rečiau kaip 1 iš 10 asmenų):</w:t>
      </w:r>
    </w:p>
    <w:p w14:paraId="52A3E65C" w14:textId="77777777" w:rsidR="004F2E63" w:rsidRDefault="004F2E63" w:rsidP="004F2E63">
      <w:pPr>
        <w:numPr>
          <w:ilvl w:val="0"/>
          <w:numId w:val="5"/>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74C943D7" w14:textId="77777777" w:rsidR="004F2E63" w:rsidRDefault="004F2E63" w:rsidP="004F2E63">
      <w:pPr>
        <w:jc w:val="both"/>
        <w:rPr>
          <w:bCs/>
          <w:snapToGrid w:val="0"/>
          <w:color w:val="000000"/>
          <w:sz w:val="22"/>
          <w:szCs w:val="22"/>
          <w:lang w:eastAsia="en-US"/>
        </w:rPr>
      </w:pPr>
    </w:p>
    <w:p w14:paraId="683C88F0" w14:textId="77777777" w:rsidR="004F2E63" w:rsidRDefault="004F2E63" w:rsidP="004F2E63">
      <w:pPr>
        <w:numPr>
          <w:ilvl w:val="12"/>
          <w:numId w:val="0"/>
        </w:numPr>
        <w:ind w:right="-29"/>
        <w:rPr>
          <w:b/>
          <w:sz w:val="22"/>
        </w:rPr>
      </w:pPr>
      <w:r>
        <w:rPr>
          <w:b/>
          <w:sz w:val="22"/>
        </w:rPr>
        <w:t>Dažni šalutinio poveikio reiškiniai (gali pasireikšti rečiau kaip 1 iš 10 asmenų):</w:t>
      </w:r>
    </w:p>
    <w:p w14:paraId="755E4683"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3CC3FBF0"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45A4F2D7"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6404F4F9"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2D36F09D"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2FB9900D"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7CD81477"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08961FF5"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02549DE6"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033A3442"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6AF38831"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1BBCA3D4"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2EE5BABB"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alerginės reakcijos, tokios kaip odos bėrimas, niežėjimas;</w:t>
      </w:r>
    </w:p>
    <w:p w14:paraId="3E39730C"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3CFF6867"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2D55177A"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347277EA" w14:textId="77777777" w:rsidR="004F2E63" w:rsidRDefault="004F2E63" w:rsidP="004F2E63">
      <w:pPr>
        <w:jc w:val="both"/>
        <w:rPr>
          <w:bCs/>
          <w:snapToGrid w:val="0"/>
          <w:color w:val="000000"/>
          <w:sz w:val="22"/>
          <w:szCs w:val="22"/>
          <w:lang w:eastAsia="en-US"/>
        </w:rPr>
      </w:pPr>
    </w:p>
    <w:p w14:paraId="266F289F" w14:textId="77777777" w:rsidR="004F2E63" w:rsidRDefault="004F2E63" w:rsidP="004F2E63">
      <w:pPr>
        <w:tabs>
          <w:tab w:val="left" w:pos="567"/>
        </w:tabs>
        <w:rPr>
          <w:b/>
          <w:sz w:val="22"/>
        </w:rPr>
      </w:pPr>
      <w:r>
        <w:rPr>
          <w:b/>
          <w:sz w:val="22"/>
        </w:rPr>
        <w:t>Nedažni šalutinio poveikio reiškiniai (gali pasireikšti rečiau kaip 1 iš 100 asmenų):</w:t>
      </w:r>
    </w:p>
    <w:p w14:paraId="117622B9"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nuotaikų kaita;</w:t>
      </w:r>
    </w:p>
    <w:p w14:paraId="7C1EC734"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lastRenderedPageBreak/>
        <w:t>miego sutrikimai;</w:t>
      </w:r>
    </w:p>
    <w:p w14:paraId="43CD1857"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2E2BA496"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5B55E64F"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09713A0C"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57CC8D90"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5D5FB7C9"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3C1A7821"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5E7F6938"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58F48460"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37873A75"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59DA5D57"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293BAD58"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7175E188"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525A1312"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649A6C55"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133AEE12"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56CBDF50"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6642D16F"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2C697335"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64757099"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086D8E34"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6DF51497"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6E23CB6E"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6E402E6C"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2F41E1FE" w14:textId="77777777" w:rsidR="004F2E63" w:rsidRDefault="004F2E63" w:rsidP="004F2E63">
      <w:pPr>
        <w:jc w:val="both"/>
        <w:rPr>
          <w:snapToGrid w:val="0"/>
          <w:color w:val="000000"/>
          <w:sz w:val="22"/>
          <w:szCs w:val="22"/>
          <w:lang w:eastAsia="en-US"/>
        </w:rPr>
      </w:pPr>
    </w:p>
    <w:p w14:paraId="0D879163" w14:textId="77777777" w:rsidR="004F2E63" w:rsidRDefault="004F2E63" w:rsidP="004F2E63">
      <w:pPr>
        <w:jc w:val="both"/>
        <w:rPr>
          <w:b/>
          <w:color w:val="000000"/>
          <w:sz w:val="22"/>
        </w:rPr>
      </w:pPr>
      <w:r>
        <w:rPr>
          <w:b/>
          <w:color w:val="000000"/>
          <w:sz w:val="22"/>
        </w:rPr>
        <w:t>Reti šalutinio poveikio reiškiniai (</w:t>
      </w:r>
      <w:r>
        <w:rPr>
          <w:b/>
          <w:sz w:val="22"/>
        </w:rPr>
        <w:t>gali pasireikšti rečiau kaip 1 iš 1 000 asmenų</w:t>
      </w:r>
      <w:r>
        <w:rPr>
          <w:b/>
          <w:color w:val="000000"/>
          <w:sz w:val="22"/>
        </w:rPr>
        <w:t>):</w:t>
      </w:r>
    </w:p>
    <w:p w14:paraId="24E13AB7"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6F963759" w14:textId="77777777" w:rsidR="004F2E63" w:rsidRDefault="004F2E63" w:rsidP="004F2E63">
      <w:pPr>
        <w:numPr>
          <w:ilvl w:val="0"/>
          <w:numId w:val="5"/>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70D64C5D" w14:textId="77777777" w:rsidR="004F2E63" w:rsidRDefault="004F2E63" w:rsidP="004F2E63">
      <w:pPr>
        <w:numPr>
          <w:ilvl w:val="0"/>
          <w:numId w:val="5"/>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683C6F83" w14:textId="77777777" w:rsidR="004F2E63" w:rsidRDefault="004F2E63" w:rsidP="004F2E63">
      <w:pPr>
        <w:numPr>
          <w:ilvl w:val="0"/>
          <w:numId w:val="5"/>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718EEBCC"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12F8F0F1"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733FFC87"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78C7C2F9"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228FB515"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7E22AC62"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133C2FEE"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0707688C"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42428758" w14:textId="77777777" w:rsidR="004F2E63" w:rsidRDefault="004F2E63" w:rsidP="004F2E63">
      <w:pPr>
        <w:tabs>
          <w:tab w:val="left" w:pos="960"/>
        </w:tabs>
        <w:jc w:val="both"/>
        <w:rPr>
          <w:snapToGrid w:val="0"/>
          <w:color w:val="000000"/>
          <w:sz w:val="22"/>
          <w:szCs w:val="22"/>
          <w:lang w:eastAsia="en-US"/>
        </w:rPr>
      </w:pPr>
    </w:p>
    <w:p w14:paraId="0D4F158F" w14:textId="77777777" w:rsidR="004F2E63" w:rsidRDefault="004F2E63" w:rsidP="004F2E63">
      <w:pPr>
        <w:jc w:val="both"/>
        <w:rPr>
          <w:b/>
          <w:color w:val="000000"/>
          <w:sz w:val="22"/>
        </w:rPr>
      </w:pPr>
      <w:r>
        <w:rPr>
          <w:b/>
          <w:color w:val="000000"/>
          <w:sz w:val="22"/>
        </w:rPr>
        <w:t>Labai reti šalutinio poveikio reiškiniai (</w:t>
      </w:r>
      <w:r>
        <w:rPr>
          <w:b/>
          <w:sz w:val="22"/>
        </w:rPr>
        <w:t>gali pasireikšti rečiau kaip 1 iš 10</w:t>
      </w:r>
      <w:r>
        <w:rPr>
          <w:b/>
          <w:snapToGrid w:val="0"/>
          <w:sz w:val="22"/>
          <w:szCs w:val="22"/>
          <w:lang w:eastAsia="en-US"/>
        </w:rPr>
        <w:t> </w:t>
      </w:r>
      <w:r>
        <w:rPr>
          <w:b/>
          <w:sz w:val="22"/>
        </w:rPr>
        <w:t>000 asmenų</w:t>
      </w:r>
      <w:r>
        <w:rPr>
          <w:b/>
          <w:color w:val="000000"/>
          <w:sz w:val="22"/>
        </w:rPr>
        <w:t xml:space="preserve">): </w:t>
      </w:r>
    </w:p>
    <w:p w14:paraId="2DFAD994"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sumišimas;</w:t>
      </w:r>
    </w:p>
    <w:p w14:paraId="0B79D950"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5C927DAB"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7AEBFE61"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4A8AD9B5"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4BCEC201"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55F5849E"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lastRenderedPageBreak/>
        <w:t>kraujo rodmenų pokyčiai, pvz., mažas baltųjų ir raudonųjų kraujo ląstelių kiekis, hemoglobino rodmens sumažėjimas, mažas trombocitų kiekis.</w:t>
      </w:r>
    </w:p>
    <w:p w14:paraId="46ED7C96" w14:textId="77777777" w:rsidR="004F2E63" w:rsidRDefault="004F2E63" w:rsidP="004F2E63">
      <w:pPr>
        <w:tabs>
          <w:tab w:val="left" w:pos="567"/>
        </w:tabs>
        <w:rPr>
          <w:snapToGrid w:val="0"/>
          <w:sz w:val="22"/>
          <w:szCs w:val="22"/>
          <w:lang w:eastAsia="en-US"/>
        </w:rPr>
      </w:pPr>
    </w:p>
    <w:p w14:paraId="1FD16282" w14:textId="77777777" w:rsidR="004F2E63" w:rsidRDefault="004F2E63" w:rsidP="004F2E63">
      <w:pPr>
        <w:jc w:val="both"/>
        <w:rPr>
          <w:b/>
          <w:color w:val="000000"/>
          <w:sz w:val="22"/>
        </w:rPr>
      </w:pPr>
      <w:r>
        <w:rPr>
          <w:b/>
          <w:color w:val="000000"/>
          <w:sz w:val="22"/>
        </w:rPr>
        <w:t>Šalutinio poveikio reiškiniai, kurių dažnis nežinomas (negali būti apskaičiuotas pagal turimus duomenis):</w:t>
      </w:r>
    </w:p>
    <w:p w14:paraId="3EBCCACD" w14:textId="77777777" w:rsidR="004F2E63" w:rsidRDefault="004F2E63" w:rsidP="004F2E63">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6BBCEF70" w14:textId="77777777" w:rsidR="004F2E63" w:rsidRDefault="004F2E63" w:rsidP="004F2E63">
      <w:pPr>
        <w:jc w:val="both"/>
        <w:rPr>
          <w:rFonts w:eastAsia="Calibri"/>
          <w:sz w:val="22"/>
          <w:szCs w:val="22"/>
          <w:lang w:eastAsia="en-US"/>
        </w:rPr>
      </w:pPr>
    </w:p>
    <w:p w14:paraId="4A3A9B24" w14:textId="77777777" w:rsidR="004F2E63" w:rsidRDefault="004F2E63" w:rsidP="004F2E63">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455E8CDE" w14:textId="77777777" w:rsidR="004F2E63" w:rsidRDefault="004F2E63" w:rsidP="004F2E63">
      <w:pPr>
        <w:jc w:val="both"/>
        <w:rPr>
          <w:sz w:val="22"/>
          <w:szCs w:val="22"/>
          <w:lang w:eastAsia="lt-LT"/>
        </w:rPr>
      </w:pPr>
    </w:p>
    <w:p w14:paraId="574F03DA" w14:textId="77777777" w:rsidR="004F2E63" w:rsidRDefault="004F2E63" w:rsidP="004F2E63">
      <w:pPr>
        <w:jc w:val="both"/>
        <w:rPr>
          <w:sz w:val="22"/>
          <w:szCs w:val="22"/>
          <w:lang w:eastAsia="lt-LT"/>
        </w:rPr>
      </w:pPr>
      <w:r>
        <w:rPr>
          <w:b/>
          <w:bCs/>
          <w:sz w:val="22"/>
          <w:szCs w:val="22"/>
          <w:lang w:eastAsia="lt-LT"/>
        </w:rPr>
        <w:t>Pranešimas apie šalutinį poveikį</w:t>
      </w:r>
    </w:p>
    <w:p w14:paraId="0D53AEEB" w14:textId="77777777" w:rsidR="004F2E63" w:rsidRDefault="004F2E63" w:rsidP="004F2E63">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5E6A365A" w14:textId="77777777" w:rsidR="004F2E63" w:rsidRDefault="004F2E63" w:rsidP="004F2E63">
      <w:pPr>
        <w:tabs>
          <w:tab w:val="left" w:pos="567"/>
        </w:tabs>
        <w:ind w:right="-449"/>
        <w:rPr>
          <w:sz w:val="22"/>
          <w:lang w:eastAsia="en-US"/>
        </w:rPr>
      </w:pPr>
    </w:p>
    <w:p w14:paraId="2BB3F164" w14:textId="77777777" w:rsidR="004F2E63" w:rsidRDefault="004F2E63" w:rsidP="004F2E63">
      <w:pPr>
        <w:tabs>
          <w:tab w:val="left" w:pos="567"/>
        </w:tabs>
        <w:ind w:right="-449"/>
        <w:rPr>
          <w:sz w:val="22"/>
          <w:lang w:eastAsia="en-US"/>
        </w:rPr>
      </w:pPr>
    </w:p>
    <w:p w14:paraId="314042E0" w14:textId="77777777" w:rsidR="004F2E63" w:rsidRDefault="004F2E63" w:rsidP="004F2E63">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Balutar</w:t>
      </w:r>
      <w:proofErr w:type="spellEnd"/>
    </w:p>
    <w:p w14:paraId="09525209" w14:textId="77777777" w:rsidR="004F2E63" w:rsidRDefault="004F2E63" w:rsidP="004F2E63">
      <w:pPr>
        <w:numPr>
          <w:ilvl w:val="12"/>
          <w:numId w:val="0"/>
        </w:numPr>
        <w:ind w:right="-2"/>
        <w:rPr>
          <w:sz w:val="22"/>
          <w:lang w:eastAsia="en-US"/>
        </w:rPr>
      </w:pPr>
    </w:p>
    <w:p w14:paraId="3621E1C3" w14:textId="77777777" w:rsidR="004F2E63" w:rsidRDefault="004F2E63" w:rsidP="004F2E63">
      <w:pPr>
        <w:numPr>
          <w:ilvl w:val="12"/>
          <w:numId w:val="0"/>
        </w:numPr>
        <w:ind w:right="-2"/>
        <w:rPr>
          <w:sz w:val="22"/>
          <w:lang w:eastAsia="en-US"/>
        </w:rPr>
      </w:pPr>
      <w:r>
        <w:rPr>
          <w:sz w:val="22"/>
          <w:lang w:eastAsia="en-US"/>
        </w:rPr>
        <w:t>Šį vaistą laikykite vaikams nepastebimoje ir nepasiekiamoje vietoje.</w:t>
      </w:r>
    </w:p>
    <w:p w14:paraId="4CDEBC0C" w14:textId="77777777" w:rsidR="004F2E63" w:rsidRDefault="004F2E63" w:rsidP="004F2E63">
      <w:pPr>
        <w:numPr>
          <w:ilvl w:val="12"/>
          <w:numId w:val="0"/>
        </w:numPr>
        <w:ind w:right="-2"/>
        <w:rPr>
          <w:sz w:val="22"/>
          <w:lang w:eastAsia="en-US"/>
        </w:rPr>
      </w:pPr>
    </w:p>
    <w:p w14:paraId="17E0F9C5" w14:textId="77777777" w:rsidR="004F2E63" w:rsidRDefault="004F2E63" w:rsidP="004F2E63">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2CDAB324" w14:textId="77777777" w:rsidR="004F2E63" w:rsidRDefault="004F2E63" w:rsidP="004F2E63">
      <w:pPr>
        <w:numPr>
          <w:ilvl w:val="12"/>
          <w:numId w:val="0"/>
        </w:numPr>
        <w:ind w:right="-2"/>
        <w:rPr>
          <w:sz w:val="22"/>
          <w:lang w:eastAsia="en-US"/>
        </w:rPr>
      </w:pPr>
    </w:p>
    <w:p w14:paraId="5D1724DF" w14:textId="77777777" w:rsidR="004F2E63" w:rsidRDefault="004F2E63" w:rsidP="004F2E63">
      <w:pPr>
        <w:numPr>
          <w:ilvl w:val="12"/>
          <w:numId w:val="0"/>
        </w:numPr>
        <w:ind w:right="-2"/>
        <w:rPr>
          <w:sz w:val="22"/>
          <w:lang w:eastAsia="en-US"/>
        </w:rPr>
      </w:pPr>
      <w:r>
        <w:rPr>
          <w:sz w:val="22"/>
          <w:lang w:eastAsia="en-US"/>
        </w:rPr>
        <w:t>Laikyti gamintojo pakuotėje, kad vaistas būtų apsaugotas nuo drėgmės.</w:t>
      </w:r>
    </w:p>
    <w:p w14:paraId="5BEE7313" w14:textId="77777777" w:rsidR="004F2E63" w:rsidRDefault="004F2E63" w:rsidP="004F2E63">
      <w:pPr>
        <w:numPr>
          <w:ilvl w:val="12"/>
          <w:numId w:val="0"/>
        </w:numPr>
        <w:ind w:right="-2"/>
        <w:rPr>
          <w:sz w:val="22"/>
          <w:lang w:eastAsia="en-US"/>
        </w:rPr>
      </w:pPr>
      <w:r>
        <w:rPr>
          <w:sz w:val="22"/>
          <w:lang w:eastAsia="en-US"/>
        </w:rPr>
        <w:t>Šio vaisto laikymui specialių temperatūros sąlygų nereikalaujama.</w:t>
      </w:r>
    </w:p>
    <w:p w14:paraId="65C1879A" w14:textId="77777777" w:rsidR="004F2E63" w:rsidRDefault="004F2E63" w:rsidP="004F2E63">
      <w:pPr>
        <w:numPr>
          <w:ilvl w:val="12"/>
          <w:numId w:val="0"/>
        </w:numPr>
        <w:ind w:right="-2"/>
        <w:rPr>
          <w:sz w:val="22"/>
          <w:lang w:eastAsia="en-US"/>
        </w:rPr>
      </w:pPr>
    </w:p>
    <w:p w14:paraId="4C7C07C5" w14:textId="77777777" w:rsidR="004F2E63" w:rsidRDefault="004F2E63" w:rsidP="004F2E63">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4D42EED3" w14:textId="77777777" w:rsidR="004F2E63" w:rsidRDefault="004F2E63" w:rsidP="004F2E63">
      <w:pPr>
        <w:numPr>
          <w:ilvl w:val="12"/>
          <w:numId w:val="0"/>
        </w:numPr>
        <w:ind w:right="-2"/>
        <w:rPr>
          <w:sz w:val="22"/>
          <w:lang w:eastAsia="en-US"/>
        </w:rPr>
      </w:pPr>
    </w:p>
    <w:p w14:paraId="1BD101D3" w14:textId="77777777" w:rsidR="004F2E63" w:rsidRDefault="004F2E63" w:rsidP="004F2E63">
      <w:pPr>
        <w:numPr>
          <w:ilvl w:val="12"/>
          <w:numId w:val="0"/>
        </w:numPr>
        <w:ind w:right="-2"/>
        <w:rPr>
          <w:sz w:val="22"/>
          <w:lang w:eastAsia="en-US"/>
        </w:rPr>
      </w:pPr>
    </w:p>
    <w:p w14:paraId="3C3FC814" w14:textId="77777777" w:rsidR="004F2E63" w:rsidRDefault="004F2E63" w:rsidP="004F2E63">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75EB8B97" w14:textId="77777777" w:rsidR="004F2E63" w:rsidRDefault="004F2E63" w:rsidP="004F2E63">
      <w:pPr>
        <w:numPr>
          <w:ilvl w:val="12"/>
          <w:numId w:val="0"/>
        </w:numPr>
        <w:rPr>
          <w:sz w:val="22"/>
          <w:lang w:eastAsia="en-US"/>
        </w:rPr>
      </w:pPr>
    </w:p>
    <w:p w14:paraId="6857285F" w14:textId="77777777" w:rsidR="004F2E63" w:rsidRDefault="004F2E63" w:rsidP="004F2E63">
      <w:pPr>
        <w:jc w:val="both"/>
        <w:rPr>
          <w:b/>
          <w:bCs/>
          <w:sz w:val="22"/>
          <w:szCs w:val="22"/>
          <w:lang w:eastAsia="lt-LT"/>
        </w:rPr>
      </w:pPr>
      <w:proofErr w:type="spellStart"/>
      <w:r>
        <w:rPr>
          <w:b/>
          <w:bCs/>
          <w:sz w:val="22"/>
          <w:szCs w:val="26"/>
          <w:lang w:eastAsia="x-none"/>
        </w:rPr>
        <w:t>Balutar</w:t>
      </w:r>
      <w:proofErr w:type="spellEnd"/>
      <w:r>
        <w:rPr>
          <w:b/>
          <w:bCs/>
          <w:sz w:val="22"/>
          <w:szCs w:val="22"/>
          <w:lang w:eastAsia="lt-LT"/>
        </w:rPr>
        <w:t xml:space="preserve"> sudėtis</w:t>
      </w:r>
    </w:p>
    <w:p w14:paraId="72B4C2EA" w14:textId="77777777" w:rsidR="004F2E63" w:rsidRDefault="004F2E63" w:rsidP="004F2E63">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1BA67542" w14:textId="77777777" w:rsidR="004F2E63" w:rsidRDefault="004F2E63" w:rsidP="004F2E63">
      <w:pPr>
        <w:jc w:val="both"/>
        <w:rPr>
          <w:sz w:val="22"/>
          <w:szCs w:val="22"/>
          <w:lang w:eastAsia="lt-LT"/>
        </w:rPr>
      </w:pPr>
      <w:r>
        <w:rPr>
          <w:sz w:val="22"/>
          <w:szCs w:val="22"/>
          <w:lang w:eastAsia="lt-LT"/>
        </w:rPr>
        <w:t xml:space="preserve">Kiekvienoje tabletėje yra 5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4,24 mg </w:t>
      </w:r>
      <w:proofErr w:type="spellStart"/>
      <w:r>
        <w:rPr>
          <w:sz w:val="22"/>
          <w:szCs w:val="22"/>
          <w:lang w:eastAsia="lt-LT"/>
        </w:rPr>
        <w:t>bizoprololio</w:t>
      </w:r>
      <w:proofErr w:type="spellEnd"/>
      <w:r>
        <w:rPr>
          <w:sz w:val="22"/>
          <w:szCs w:val="22"/>
          <w:lang w:eastAsia="lt-LT"/>
        </w:rPr>
        <w:t xml:space="preserve">) ir 10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6,790 mg </w:t>
      </w:r>
      <w:proofErr w:type="spellStart"/>
      <w:r>
        <w:rPr>
          <w:sz w:val="22"/>
          <w:szCs w:val="22"/>
          <w:lang w:eastAsia="lt-LT"/>
        </w:rPr>
        <w:t>perindoprilio</w:t>
      </w:r>
      <w:proofErr w:type="spellEnd"/>
      <w:r>
        <w:rPr>
          <w:sz w:val="22"/>
          <w:szCs w:val="22"/>
          <w:lang w:eastAsia="lt-LT"/>
        </w:rPr>
        <w:t>).</w:t>
      </w:r>
    </w:p>
    <w:p w14:paraId="5BED2E54" w14:textId="77777777" w:rsidR="004F2E63" w:rsidRDefault="004F2E63" w:rsidP="004F2E63">
      <w:pPr>
        <w:jc w:val="both"/>
        <w:rPr>
          <w:sz w:val="22"/>
          <w:szCs w:val="22"/>
          <w:lang w:eastAsia="lt-LT"/>
        </w:rPr>
      </w:pPr>
    </w:p>
    <w:p w14:paraId="3517460D" w14:textId="77777777" w:rsidR="004F2E63" w:rsidRDefault="004F2E63" w:rsidP="004F2E63">
      <w:pPr>
        <w:numPr>
          <w:ilvl w:val="0"/>
          <w:numId w:val="5"/>
        </w:numPr>
        <w:tabs>
          <w:tab w:val="left" w:pos="567"/>
        </w:tabs>
        <w:spacing w:line="260" w:lineRule="exact"/>
        <w:ind w:left="567" w:hanging="567"/>
        <w:jc w:val="both"/>
        <w:rPr>
          <w:sz w:val="22"/>
          <w:szCs w:val="22"/>
          <w:lang w:eastAsia="lt-LT"/>
        </w:rPr>
      </w:pPr>
      <w:r>
        <w:rPr>
          <w:sz w:val="22"/>
          <w:szCs w:val="22"/>
          <w:lang w:eastAsia="lt-LT"/>
        </w:rPr>
        <w:t>Pagalbinės medžiagos</w:t>
      </w:r>
    </w:p>
    <w:p w14:paraId="58E72C06" w14:textId="77777777" w:rsidR="004F2E63" w:rsidRDefault="004F2E63" w:rsidP="004F2E63">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3790D113" w14:textId="77777777" w:rsidR="004F2E63" w:rsidRDefault="004F2E63" w:rsidP="004F2E63">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raudonasis geležies oksidas (E172). Žr. 2 skyrių „</w:t>
      </w:r>
      <w:proofErr w:type="spellStart"/>
      <w:r>
        <w:rPr>
          <w:sz w:val="22"/>
          <w:szCs w:val="22"/>
          <w:lang w:eastAsia="lt-LT"/>
        </w:rPr>
        <w:t>Balutar</w:t>
      </w:r>
      <w:proofErr w:type="spellEnd"/>
      <w:r>
        <w:rPr>
          <w:sz w:val="22"/>
          <w:szCs w:val="22"/>
          <w:lang w:eastAsia="lt-LT"/>
        </w:rPr>
        <w:t xml:space="preserve"> sudėtyje yra natrio ir laktozės“.</w:t>
      </w:r>
    </w:p>
    <w:p w14:paraId="49B19926" w14:textId="77777777" w:rsidR="004F2E63" w:rsidRDefault="004F2E63" w:rsidP="004F2E63">
      <w:pPr>
        <w:jc w:val="both"/>
        <w:rPr>
          <w:sz w:val="22"/>
          <w:szCs w:val="22"/>
          <w:lang w:eastAsia="lt-LT"/>
        </w:rPr>
      </w:pPr>
    </w:p>
    <w:p w14:paraId="3D4D1914" w14:textId="77777777" w:rsidR="004F2E63" w:rsidRDefault="004F2E63" w:rsidP="004F2E63">
      <w:pPr>
        <w:jc w:val="both"/>
        <w:rPr>
          <w:b/>
          <w:bCs/>
          <w:sz w:val="22"/>
          <w:szCs w:val="22"/>
          <w:lang w:eastAsia="lt-LT"/>
        </w:rPr>
      </w:pPr>
      <w:proofErr w:type="spellStart"/>
      <w:r>
        <w:rPr>
          <w:b/>
          <w:bCs/>
          <w:sz w:val="22"/>
          <w:szCs w:val="22"/>
          <w:lang w:eastAsia="lt-LT"/>
        </w:rPr>
        <w:t>Balutar</w:t>
      </w:r>
      <w:proofErr w:type="spellEnd"/>
      <w:r>
        <w:rPr>
          <w:b/>
          <w:bCs/>
          <w:sz w:val="22"/>
          <w:szCs w:val="22"/>
          <w:lang w:eastAsia="lt-LT"/>
        </w:rPr>
        <w:t xml:space="preserve"> išvaizda ir kiekis pakuotėje</w:t>
      </w:r>
    </w:p>
    <w:p w14:paraId="51C7D8AD" w14:textId="77777777" w:rsidR="004F2E63" w:rsidRDefault="004F2E63" w:rsidP="004F2E63">
      <w:pPr>
        <w:widowControl w:val="0"/>
        <w:numPr>
          <w:ilvl w:val="12"/>
          <w:numId w:val="0"/>
        </w:numPr>
        <w:ind w:right="-2"/>
        <w:rPr>
          <w:bCs/>
          <w:sz w:val="22"/>
          <w:szCs w:val="22"/>
          <w:lang w:eastAsia="en-US"/>
        </w:rPr>
      </w:pPr>
    </w:p>
    <w:p w14:paraId="7AD03877" w14:textId="77777777" w:rsidR="004F2E63" w:rsidRDefault="004F2E63" w:rsidP="004F2E6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Šviesiai rausvos, ovalios, abipus išgaubtos, plėvele dengtos tabletės, kurių vienoje pusėje yra vagelė. Vienoje vagelės pusėje yra žymė B, o kitoje – 3. Tabletės matmenys: maždaug 12 mm × 6 mm. Tabletę galima padalyti į lygias dozes.</w:t>
      </w:r>
    </w:p>
    <w:p w14:paraId="21132258" w14:textId="77777777" w:rsidR="004F2E63" w:rsidRDefault="004F2E63" w:rsidP="004F2E63">
      <w:pPr>
        <w:widowControl w:val="0"/>
        <w:numPr>
          <w:ilvl w:val="12"/>
          <w:numId w:val="0"/>
        </w:numPr>
        <w:ind w:right="-2"/>
        <w:rPr>
          <w:bCs/>
          <w:sz w:val="22"/>
          <w:szCs w:val="22"/>
          <w:highlight w:val="cyan"/>
          <w:lang w:eastAsia="en-US"/>
        </w:rPr>
      </w:pPr>
    </w:p>
    <w:p w14:paraId="76196035" w14:textId="77777777" w:rsidR="004F2E63" w:rsidRDefault="004F2E63" w:rsidP="004F2E63">
      <w:pPr>
        <w:widowControl w:val="0"/>
        <w:numPr>
          <w:ilvl w:val="12"/>
          <w:numId w:val="0"/>
        </w:numPr>
        <w:ind w:right="-2"/>
        <w:rPr>
          <w:sz w:val="22"/>
          <w:szCs w:val="22"/>
          <w:lang w:eastAsia="en-US"/>
        </w:rPr>
      </w:pPr>
      <w:proofErr w:type="spellStart"/>
      <w:r>
        <w:rPr>
          <w:bCs/>
          <w:sz w:val="22"/>
          <w:szCs w:val="22"/>
          <w:lang w:eastAsia="en-US"/>
        </w:rPr>
        <w:t>Balutar</w:t>
      </w:r>
      <w:proofErr w:type="spellEnd"/>
      <w:r>
        <w:rPr>
          <w:b/>
          <w:bCs/>
          <w:sz w:val="22"/>
          <w:szCs w:val="22"/>
          <w:lang w:eastAsia="en-US"/>
        </w:rPr>
        <w:t xml:space="preserve"> </w:t>
      </w:r>
      <w:r>
        <w:rPr>
          <w:sz w:val="22"/>
          <w:szCs w:val="22"/>
          <w:lang w:eastAsia="en-US"/>
        </w:rPr>
        <w:t>tiekiamas pakuotėse, kuriose yra:</w:t>
      </w:r>
    </w:p>
    <w:p w14:paraId="468CD414" w14:textId="77777777" w:rsidR="004F2E63" w:rsidRDefault="004F2E63" w:rsidP="004F2E63">
      <w:pPr>
        <w:widowControl w:val="0"/>
        <w:numPr>
          <w:ilvl w:val="0"/>
          <w:numId w:val="1"/>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23B0E2CD" w14:textId="77777777" w:rsidR="004F2E63" w:rsidRDefault="004F2E63" w:rsidP="004F2E63">
      <w:pPr>
        <w:widowControl w:val="0"/>
        <w:numPr>
          <w:ilvl w:val="0"/>
          <w:numId w:val="1"/>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53F99CA7" w14:textId="77777777" w:rsidR="004F2E63" w:rsidRDefault="004F2E63" w:rsidP="004F2E63">
      <w:pPr>
        <w:jc w:val="both"/>
        <w:rPr>
          <w:b/>
          <w:bCs/>
          <w:sz w:val="22"/>
          <w:szCs w:val="22"/>
          <w:lang w:eastAsia="lt-LT"/>
        </w:rPr>
      </w:pPr>
    </w:p>
    <w:p w14:paraId="29FB85C4" w14:textId="77777777" w:rsidR="004F2E63" w:rsidRDefault="004F2E63" w:rsidP="004F2E63">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3147748A" w14:textId="77777777" w:rsidR="004F2E63" w:rsidRDefault="004F2E63" w:rsidP="004F2E63">
      <w:pPr>
        <w:jc w:val="both"/>
        <w:rPr>
          <w:b/>
          <w:bCs/>
          <w:sz w:val="22"/>
          <w:szCs w:val="22"/>
          <w:lang w:eastAsia="lt-LT"/>
        </w:rPr>
      </w:pPr>
    </w:p>
    <w:p w14:paraId="1D4E9EC9" w14:textId="77777777" w:rsidR="004F2E63" w:rsidRDefault="004F2E63" w:rsidP="004F2E63">
      <w:pPr>
        <w:numPr>
          <w:ilvl w:val="12"/>
          <w:numId w:val="0"/>
        </w:numPr>
        <w:rPr>
          <w:rFonts w:eastAsia="Calibri"/>
          <w:sz w:val="22"/>
          <w:szCs w:val="22"/>
          <w:lang w:eastAsia="en-US"/>
        </w:rPr>
      </w:pPr>
    </w:p>
    <w:p w14:paraId="6C2E57E3" w14:textId="77777777" w:rsidR="004F2E63" w:rsidRDefault="004F2E63" w:rsidP="004F2E63">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48EE9B9F" w14:textId="77777777" w:rsidR="004F2E63" w:rsidRDefault="004F2E63" w:rsidP="004F2E63">
      <w:pPr>
        <w:numPr>
          <w:ilvl w:val="12"/>
          <w:numId w:val="0"/>
        </w:numPr>
        <w:rPr>
          <w:rFonts w:eastAsia="Calibri"/>
          <w:sz w:val="22"/>
          <w:szCs w:val="22"/>
          <w:lang w:eastAsia="en-US"/>
        </w:rPr>
      </w:pPr>
    </w:p>
    <w:p w14:paraId="04D4FBDB" w14:textId="77777777" w:rsidR="004F2E63" w:rsidRDefault="004F2E63" w:rsidP="004F2E63">
      <w:pPr>
        <w:numPr>
          <w:ilvl w:val="12"/>
          <w:numId w:val="0"/>
        </w:numPr>
        <w:rPr>
          <w:rFonts w:eastAsia="Calibri"/>
          <w:i/>
          <w:iCs/>
          <w:sz w:val="22"/>
          <w:szCs w:val="22"/>
          <w:lang w:eastAsia="en-US"/>
        </w:rPr>
      </w:pPr>
      <w:r>
        <w:rPr>
          <w:rFonts w:eastAsia="Calibri"/>
          <w:i/>
          <w:iCs/>
          <w:sz w:val="22"/>
          <w:szCs w:val="22"/>
          <w:lang w:eastAsia="en-US"/>
        </w:rPr>
        <w:t>Registruotojas</w:t>
      </w:r>
    </w:p>
    <w:p w14:paraId="79CEB2E8" w14:textId="77777777" w:rsidR="004F2E63" w:rsidRDefault="004F2E63" w:rsidP="004F2E63">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09B270E3" w14:textId="77777777" w:rsidR="004F2E63" w:rsidRDefault="004F2E63" w:rsidP="004F2E63">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1DA158A8" w14:textId="77777777" w:rsidR="004F2E63" w:rsidRDefault="004F2E63" w:rsidP="004F2E63">
      <w:pPr>
        <w:widowControl w:val="0"/>
        <w:rPr>
          <w:sz w:val="22"/>
          <w:szCs w:val="22"/>
          <w:lang w:eastAsia="en-US"/>
        </w:rPr>
      </w:pPr>
      <w:r>
        <w:rPr>
          <w:sz w:val="22"/>
          <w:szCs w:val="22"/>
          <w:lang w:eastAsia="en-US"/>
        </w:rPr>
        <w:t>8501 Novo mesto</w:t>
      </w:r>
    </w:p>
    <w:p w14:paraId="51D2F49B" w14:textId="77777777" w:rsidR="004F2E63" w:rsidRDefault="004F2E63" w:rsidP="004F2E63">
      <w:pPr>
        <w:widowControl w:val="0"/>
        <w:rPr>
          <w:sz w:val="22"/>
          <w:szCs w:val="22"/>
          <w:lang w:eastAsia="en-US"/>
        </w:rPr>
      </w:pPr>
      <w:r>
        <w:rPr>
          <w:sz w:val="22"/>
          <w:szCs w:val="22"/>
          <w:lang w:eastAsia="en-US"/>
        </w:rPr>
        <w:t>Slovėnija</w:t>
      </w:r>
    </w:p>
    <w:p w14:paraId="24FEB467" w14:textId="77777777" w:rsidR="004F2E63" w:rsidRDefault="004F2E63" w:rsidP="004F2E63">
      <w:pPr>
        <w:jc w:val="both"/>
        <w:rPr>
          <w:rFonts w:eastAsia="Calibri"/>
          <w:noProof/>
          <w:sz w:val="22"/>
          <w:szCs w:val="22"/>
          <w:lang w:eastAsia="en-US"/>
        </w:rPr>
      </w:pPr>
    </w:p>
    <w:p w14:paraId="5A5BA1F1" w14:textId="77777777" w:rsidR="004F2E63" w:rsidRDefault="004F2E63" w:rsidP="004F2E63">
      <w:pPr>
        <w:jc w:val="both"/>
        <w:rPr>
          <w:rFonts w:eastAsia="Calibri"/>
          <w:i/>
          <w:iCs/>
          <w:noProof/>
          <w:sz w:val="22"/>
          <w:szCs w:val="22"/>
          <w:lang w:eastAsia="en-US"/>
        </w:rPr>
      </w:pPr>
      <w:r>
        <w:rPr>
          <w:rFonts w:eastAsia="Calibri"/>
          <w:i/>
          <w:iCs/>
          <w:noProof/>
          <w:sz w:val="22"/>
          <w:szCs w:val="22"/>
          <w:lang w:eastAsia="en-US"/>
        </w:rPr>
        <w:t>Gamintojas</w:t>
      </w:r>
    </w:p>
    <w:p w14:paraId="0860822E" w14:textId="77777777" w:rsidR="004F2E63" w:rsidRDefault="004F2E63" w:rsidP="004F2E63">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796EDA33" w14:textId="77777777" w:rsidR="004F2E63" w:rsidRDefault="004F2E63" w:rsidP="004F2E63">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2CB5DF46" w14:textId="77777777" w:rsidR="004F2E63" w:rsidRDefault="004F2E63" w:rsidP="004F2E63">
      <w:pPr>
        <w:widowControl w:val="0"/>
        <w:rPr>
          <w:b/>
          <w:sz w:val="22"/>
          <w:szCs w:val="22"/>
          <w:lang w:eastAsia="sl-SI"/>
        </w:rPr>
      </w:pPr>
      <w:r>
        <w:rPr>
          <w:sz w:val="22"/>
          <w:szCs w:val="22"/>
          <w:lang w:eastAsia="sl-SI"/>
        </w:rPr>
        <w:t>8501 Novo mesto</w:t>
      </w:r>
    </w:p>
    <w:p w14:paraId="584346F0" w14:textId="77777777" w:rsidR="004F2E63" w:rsidRDefault="004F2E63" w:rsidP="004F2E63">
      <w:pPr>
        <w:widowControl w:val="0"/>
        <w:rPr>
          <w:b/>
          <w:sz w:val="22"/>
          <w:szCs w:val="22"/>
          <w:lang w:eastAsia="sl-SI"/>
        </w:rPr>
      </w:pPr>
      <w:r>
        <w:rPr>
          <w:sz w:val="22"/>
          <w:szCs w:val="22"/>
          <w:lang w:eastAsia="sl-SI"/>
        </w:rPr>
        <w:t>Slovėnija</w:t>
      </w:r>
    </w:p>
    <w:p w14:paraId="28053C1B" w14:textId="77777777" w:rsidR="004F2E63" w:rsidRDefault="004F2E63" w:rsidP="004F2E63">
      <w:pPr>
        <w:numPr>
          <w:ilvl w:val="12"/>
          <w:numId w:val="0"/>
        </w:numPr>
        <w:jc w:val="both"/>
        <w:rPr>
          <w:rFonts w:eastAsia="Calibri"/>
          <w:noProof/>
          <w:sz w:val="22"/>
          <w:szCs w:val="22"/>
          <w:lang w:eastAsia="en-US"/>
        </w:rPr>
      </w:pPr>
    </w:p>
    <w:p w14:paraId="6BDFA642" w14:textId="77777777" w:rsidR="004F2E63" w:rsidRDefault="004F2E63" w:rsidP="004F2E63">
      <w:pPr>
        <w:numPr>
          <w:ilvl w:val="12"/>
          <w:numId w:val="0"/>
        </w:numPr>
        <w:jc w:val="both"/>
        <w:rPr>
          <w:rFonts w:eastAsia="Calibri"/>
          <w:noProof/>
          <w:sz w:val="22"/>
          <w:szCs w:val="22"/>
          <w:lang w:eastAsia="en-US"/>
        </w:rPr>
      </w:pPr>
      <w:r>
        <w:rPr>
          <w:rFonts w:eastAsia="Calibri"/>
          <w:noProof/>
          <w:sz w:val="22"/>
          <w:szCs w:val="22"/>
          <w:lang w:eastAsia="en-US"/>
        </w:rPr>
        <w:t>arba</w:t>
      </w:r>
    </w:p>
    <w:p w14:paraId="7DFA12A1" w14:textId="77777777" w:rsidR="004F2E63" w:rsidRDefault="004F2E63" w:rsidP="004F2E63">
      <w:pPr>
        <w:numPr>
          <w:ilvl w:val="12"/>
          <w:numId w:val="0"/>
        </w:numPr>
        <w:jc w:val="both"/>
        <w:rPr>
          <w:rFonts w:eastAsia="Calibri"/>
          <w:noProof/>
          <w:sz w:val="22"/>
          <w:szCs w:val="22"/>
          <w:lang w:eastAsia="en-US"/>
        </w:rPr>
      </w:pPr>
    </w:p>
    <w:p w14:paraId="7DA9B6FA" w14:textId="77777777" w:rsidR="004F2E63" w:rsidRDefault="004F2E63" w:rsidP="004F2E63">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72DD84D6" w14:textId="77777777" w:rsidR="004F2E63" w:rsidRDefault="004F2E63" w:rsidP="004F2E63">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373DF4DD" w14:textId="77777777" w:rsidR="004F2E63" w:rsidRDefault="004F2E63" w:rsidP="004F2E63">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5EE78425" w14:textId="77777777" w:rsidR="004F2E63" w:rsidRDefault="004F2E63" w:rsidP="004F2E63">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72C572AE" w14:textId="77777777" w:rsidR="004F2E63" w:rsidRDefault="004F2E63" w:rsidP="004F2E63">
      <w:pPr>
        <w:numPr>
          <w:ilvl w:val="12"/>
          <w:numId w:val="0"/>
        </w:numPr>
        <w:rPr>
          <w:rFonts w:eastAsia="Calibri"/>
          <w:noProof/>
          <w:sz w:val="22"/>
          <w:szCs w:val="22"/>
          <w:lang w:eastAsia="en-US"/>
        </w:rPr>
      </w:pPr>
    </w:p>
    <w:p w14:paraId="1BCD64FD" w14:textId="77777777" w:rsidR="004F2E63" w:rsidRDefault="004F2E63" w:rsidP="004F2E63">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31A8076A" w14:textId="77777777" w:rsidR="004F2E63" w:rsidRDefault="004F2E63" w:rsidP="004F2E63">
      <w:pPr>
        <w:numPr>
          <w:ilvl w:val="12"/>
          <w:numId w:val="0"/>
        </w:numPr>
        <w:rPr>
          <w:rFonts w:eastAsia="Calibri"/>
          <w:noProof/>
          <w:sz w:val="22"/>
          <w:szCs w:val="22"/>
          <w:lang w:eastAsia="en-US"/>
        </w:rPr>
      </w:pPr>
    </w:p>
    <w:p w14:paraId="16314E9E" w14:textId="77777777" w:rsidR="004F2E63" w:rsidRDefault="004F2E63" w:rsidP="004F2E63">
      <w:pPr>
        <w:rPr>
          <w:rFonts w:eastAsia="Calibri"/>
          <w:noProof/>
          <w:sz w:val="22"/>
          <w:szCs w:val="22"/>
          <w:lang w:eastAsia="en-US"/>
        </w:rPr>
      </w:pPr>
      <w:r>
        <w:rPr>
          <w:rFonts w:eastAsia="Calibri"/>
          <w:noProof/>
          <w:sz w:val="22"/>
          <w:szCs w:val="22"/>
          <w:lang w:eastAsia="en-US"/>
        </w:rPr>
        <w:t>UAB KRKA Lietuva</w:t>
      </w:r>
    </w:p>
    <w:p w14:paraId="7CA1C675" w14:textId="77777777" w:rsidR="004F2E63" w:rsidRDefault="004F2E63" w:rsidP="004F2E63">
      <w:pPr>
        <w:rPr>
          <w:rFonts w:eastAsia="Calibri"/>
          <w:noProof/>
          <w:sz w:val="22"/>
          <w:szCs w:val="22"/>
          <w:lang w:eastAsia="en-US"/>
        </w:rPr>
      </w:pPr>
      <w:r>
        <w:rPr>
          <w:rFonts w:eastAsia="Calibri"/>
          <w:noProof/>
          <w:sz w:val="22"/>
          <w:szCs w:val="22"/>
          <w:lang w:eastAsia="en-US"/>
        </w:rPr>
        <w:t>Senasis Ukmergės kelias 4</w:t>
      </w:r>
    </w:p>
    <w:p w14:paraId="65476625" w14:textId="77777777" w:rsidR="004F2E63" w:rsidRDefault="004F2E63" w:rsidP="004F2E63">
      <w:pPr>
        <w:rPr>
          <w:rFonts w:eastAsia="Calibri"/>
          <w:noProof/>
          <w:sz w:val="22"/>
          <w:szCs w:val="22"/>
          <w:lang w:eastAsia="en-US"/>
        </w:rPr>
      </w:pPr>
      <w:r>
        <w:rPr>
          <w:rFonts w:eastAsia="Calibri"/>
          <w:noProof/>
          <w:sz w:val="22"/>
          <w:szCs w:val="22"/>
          <w:lang w:eastAsia="en-US"/>
        </w:rPr>
        <w:t>Užubalių km.,Vilniaus r.</w:t>
      </w:r>
    </w:p>
    <w:p w14:paraId="7F268C27" w14:textId="77777777" w:rsidR="004F2E63" w:rsidRDefault="004F2E63" w:rsidP="004F2E63">
      <w:pPr>
        <w:rPr>
          <w:rFonts w:eastAsia="Calibri"/>
          <w:noProof/>
          <w:sz w:val="22"/>
          <w:szCs w:val="22"/>
          <w:lang w:eastAsia="en-US"/>
        </w:rPr>
      </w:pPr>
      <w:r>
        <w:rPr>
          <w:rFonts w:eastAsia="Calibri"/>
          <w:noProof/>
          <w:sz w:val="22"/>
          <w:szCs w:val="22"/>
          <w:lang w:eastAsia="en-US"/>
        </w:rPr>
        <w:t>LT - 14013</w:t>
      </w:r>
    </w:p>
    <w:p w14:paraId="04DBB7E5" w14:textId="77777777" w:rsidR="004F2E63" w:rsidRDefault="004F2E63" w:rsidP="004F2E63">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7C2A8C40" w14:textId="77777777" w:rsidR="004F2E63" w:rsidRDefault="004F2E63" w:rsidP="004F2E63">
      <w:pPr>
        <w:rPr>
          <w:rFonts w:eastAsia="Calibri"/>
          <w:noProof/>
          <w:sz w:val="22"/>
          <w:szCs w:val="22"/>
          <w:lang w:eastAsia="en-US"/>
        </w:rPr>
      </w:pPr>
    </w:p>
    <w:p w14:paraId="07537F12" w14:textId="77777777" w:rsidR="004F2E63" w:rsidRDefault="004F2E63" w:rsidP="004F2E63">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4F2E63" w14:paraId="215E8014"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293E86EB" w14:textId="77777777" w:rsidR="004F2E63" w:rsidRDefault="004F2E63" w:rsidP="00FC2E29">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5ECAB3BF" w14:textId="77777777" w:rsidR="004F2E63" w:rsidRDefault="004F2E63" w:rsidP="00FC2E29">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4F2E63" w14:paraId="32686C54"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41644300" w14:textId="77777777" w:rsidR="004F2E63" w:rsidRDefault="004F2E63" w:rsidP="00FC2E29">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3E6B38A2" w14:textId="77777777" w:rsidR="004F2E63" w:rsidRDefault="004F2E63"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4F2E63" w14:paraId="16352D9B"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6B10A54F" w14:textId="77777777" w:rsidR="004F2E63" w:rsidRDefault="004F2E63" w:rsidP="00FC2E29">
            <w:pPr>
              <w:numPr>
                <w:ilvl w:val="12"/>
                <w:numId w:val="0"/>
              </w:numPr>
              <w:spacing w:line="259" w:lineRule="auto"/>
              <w:rPr>
                <w:rFonts w:eastAsia="Calibri"/>
                <w:bCs/>
                <w:sz w:val="22"/>
                <w:szCs w:val="22"/>
                <w:lang w:eastAsia="en-US"/>
              </w:rPr>
            </w:pPr>
            <w:r>
              <w:rPr>
                <w:rFonts w:eastAsia="Calibri"/>
                <w:bCs/>
                <w:sz w:val="22"/>
                <w:szCs w:val="22"/>
                <w:lang w:eastAsia="en-US"/>
              </w:rPr>
              <w:t>Čekija, Lenkija, Vengrija</w:t>
            </w:r>
          </w:p>
        </w:tc>
        <w:tc>
          <w:tcPr>
            <w:tcW w:w="4819" w:type="dxa"/>
            <w:tcBorders>
              <w:top w:val="single" w:sz="4" w:space="0" w:color="auto"/>
              <w:left w:val="single" w:sz="4" w:space="0" w:color="auto"/>
              <w:bottom w:val="single" w:sz="4" w:space="0" w:color="auto"/>
              <w:right w:val="single" w:sz="4" w:space="0" w:color="auto"/>
            </w:tcBorders>
            <w:hideMark/>
          </w:tcPr>
          <w:p w14:paraId="78A2BCE2" w14:textId="77777777" w:rsidR="004F2E63" w:rsidRDefault="004F2E63"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4F2E63" w14:paraId="53F231EF"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11233E65" w14:textId="77777777" w:rsidR="004F2E63" w:rsidRDefault="004F2E63" w:rsidP="00FC2E29">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101D6D2E" w14:textId="77777777" w:rsidR="004F2E63" w:rsidRDefault="004F2E63"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Balutar</w:t>
            </w:r>
            <w:proofErr w:type="spellEnd"/>
          </w:p>
        </w:tc>
      </w:tr>
      <w:tr w:rsidR="004F2E63" w14:paraId="1BE0D391" w14:textId="77777777" w:rsidTr="00FC2E29">
        <w:tc>
          <w:tcPr>
            <w:tcW w:w="3715" w:type="dxa"/>
            <w:tcBorders>
              <w:top w:val="single" w:sz="4" w:space="0" w:color="auto"/>
              <w:left w:val="single" w:sz="4" w:space="0" w:color="auto"/>
              <w:bottom w:val="single" w:sz="4" w:space="0" w:color="auto"/>
              <w:right w:val="single" w:sz="4" w:space="0" w:color="auto"/>
            </w:tcBorders>
          </w:tcPr>
          <w:p w14:paraId="0D728ED2" w14:textId="77777777" w:rsidR="004F2E63" w:rsidRDefault="004F2E63" w:rsidP="00FC2E29">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7EDDBE77" w14:textId="77777777" w:rsidR="004F2E63" w:rsidRDefault="004F2E63"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4F2E63" w14:paraId="1FBD2B43"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1B2130BA" w14:textId="77777777" w:rsidR="004F2E63" w:rsidRDefault="004F2E63" w:rsidP="00FC2E29">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63571B3F" w14:textId="77777777" w:rsidR="004F2E63" w:rsidRDefault="004F2E63"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4F2E63" w14:paraId="21075BAF"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373167FB" w14:textId="77777777" w:rsidR="004F2E63" w:rsidRDefault="004F2E63" w:rsidP="00FC2E29">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7D6EDC53" w14:textId="77777777" w:rsidR="004F2E63" w:rsidRDefault="004F2E63" w:rsidP="00FC2E29">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3255020C" w14:textId="77777777" w:rsidR="004F2E63" w:rsidRDefault="004F2E63" w:rsidP="004F2E63">
      <w:pPr>
        <w:numPr>
          <w:ilvl w:val="12"/>
          <w:numId w:val="0"/>
        </w:numPr>
        <w:spacing w:line="259" w:lineRule="auto"/>
        <w:rPr>
          <w:rFonts w:eastAsia="Calibri"/>
          <w:bCs/>
          <w:sz w:val="22"/>
          <w:szCs w:val="22"/>
          <w:lang w:eastAsia="en-US"/>
        </w:rPr>
      </w:pPr>
    </w:p>
    <w:p w14:paraId="023C460D" w14:textId="77777777" w:rsidR="004F2E63" w:rsidRDefault="004F2E63" w:rsidP="004F2E63">
      <w:pPr>
        <w:numPr>
          <w:ilvl w:val="12"/>
          <w:numId w:val="0"/>
        </w:numPr>
        <w:spacing w:line="259" w:lineRule="auto"/>
        <w:rPr>
          <w:rFonts w:eastAsia="Calibri"/>
          <w:bCs/>
          <w:sz w:val="22"/>
          <w:szCs w:val="22"/>
          <w:lang w:eastAsia="en-US"/>
        </w:rPr>
      </w:pPr>
    </w:p>
    <w:p w14:paraId="5D582355" w14:textId="77777777" w:rsidR="004F2E63" w:rsidRDefault="004F2E63" w:rsidP="004F2E63">
      <w:pPr>
        <w:numPr>
          <w:ilvl w:val="12"/>
          <w:numId w:val="0"/>
        </w:numPr>
        <w:rPr>
          <w:rFonts w:eastAsia="Calibri"/>
          <w:sz w:val="22"/>
          <w:szCs w:val="22"/>
          <w:lang w:eastAsia="en-US"/>
        </w:rPr>
      </w:pPr>
      <w:r>
        <w:rPr>
          <w:rFonts w:eastAsia="Calibri"/>
          <w:b/>
          <w:sz w:val="22"/>
          <w:szCs w:val="22"/>
          <w:lang w:eastAsia="en-US"/>
        </w:rPr>
        <w:t>Šis pakuotės lapelis paskutinį kartą peržiūrėtas 2026-02-12.</w:t>
      </w:r>
    </w:p>
    <w:p w14:paraId="19506015" w14:textId="77777777" w:rsidR="004F2E63" w:rsidRDefault="004F2E63" w:rsidP="004F2E63">
      <w:pPr>
        <w:numPr>
          <w:ilvl w:val="12"/>
          <w:numId w:val="0"/>
        </w:numPr>
        <w:rPr>
          <w:rFonts w:eastAsia="Calibri"/>
          <w:sz w:val="22"/>
          <w:szCs w:val="22"/>
          <w:lang w:eastAsia="en-US"/>
        </w:rPr>
      </w:pPr>
    </w:p>
    <w:p w14:paraId="3B82B4D6" w14:textId="77777777" w:rsidR="004F2E63" w:rsidRDefault="004F2E63" w:rsidP="004F2E63">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3" w:name="_Hlk173407610"/>
      <w:r>
        <w:rPr>
          <w:rFonts w:eastAsia="Calibri"/>
          <w:color w:val="0000EE"/>
          <w:sz w:val="22"/>
          <w:szCs w:val="22"/>
          <w:u w:val="single"/>
          <w:lang w:eastAsia="lt-LT"/>
        </w:rPr>
        <w:t>https://vvkt.lrv.lt/lt/</w:t>
      </w:r>
      <w:bookmarkEnd w:id="3"/>
      <w:r>
        <w:rPr>
          <w:rFonts w:eastAsia="Calibri"/>
          <w:sz w:val="22"/>
          <w:szCs w:val="22"/>
          <w:lang w:eastAsia="lt-LT"/>
        </w:rPr>
        <w:t>.</w:t>
      </w:r>
    </w:p>
    <w:p w14:paraId="206039DB" w14:textId="77777777" w:rsidR="004F2E63" w:rsidRDefault="004F2E63" w:rsidP="004F2E63">
      <w:pPr>
        <w:widowControl w:val="0"/>
        <w:rPr>
          <w:rFonts w:eastAsia="Calibri"/>
          <w:sz w:val="22"/>
          <w:szCs w:val="22"/>
          <w:lang w:eastAsia="en-US"/>
        </w:rPr>
      </w:pPr>
    </w:p>
    <w:p w14:paraId="26983E4F" w14:textId="77777777" w:rsidR="004F2E63" w:rsidRDefault="004F2E63" w:rsidP="004F2E63">
      <w:pPr>
        <w:pStyle w:val="Antrat3"/>
        <w:spacing w:before="0" w:after="0"/>
      </w:pPr>
    </w:p>
    <w:p w14:paraId="72CA4E1C" w14:textId="77777777" w:rsidR="00222FED" w:rsidRDefault="00222FED"/>
    <w:sectPr w:rsidR="00222FED" w:rsidSect="004F2E63">
      <w:headerReference w:type="even" r:id="rId5"/>
      <w:headerReference w:type="default" r:id="rId6"/>
      <w:footerReference w:type="even" r:id="rId7"/>
      <w:footerReference w:type="default" r:id="rId8"/>
      <w:headerReference w:type="first" r:id="rId9"/>
      <w:footerReference w:type="first" r:id="rId10"/>
      <w:pgSz w:w="11910" w:h="16840" w:code="9"/>
      <w:pgMar w:top="1134" w:right="1418" w:bottom="1134" w:left="1418" w:header="737" w:footer="73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327956337"/>
      <w:docPartObj>
        <w:docPartGallery w:val="Page Numbers (Bottom of Page)"/>
        <w:docPartUnique/>
      </w:docPartObj>
    </w:sdtPr>
    <w:sdtContent>
      <w:p w14:paraId="3CCB3102" w14:textId="77777777" w:rsidR="004F2E63" w:rsidRDefault="004F2E63">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end"/>
        </w:r>
      </w:p>
    </w:sdtContent>
  </w:sdt>
  <w:p w14:paraId="5A23E2EE" w14:textId="77777777" w:rsidR="004F2E63" w:rsidRDefault="004F2E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1725639007"/>
      <w:docPartObj>
        <w:docPartGallery w:val="Page Numbers (Bottom of Page)"/>
        <w:docPartUnique/>
      </w:docPartObj>
    </w:sdtPr>
    <w:sdtContent>
      <w:p w14:paraId="140002FF" w14:textId="77777777" w:rsidR="004F2E63" w:rsidRDefault="004F2E63">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sdtContent>
  </w:sdt>
  <w:p w14:paraId="5F7FB86B" w14:textId="77777777" w:rsidR="004F2E63" w:rsidRDefault="004F2E63">
    <w:pPr>
      <w:pStyle w:val="Porat"/>
      <w:jc w:val="right"/>
    </w:pPr>
  </w:p>
  <w:p w14:paraId="41D2BB29" w14:textId="77777777" w:rsidR="004F2E63" w:rsidRDefault="004F2E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0380" w14:textId="77777777" w:rsidR="004F2E63" w:rsidRDefault="004F2E6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1592" w14:textId="77777777" w:rsidR="004F2E63" w:rsidRDefault="004F2E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4156" w14:textId="77777777" w:rsidR="004F2E63" w:rsidRDefault="004F2E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FF1F" w14:textId="77777777" w:rsidR="004F2E63" w:rsidRDefault="004F2E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539926641">
    <w:abstractNumId w:val="2"/>
  </w:num>
  <w:num w:numId="2" w16cid:durableId="671883227">
    <w:abstractNumId w:val="4"/>
  </w:num>
  <w:num w:numId="3" w16cid:durableId="856970913">
    <w:abstractNumId w:val="1"/>
  </w:num>
  <w:num w:numId="4" w16cid:durableId="676226802">
    <w:abstractNumId w:val="0"/>
    <w:lvlOverride w:ilvl="0">
      <w:lvl w:ilvl="0">
        <w:numFmt w:val="bullet"/>
        <w:lvlText w:val="-"/>
        <w:lvlJc w:val="left"/>
        <w:pPr>
          <w:ind w:left="360" w:hanging="360"/>
        </w:pPr>
      </w:lvl>
    </w:lvlOverride>
  </w:num>
  <w:num w:numId="5" w16cid:durableId="1921984451">
    <w:abstractNumId w:val="0"/>
    <w:lvlOverride w:ilvl="0">
      <w:lvl w:ilvl="0">
        <w:numFmt w:val="bullet"/>
        <w:lvlText w:val="-"/>
        <w:legacy w:legacy="1" w:legacySpace="0" w:legacyIndent="360"/>
        <w:lvlJc w:val="left"/>
        <w:pPr>
          <w:ind w:left="360" w:hanging="360"/>
        </w:pPr>
      </w:lvl>
    </w:lvlOverride>
  </w:num>
  <w:num w:numId="6" w16cid:durableId="1738162069">
    <w:abstractNumId w:val="3"/>
  </w:num>
  <w:num w:numId="7" w16cid:durableId="37508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63"/>
    <w:rsid w:val="00222FED"/>
    <w:rsid w:val="004F2E63"/>
    <w:rsid w:val="005F173E"/>
    <w:rsid w:val="008B3AD4"/>
    <w:rsid w:val="00984A0A"/>
    <w:rsid w:val="009963E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E7D1"/>
  <w15:chartTrackingRefBased/>
  <w15:docId w15:val="{B8F163F3-903C-41E6-B6A0-838A98C6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E63"/>
    <w:pPr>
      <w:spacing w:after="0" w:line="240" w:lineRule="auto"/>
    </w:pPr>
    <w:rPr>
      <w:rFonts w:eastAsia="Times New Roman"/>
      <w:kern w:val="0"/>
      <w:sz w:val="24"/>
      <w:szCs w:val="24"/>
      <w:lang w:eastAsia="en-GB"/>
      <w14:ligatures w14:val="none"/>
    </w:rPr>
  </w:style>
  <w:style w:type="paragraph" w:styleId="Antrat1">
    <w:name w:val="heading 1"/>
    <w:basedOn w:val="prastasis"/>
    <w:next w:val="prastasis"/>
    <w:link w:val="Antrat1Diagrama"/>
    <w:uiPriority w:val="9"/>
    <w:qFormat/>
    <w:rsid w:val="004F2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2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F2E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2E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2E6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F2E6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2E6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F2E6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2E6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2E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2E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4F2E6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2E6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2E6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F2E6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2E6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F2E6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2E6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F2E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2E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2E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2E6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2E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2E63"/>
    <w:rPr>
      <w:i/>
      <w:iCs/>
      <w:color w:val="404040" w:themeColor="text1" w:themeTint="BF"/>
    </w:rPr>
  </w:style>
  <w:style w:type="paragraph" w:styleId="Sraopastraipa">
    <w:name w:val="List Paragraph"/>
    <w:basedOn w:val="prastasis"/>
    <w:uiPriority w:val="34"/>
    <w:qFormat/>
    <w:rsid w:val="004F2E63"/>
    <w:pPr>
      <w:ind w:left="720"/>
      <w:contextualSpacing/>
    </w:pPr>
  </w:style>
  <w:style w:type="character" w:styleId="Rykuspabraukimas">
    <w:name w:val="Intense Emphasis"/>
    <w:basedOn w:val="Numatytasispastraiposriftas"/>
    <w:uiPriority w:val="21"/>
    <w:qFormat/>
    <w:rsid w:val="004F2E63"/>
    <w:rPr>
      <w:i/>
      <w:iCs/>
      <w:color w:val="0F4761" w:themeColor="accent1" w:themeShade="BF"/>
    </w:rPr>
  </w:style>
  <w:style w:type="paragraph" w:styleId="Iskirtacitata">
    <w:name w:val="Intense Quote"/>
    <w:basedOn w:val="prastasis"/>
    <w:next w:val="prastasis"/>
    <w:link w:val="IskirtacitataDiagrama"/>
    <w:uiPriority w:val="30"/>
    <w:qFormat/>
    <w:rsid w:val="004F2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2E63"/>
    <w:rPr>
      <w:i/>
      <w:iCs/>
      <w:color w:val="0F4761" w:themeColor="accent1" w:themeShade="BF"/>
    </w:rPr>
  </w:style>
  <w:style w:type="character" w:styleId="Rykinuoroda">
    <w:name w:val="Intense Reference"/>
    <w:basedOn w:val="Numatytasispastraiposriftas"/>
    <w:uiPriority w:val="32"/>
    <w:qFormat/>
    <w:rsid w:val="004F2E63"/>
    <w:rPr>
      <w:b/>
      <w:bCs/>
      <w:smallCaps/>
      <w:color w:val="0F4761" w:themeColor="accent1" w:themeShade="BF"/>
      <w:spacing w:val="5"/>
    </w:rPr>
  </w:style>
  <w:style w:type="paragraph" w:styleId="Porat">
    <w:name w:val="footer"/>
    <w:basedOn w:val="prastasis"/>
    <w:link w:val="PoratDiagrama"/>
    <w:rsid w:val="004F2E63"/>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rsid w:val="004F2E63"/>
    <w:rPr>
      <w:rFonts w:eastAsia="Times New Roman"/>
      <w:snapToGrid w:val="0"/>
      <w:kern w:val="0"/>
      <w:szCs w:val="20"/>
      <w:lang w:val="en-GB" w:eastAsia="en-GB"/>
      <w14:ligatures w14:val="none"/>
    </w:rPr>
  </w:style>
  <w:style w:type="character" w:styleId="Puslapionumeris">
    <w:name w:val="page number"/>
    <w:rsid w:val="004F2E63"/>
    <w:rPr>
      <w:rFonts w:cs="Times New Roman"/>
    </w:rPr>
  </w:style>
  <w:style w:type="paragraph" w:styleId="Antrats">
    <w:name w:val="header"/>
    <w:basedOn w:val="prastasis"/>
    <w:link w:val="AntratsDiagrama"/>
    <w:rsid w:val="004F2E63"/>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sid w:val="004F2E63"/>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15723</Words>
  <Characters>8963</Characters>
  <Application>Microsoft Office Word</Application>
  <DocSecurity>0</DocSecurity>
  <Lines>74</Lines>
  <Paragraphs>49</Paragraphs>
  <ScaleCrop>false</ScaleCrop>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2026-02-25T07:41:00Z</dcterms:created>
  <dcterms:modified xsi:type="dcterms:W3CDTF">2026-02-25T07:41:00Z</dcterms:modified>
</cp:coreProperties>
</file>