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81CDB" w14:textId="77777777" w:rsidR="003D5926" w:rsidRPr="002D5F04" w:rsidRDefault="003D5926" w:rsidP="00AA7425">
      <w:pPr>
        <w:pageBreakBefore/>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b/>
          <w:kern w:val="2"/>
          <w:lang w:val="lt-LT"/>
        </w:rPr>
        <w:t>Pakuotės lapelis: informacija vartotojui</w:t>
      </w:r>
    </w:p>
    <w:p w14:paraId="6697ADA9"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3EE1DC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mg/5 mg tabletės</w:t>
      </w:r>
    </w:p>
    <w:p w14:paraId="40F8A053"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5 mg/10 mg tabletės</w:t>
      </w:r>
    </w:p>
    <w:p w14:paraId="1D2B6BDE" w14:textId="77777777" w:rsidR="003D5926" w:rsidRPr="002D5F04" w:rsidRDefault="003D5926" w:rsidP="00AA7425">
      <w:pPr>
        <w:suppressAutoHyphens/>
        <w:spacing w:after="0" w:line="240" w:lineRule="auto"/>
        <w:jc w:val="center"/>
        <w:rPr>
          <w:rFonts w:ascii="Times New Roman" w:hAnsi="Times New Roman" w:cs="Times New Roman"/>
          <w:b/>
          <w:kern w:val="2"/>
          <w:lang w:val="lt-LT"/>
        </w:rPr>
      </w:pPr>
      <w:r w:rsidRPr="002D5F04">
        <w:rPr>
          <w:rFonts w:ascii="Times New Roman" w:hAnsi="Times New Roman" w:cs="Times New Roman"/>
          <w:b/>
          <w:kern w:val="2"/>
          <w:lang w:val="lt-LT"/>
        </w:rPr>
        <w:t>Alotendin 10 mg/5 mg tabletės</w:t>
      </w:r>
    </w:p>
    <w:p w14:paraId="198DA293" w14:textId="77777777" w:rsidR="003D5926" w:rsidRPr="002D5F04" w:rsidRDefault="003D5926" w:rsidP="00AA7425">
      <w:pPr>
        <w:tabs>
          <w:tab w:val="left" w:pos="567"/>
        </w:tabs>
        <w:suppressAutoHyphens/>
        <w:spacing w:after="0" w:line="240" w:lineRule="auto"/>
        <w:jc w:val="center"/>
        <w:rPr>
          <w:rFonts w:ascii="Times New Roman" w:hAnsi="Times New Roman" w:cs="Times New Roman"/>
          <w:kern w:val="2"/>
          <w:lang w:val="lt-LT"/>
        </w:rPr>
      </w:pPr>
      <w:r w:rsidRPr="002D5F04">
        <w:rPr>
          <w:rFonts w:ascii="Times New Roman" w:hAnsi="Times New Roman" w:cs="Times New Roman"/>
          <w:kern w:val="2"/>
          <w:lang w:val="lt-LT"/>
        </w:rPr>
        <w:t>bizoprololio fumaratas / amlodipinas</w:t>
      </w:r>
    </w:p>
    <w:p w14:paraId="69A292A1"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CE011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Atidžiai perskaitykite visą šį lapelį, prieš pradėdami vartoti vaistą, nes jame pateikiama Jums svarbi informacija.</w:t>
      </w:r>
    </w:p>
    <w:p w14:paraId="5B0425D0" w14:textId="67BB97AA"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Neišmeskite šio lapelio, nes vėl gali prireikti jį perskaityti.</w:t>
      </w:r>
    </w:p>
    <w:p w14:paraId="492B85E9" w14:textId="77777777" w:rsidR="003D5926" w:rsidRPr="002D5F04" w:rsidRDefault="003D5926" w:rsidP="00AA7425">
      <w:pPr>
        <w:numPr>
          <w:ilvl w:val="0"/>
          <w:numId w:val="3"/>
        </w:numPr>
        <w:tabs>
          <w:tab w:val="left" w:pos="567"/>
        </w:tabs>
        <w:suppressAutoHyphens/>
        <w:spacing w:after="0" w:line="240" w:lineRule="auto"/>
        <w:ind w:left="567"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kreipkitės į gydytoją arba vaistininką.</w:t>
      </w:r>
    </w:p>
    <w:p w14:paraId="25BD2452" w14:textId="77777777" w:rsidR="003D5926" w:rsidRPr="002D5F04" w:rsidRDefault="003D5926" w:rsidP="00AA7425">
      <w:pPr>
        <w:tabs>
          <w:tab w:val="left" w:pos="567"/>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w:t>
      </w:r>
      <w:r w:rsidRPr="002D5F04">
        <w:rPr>
          <w:rFonts w:ascii="Times New Roman" w:hAnsi="Times New Roman" w:cs="Times New Roman"/>
          <w:kern w:val="2"/>
          <w:lang w:val="lt-LT"/>
        </w:rPr>
        <w:tab/>
        <w:t>Šis vaistas skirtas tik Jums, todėl kitiems žmonėms jo duoti negalima. Vaistas gali jiems pakenkti (net tiems, kurių ligos požymiai yra tokie patys kaip Jūsų).</w:t>
      </w:r>
    </w:p>
    <w:p w14:paraId="64272E1C" w14:textId="51D813F0" w:rsidR="003D5926" w:rsidRPr="002D5F04" w:rsidRDefault="003D5926" w:rsidP="00AA7425">
      <w:pPr>
        <w:numPr>
          <w:ilvl w:val="0"/>
          <w:numId w:val="3"/>
        </w:numPr>
        <w:tabs>
          <w:tab w:val="left" w:pos="567"/>
        </w:tabs>
        <w:suppressAutoHyphens/>
        <w:spacing w:after="0" w:line="240" w:lineRule="auto"/>
        <w:ind w:left="567"/>
        <w:rPr>
          <w:rFonts w:ascii="Times New Roman" w:hAnsi="Times New Roman" w:cs="Times New Roman"/>
          <w:kern w:val="2"/>
          <w:lang w:val="lt-LT"/>
        </w:rPr>
      </w:pPr>
      <w:r w:rsidRPr="002D5F04">
        <w:rPr>
          <w:rFonts w:ascii="Times New Roman" w:hAnsi="Times New Roman" w:cs="Times New Roman"/>
          <w:kern w:val="2"/>
          <w:lang w:val="lt-LT"/>
        </w:rPr>
        <w:t>Jeigu pasireiškė šalutinis poveikis (net jeigu jis šiame lapelyje nenurodytas), kreipkitės į gydytoją arba vaistininką. Žr.</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4</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skyrių.</w:t>
      </w:r>
    </w:p>
    <w:p w14:paraId="5DE18F2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13E4FFF"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u w:val="single"/>
          <w:lang w:val="lt-LT"/>
        </w:rPr>
      </w:pPr>
      <w:r w:rsidRPr="002D5F04">
        <w:rPr>
          <w:rFonts w:ascii="Times New Roman" w:hAnsi="Times New Roman" w:cs="Times New Roman"/>
          <w:b/>
          <w:kern w:val="2"/>
          <w:lang w:val="lt-LT"/>
        </w:rPr>
        <w:t>Apie ką rašoma šiame lapelyje?</w:t>
      </w:r>
    </w:p>
    <w:p w14:paraId="3E8FA847" w14:textId="22B64095"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1.</w:t>
      </w:r>
      <w:r w:rsidRPr="002D5F04">
        <w:rPr>
          <w:rFonts w:ascii="Times New Roman" w:hAnsi="Times New Roman" w:cs="Times New Roman"/>
          <w:kern w:val="2"/>
          <w:lang w:val="lt-LT"/>
        </w:rPr>
        <w:tab/>
        <w:t>Kas yra Alotendin ir kam jis vartojamas</w:t>
      </w:r>
    </w:p>
    <w:p w14:paraId="28377FF0"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2.</w:t>
      </w:r>
      <w:r w:rsidRPr="002D5F04">
        <w:rPr>
          <w:rFonts w:ascii="Times New Roman" w:hAnsi="Times New Roman" w:cs="Times New Roman"/>
          <w:kern w:val="2"/>
          <w:lang w:val="lt-LT"/>
        </w:rPr>
        <w:tab/>
        <w:t>Kas žinotina prieš vartojant Alotendin</w:t>
      </w:r>
    </w:p>
    <w:p w14:paraId="7433F35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3.</w:t>
      </w:r>
      <w:r w:rsidRPr="002D5F04">
        <w:rPr>
          <w:rFonts w:ascii="Times New Roman" w:hAnsi="Times New Roman" w:cs="Times New Roman"/>
          <w:kern w:val="2"/>
          <w:lang w:val="lt-LT"/>
        </w:rPr>
        <w:tab/>
        <w:t>Kaip vartoti Alotendin</w:t>
      </w:r>
    </w:p>
    <w:p w14:paraId="080BA362"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4.</w:t>
      </w:r>
      <w:r w:rsidRPr="002D5F04">
        <w:rPr>
          <w:rFonts w:ascii="Times New Roman" w:hAnsi="Times New Roman" w:cs="Times New Roman"/>
          <w:kern w:val="2"/>
          <w:lang w:val="lt-LT"/>
        </w:rPr>
        <w:tab/>
        <w:t>Galimas šalutinis poveikis</w:t>
      </w:r>
    </w:p>
    <w:p w14:paraId="4187986E" w14:textId="77777777" w:rsidR="003D5926" w:rsidRPr="002D5F04" w:rsidRDefault="003D5926" w:rsidP="00AA7425">
      <w:pPr>
        <w:tabs>
          <w:tab w:val="left" w:pos="709"/>
        </w:tabs>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5.</w:t>
      </w:r>
      <w:r w:rsidRPr="002D5F04">
        <w:rPr>
          <w:rFonts w:ascii="Times New Roman" w:hAnsi="Times New Roman" w:cs="Times New Roman"/>
          <w:kern w:val="2"/>
          <w:lang w:val="lt-LT"/>
        </w:rPr>
        <w:tab/>
        <w:t>Kaip laikyti Alotendin</w:t>
      </w:r>
    </w:p>
    <w:p w14:paraId="09EF85C9"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6.</w:t>
      </w:r>
      <w:r w:rsidRPr="002D5F04">
        <w:rPr>
          <w:rFonts w:ascii="Times New Roman" w:hAnsi="Times New Roman" w:cs="Times New Roman"/>
          <w:kern w:val="2"/>
          <w:lang w:val="lt-LT"/>
        </w:rPr>
        <w:tab/>
        <w:t>Pakuotės turinys ir kita informacija</w:t>
      </w:r>
    </w:p>
    <w:p w14:paraId="44EC30F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41FF988"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9B4A2E8" w14:textId="77777777" w:rsidR="003D5926" w:rsidRPr="002D5F04" w:rsidRDefault="003D5926" w:rsidP="00AA7425">
      <w:pPr>
        <w:numPr>
          <w:ilvl w:val="0"/>
          <w:numId w:val="4"/>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Kas yra Alotendin ir kam jis vartojamas</w:t>
      </w:r>
    </w:p>
    <w:p w14:paraId="31DA899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27DCD0CD" w14:textId="6981CD27" w:rsidR="003D5926" w:rsidRPr="002D5F04" w:rsidRDefault="003D5926" w:rsidP="00AA7425">
      <w:pPr>
        <w:tabs>
          <w:tab w:val="left" w:pos="0"/>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yra skirtas pakeičiamajam aukšto arterinio kraujospūdžio gydymui tiems pacientams, kurių liga pakankamai kontroliuojama tuo pačiu metu vartojant bizoprololio ir amlodipino atskirų tablečių dozes, kurios atitinka šio vaisto sudėtį.</w:t>
      </w:r>
    </w:p>
    <w:p w14:paraId="5D4320B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34BCB7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C8DDFC" w14:textId="77777777" w:rsidR="003D5926" w:rsidRPr="002D5F04" w:rsidRDefault="003D5926" w:rsidP="00AA7425">
      <w:pPr>
        <w:numPr>
          <w:ilvl w:val="0"/>
          <w:numId w:val="5"/>
        </w:numPr>
        <w:suppressAutoHyphens/>
        <w:spacing w:after="0" w:line="240" w:lineRule="auto"/>
        <w:ind w:left="567" w:right="-2" w:hanging="567"/>
        <w:contextualSpacing/>
        <w:rPr>
          <w:rFonts w:ascii="Times New Roman" w:hAnsi="Times New Roman" w:cs="Times New Roman"/>
          <w:kern w:val="2"/>
          <w:lang w:val="lt-LT"/>
        </w:rPr>
      </w:pPr>
      <w:r w:rsidRPr="002D5F04">
        <w:rPr>
          <w:rFonts w:ascii="Times New Roman" w:hAnsi="Times New Roman" w:cs="Times New Roman"/>
          <w:b/>
          <w:kern w:val="2"/>
          <w:lang w:val="lt-LT"/>
        </w:rPr>
        <w:t>Kas žinotina prieš vartojant Alotendin</w:t>
      </w:r>
    </w:p>
    <w:p w14:paraId="5DF8D2E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DBFD743"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Alotendin vartoti draudžiama:</w:t>
      </w:r>
    </w:p>
    <w:p w14:paraId="33B1FC08" w14:textId="33A851BF" w:rsidR="003D5926" w:rsidRPr="002D5F04" w:rsidRDefault="003D5926" w:rsidP="00AA7425">
      <w:pPr>
        <w:tabs>
          <w:tab w:val="num" w:pos="709"/>
        </w:tabs>
        <w:suppressAutoHyphens/>
        <w:spacing w:after="0" w:line="240" w:lineRule="auto"/>
        <w:ind w:left="709" w:hanging="360"/>
        <w:rPr>
          <w:rFonts w:ascii="Times New Roman" w:hAnsi="Times New Roman" w:cs="Times New Roman"/>
          <w:kern w:val="2"/>
          <w:lang w:val="lt-LT"/>
        </w:rPr>
      </w:pPr>
      <w:r w:rsidRPr="002D5F04">
        <w:rPr>
          <w:rFonts w:ascii="Times New Roman" w:hAnsi="Times New Roman" w:cs="Times New Roman"/>
          <w:kern w:val="2"/>
          <w:lang w:val="lt-LT"/>
        </w:rPr>
        <w:t>jeigu yra alergija amlodipinui arba bizoprololiui, dihidropiridino dariniams arba bet kuriai pagalbinei šio vaisto medžiagai (jos išvardytos 6</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skyriuje);</w:t>
      </w:r>
    </w:p>
    <w:p w14:paraId="4E1E9ED0" w14:textId="77777777" w:rsidR="003D5926" w:rsidRPr="002D5F04" w:rsidRDefault="003D5926" w:rsidP="00AA7425">
      <w:pPr>
        <w:numPr>
          <w:ilvl w:val="1"/>
          <w:numId w:val="2"/>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yra pavojingai susiaurėjęs kraujo tekėjimo iš kairiojo širdies skilvelio spindis (pvz., didelio laipsnio aortos stenozė);</w:t>
      </w:r>
    </w:p>
    <w:p w14:paraId="07BF7E96" w14:textId="77777777" w:rsidR="003D5926" w:rsidRPr="002D5F04" w:rsidRDefault="003D5926" w:rsidP="00AA7425">
      <w:pPr>
        <w:numPr>
          <w:ilvl w:val="1"/>
          <w:numId w:val="2"/>
        </w:numPr>
        <w:tabs>
          <w:tab w:val="left" w:pos="0"/>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sergate ūminiu širdies nepakankamumu, nestabiliu širdies nepakankamumu po ūminio miokardo infarkto ar pasunkėjusiu širdies nepakankamumu, dėl kurio reikia į veną leisti vaistus, didinančius širdies susitraukimo jėgą;</w:t>
      </w:r>
    </w:p>
    <w:p w14:paraId="5867FEF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šokas dėl sutrikusios širdies funkcijos (tokiais atvejais kraujospūdis būna nepaprastai žemas ir kraujo apytaka beveik sustojusi);</w:t>
      </w:r>
    </w:p>
    <w:p w14:paraId="28ADCFC2"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sergate širdies liga, kuriai būdingas labai lėtas širdies plakimas ar neritmiškas širdies susitraukimas (II arba III laipsnio atrioventrikulinė blokada, sinoatrialinė blokada, sinusinio mazgo silpnumo sindromas);</w:t>
      </w:r>
    </w:p>
    <w:p w14:paraId="2F080085"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jeigu yra simptomus sukeliantis retas širdies plakimas;</w:t>
      </w:r>
    </w:p>
    <w:p w14:paraId="6108CD40"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simptomus sukeliančio žemo kraujospūdžio atveju;</w:t>
      </w:r>
    </w:p>
    <w:p w14:paraId="29B6EF69" w14:textId="5B54DA89"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sunkios astmos atveju;</w:t>
      </w:r>
    </w:p>
    <w:p w14:paraId="6A0B5CD8"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sunkių galūnių kraujotakos sutrikimų atveju, pvz., jei yra Reino (</w:t>
      </w:r>
      <w:r w:rsidRPr="002D5F04">
        <w:rPr>
          <w:rFonts w:ascii="Times New Roman" w:hAnsi="Times New Roman" w:cs="Times New Roman"/>
          <w:i/>
          <w:kern w:val="2"/>
          <w:lang w:val="lt-LT"/>
        </w:rPr>
        <w:t>Raynaud</w:t>
      </w:r>
      <w:r w:rsidRPr="002D5F04">
        <w:rPr>
          <w:rFonts w:ascii="Times New Roman" w:hAnsi="Times New Roman" w:cs="Times New Roman"/>
          <w:kern w:val="2"/>
          <w:lang w:val="lt-LT"/>
        </w:rPr>
        <w:t>) sindromas, kuris apibūdinamas rankų ir kojų pirštų tirpimu, sustingimu, spalvos pakitimu po šalčio poveikio;</w:t>
      </w:r>
    </w:p>
    <w:p w14:paraId="50F5B22B"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negydomos feochromocitomos atveju (retas antinksčių šerdinės dalies auglys);</w:t>
      </w:r>
    </w:p>
    <w:p w14:paraId="7CC10471" w14:textId="77777777" w:rsidR="003D5926" w:rsidRPr="002D5F04" w:rsidRDefault="003D5926" w:rsidP="00AA7425">
      <w:pPr>
        <w:numPr>
          <w:ilvl w:val="1"/>
          <w:numId w:val="2"/>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lastRenderedPageBreak/>
        <w:t>esant metabolizmo sutrikimui, kai kraujo pH tampa rūgštinis.</w:t>
      </w:r>
    </w:p>
    <w:p w14:paraId="13D467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69A1ECE"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manote, kad sergate bent viena iš šių prieš tai minėtų ligų, klauskite gydytojo, ar galite vartoti šį vaistą.</w:t>
      </w:r>
    </w:p>
    <w:p w14:paraId="719C9F3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94439E"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Įspėjimai ir atsargumo priemonės</w:t>
      </w:r>
    </w:p>
    <w:p w14:paraId="72F2C10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Pasitarkite su gydytoju arba vaistininku prieš pradėdami vartoti Alotendin.</w:t>
      </w:r>
    </w:p>
    <w:p w14:paraId="65E38E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Esant šioms būklėms Alotendin reikia vartoti atsargiai. Taigi praneškite gydytojui, jeigu bent viena iš toliau išvardytų būklių Jūs esate susijęs:</w:t>
      </w:r>
    </w:p>
    <w:p w14:paraId="65D5C268"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senyvas amžius;</w:t>
      </w:r>
    </w:p>
    <w:p w14:paraId="54900BB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širdies nepakankamumas;</w:t>
      </w:r>
    </w:p>
    <w:p w14:paraId="351E2F9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diabetas, kai labai kinta cukraus kiekis kraujyje;</w:t>
      </w:r>
    </w:p>
    <w:p w14:paraId="621491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griežtas badavimas arba griežta dieta;</w:t>
      </w:r>
    </w:p>
    <w:p w14:paraId="4A308FF7"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kartu vartojami antialerginiai (desensibilizuojantys) vaistai (pvz., tam, kad apsaugotų nuo alerginės slogos), kadangi Alotendin</w:t>
      </w:r>
      <w:r w:rsidRPr="002D5F04" w:rsidDel="00181316">
        <w:rPr>
          <w:rFonts w:ascii="Times New Roman" w:hAnsi="Times New Roman" w:cs="Times New Roman"/>
          <w:kern w:val="2"/>
          <w:lang w:val="lt-LT"/>
        </w:rPr>
        <w:t xml:space="preserve"> </w:t>
      </w:r>
      <w:r w:rsidRPr="002D5F04">
        <w:rPr>
          <w:rFonts w:ascii="Times New Roman" w:hAnsi="Times New Roman" w:cs="Times New Roman"/>
          <w:kern w:val="2"/>
          <w:lang w:val="lt-LT"/>
        </w:rPr>
        <w:t>gali didinti alerginės reakcijos pasireiškimo riziką arba tokia reakcija gali būti sunkesnė;</w:t>
      </w:r>
    </w:p>
    <w:p w14:paraId="440FCB6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lengvas elektrinės širdies ritmo reguliavimo sistemos sutrikimas (I laipsnio atrioventrikulinė blokada);</w:t>
      </w:r>
    </w:p>
    <w:p w14:paraId="2CFAEBA3"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tam tikros ligos, pvz., širdies ritmo sutrikimas ar kraujagyslių raumenų spazmas, dėl kurių gali pasireikšti vainikinių arterijų perfuzijos sutrikimas (Princmetalo (</w:t>
      </w:r>
      <w:r w:rsidRPr="002D5F04">
        <w:rPr>
          <w:rFonts w:ascii="Times New Roman" w:hAnsi="Times New Roman" w:cs="Times New Roman"/>
          <w:i/>
          <w:kern w:val="2"/>
          <w:lang w:val="lt-LT"/>
        </w:rPr>
        <w:t>Prinzmetal</w:t>
      </w:r>
      <w:r w:rsidRPr="002D5F04">
        <w:rPr>
          <w:rFonts w:ascii="Times New Roman" w:hAnsi="Times New Roman" w:cs="Times New Roman"/>
          <w:kern w:val="2"/>
          <w:lang w:val="lt-LT"/>
        </w:rPr>
        <w:t>) angina);</w:t>
      </w:r>
    </w:p>
    <w:p w14:paraId="312E8F0D"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tokie sunkūs galūnių kraujotakos sutrikimai;</w:t>
      </w:r>
    </w:p>
    <w:p w14:paraId="6232C076"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esamas ar buvęs odos išbėrimas su pleiskanojimu (psoriazė);</w:t>
      </w:r>
    </w:p>
    <w:p w14:paraId="500E476F"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hipertirozė;</w:t>
      </w:r>
    </w:p>
    <w:p w14:paraId="4ED73BA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kepenų ar inkstų liga;</w:t>
      </w:r>
    </w:p>
    <w:p w14:paraId="32173BD9" w14:textId="77777777" w:rsidR="003D5926" w:rsidRPr="002D5F04" w:rsidRDefault="003D5926" w:rsidP="00AA7425">
      <w:pPr>
        <w:numPr>
          <w:ilvl w:val="0"/>
          <w:numId w:val="6"/>
        </w:numPr>
        <w:tabs>
          <w:tab w:val="left" w:pos="720"/>
        </w:tabs>
        <w:suppressAutoHyphens/>
        <w:spacing w:after="0" w:line="240" w:lineRule="auto"/>
        <w:ind w:left="720" w:right="-2"/>
        <w:rPr>
          <w:rFonts w:ascii="Times New Roman" w:hAnsi="Times New Roman" w:cs="Times New Roman"/>
          <w:kern w:val="2"/>
          <w:lang w:val="lt-LT"/>
        </w:rPr>
      </w:pPr>
      <w:r w:rsidRPr="002D5F04">
        <w:rPr>
          <w:rFonts w:ascii="Times New Roman" w:hAnsi="Times New Roman" w:cs="Times New Roman"/>
          <w:kern w:val="2"/>
          <w:lang w:val="lt-LT"/>
        </w:rPr>
        <w:t>gydomos feochromocitomos atveju (retos antinksčių šerdinės dalies vėžio atveju);</w:t>
      </w:r>
    </w:p>
    <w:p w14:paraId="405FBBB0"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ne tokios sunkios plaučių ligos, pvz., bronchinė astma ar kita lėtinė obstrukcinė plaučių liga;</w:t>
      </w:r>
    </w:p>
    <w:p w14:paraId="33B03032" w14:textId="77777777" w:rsidR="003D5926" w:rsidRPr="002D5F04" w:rsidRDefault="003D5926" w:rsidP="00AA7425">
      <w:pPr>
        <w:numPr>
          <w:ilvl w:val="0"/>
          <w:numId w:val="6"/>
        </w:numPr>
        <w:tabs>
          <w:tab w:val="left" w:pos="720"/>
        </w:tabs>
        <w:suppressAutoHyphens/>
        <w:spacing w:after="0" w:line="240" w:lineRule="auto"/>
        <w:ind w:left="720"/>
        <w:rPr>
          <w:rFonts w:ascii="Times New Roman" w:hAnsi="Times New Roman" w:cs="Times New Roman"/>
          <w:kern w:val="2"/>
          <w:lang w:val="lt-LT"/>
        </w:rPr>
      </w:pPr>
      <w:r w:rsidRPr="002D5F04">
        <w:rPr>
          <w:rFonts w:ascii="Times New Roman" w:hAnsi="Times New Roman" w:cs="Times New Roman"/>
          <w:kern w:val="2"/>
          <w:lang w:val="lt-LT"/>
        </w:rPr>
        <w:t>jeigu Jums bus sukeliama anestezija (pvz., dėl operacijos), nes bizoprololis gali keisti Jūsų reakciją į anesteziją.</w:t>
      </w:r>
    </w:p>
    <w:p w14:paraId="0935BF2A"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DF36F4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Jums pasireiškia bent viena prieš tai minėtų būklių, Jūsų gydytojas gali taikyti specialią priežiūrą (pvz., papildomą farmakologinį gydymą).</w:t>
      </w:r>
    </w:p>
    <w:p w14:paraId="2F01839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6820F3C4"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Vaikams ir paaugliams</w:t>
      </w:r>
    </w:p>
    <w:p w14:paraId="533498D8"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Ar saugu ir efektyvu Alotendin vartoti vaikams ir jaunesniems kaip 18 metų paaugliams, nenustatyta.</w:t>
      </w:r>
    </w:p>
    <w:p w14:paraId="23D86CDD"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0D51E52"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kern w:val="2"/>
          <w:lang w:val="lt-LT"/>
        </w:rPr>
      </w:pPr>
      <w:r w:rsidRPr="002D5F04">
        <w:rPr>
          <w:rFonts w:ascii="Times New Roman" w:hAnsi="Times New Roman" w:cs="Times New Roman"/>
          <w:b/>
          <w:kern w:val="2"/>
          <w:lang w:val="lt-LT"/>
        </w:rPr>
        <w:t>Kiti vaistai ir Alotendin</w:t>
      </w:r>
    </w:p>
    <w:p w14:paraId="4AF906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Vaisto gydomieji ir šalutiniai poveikiai gali būti paremti kitais kartu vartojamais vaistais.</w:t>
      </w:r>
    </w:p>
    <w:p w14:paraId="4E8BBBD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Tarpusavio sąveika gali pasireikšti, net jeigu kitas vaistas vartojamas tik trumpą laiką.</w:t>
      </w:r>
    </w:p>
    <w:p w14:paraId="61B1153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87EC7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vartojate ar neseniai vartojote kitų vaistų arba dėl to nesate tikri, apie tai pasakykite gydytojui arba vaistininkui.</w:t>
      </w:r>
    </w:p>
    <w:p w14:paraId="3686A8D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708B26C" w14:textId="77777777" w:rsidR="003D5926" w:rsidRPr="002D5F04" w:rsidRDefault="003D5926" w:rsidP="00AA7425">
      <w:pPr>
        <w:suppressAutoHyphens/>
        <w:spacing w:after="0" w:line="240" w:lineRule="auto"/>
        <w:ind w:right="-2"/>
        <w:rPr>
          <w:rFonts w:ascii="Times New Roman" w:hAnsi="Times New Roman" w:cs="Times New Roman"/>
          <w:i/>
          <w:kern w:val="2"/>
          <w:lang w:val="lt-LT"/>
        </w:rPr>
      </w:pPr>
      <w:r w:rsidRPr="002D5F04">
        <w:rPr>
          <w:rFonts w:ascii="Times New Roman" w:hAnsi="Times New Roman" w:cs="Times New Roman"/>
          <w:kern w:val="2"/>
          <w:u w:val="single"/>
          <w:lang w:val="lt-LT"/>
        </w:rPr>
        <w:t>Su Alotendin kartu vartoti nerekomenduojama šių vaistų:</w:t>
      </w:r>
    </w:p>
    <w:p w14:paraId="53B1C368"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i/>
          <w:kern w:val="2"/>
          <w:lang w:val="lt-LT"/>
        </w:rPr>
      </w:pPr>
      <w:r w:rsidRPr="002D5F04">
        <w:rPr>
          <w:rFonts w:ascii="Times New Roman" w:hAnsi="Times New Roman" w:cs="Times New Roman"/>
          <w:kern w:val="2"/>
          <w:lang w:val="lt-LT"/>
        </w:rPr>
        <w:t>verapamilio ir diltiazemo tipo kalcio kanalų blokatorių (aukšto kraujospūdžio ligai ir lėtinei stabiliai krūtinės anginai gydyti).</w:t>
      </w:r>
    </w:p>
    <w:p w14:paraId="65A25561" w14:textId="77777777" w:rsidR="003D5926" w:rsidRPr="002D5F04" w:rsidRDefault="003D5926" w:rsidP="00AA7425">
      <w:pPr>
        <w:pStyle w:val="Sraopastraipa"/>
        <w:numPr>
          <w:ilvl w:val="0"/>
          <w:numId w:val="11"/>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Klonidinas, metildopa, moksonidinas, rilmenidinas (taip vadinami centrinio poveikio antihipertenziniai vaistai: nenutraukite šių vaistų vartojimo nepasitarę su gydytoju.</w:t>
      </w:r>
    </w:p>
    <w:p w14:paraId="1FB259F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31DF2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Su Alotendin kartu vartoti galima šiuos vaistus tik tam tikromis aplinkybėmis, atsargiai ir prižiūrint medicinos specialistui:</w:t>
      </w:r>
    </w:p>
    <w:p w14:paraId="4C4B8CA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5FAB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bCs/>
          <w:kern w:val="2"/>
          <w:lang w:val="lt-LT"/>
        </w:rPr>
        <w:t>Felodipino, nifedipino (taip vadinamų dihidropiridino tipo kalcio antagonistų, gydyti aukštą kraujospūdį arba krūtinės anginą).</w:t>
      </w:r>
    </w:p>
    <w:p w14:paraId="363796C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lastRenderedPageBreak/>
        <w:t>Chinidinas, dizopiramidas, lidokainas, fenitoinas, flekainidas, propafenonas, amjodaronas (tam tikri širdies ritmą reguliuojantys preparatai; šie vaistai vartojami nereguliariam ir sutrikusiam širdies ritmui gydyti).</w:t>
      </w:r>
    </w:p>
    <w:p w14:paraId="0D9FFC3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lang w:val="lt-LT"/>
        </w:rPr>
      </w:pPr>
      <w:r w:rsidRPr="002D5F04">
        <w:rPr>
          <w:rFonts w:ascii="Times New Roman" w:hAnsi="Times New Roman" w:cs="Times New Roman"/>
          <w:lang w:val="lt-LT"/>
        </w:rPr>
        <w:t>Vietiškai vartojami beta adrenoblokatorių preparatai (pvz., akių lašai glaukomai gydyti).</w:t>
      </w:r>
    </w:p>
    <w:p w14:paraId="4D9B1B4D"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Parasimpatomimetikai (lygiųjų raumenų funkcijai gerinti sergant skrandžio, žarnyno, tulžies pūslės ligomis ir glaukoma).</w:t>
      </w:r>
    </w:p>
    <w:p w14:paraId="52732C9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Insulinas ir geriamieji antidiabetiniai vaistai.</w:t>
      </w:r>
    </w:p>
    <w:p w14:paraId="278291F8"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Migdomieji,</w:t>
      </w:r>
      <w:r w:rsidRPr="002D5F04">
        <w:rPr>
          <w:rFonts w:ascii="Times New Roman" w:hAnsi="Times New Roman" w:cs="Times New Roman"/>
          <w:b/>
          <w:kern w:val="2"/>
          <w:lang w:val="lt-LT"/>
        </w:rPr>
        <w:t xml:space="preserve"> </w:t>
      </w:r>
      <w:r w:rsidRPr="002D5F04">
        <w:rPr>
          <w:rFonts w:ascii="Times New Roman" w:hAnsi="Times New Roman" w:cs="Times New Roman"/>
          <w:kern w:val="2"/>
          <w:lang w:val="lt-LT"/>
        </w:rPr>
        <w:t>nuskausminamieji vaistai.</w:t>
      </w:r>
    </w:p>
    <w:p w14:paraId="5726AD43"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Širdį veikiantys glikozidai (rusmenės), vaistai, vartojami širdies nepakankamumui gydyti.</w:t>
      </w:r>
    </w:p>
    <w:p w14:paraId="01D1B8D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Nesteroidiniai vaistai nuo uždegimo (NVNU). Šie vaistai gali būti vartojami sąnarių uždegimui, skausmui ar artritui gydyti.</w:t>
      </w:r>
    </w:p>
    <w:p w14:paraId="65ACA6E2"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Izoprenalinas, dobutaminas, norepinefrinas, epinefrinas (taip vadinami simpatomimetikai vartojami skubios pagalbos atveju, sunkiam kraujotakos sutrikimui gydyti).</w:t>
      </w:r>
    </w:p>
    <w:p w14:paraId="2B8B0E56"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Bet kurie kiti vaistai, mažinantys arterinį kraujospūdį dėl savo gydomojo ar šalutinio poveikio (pvz.: antihipertenziniai vaistai, tricikliai antidepresantai, barbitūratai, fenotiazinai).</w:t>
      </w:r>
    </w:p>
    <w:p w14:paraId="10B1C8BF" w14:textId="77777777" w:rsidR="003D5926" w:rsidRPr="002D5F04" w:rsidRDefault="003D5926" w:rsidP="00AA7425">
      <w:pPr>
        <w:pStyle w:val="Sraopastraipa"/>
        <w:numPr>
          <w:ilvl w:val="0"/>
          <w:numId w:val="11"/>
        </w:numPr>
        <w:tabs>
          <w:tab w:val="num" w:pos="567"/>
        </w:tabs>
        <w:autoSpaceDE w:val="0"/>
        <w:autoSpaceDN w:val="0"/>
        <w:adjustRightInd w:val="0"/>
        <w:spacing w:after="0" w:line="240" w:lineRule="auto"/>
        <w:ind w:left="426" w:hanging="426"/>
        <w:rPr>
          <w:rFonts w:ascii="Times New Roman" w:eastAsia="Times New Roman" w:hAnsi="Times New Roman" w:cs="Times New Roman"/>
          <w:lang w:val="lt-LT"/>
        </w:rPr>
      </w:pPr>
      <w:r w:rsidRPr="002D5F04">
        <w:rPr>
          <w:rFonts w:ascii="Times New Roman" w:hAnsi="Times New Roman" w:cs="Times New Roman"/>
          <w:lang w:val="lt-LT"/>
        </w:rPr>
        <w:t>Dantrolenas</w:t>
      </w:r>
      <w:r w:rsidRPr="002D5F04">
        <w:rPr>
          <w:rFonts w:ascii="Times New Roman" w:eastAsia="Times New Roman" w:hAnsi="Times New Roman" w:cs="Times New Roman"/>
          <w:lang w:val="lt-LT"/>
        </w:rPr>
        <w:t xml:space="preserve"> (infuzijos sunkių kūno temperatūros sutrikimų atveju).</w:t>
      </w:r>
    </w:p>
    <w:p w14:paraId="0F6EF027"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lang w:val="lt-LT"/>
        </w:rPr>
        <w:t>Takrolimuzas</w:t>
      </w:r>
      <w:r w:rsidRPr="002D5F04">
        <w:rPr>
          <w:rFonts w:ascii="Times New Roman" w:eastAsia="Times New Roman" w:hAnsi="Times New Roman" w:cs="Times New Roman"/>
          <w:i/>
          <w:lang w:val="lt-LT"/>
        </w:rPr>
        <w:t xml:space="preserve">, </w:t>
      </w:r>
      <w:r w:rsidRPr="002D5F04">
        <w:rPr>
          <w:rFonts w:ascii="Times New Roman" w:eastAsia="Times New Roman" w:hAnsi="Times New Roman" w:cs="Times New Roman"/>
          <w:lang w:val="lt-LT"/>
        </w:rPr>
        <w:t>sirolimuzas, temsirolimuzas ir everolimuzas (skirtas Jūsų organizmo imuninės sistemos atsakui kontroliuoti).</w:t>
      </w:r>
    </w:p>
    <w:p w14:paraId="2DFFB474" w14:textId="77777777" w:rsidR="003D5926" w:rsidRPr="002D5F04" w:rsidRDefault="003D5926" w:rsidP="00AA7425">
      <w:pPr>
        <w:pStyle w:val="Sraopastraipa"/>
        <w:numPr>
          <w:ilvl w:val="0"/>
          <w:numId w:val="11"/>
        </w:numPr>
        <w:suppressAutoHyphens/>
        <w:spacing w:after="0" w:line="240" w:lineRule="auto"/>
        <w:ind w:left="426" w:right="-2" w:hanging="426"/>
        <w:rPr>
          <w:rFonts w:ascii="Times New Roman" w:hAnsi="Times New Roman" w:cs="Times New Roman"/>
          <w:kern w:val="2"/>
          <w:lang w:val="lt-LT"/>
        </w:rPr>
      </w:pPr>
      <w:r w:rsidRPr="002D5F04">
        <w:rPr>
          <w:rFonts w:ascii="Times New Roman" w:hAnsi="Times New Roman" w:cs="Times New Roman"/>
          <w:kern w:val="2"/>
          <w:lang w:val="lt-LT"/>
        </w:rPr>
        <w:t>Simvastatinas (cholesterolio koncentraciją mažinantis vaistas).</w:t>
      </w:r>
    </w:p>
    <w:p w14:paraId="45BA8707" w14:textId="77777777" w:rsidR="003D5926" w:rsidRPr="002D5F04" w:rsidRDefault="003D5926" w:rsidP="00AA7425">
      <w:pPr>
        <w:pStyle w:val="Sraopastraipa"/>
        <w:numPr>
          <w:ilvl w:val="0"/>
          <w:numId w:val="11"/>
        </w:numPr>
        <w:spacing w:after="0" w:line="240" w:lineRule="auto"/>
        <w:ind w:left="426" w:hanging="426"/>
        <w:rPr>
          <w:rFonts w:ascii="Times New Roman" w:hAnsi="Times New Roman" w:cs="Times New Roman"/>
          <w:kern w:val="2"/>
          <w:lang w:val="lt-LT"/>
        </w:rPr>
      </w:pPr>
      <w:r w:rsidRPr="002D5F04">
        <w:rPr>
          <w:rFonts w:ascii="Times New Roman" w:hAnsi="Times New Roman" w:cs="Times New Roman"/>
          <w:kern w:val="2"/>
          <w:lang w:val="lt-LT"/>
        </w:rPr>
        <w:t>Ciklosporinas (imuninę sistemą slopinantis vaistas).</w:t>
      </w:r>
    </w:p>
    <w:p w14:paraId="1FDAFCE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F25BA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u w:val="single"/>
          <w:lang w:val="lt-LT"/>
        </w:rPr>
        <w:t>Vaistai, su kuriais vartoti Alotendin galima tik Jūsų gydytojui apsvarsčius</w:t>
      </w:r>
    </w:p>
    <w:p w14:paraId="556B1FF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9B6C1BE"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Meflokvinas, vartojamas maliarijai gydyti ar jos profilaktikai.</w:t>
      </w:r>
    </w:p>
    <w:p w14:paraId="43335C88" w14:textId="77777777" w:rsidR="003D5926" w:rsidRPr="002D5F04" w:rsidRDefault="003D5926" w:rsidP="00AA7425">
      <w:pPr>
        <w:pStyle w:val="Sraopastraipa"/>
        <w:numPr>
          <w:ilvl w:val="0"/>
          <w:numId w:val="8"/>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Monoamino oksidazės (MAO) inhibitoriai (išskyrus MAO-B inhibitorius) vartojami depresijai gydyti.</w:t>
      </w:r>
    </w:p>
    <w:p w14:paraId="2471A453" w14:textId="4FC32AC8" w:rsidR="003D5926" w:rsidRPr="002D5F04" w:rsidRDefault="003D5926" w:rsidP="00AA7425">
      <w:pPr>
        <w:pStyle w:val="Sraopastraipa"/>
        <w:numPr>
          <w:ilvl w:val="0"/>
          <w:numId w:val="9"/>
        </w:num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kern w:val="2"/>
          <w:lang w:val="lt-LT"/>
        </w:rPr>
        <w:t>Vaistai, turintys poveikį amlodipino ar bizoprololio metabolizmui, pvz.:</w:t>
      </w:r>
    </w:p>
    <w:p w14:paraId="36B9D29A"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ketokonazolas, itrakonazolas (priešgrybeliniai vaistai),</w:t>
      </w:r>
    </w:p>
    <w:p w14:paraId="11D13E9B"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rifampicinas, eritromicinas,</w:t>
      </w:r>
      <w:r w:rsidRPr="002D5F04">
        <w:rPr>
          <w:rFonts w:ascii="Times New Roman" w:hAnsi="Times New Roman" w:cs="Times New Roman"/>
          <w:lang w:val="lt-LT"/>
        </w:rPr>
        <w:t xml:space="preserve"> </w:t>
      </w:r>
      <w:r w:rsidRPr="002D5F04">
        <w:rPr>
          <w:rFonts w:ascii="Times New Roman" w:hAnsi="Times New Roman" w:cs="Times New Roman"/>
          <w:kern w:val="1"/>
          <w:lang w:val="lt-LT"/>
        </w:rPr>
        <w:t>klaritromicinas</w:t>
      </w:r>
      <w:r w:rsidRPr="002D5F04">
        <w:rPr>
          <w:rFonts w:ascii="Times New Roman" w:eastAsia="SimSun" w:hAnsi="Times New Roman" w:cs="Times New Roman"/>
          <w:kern w:val="1"/>
          <w:lang w:val="lt-LT"/>
        </w:rPr>
        <w:t xml:space="preserve"> (antibiotikai),</w:t>
      </w:r>
    </w:p>
    <w:p w14:paraId="235B7FED"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 xml:space="preserve">ritonaviras, indinaviras, nelfinaviras </w:t>
      </w:r>
      <w:r w:rsidRPr="002D5F04">
        <w:rPr>
          <w:rFonts w:ascii="Times New Roman" w:eastAsia="SimSun" w:hAnsi="Times New Roman" w:cs="Times New Roman"/>
          <w:kern w:val="1"/>
          <w:lang w:val="lt-LT"/>
        </w:rPr>
        <w:t>(skirtas ŽIV infekcijoms gydyti),</w:t>
      </w:r>
    </w:p>
    <w:p w14:paraId="084762BF" w14:textId="77777777" w:rsidR="003D5926" w:rsidRPr="002D5F04" w:rsidRDefault="003D5926" w:rsidP="00AA7425">
      <w:pPr>
        <w:pStyle w:val="Sraopastraipa"/>
        <w:numPr>
          <w:ilvl w:val="0"/>
          <w:numId w:val="10"/>
        </w:numPr>
        <w:suppressAutoHyphens/>
        <w:spacing w:after="0" w:line="240" w:lineRule="auto"/>
        <w:ind w:left="993" w:right="-2" w:hanging="426"/>
        <w:rPr>
          <w:rFonts w:ascii="Times New Roman" w:hAnsi="Times New Roman" w:cs="Times New Roman"/>
          <w:kern w:val="1"/>
          <w:lang w:val="lt-LT"/>
        </w:rPr>
      </w:pPr>
      <w:r w:rsidRPr="002D5F04">
        <w:rPr>
          <w:rFonts w:ascii="Times New Roman" w:hAnsi="Times New Roman" w:cs="Times New Roman"/>
          <w:kern w:val="1"/>
          <w:lang w:val="lt-LT"/>
        </w:rPr>
        <w:t>jonažolė (skirtas depresijai gydyti).</w:t>
      </w:r>
    </w:p>
    <w:p w14:paraId="35A3DCFB" w14:textId="77777777" w:rsidR="003D5926" w:rsidRPr="002D5F04" w:rsidRDefault="003D5926" w:rsidP="00AA7425">
      <w:pPr>
        <w:pStyle w:val="Sraopastraipa"/>
        <w:numPr>
          <w:ilvl w:val="0"/>
          <w:numId w:val="9"/>
        </w:numPr>
        <w:spacing w:after="0" w:line="240" w:lineRule="auto"/>
        <w:ind w:left="567" w:hanging="567"/>
        <w:rPr>
          <w:rFonts w:ascii="Times New Roman" w:hAnsi="Times New Roman" w:cs="Times New Roman"/>
          <w:lang w:val="lt-LT"/>
        </w:rPr>
      </w:pPr>
      <w:r w:rsidRPr="002D5F04">
        <w:rPr>
          <w:rFonts w:ascii="Times New Roman" w:hAnsi="Times New Roman" w:cs="Times New Roman"/>
          <w:kern w:val="2"/>
          <w:lang w:val="lt-LT"/>
        </w:rPr>
        <w:t>Ergotamino derivatai (ginekologinės kilmės kraujavimams stabdyti).</w:t>
      </w:r>
    </w:p>
    <w:p w14:paraId="6A6147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0FBFE93" w14:textId="77777777" w:rsidR="003D5926" w:rsidRPr="002D5F04"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vartojimas su maistu, gėrimais ir alkoholiu</w:t>
      </w:r>
    </w:p>
    <w:p w14:paraId="4E6218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vartojantiems žmonėms negalima gerti greipfrutų sulčių ar valgyti greipfrutų, nes greipfrutai ar greipfrutų sultys gali didinti veikliosios medžiagos amlodipino koncentracijas kraujyje ir dėl to gali neprognozuojamai sustiprėti kraujospūdį mažinantis Alotendin poveikis.</w:t>
      </w:r>
    </w:p>
    <w:p w14:paraId="24633FE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E972171"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Alkoholis gali didinti vaisto arterinį kraujospūdį mažinantį poveikį.</w:t>
      </w:r>
    </w:p>
    <w:p w14:paraId="56EA9915" w14:textId="77777777" w:rsidR="003D5926" w:rsidRPr="002D5F04" w:rsidRDefault="003D5926" w:rsidP="00AA7425">
      <w:pPr>
        <w:tabs>
          <w:tab w:val="left" w:pos="1290"/>
        </w:tabs>
        <w:suppressAutoHyphens/>
        <w:spacing w:after="0" w:line="240" w:lineRule="auto"/>
        <w:ind w:right="-2"/>
        <w:rPr>
          <w:rFonts w:ascii="Times New Roman" w:hAnsi="Times New Roman" w:cs="Times New Roman"/>
          <w:kern w:val="2"/>
          <w:lang w:val="lt-LT"/>
        </w:rPr>
      </w:pPr>
    </w:p>
    <w:p w14:paraId="00FF9AD7" w14:textId="77777777" w:rsidR="003D5926" w:rsidRPr="002D5F04" w:rsidRDefault="003D5926" w:rsidP="00AA7425">
      <w:pPr>
        <w:keepNext/>
        <w:tabs>
          <w:tab w:val="left" w:pos="0"/>
        </w:tabs>
        <w:suppressAutoHyphens/>
        <w:spacing w:after="0" w:line="240" w:lineRule="auto"/>
        <w:outlineLvl w:val="3"/>
        <w:rPr>
          <w:rFonts w:ascii="Times New Roman" w:hAnsi="Times New Roman" w:cs="Times New Roman"/>
          <w:b/>
          <w:kern w:val="2"/>
          <w:lang w:val="lt-LT"/>
        </w:rPr>
      </w:pPr>
      <w:r w:rsidRPr="002D5F04">
        <w:rPr>
          <w:rFonts w:ascii="Times New Roman" w:hAnsi="Times New Roman" w:cs="Times New Roman"/>
          <w:b/>
          <w:kern w:val="2"/>
          <w:lang w:val="lt-LT"/>
        </w:rPr>
        <w:t>Nėštumas ir žindymo laikotarpis</w:t>
      </w:r>
    </w:p>
    <w:p w14:paraId="68E3E64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esate nėščia, žindote kūdikį, manote, kad galbūt esate nėščia, arba planuojate pastoti, tai prieš vartodama šį vaistą, pasitarkite su gydytoju arba vaistininku.</w:t>
      </w:r>
    </w:p>
    <w:p w14:paraId="0A05DFC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E678EA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Nėštumas</w:t>
      </w:r>
    </w:p>
    <w:p w14:paraId="05D81B4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Atsižvelgiant į tai, kad nėra pakankamai klinikinės patirties, susijusios su nėščiomis moterimis, jis gali būti vartojamas tik po gydytojo atidaus rizikos ir naudos santykio individualiai kiekvienai pacientei apsvarstymo. Nėštumo metu vartojimo atveju būtina atidžiai stebėti vaisiaus ir naujagimio būklę.</w:t>
      </w:r>
    </w:p>
    <w:p w14:paraId="4E9A086B"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0641C41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Žindymo laikotarpis</w:t>
      </w:r>
    </w:p>
    <w:p w14:paraId="240D852C"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Nustatyta, kad nedidelis kiekis amlodipino patenka į motinos pieną. Žindymo laikotarpiu Alotendin vartoti negalima.</w:t>
      </w:r>
    </w:p>
    <w:p w14:paraId="35BAAD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59ACF4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Vairavimas ir mechanizmų valdymas</w:t>
      </w:r>
    </w:p>
    <w:p w14:paraId="2F0FFED0"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gali turėti įtakos minėtiems gebėjimams, sukeldamos svaigulį, galvos skausmą, nuovargį, ar pykinimą – ypač gydymo pradžioje ar keičiant gydymą, ir tuomet, kai vartojate alkoholį – todėl gydytojas nusprendžia kiekvienam pacientui individualiai, kokias dozes vartojant, galima vairuoti ir valdyti mechanizmus.</w:t>
      </w:r>
    </w:p>
    <w:p w14:paraId="13AF47B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65FA66D" w14:textId="77777777" w:rsidR="003D5926" w:rsidRPr="002D5F04" w:rsidRDefault="003D5926" w:rsidP="00AA7425">
      <w:pPr>
        <w:widowControl w:val="0"/>
        <w:numPr>
          <w:ilvl w:val="12"/>
          <w:numId w:val="0"/>
        </w:numPr>
        <w:spacing w:after="0" w:line="240" w:lineRule="auto"/>
        <w:rPr>
          <w:rFonts w:ascii="Times New Roman" w:eastAsia="Times New Roman" w:hAnsi="Times New Roman" w:cs="Times New Roman"/>
          <w:b/>
          <w:snapToGrid w:val="0"/>
          <w:lang w:val="lt-LT" w:eastAsia="sl-SI"/>
        </w:rPr>
      </w:pPr>
      <w:r w:rsidRPr="002D5F04">
        <w:rPr>
          <w:rFonts w:ascii="Times New Roman" w:hAnsi="Times New Roman" w:cs="Times New Roman"/>
          <w:b/>
          <w:kern w:val="2"/>
          <w:lang w:val="lt-LT"/>
        </w:rPr>
        <w:t>Alotendin</w:t>
      </w:r>
      <w:r w:rsidRPr="002D5F04">
        <w:rPr>
          <w:rFonts w:ascii="Times New Roman" w:eastAsia="Times New Roman" w:hAnsi="Times New Roman" w:cs="Times New Roman"/>
          <w:b/>
          <w:snapToGrid w:val="0"/>
          <w:lang w:val="lt-LT" w:eastAsia="sl-SI"/>
        </w:rPr>
        <w:t xml:space="preserve"> sudėtyje yra natrio</w:t>
      </w:r>
    </w:p>
    <w:p w14:paraId="5E80871A" w14:textId="77777777" w:rsidR="003D5926" w:rsidRPr="002D5F04" w:rsidRDefault="003D5926" w:rsidP="00AA7425">
      <w:pPr>
        <w:widowControl w:val="0"/>
        <w:tabs>
          <w:tab w:val="left" w:pos="567"/>
        </w:tabs>
        <w:spacing w:after="0" w:line="240" w:lineRule="auto"/>
        <w:rPr>
          <w:rFonts w:ascii="Times New Roman" w:eastAsia="Times New Roman" w:hAnsi="Times New Roman" w:cs="Times New Roman"/>
          <w:snapToGrid w:val="0"/>
          <w:lang w:val="lt-LT" w:eastAsia="sl-SI"/>
        </w:rPr>
      </w:pPr>
      <w:r w:rsidRPr="002D5F04">
        <w:rPr>
          <w:rFonts w:ascii="Times New Roman" w:eastAsia="Times New Roman" w:hAnsi="Times New Roman" w:cs="Times New Roman"/>
          <w:snapToGrid w:val="0"/>
          <w:lang w:val="lt-LT" w:eastAsia="sl-SI"/>
        </w:rPr>
        <w:t>Šio vaisto tabletėje yra mažiau kaip 1 mmol (23 mg) natrio, t. y. jis beveik neturi reikšmės.</w:t>
      </w:r>
    </w:p>
    <w:p w14:paraId="03CBD2A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D5E15B5"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D7398F1" w14:textId="77777777" w:rsidR="003D5926" w:rsidRPr="002D5F04" w:rsidRDefault="003D5926" w:rsidP="00AA7425">
      <w:pPr>
        <w:numPr>
          <w:ilvl w:val="0"/>
          <w:numId w:val="2"/>
        </w:num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Kaip vartoti Alotendin</w:t>
      </w:r>
    </w:p>
    <w:p w14:paraId="36BF4DB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160C9F" w14:textId="6150A4EA"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Visada vartokite šį vaistą tiksliai kaip nurodė gydytojas arba vaistininkas. Jeigu abejojate, kreipkitės į gydytoją arba vaistininką.</w:t>
      </w:r>
    </w:p>
    <w:p w14:paraId="3CEF1C1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C162AA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Rekomenduojama dozė yra: viena paskirto stiprumo tabletė. Sergant lengvo ar vidutinio sunkumo kepenų ar inkstų ligomis, paprastai dozės keisti nereikia.</w:t>
      </w:r>
    </w:p>
    <w:p w14:paraId="396FF3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Sergant sunkiomis inkstų ar kepenų ligomis, dozė gali būti keičiama.</w:t>
      </w:r>
    </w:p>
    <w:p w14:paraId="16E81DB2"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1C7E79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i/>
          <w:kern w:val="2"/>
          <w:lang w:val="lt-LT"/>
        </w:rPr>
        <w:t>Senyviems pacientams</w:t>
      </w:r>
    </w:p>
    <w:p w14:paraId="4D0B7E7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Senyviems pacientams dozės keisti nereikia, nors atsargumo priemonių reikia imtis didinant dozę.</w:t>
      </w:r>
    </w:p>
    <w:p w14:paraId="4CFF7E6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00A2550D"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u w:val="single"/>
          <w:lang w:val="lt-LT"/>
        </w:rPr>
        <w:t>Vartojimo metodas</w:t>
      </w:r>
    </w:p>
    <w:p w14:paraId="6EA5765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tabletė turi būti geriama ryte, valgant arba nevalgius, užgeriant nedideliu kiekiu skysčio ir jos nekramtant. Vagelė skirta tik tabletei perlaužti, kad būtų lengviau nuryti, bet ne jai padalyti į lygias dozes.</w:t>
      </w:r>
    </w:p>
    <w:p w14:paraId="5CB9BE4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CC6552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manote, kad Alotendin veikia per stipriai arba per silpnai, kreipkitės į gydytoją arba vaistininką.</w:t>
      </w:r>
    </w:p>
    <w:p w14:paraId="3FBCC5E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802075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Ką daryti pavartojus per didelę Alotendin dozę?</w:t>
      </w:r>
    </w:p>
    <w:p w14:paraId="10E154B4"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lang w:val="lt-LT"/>
        </w:rPr>
        <w:t>Jūsų plaučiuose gali kauptis skystis (plaučių edema), sukeldamas dusulį, kuris gali išsivystyti per 24 – 48 valandas nuo vaisto pavartojimo.</w:t>
      </w:r>
    </w:p>
    <w:p w14:paraId="2F7B2FA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Jeigu suvartojote daugiau Alotendin negu turėjote, nedelsdami pasikonsultuokite su gydytoju.</w:t>
      </w:r>
    </w:p>
    <w:p w14:paraId="23E08864"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77DD32E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Pamiršus pavartoti Alotendin</w:t>
      </w:r>
    </w:p>
    <w:p w14:paraId="7BF79CB0"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Kuo greičiau išgerkite pamirštą dozę. Jeigu beveik atėjo laikas vartoti kitą dozę, negalima vartoti dvigubos dozės norint kompensuoti praleistą dozę, nes Jūs nekompensuosite praleistos dozės, o rizikuosite perdozuoti vaisto.</w:t>
      </w:r>
    </w:p>
    <w:p w14:paraId="6543100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8CB0C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Nustojus vartoti Alotendin</w:t>
      </w:r>
    </w:p>
    <w:p w14:paraId="009C0B5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Nenustokite vartoti šio vaisto staigiai ar keisti rekomenduojamos dozės prieš tai nepasitarus su gydytoju, nes tokiais atvejais laikinai gali pablogėti širdies nepakankamumas. Staigiai negalima nutraukti gydymo, ypač tiems pacientams, kurie serga koronarine širdies liga. Jeigu būtina nutraukti gydymą, dozė turi būti mažinama pamažu.</w:t>
      </w:r>
    </w:p>
    <w:p w14:paraId="7D6B4CB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86BC37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Jeigu kiltų daugiau klausimų dėl šio vaisto vartojimo, kreipkitės į gydytoją arba vaistininką.</w:t>
      </w:r>
    </w:p>
    <w:p w14:paraId="79371C5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52486EC8"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FCEDBA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4.</w:t>
      </w:r>
      <w:r w:rsidRPr="002D5F04">
        <w:rPr>
          <w:rFonts w:ascii="Times New Roman" w:hAnsi="Times New Roman" w:cs="Times New Roman"/>
          <w:b/>
          <w:kern w:val="2"/>
          <w:lang w:val="lt-LT"/>
        </w:rPr>
        <w:tab/>
        <w:t>Galimas šalutinis poveikis</w:t>
      </w:r>
    </w:p>
    <w:p w14:paraId="7DCE60B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1609F99" w14:textId="77777777" w:rsidR="003D5926" w:rsidRPr="002D5F04" w:rsidRDefault="003D5926" w:rsidP="00AA7425">
      <w:pPr>
        <w:suppressAutoHyphens/>
        <w:spacing w:after="0" w:line="240" w:lineRule="auto"/>
        <w:ind w:right="-29"/>
        <w:rPr>
          <w:rFonts w:ascii="Times New Roman" w:hAnsi="Times New Roman" w:cs="Times New Roman"/>
          <w:kern w:val="2"/>
          <w:lang w:val="lt-LT"/>
        </w:rPr>
      </w:pPr>
      <w:r w:rsidRPr="002D5F04">
        <w:rPr>
          <w:rFonts w:ascii="Times New Roman" w:hAnsi="Times New Roman" w:cs="Times New Roman"/>
          <w:kern w:val="2"/>
          <w:lang w:val="lt-LT"/>
        </w:rPr>
        <w:t>Šis vaistas, kaip ir visi kiti, gali sukelti šalutinį poveikį, nors jis pasireiškia ne visiems žmonėms.</w:t>
      </w:r>
    </w:p>
    <w:p w14:paraId="22D7921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430B55CA"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lastRenderedPageBreak/>
        <w:t>Nedelsdami kreipkitės į gydytoją, jeigu pavartojus šio vaisto pasireiškia kuris nors toliau išvardytas šalutinis poveikis.</w:t>
      </w:r>
    </w:p>
    <w:p w14:paraId="24E70864" w14:textId="77777777" w:rsidR="003D5926" w:rsidRPr="002D5F04" w:rsidRDefault="003D5926" w:rsidP="00AA7425">
      <w:pPr>
        <w:autoSpaceDE w:val="0"/>
        <w:autoSpaceDN w:val="0"/>
        <w:adjustRightInd w:val="0"/>
        <w:spacing w:after="0" w:line="240" w:lineRule="auto"/>
        <w:rPr>
          <w:rFonts w:ascii="Times New Roman" w:hAnsi="Times New Roman" w:cs="Times New Roman"/>
          <w:lang w:val="lt-LT"/>
        </w:rPr>
      </w:pPr>
    </w:p>
    <w:p w14:paraId="4E39AE48" w14:textId="6DD39B78" w:rsidR="003D5926" w:rsidRPr="002D5F04" w:rsidRDefault="003D5926" w:rsidP="00AA7425">
      <w:pPr>
        <w:tabs>
          <w:tab w:val="left" w:pos="426"/>
        </w:tabs>
        <w:autoSpaceDE w:val="0"/>
        <w:autoSpaceDN w:val="0"/>
        <w:adjustRightInd w:val="0"/>
        <w:spacing w:after="0" w:line="240" w:lineRule="auto"/>
        <w:rPr>
          <w:rFonts w:ascii="Times New Roman" w:hAnsi="Times New Roman" w:cs="Times New Roman"/>
          <w:lang w:val="lt-LT"/>
        </w:rPr>
      </w:pPr>
      <w:r w:rsidRPr="002D5F04">
        <w:rPr>
          <w:rFonts w:ascii="Times New Roman" w:hAnsi="Times New Roman" w:cs="Times New Roman"/>
          <w:lang w:val="lt-LT"/>
        </w:rPr>
        <w:t>•</w:t>
      </w:r>
      <w:r w:rsidRPr="002D5F04">
        <w:rPr>
          <w:rFonts w:ascii="Times New Roman" w:hAnsi="Times New Roman" w:cs="Times New Roman"/>
          <w:lang w:val="lt-LT"/>
        </w:rPr>
        <w:tab/>
        <w:t xml:space="preserve">Sunkios odos reakcijos, įskaitant intensyvų odos išbėrimą, dilgėlinę, viso kūno odos </w:t>
      </w:r>
    </w:p>
    <w:p w14:paraId="15DFE4B7" w14:textId="77777777" w:rsidR="003D5926" w:rsidRPr="002D5F04" w:rsidRDefault="003D5926" w:rsidP="00AA7425">
      <w:pPr>
        <w:autoSpaceDE w:val="0"/>
        <w:autoSpaceDN w:val="0"/>
        <w:adjustRightInd w:val="0"/>
        <w:spacing w:after="0" w:line="240" w:lineRule="auto"/>
        <w:ind w:left="426"/>
        <w:rPr>
          <w:rFonts w:ascii="Times New Roman" w:hAnsi="Times New Roman" w:cs="Times New Roman"/>
          <w:lang w:val="lt-LT"/>
        </w:rPr>
      </w:pPr>
      <w:r w:rsidRPr="002D5F04">
        <w:rPr>
          <w:rFonts w:ascii="Times New Roman" w:hAnsi="Times New Roman" w:cs="Times New Roman"/>
          <w:lang w:val="lt-LT"/>
        </w:rPr>
        <w:t>paraudimą, sunkų niežėjimą, odos pūslėtumą, lupimąsi ir patinimą, gleivinių uždegimą (Stivenso-</w:t>
      </w:r>
    </w:p>
    <w:p w14:paraId="4955EAD1" w14:textId="77777777" w:rsidR="003D5926" w:rsidRPr="002D5F04" w:rsidRDefault="003D5926" w:rsidP="00AA7425">
      <w:pPr>
        <w:tabs>
          <w:tab w:val="left" w:pos="0"/>
        </w:tabs>
        <w:suppressAutoHyphens/>
        <w:spacing w:after="0" w:line="240" w:lineRule="auto"/>
        <w:ind w:left="426"/>
        <w:rPr>
          <w:rFonts w:ascii="Times New Roman" w:hAnsi="Times New Roman" w:cs="Times New Roman"/>
          <w:lang w:val="lt-LT"/>
        </w:rPr>
      </w:pPr>
      <w:r w:rsidRPr="002D5F04">
        <w:rPr>
          <w:rFonts w:ascii="Times New Roman" w:hAnsi="Times New Roman" w:cs="Times New Roman"/>
          <w:lang w:val="lt-LT"/>
        </w:rPr>
        <w:t>Džonsono [</w:t>
      </w:r>
      <w:r w:rsidRPr="002D5F04">
        <w:rPr>
          <w:rFonts w:ascii="Times New Roman" w:hAnsi="Times New Roman" w:cs="Times New Roman"/>
          <w:i/>
          <w:lang w:val="lt-LT"/>
        </w:rPr>
        <w:t>Stevens-Johnson</w:t>
      </w:r>
      <w:r w:rsidRPr="002D5F04">
        <w:rPr>
          <w:rFonts w:ascii="Times New Roman" w:hAnsi="Times New Roman" w:cs="Times New Roman"/>
          <w:lang w:val="lt-LT"/>
        </w:rPr>
        <w:t xml:space="preserve">] sindromas, </w:t>
      </w:r>
      <w:r w:rsidRPr="002D5F04">
        <w:rPr>
          <w:rFonts w:ascii="Times New Roman" w:hAnsi="Times New Roman" w:cs="Times New Roman"/>
          <w:b/>
          <w:lang w:val="lt-LT"/>
        </w:rPr>
        <w:t>toksinė epidermio nekrolizė</w:t>
      </w:r>
      <w:r w:rsidRPr="002D5F04">
        <w:rPr>
          <w:rFonts w:ascii="Times New Roman" w:hAnsi="Times New Roman" w:cs="Times New Roman"/>
          <w:lang w:val="lt-LT"/>
        </w:rPr>
        <w:t>) arba kitos alerginės reakcijos (labai retas šalutinis poveikis: gali pasireikšti rečiau kaip 1 iš 10 000 žmonių).</w:t>
      </w:r>
    </w:p>
    <w:p w14:paraId="001E1F75" w14:textId="77777777" w:rsidR="003D5926" w:rsidRPr="002D5F04" w:rsidRDefault="003D5926" w:rsidP="00AA7425">
      <w:pPr>
        <w:pStyle w:val="Sraopastraipa"/>
        <w:numPr>
          <w:ilvl w:val="0"/>
          <w:numId w:val="12"/>
        </w:numPr>
        <w:tabs>
          <w:tab w:val="left" w:pos="0"/>
        </w:tabs>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lang w:val="lt-LT"/>
        </w:rPr>
        <w:t>Ūmus odos ar gleivinių uždegimas įskaitant akių vokų, lūpų, sąnarių, ryklės, liežuvio patinimas (angioneurozinė edema)</w:t>
      </w:r>
    </w:p>
    <w:p w14:paraId="1EA98294" w14:textId="77777777" w:rsidR="003D5926" w:rsidRPr="002D5F04" w:rsidRDefault="003D5926" w:rsidP="00AA7425">
      <w:pPr>
        <w:pStyle w:val="Sraopastraipa"/>
        <w:numPr>
          <w:ilvl w:val="0"/>
          <w:numId w:val="12"/>
        </w:numPr>
        <w:suppressAutoHyphens/>
        <w:spacing w:after="0" w:line="240" w:lineRule="auto"/>
        <w:ind w:left="426" w:hanging="426"/>
        <w:rPr>
          <w:rFonts w:ascii="Times New Roman" w:hAnsi="Times New Roman" w:cs="Times New Roman"/>
          <w:lang w:val="lt-LT"/>
        </w:rPr>
      </w:pPr>
      <w:r w:rsidRPr="002D5F04">
        <w:rPr>
          <w:rFonts w:ascii="Times New Roman" w:hAnsi="Times New Roman" w:cs="Times New Roman"/>
          <w:color w:val="000000"/>
          <w:lang w:val="lt-LT"/>
        </w:rPr>
        <w:t>Širdies priepuolis (</w:t>
      </w:r>
      <w:r w:rsidRPr="002D5F04">
        <w:rPr>
          <w:rFonts w:ascii="Times New Roman" w:hAnsi="Times New Roman" w:cs="Times New Roman"/>
          <w:lang w:val="lt-LT"/>
        </w:rPr>
        <w:t>labai retas šalutinis poveikis: gali pasireikšti rečiau kaip 1 iš 10 000 žmonių)</w:t>
      </w:r>
      <w:r w:rsidRPr="002D5F04">
        <w:rPr>
          <w:rFonts w:ascii="Times New Roman" w:hAnsi="Times New Roman" w:cs="Times New Roman"/>
          <w:color w:val="000000"/>
          <w:lang w:val="lt-LT"/>
        </w:rPr>
        <w:t>, infarktas (nenormalus širdies plakimas) (n</w:t>
      </w:r>
      <w:r w:rsidRPr="002D5F04">
        <w:rPr>
          <w:rFonts w:ascii="Times New Roman" w:hAnsi="Times New Roman" w:cs="Times New Roman"/>
          <w:kern w:val="2"/>
          <w:lang w:val="lt-LT"/>
        </w:rPr>
        <w:t xml:space="preserve">edažnas šalutinis poveikis: gali pasireikšti </w:t>
      </w:r>
      <w:r w:rsidRPr="002D5F04">
        <w:rPr>
          <w:rFonts w:ascii="Times New Roman" w:hAnsi="Times New Roman" w:cs="Times New Roman"/>
          <w:lang w:val="lt-LT"/>
        </w:rPr>
        <w:t>rečiau kaip</w:t>
      </w:r>
      <w:r w:rsidRPr="002D5F04">
        <w:rPr>
          <w:rFonts w:ascii="Times New Roman" w:hAnsi="Times New Roman" w:cs="Times New Roman"/>
          <w:kern w:val="2"/>
          <w:lang w:val="lt-LT"/>
        </w:rPr>
        <w:t xml:space="preserve"> 1 iš 100 žmonių</w:t>
      </w:r>
      <w:r w:rsidRPr="002D5F04">
        <w:rPr>
          <w:rFonts w:ascii="Times New Roman" w:hAnsi="Times New Roman" w:cs="Times New Roman"/>
          <w:lang w:val="lt-LT"/>
        </w:rPr>
        <w:t>).</w:t>
      </w:r>
    </w:p>
    <w:p w14:paraId="68032EA6" w14:textId="77777777" w:rsidR="003D5926" w:rsidRPr="002D5F04" w:rsidRDefault="003D5926" w:rsidP="00AA7425">
      <w:pPr>
        <w:pStyle w:val="Spalvotassraas1parykinimas1"/>
        <w:numPr>
          <w:ilvl w:val="0"/>
          <w:numId w:val="12"/>
        </w:numPr>
        <w:tabs>
          <w:tab w:val="left" w:pos="709"/>
        </w:tabs>
        <w:ind w:left="426" w:hanging="426"/>
        <w:rPr>
          <w:szCs w:val="22"/>
        </w:rPr>
      </w:pPr>
      <w:r w:rsidRPr="002D5F04">
        <w:rPr>
          <w:szCs w:val="22"/>
        </w:rPr>
        <w:t>Kasos uždegimas, kuris gali sukelti labai stiprų pilvo ir nugaros skausmą, kartu su kuriuo būna labai bloga savijauta (labai retas šalutinis poveikis: gali pasireikšti rečiau kaip 1 iš 10 000 žmonių).</w:t>
      </w:r>
    </w:p>
    <w:p w14:paraId="5D217816" w14:textId="77777777" w:rsidR="003D5926" w:rsidRPr="002D5F04" w:rsidRDefault="003D5926" w:rsidP="00AA7425">
      <w:pPr>
        <w:pStyle w:val="Sraopastraipa"/>
        <w:suppressAutoHyphens/>
        <w:spacing w:after="0" w:line="240" w:lineRule="auto"/>
        <w:ind w:left="426"/>
        <w:rPr>
          <w:rFonts w:ascii="Times New Roman" w:hAnsi="Times New Roman" w:cs="Times New Roman"/>
          <w:lang w:val="lt-LT"/>
        </w:rPr>
      </w:pPr>
    </w:p>
    <w:p w14:paraId="6808BF67"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Kiti šalutiniai poveikiai:</w:t>
      </w:r>
    </w:p>
    <w:p w14:paraId="32A3C356"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Praneškite savo gydytojui, jei kuris nors iš šių šalutinių poveikių pasireiškia sunkiai arba trunka ilgiau nei kelias dienas.</w:t>
      </w:r>
    </w:p>
    <w:p w14:paraId="4F8989D1"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A78ED04" w14:textId="6A002B19" w:rsidR="003D5926" w:rsidRPr="002D5F04" w:rsidRDefault="003D5926" w:rsidP="00AA7425">
      <w:pPr>
        <w:tabs>
          <w:tab w:val="left" w:pos="0"/>
        </w:tabs>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Labai dažni šalutinio poveikio reiškiniai (gali pasireikšti ne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C29A758"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Edema (skysčių susilaikymas).</w:t>
      </w:r>
    </w:p>
    <w:p w14:paraId="25059C3C"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p>
    <w:p w14:paraId="6347654A" w14:textId="23825C7D"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Dažni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4505AA4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Galvos skausmas, svaigulys, mieguistumas (ypač gydymo pradžioje), regos sutrikimai (įskaitant dvejinimąsi akyse), stiprus širdies plakimas, veido paraudimas, dusulys, pilvo skausmas, kulkšnių patinimas, raumenų mėšlungis, nuovargis, jėgų nebuvimas, galūnių nušalimo ir tirpimo pojūtis, virškinimo trakto sutrikimai tokie kaip pykinimas, vėmimas, nevirškinimas, žarnyno funkcijos pokyčiai (įskaitant viduriavimą ir vidurių užkietėjimą).</w:t>
      </w:r>
    </w:p>
    <w:p w14:paraId="0561B924"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110843AB" w14:textId="5B22EB4B"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Nedažni šalutinio poveikio reiškiniai (gali pasireikšti rečiau kaip 1 iš 100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
          <w:kern w:val="2"/>
          <w:lang w:val="lt-LT"/>
        </w:rPr>
        <w:t>:</w:t>
      </w:r>
    </w:p>
    <w:p w14:paraId="0518A355"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Nemiga, nuotaikų kaita (įskaitant nerimą), depresija, miego sutrikimai, laikinas sąmonės netekimas (sinkopė), odos jautrumo sumažėjimas, skruzdžių bėgiojimo pojūtis ar kitų nesamų dirgiklių jutimas, skonio pakitimas (disgeuzija), drebulys, spengimas ausyse, hipotenzija, kosulys, rinitas, virškinimo sutrikimas, burnos džiūvimas, plikimas, nedideli kraujavimai odoje ir gleivinėje (purpura), odos spalvos pakitimas, padidėjęs prakaitavimas, niežėjimas, bėrimas, egzantema, dilgėlinė, sąnarių skausmas, raumenų skausmas, nugaros skausmas, padažnėjęs šlapinimasis, šlapinimosi sutrikimai, naktinis šlapinimasis, impotencija, krūtų padidėjimas vyrams, krūtinės skausmas, skausmas, negalavimas, svorio padidėjimas, svorio sumažėjimas, širdies laidumo sutrikimai, esamo širdies nepakankamumo pablogėjimas, lėtas širdies ritmas (bradikardija), bronchospazmas pacientams, sergantiems bronchine astma ar sirgusiems obstrukcine plaučių liga, raumenų silpnumas, išsekimas*.</w:t>
      </w:r>
    </w:p>
    <w:p w14:paraId="1D3EADCD"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Šis simptomas ypač pasireiškia gydymo pradžioje. Simptomas paprastai yra lengvas ir dažnai išnyksta per 1–2 savaites.</w:t>
      </w:r>
    </w:p>
    <w:p w14:paraId="089E549D"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3D20B4EC" w14:textId="34659629"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Reti šalutinio poveikio reiškiniai (gali pasireikšti rečiau kaip 1 iš 1</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2AC989D1"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Minčių susipainiojimas, padidėjęs trigliceridų kiekis, košmariški sapnai, iliuzinis jutimas (nenormalus pojūtis, kai nėra dirgiklio, panašus į tikrą pojūtį ir atrodo realus (haliucinacijos), sumažėjęs ašarų išsiskyrimas (tai reikia apsvarstyti, jei Jūs nešiojate kontaktinius lęšius), klausos pažeidimai, alerginė sloga, hepatitas, padidėjusio jautrumo reakcijos, tokios kaip niežulys, veido paraudimas, bėrimas, padidėjęs kepenų fermentų kiekis.</w:t>
      </w:r>
    </w:p>
    <w:p w14:paraId="10B8E6B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0783235" w14:textId="4F5294D5" w:rsidR="003D5926" w:rsidRPr="002D5F04" w:rsidRDefault="003D5926" w:rsidP="00AA7425">
      <w:pPr>
        <w:suppressAutoHyphens/>
        <w:spacing w:after="0" w:line="240" w:lineRule="auto"/>
        <w:ind w:right="-2"/>
        <w:rPr>
          <w:rFonts w:ascii="Times New Roman" w:hAnsi="Times New Roman" w:cs="Times New Roman"/>
          <w:iCs/>
          <w:kern w:val="2"/>
          <w:lang w:val="lt-LT"/>
        </w:rPr>
      </w:pPr>
      <w:r w:rsidRPr="002D5F04">
        <w:rPr>
          <w:rFonts w:ascii="Times New Roman" w:hAnsi="Times New Roman" w:cs="Times New Roman"/>
          <w:b/>
          <w:bCs/>
          <w:noProof/>
          <w:snapToGrid w:val="0"/>
          <w:lang w:val="lt-LT"/>
        </w:rPr>
        <w:t>Labai reti šalutinio poveikio reiškiniai (gali pasireikšti rečiau kaip 1 iš 10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000</w:t>
      </w:r>
      <w:r w:rsidR="00AA7425" w:rsidRPr="002D5F04">
        <w:rPr>
          <w:rFonts w:ascii="Times New Roman" w:hAnsi="Times New Roman" w:cs="Times New Roman"/>
          <w:b/>
          <w:bCs/>
          <w:noProof/>
          <w:snapToGrid w:val="0"/>
          <w:lang w:val="lt-LT"/>
        </w:rPr>
        <w:t> </w:t>
      </w:r>
      <w:r w:rsidRPr="002D5F04">
        <w:rPr>
          <w:rFonts w:ascii="Times New Roman" w:hAnsi="Times New Roman" w:cs="Times New Roman"/>
          <w:b/>
          <w:bCs/>
          <w:noProof/>
          <w:snapToGrid w:val="0"/>
          <w:lang w:val="lt-LT"/>
        </w:rPr>
        <w:t>asmenų</w:t>
      </w:r>
      <w:r w:rsidRPr="002D5F04">
        <w:rPr>
          <w:rFonts w:ascii="Times New Roman" w:hAnsi="Times New Roman" w:cs="Times New Roman"/>
          <w:b/>
          <w:bCs/>
          <w:iCs/>
          <w:kern w:val="2"/>
          <w:lang w:val="lt-LT"/>
        </w:rPr>
        <w:t>):</w:t>
      </w:r>
    </w:p>
    <w:p w14:paraId="3E2ADD6B"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Sumažėjęs baltųjų kraujo kūnelių ir trombocitų kiekis, padidėjęs cukraus kiekis kraujyje, hipertonija, periferinė neuropatija, fragmentinis mažų kraujagyslių uždegimas (vaskulitas), skrandžio uždegimas, </w:t>
      </w:r>
      <w:r w:rsidRPr="002D5F04">
        <w:rPr>
          <w:rFonts w:ascii="Times New Roman" w:hAnsi="Times New Roman" w:cs="Times New Roman"/>
          <w:kern w:val="2"/>
          <w:lang w:val="lt-LT"/>
        </w:rPr>
        <w:lastRenderedPageBreak/>
        <w:t>dantenų hiperplazija, gelta, sunkus odos ir gleivinių uždegimas su raudonomis pūslelėmis (daugiaformė eritema), , išplitusi eritema ir odos pleiskanojimas (eksfoliacinis dermatitas), jautrumas saulės šviesai, konjunktyvitas, vaistai, turintys panašų veikimo mechanizmą, kaip bizoprololis (šio vaisto veiklioji medžiaga), gali sukelti ar pabloginti psoriazę (lėtinę odos ligą, kuriai būdinga niežtintys žvyniški paraudę bėrimai) arba gali sukelti į psoriazę panašų odos sutrikimą.</w:t>
      </w:r>
    </w:p>
    <w:p w14:paraId="0D7D1443"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127EFF45" w14:textId="77777777" w:rsidR="003D5926" w:rsidRPr="002D5F04" w:rsidRDefault="003D5926" w:rsidP="00AA7425">
      <w:pPr>
        <w:suppressAutoHyphens/>
        <w:spacing w:after="0" w:line="240" w:lineRule="auto"/>
        <w:rPr>
          <w:rFonts w:ascii="Times New Roman" w:hAnsi="Times New Roman" w:cs="Times New Roman"/>
          <w:i/>
          <w:kern w:val="2"/>
          <w:lang w:val="lt-LT"/>
        </w:rPr>
      </w:pPr>
      <w:r w:rsidRPr="002D5F04">
        <w:rPr>
          <w:rFonts w:ascii="Times New Roman" w:hAnsi="Times New Roman" w:cs="Times New Roman"/>
          <w:b/>
          <w:bCs/>
          <w:noProof/>
          <w:snapToGrid w:val="0"/>
          <w:lang w:val="lt-LT"/>
        </w:rPr>
        <w:t>Šalutinio poveikio reiškiniai, kurių dažnis nežinomas (negali būti apskaičiuotas pagal turimus duomenis):</w:t>
      </w:r>
    </w:p>
    <w:p w14:paraId="2D13C4FF"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Drebulys, sustingusi kūno poza, sustingusi veido išraiška, lėti judesiai ir kojų vilkimas, pusiausvyros praradimas einant.</w:t>
      </w:r>
    </w:p>
    <w:p w14:paraId="6A7936B0"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4733E5CA" w14:textId="77777777"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b/>
          <w:kern w:val="2"/>
          <w:lang w:val="lt-LT"/>
        </w:rPr>
        <w:t>Pranešimas apie šalutinį poveikį</w:t>
      </w:r>
    </w:p>
    <w:p w14:paraId="2D0346C8" w14:textId="3FA5C48A"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 xml:space="preserve">Jeigu pasireiškė šalutinis poveikis, įskaitant šiame lapelyje nenurodytą, pasakykite gydytojui arba vaistininkui. </w:t>
      </w:r>
      <w:r w:rsidR="00D35E44" w:rsidRPr="002D5F04">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D35E44" w:rsidRPr="002D5F04">
        <w:rPr>
          <w:rFonts w:ascii="Times New Roman" w:hAnsi="Times New Roman" w:cs="Times New Roman"/>
          <w:color w:val="0000EE"/>
          <w:u w:val="single"/>
          <w:lang w:val="lt-LT" w:eastAsia="lt-LT"/>
        </w:rPr>
        <w:t>https://vvkt.lrv.lt/lt/</w:t>
      </w:r>
      <w:r w:rsidR="00D35E44" w:rsidRPr="002D5F04">
        <w:rPr>
          <w:rFonts w:ascii="Times New Roman" w:hAnsi="Times New Roman" w:cs="Times New Roman"/>
          <w:lang w:val="lt-LT" w:eastAsia="lt-LT"/>
        </w:rPr>
        <w:t xml:space="preserve"> nurodytais būdais arba paskambinti nemokamu telefonu </w:t>
      </w:r>
      <w:r w:rsidR="00D35E44" w:rsidRPr="002D5F04">
        <w:rPr>
          <w:rFonts w:ascii="Times New Roman" w:hAnsi="Times New Roman" w:cs="Times New Roman"/>
          <w:shd w:val="clear" w:color="auto" w:fill="FFFFFF"/>
          <w:lang w:val="lt-LT"/>
        </w:rPr>
        <w:t xml:space="preserve">+370 800 73568. </w:t>
      </w:r>
      <w:r w:rsidR="00D35E44" w:rsidRPr="002D5F04">
        <w:rPr>
          <w:rFonts w:ascii="Times New Roman" w:hAnsi="Times New Roman" w:cs="Times New Roman"/>
          <w:lang w:val="lt-LT" w:eastAsia="lt-LT"/>
        </w:rPr>
        <w:t>Pranešdami apie šalutinį poveikį galite mums padėti gauti daugiau informacijos apie šio vaisto saugumą</w:t>
      </w:r>
      <w:r w:rsidR="00D35E44" w:rsidRPr="002D5F04">
        <w:rPr>
          <w:rFonts w:ascii="Times New Roman" w:hAnsi="Times New Roman" w:cs="Times New Roman"/>
          <w:lang w:val="lt-LT"/>
        </w:rPr>
        <w:t>.</w:t>
      </w:r>
    </w:p>
    <w:p w14:paraId="71BF3CAC"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5087806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955DB3D" w14:textId="77777777" w:rsidR="003D5926" w:rsidRPr="002D5F04" w:rsidRDefault="003D5926" w:rsidP="00AA7425">
      <w:pPr>
        <w:suppressAutoHyphens/>
        <w:spacing w:after="0" w:line="240" w:lineRule="auto"/>
        <w:ind w:left="567" w:right="-2" w:hanging="567"/>
        <w:rPr>
          <w:rFonts w:ascii="Times New Roman" w:hAnsi="Times New Roman" w:cs="Times New Roman"/>
          <w:kern w:val="2"/>
          <w:lang w:val="lt-LT"/>
        </w:rPr>
      </w:pPr>
      <w:r w:rsidRPr="002D5F04">
        <w:rPr>
          <w:rFonts w:ascii="Times New Roman" w:hAnsi="Times New Roman" w:cs="Times New Roman"/>
          <w:b/>
          <w:kern w:val="2"/>
          <w:lang w:val="lt-LT"/>
        </w:rPr>
        <w:t>5.</w:t>
      </w:r>
      <w:r w:rsidRPr="002D5F04">
        <w:rPr>
          <w:rFonts w:ascii="Times New Roman" w:hAnsi="Times New Roman" w:cs="Times New Roman"/>
          <w:b/>
          <w:kern w:val="2"/>
          <w:lang w:val="lt-LT"/>
        </w:rPr>
        <w:tab/>
        <w:t>Kaip laikyti Alotendin</w:t>
      </w:r>
    </w:p>
    <w:p w14:paraId="6DC89B9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4406919A"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Šį vaistą laikykite vaikams nepastebimoje ir nepasiekiamoje vietoje.</w:t>
      </w:r>
    </w:p>
    <w:p w14:paraId="4B0CAA5E" w14:textId="77777777" w:rsidR="003D5926" w:rsidRPr="002D5F04" w:rsidRDefault="003D5926" w:rsidP="00AA7425">
      <w:pPr>
        <w:suppressAutoHyphens/>
        <w:spacing w:after="0" w:line="240" w:lineRule="auto"/>
        <w:rPr>
          <w:rFonts w:ascii="Times New Roman" w:hAnsi="Times New Roman" w:cs="Times New Roman"/>
          <w:kern w:val="2"/>
          <w:lang w:val="lt-LT"/>
        </w:rPr>
      </w:pPr>
    </w:p>
    <w:p w14:paraId="3FF0C7CB" w14:textId="41E59EE1"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Laikyti ne aukštesnėje kaip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C temperatūroje. Laikyti gamintojo pakuotėje, kad vaistas būtų apsaugotas nuo šviesos.</w:t>
      </w:r>
    </w:p>
    <w:p w14:paraId="132D82F4" w14:textId="77777777"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p>
    <w:p w14:paraId="540573B3" w14:textId="77777777" w:rsidR="003D5926" w:rsidRPr="002D5F04" w:rsidRDefault="003D5926" w:rsidP="00AA7425">
      <w:pPr>
        <w:tabs>
          <w:tab w:val="left" w:pos="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Ant dėžutės ir lizdinės plokštelės po „EXP“ nurodytam tinkamumo laikui pasibaigus, šio vaisto vartoti negalima. Vaistas tinkamas vartoti iki paskutinės nurodyto mėnesio dienos.</w:t>
      </w:r>
    </w:p>
    <w:p w14:paraId="7034888B"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A6739A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Pastebėjus matomus gedimo požymius (spalvos pakitimą), šio vaisto vartoti negalima.</w:t>
      </w:r>
    </w:p>
    <w:p w14:paraId="551A9627"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7FF26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Vaistų negalima išmesti į kanalizaciją arba su buitinėmis atliekomis. Kaip išmesti nereikalingus vaistus, klauskite vaistininko. Šios priemonės padės apsaugoti aplinką.</w:t>
      </w:r>
    </w:p>
    <w:p w14:paraId="127A3E9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6BF042F"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p>
    <w:p w14:paraId="1910722B" w14:textId="77777777" w:rsidR="003D5926" w:rsidRPr="002D5F04" w:rsidRDefault="003D5926" w:rsidP="00AA7425">
      <w:pPr>
        <w:tabs>
          <w:tab w:val="left" w:pos="720"/>
        </w:tabs>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6.</w:t>
      </w:r>
      <w:r w:rsidRPr="002D5F04">
        <w:rPr>
          <w:rFonts w:ascii="Times New Roman" w:hAnsi="Times New Roman" w:cs="Times New Roman"/>
          <w:b/>
          <w:kern w:val="2"/>
          <w:lang w:val="lt-LT"/>
        </w:rPr>
        <w:tab/>
        <w:t>Pakuotės turinys ir kita informacija</w:t>
      </w:r>
    </w:p>
    <w:p w14:paraId="26F88F1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289683C1" w14:textId="77777777" w:rsidR="003D5926" w:rsidRPr="002D5F04" w:rsidRDefault="003D5926" w:rsidP="00AA7425">
      <w:pPr>
        <w:tabs>
          <w:tab w:val="left" w:pos="0"/>
        </w:tabs>
        <w:suppressAutoHyphens/>
        <w:spacing w:after="0" w:line="240" w:lineRule="auto"/>
        <w:ind w:right="-2"/>
        <w:rPr>
          <w:rFonts w:ascii="Times New Roman" w:hAnsi="Times New Roman" w:cs="Times New Roman"/>
          <w:kern w:val="2"/>
          <w:u w:val="single"/>
          <w:lang w:val="lt-LT"/>
        </w:rPr>
      </w:pPr>
      <w:r w:rsidRPr="002D5F04">
        <w:rPr>
          <w:rFonts w:ascii="Times New Roman" w:hAnsi="Times New Roman" w:cs="Times New Roman"/>
          <w:b/>
          <w:kern w:val="2"/>
          <w:lang w:val="lt-LT"/>
        </w:rPr>
        <w:t>Alotendin sudėtis</w:t>
      </w:r>
    </w:p>
    <w:p w14:paraId="666E8F16" w14:textId="3E62B124" w:rsidR="003D5926" w:rsidRPr="002D5F04" w:rsidRDefault="003D5926" w:rsidP="00AA7425">
      <w:pPr>
        <w:numPr>
          <w:ilvl w:val="0"/>
          <w:numId w:val="7"/>
        </w:numPr>
        <w:tabs>
          <w:tab w:val="left" w:pos="540"/>
        </w:tabs>
        <w:suppressAutoHyphens/>
        <w:spacing w:after="0" w:line="240" w:lineRule="auto"/>
        <w:ind w:hanging="2340"/>
        <w:rPr>
          <w:rFonts w:ascii="Times New Roman" w:hAnsi="Times New Roman" w:cs="Times New Roman"/>
          <w:i/>
          <w:kern w:val="2"/>
          <w:lang w:val="lt-LT"/>
        </w:rPr>
      </w:pPr>
      <w:r w:rsidRPr="002D5F04">
        <w:rPr>
          <w:rFonts w:ascii="Times New Roman" w:hAnsi="Times New Roman" w:cs="Times New Roman"/>
          <w:kern w:val="2"/>
          <w:lang w:val="lt-LT"/>
        </w:rPr>
        <w:t>Veikliosios medžiagos yra:</w:t>
      </w:r>
    </w:p>
    <w:p w14:paraId="3A74311C" w14:textId="77777777" w:rsidR="003D5926" w:rsidRPr="002D5F04" w:rsidRDefault="003D5926" w:rsidP="00AA7425">
      <w:pPr>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mg/5 mg tabletės: 5 mg bizoprololio fumarato ir 5 mg amlodipino (besilato pavidalu).</w:t>
      </w:r>
    </w:p>
    <w:p w14:paraId="168CCB27"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5 mg/10 mg tabletės: 5 mg bizoprololio fumarato ir 10 mg amlodipino (besilato pavidalu).</w:t>
      </w:r>
    </w:p>
    <w:p w14:paraId="325A51B0" w14:textId="77777777" w:rsidR="003D5926" w:rsidRPr="002D5F04" w:rsidRDefault="003D5926" w:rsidP="00AA7425">
      <w:pPr>
        <w:tabs>
          <w:tab w:val="left" w:pos="2340"/>
        </w:tabs>
        <w:suppressAutoHyphens/>
        <w:spacing w:after="0" w:line="240" w:lineRule="auto"/>
        <w:ind w:left="567"/>
        <w:rPr>
          <w:rFonts w:ascii="Times New Roman" w:hAnsi="Times New Roman" w:cs="Times New Roman"/>
          <w:i/>
          <w:kern w:val="2"/>
          <w:lang w:val="lt-LT"/>
        </w:rPr>
      </w:pPr>
      <w:r w:rsidRPr="002D5F04">
        <w:rPr>
          <w:rFonts w:ascii="Times New Roman" w:hAnsi="Times New Roman" w:cs="Times New Roman"/>
          <w:kern w:val="2"/>
          <w:lang w:val="lt-LT"/>
        </w:rPr>
        <w:t>Alotendin 10 mg/5 mg tabletės</w:t>
      </w:r>
      <w:r w:rsidRPr="002D5F04">
        <w:rPr>
          <w:rFonts w:ascii="Times New Roman" w:hAnsi="Times New Roman" w:cs="Times New Roman"/>
          <w:iCs/>
          <w:kern w:val="2"/>
          <w:lang w:val="lt-LT"/>
        </w:rPr>
        <w:t>:</w:t>
      </w:r>
      <w:r w:rsidRPr="002D5F04">
        <w:rPr>
          <w:rFonts w:ascii="Times New Roman" w:hAnsi="Times New Roman" w:cs="Times New Roman"/>
          <w:kern w:val="2"/>
          <w:lang w:val="lt-LT"/>
        </w:rPr>
        <w:t xml:space="preserve"> 10</w:t>
      </w:r>
      <w:r w:rsidRPr="002D5F04">
        <w:rPr>
          <w:rFonts w:ascii="Times New Roman" w:hAnsi="Times New Roman" w:cs="Times New Roman"/>
          <w:b/>
          <w:i/>
          <w:kern w:val="2"/>
          <w:lang w:val="lt-LT"/>
        </w:rPr>
        <w:t> </w:t>
      </w:r>
      <w:r w:rsidRPr="002D5F04">
        <w:rPr>
          <w:rFonts w:ascii="Times New Roman" w:hAnsi="Times New Roman" w:cs="Times New Roman"/>
          <w:kern w:val="2"/>
          <w:lang w:val="lt-LT"/>
        </w:rPr>
        <w:t>mg bizoprololio fumarato ir 5 mg amlodipino (besilato pavidalu).</w:t>
      </w:r>
    </w:p>
    <w:p w14:paraId="55083A76" w14:textId="77777777" w:rsidR="00503F52" w:rsidRPr="002D5F04" w:rsidRDefault="00503F52" w:rsidP="00AA7425">
      <w:pPr>
        <w:tabs>
          <w:tab w:val="left" w:pos="567"/>
        </w:tabs>
        <w:suppressAutoHyphens/>
        <w:spacing w:after="0" w:line="240" w:lineRule="auto"/>
        <w:rPr>
          <w:rFonts w:ascii="Times New Roman" w:hAnsi="Times New Roman" w:cs="Times New Roman"/>
          <w:kern w:val="2"/>
          <w:lang w:val="lt-LT"/>
        </w:rPr>
      </w:pPr>
    </w:p>
    <w:p w14:paraId="6FCADB25" w14:textId="4FDFBAA5" w:rsidR="003D5926" w:rsidRPr="002D5F04" w:rsidRDefault="003D5926" w:rsidP="00AA7425">
      <w:pPr>
        <w:tabs>
          <w:tab w:val="left" w:pos="567"/>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Pagalbinės medžiagos yra bevandenis koloidinis silicio dioksidas, magnio stearatas, karboksimetilkrakmolo A natrio druska, mikrokristalinė celiuliozė.</w:t>
      </w:r>
    </w:p>
    <w:p w14:paraId="0EFAAB9C" w14:textId="77777777" w:rsidR="003D5926" w:rsidRPr="002D5F04" w:rsidRDefault="003D5926" w:rsidP="00AA7425">
      <w:pPr>
        <w:tabs>
          <w:tab w:val="left" w:pos="567"/>
        </w:tabs>
        <w:suppressAutoHyphens/>
        <w:spacing w:after="0" w:line="240" w:lineRule="auto"/>
        <w:ind w:left="2880" w:hanging="2880"/>
        <w:rPr>
          <w:rFonts w:ascii="Times New Roman" w:hAnsi="Times New Roman" w:cs="Times New Roman"/>
          <w:kern w:val="2"/>
          <w:lang w:val="lt-LT"/>
        </w:rPr>
      </w:pPr>
    </w:p>
    <w:p w14:paraId="1E42B73E" w14:textId="77777777" w:rsidR="003D5926" w:rsidRDefault="003D5926" w:rsidP="00AA7425">
      <w:pPr>
        <w:suppressAutoHyphens/>
        <w:spacing w:after="0" w:line="240" w:lineRule="auto"/>
        <w:ind w:right="-2"/>
        <w:rPr>
          <w:rFonts w:ascii="Times New Roman" w:hAnsi="Times New Roman" w:cs="Times New Roman"/>
          <w:b/>
          <w:kern w:val="2"/>
          <w:lang w:val="lt-LT"/>
        </w:rPr>
      </w:pPr>
      <w:r w:rsidRPr="002D5F04">
        <w:rPr>
          <w:rFonts w:ascii="Times New Roman" w:hAnsi="Times New Roman" w:cs="Times New Roman"/>
          <w:b/>
          <w:kern w:val="2"/>
          <w:lang w:val="lt-LT"/>
        </w:rPr>
        <w:t>Alotendin išvaizda ir kiekis pakuotėje</w:t>
      </w:r>
    </w:p>
    <w:p w14:paraId="5FC7CCF0" w14:textId="77777777" w:rsidR="002D5F04" w:rsidRPr="002D5F04" w:rsidRDefault="002D5F04" w:rsidP="00AA7425">
      <w:pPr>
        <w:suppressAutoHyphens/>
        <w:spacing w:after="0" w:line="240" w:lineRule="auto"/>
        <w:ind w:right="-2"/>
        <w:rPr>
          <w:rFonts w:ascii="Times New Roman" w:hAnsi="Times New Roman" w:cs="Times New Roman"/>
          <w:bCs/>
          <w:kern w:val="2"/>
          <w:lang w:val="lt-LT"/>
        </w:rPr>
      </w:pPr>
    </w:p>
    <w:tbl>
      <w:tblPr>
        <w:tblW w:w="0" w:type="auto"/>
        <w:tblLayout w:type="fixed"/>
        <w:tblLook w:val="04A0" w:firstRow="1" w:lastRow="0" w:firstColumn="1" w:lastColumn="0" w:noHBand="0" w:noVBand="1"/>
      </w:tblPr>
      <w:tblGrid>
        <w:gridCol w:w="3113"/>
        <w:gridCol w:w="5946"/>
      </w:tblGrid>
      <w:tr w:rsidR="003D5926" w:rsidRPr="00E30D3F" w14:paraId="4097FFAC" w14:textId="77777777" w:rsidTr="00F841EF">
        <w:tc>
          <w:tcPr>
            <w:tcW w:w="3113" w:type="dxa"/>
            <w:hideMark/>
          </w:tcPr>
          <w:p w14:paraId="2E3B571F"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5 mg/5 mg tabletės</w:t>
            </w:r>
          </w:p>
        </w:tc>
        <w:tc>
          <w:tcPr>
            <w:tcW w:w="5946" w:type="dxa"/>
            <w:hideMark/>
          </w:tcPr>
          <w:p w14:paraId="358A096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 xml:space="preserve">Baltos arba beveik baltos, bekvapės, pailgos, šiek tiek išgaubtos 9,5 mm tabletės, su vagele vienoje pusėje ir įspausta „MS“ žyme </w:t>
            </w:r>
            <w:r w:rsidRPr="002D5F04">
              <w:rPr>
                <w:rFonts w:ascii="Times New Roman" w:hAnsi="Times New Roman" w:cs="Times New Roman"/>
                <w:kern w:val="2"/>
                <w:lang w:val="lt-LT"/>
              </w:rPr>
              <w:lastRenderedPageBreak/>
              <w:t>kitoje pusėje. Vagelė skirta tik tabletei perlaužti, kad būtų lengviau nuryti, bet ne jai padalyti į lygias dozes.</w:t>
            </w:r>
          </w:p>
          <w:p w14:paraId="0B9725F6"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E30D3F" w14:paraId="2BF35258" w14:textId="77777777" w:rsidTr="00F841EF">
        <w:tc>
          <w:tcPr>
            <w:tcW w:w="3113" w:type="dxa"/>
            <w:hideMark/>
          </w:tcPr>
          <w:p w14:paraId="223830E5"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lastRenderedPageBreak/>
              <w:t>Alotendin 5 mg/10 mg tabletės</w:t>
            </w:r>
          </w:p>
        </w:tc>
        <w:tc>
          <w:tcPr>
            <w:tcW w:w="5946" w:type="dxa"/>
            <w:hideMark/>
          </w:tcPr>
          <w:p w14:paraId="60B878A3"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apvalios, plokščios, nuožulniais kraštais 10 mm tabletės, su vagele vienoje pusėje ir įspausta „MS“ žyme kitoje pusėje. Vagelė skirta tik tabletei perlaužti, kad būtų lengviau nuryti, bet ne jai padalyti į lygias dozes.</w:t>
            </w:r>
          </w:p>
          <w:p w14:paraId="1FF8EEF1"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r w:rsidR="003D5926" w:rsidRPr="00E30D3F" w14:paraId="58C42521" w14:textId="77777777" w:rsidTr="00F841EF">
        <w:tc>
          <w:tcPr>
            <w:tcW w:w="3113" w:type="dxa"/>
            <w:hideMark/>
          </w:tcPr>
          <w:p w14:paraId="30AAB5B0"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kern w:val="2"/>
                <w:lang w:val="lt-LT"/>
              </w:rPr>
              <w:t>Alotendin 10 mg/5 mg tabletės</w:t>
            </w:r>
          </w:p>
        </w:tc>
        <w:tc>
          <w:tcPr>
            <w:tcW w:w="5946" w:type="dxa"/>
          </w:tcPr>
          <w:p w14:paraId="2008F1DD" w14:textId="77777777" w:rsidR="003D5926" w:rsidRPr="002D5F04" w:rsidRDefault="003D5926" w:rsidP="00AA7425">
            <w:pPr>
              <w:tabs>
                <w:tab w:val="left" w:pos="-540"/>
              </w:tabs>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Baltos arba beveik baltos, bekvapės, ovalo formos, šiek tiek išgaubtos 13 mm tabletės, su vagele vienoje ir įspausta „MS“ žyme kitoje pusėje. Vagelė skirta tik tabletei perlaužti, kad būtų lengviau nuryti, bet ne jai padalyti į lygias dozes.</w:t>
            </w:r>
          </w:p>
          <w:p w14:paraId="1233655C"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tc>
      </w:tr>
    </w:tbl>
    <w:p w14:paraId="1C4E5161" w14:textId="5571B36E"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Alotendin tiekiamas po 30</w:t>
      </w:r>
      <w:r w:rsidR="00AA7425" w:rsidRPr="002D5F04">
        <w:rPr>
          <w:rFonts w:ascii="Times New Roman" w:hAnsi="Times New Roman" w:cs="Times New Roman"/>
          <w:kern w:val="2"/>
          <w:lang w:val="lt-LT"/>
        </w:rPr>
        <w:t> </w:t>
      </w:r>
      <w:r w:rsidRPr="002D5F04">
        <w:rPr>
          <w:rFonts w:ascii="Times New Roman" w:hAnsi="Times New Roman" w:cs="Times New Roman"/>
          <w:kern w:val="2"/>
          <w:lang w:val="lt-LT"/>
        </w:rPr>
        <w:t xml:space="preserve">tablečių OPA/Al/PVC//Al lizdinėse plokštelėse kartono dėžutėje. </w:t>
      </w:r>
    </w:p>
    <w:p w14:paraId="0394B70E"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7B3F4C21" w14:textId="160E8C5A" w:rsidR="003D5926" w:rsidRPr="002D5F04" w:rsidRDefault="00503F52"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G</w:t>
      </w:r>
      <w:r w:rsidR="003D5926" w:rsidRPr="002D5F04">
        <w:rPr>
          <w:rFonts w:ascii="Times New Roman" w:hAnsi="Times New Roman" w:cs="Times New Roman"/>
          <w:b/>
          <w:kern w:val="2"/>
          <w:lang w:val="lt-LT"/>
        </w:rPr>
        <w:t>amintojas</w:t>
      </w:r>
    </w:p>
    <w:p w14:paraId="492C1DDF" w14:textId="7BB5B65A"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Egis Pharmaceuticals PLC</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Bökényföldi út 118-120</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1165 Budapest</w:t>
      </w:r>
      <w:r w:rsidR="00503F52" w:rsidRPr="002D5F04">
        <w:rPr>
          <w:rFonts w:ascii="Times New Roman" w:hAnsi="Times New Roman" w:cs="Times New Roman"/>
          <w:color w:val="000000"/>
          <w:kern w:val="2"/>
          <w:lang w:val="lt-LT"/>
        </w:rPr>
        <w:t xml:space="preserve">, </w:t>
      </w:r>
      <w:r w:rsidRPr="002D5F04">
        <w:rPr>
          <w:rFonts w:ascii="Times New Roman" w:hAnsi="Times New Roman" w:cs="Times New Roman"/>
          <w:color w:val="000000"/>
          <w:kern w:val="2"/>
          <w:lang w:val="lt-LT"/>
        </w:rPr>
        <w:t>Vengrija</w:t>
      </w:r>
    </w:p>
    <w:p w14:paraId="025C27A5"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color w:val="000000"/>
          <w:kern w:val="2"/>
          <w:lang w:val="lt-LT"/>
        </w:rPr>
        <w:t>arba</w:t>
      </w:r>
    </w:p>
    <w:p w14:paraId="2777E6F7" w14:textId="0E67AE1B" w:rsidR="003D5926" w:rsidRPr="002D5F04" w:rsidRDefault="003D5926" w:rsidP="00AA7425">
      <w:pPr>
        <w:suppressAutoHyphens/>
        <w:spacing w:after="0" w:line="240" w:lineRule="auto"/>
        <w:rPr>
          <w:rFonts w:ascii="Times New Roman" w:hAnsi="Times New Roman" w:cs="Times New Roman"/>
          <w:kern w:val="2"/>
          <w:lang w:val="lt-LT"/>
        </w:rPr>
      </w:pPr>
      <w:r w:rsidRPr="002D5F04">
        <w:rPr>
          <w:rFonts w:ascii="Times New Roman" w:hAnsi="Times New Roman" w:cs="Times New Roman"/>
          <w:kern w:val="2"/>
          <w:lang w:val="lt-LT"/>
        </w:rPr>
        <w:t>Me</w:t>
      </w:r>
      <w:r w:rsidRPr="002D5F04">
        <w:rPr>
          <w:rFonts w:ascii="Times New Roman" w:hAnsi="Times New Roman" w:cs="Times New Roman"/>
          <w:spacing w:val="-2"/>
          <w:kern w:val="2"/>
          <w:lang w:val="lt-LT"/>
        </w:rPr>
        <w:t>r</w:t>
      </w:r>
      <w:r w:rsidRPr="002D5F04">
        <w:rPr>
          <w:rFonts w:ascii="Times New Roman" w:hAnsi="Times New Roman" w:cs="Times New Roman"/>
          <w:kern w:val="2"/>
          <w:lang w:val="lt-LT"/>
        </w:rPr>
        <w:t>ck</w:t>
      </w:r>
      <w:r w:rsidRPr="002D5F04">
        <w:rPr>
          <w:rFonts w:ascii="Times New Roman" w:hAnsi="Times New Roman" w:cs="Times New Roman"/>
          <w:spacing w:val="-2"/>
          <w:kern w:val="2"/>
          <w:lang w:val="lt-LT"/>
        </w:rPr>
        <w:t xml:space="preserve"> </w:t>
      </w:r>
      <w:r w:rsidRPr="002D5F04">
        <w:rPr>
          <w:rFonts w:ascii="Times New Roman" w:hAnsi="Times New Roman" w:cs="Times New Roman"/>
          <w:spacing w:val="1"/>
          <w:kern w:val="2"/>
          <w:lang w:val="lt-LT"/>
        </w:rPr>
        <w:t>K</w:t>
      </w:r>
      <w:r w:rsidRPr="002D5F04">
        <w:rPr>
          <w:rFonts w:ascii="Times New Roman" w:hAnsi="Times New Roman" w:cs="Times New Roman"/>
          <w:spacing w:val="-1"/>
          <w:kern w:val="2"/>
          <w:lang w:val="lt-LT"/>
        </w:rPr>
        <w:t>G</w:t>
      </w:r>
      <w:r w:rsidRPr="002D5F04">
        <w:rPr>
          <w:rFonts w:ascii="Times New Roman" w:hAnsi="Times New Roman" w:cs="Times New Roman"/>
          <w:kern w:val="2"/>
          <w:lang w:val="lt-LT"/>
        </w:rPr>
        <w:t>aA</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F</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an</w:t>
      </w:r>
      <w:r w:rsidRPr="002D5F04">
        <w:rPr>
          <w:rFonts w:ascii="Times New Roman" w:hAnsi="Times New Roman" w:cs="Times New Roman"/>
          <w:spacing w:val="-2"/>
          <w:kern w:val="2"/>
          <w:lang w:val="lt-LT"/>
        </w:rPr>
        <w:t>k</w:t>
      </w:r>
      <w:r w:rsidRPr="002D5F04">
        <w:rPr>
          <w:rFonts w:ascii="Times New Roman" w:hAnsi="Times New Roman" w:cs="Times New Roman"/>
          <w:spacing w:val="1"/>
          <w:kern w:val="2"/>
          <w:lang w:val="lt-LT"/>
        </w:rPr>
        <w:t>f</w:t>
      </w:r>
      <w:r w:rsidRPr="002D5F04">
        <w:rPr>
          <w:rFonts w:ascii="Times New Roman" w:hAnsi="Times New Roman" w:cs="Times New Roman"/>
          <w:kern w:val="2"/>
          <w:lang w:val="lt-LT"/>
        </w:rPr>
        <w:t>u</w:t>
      </w:r>
      <w:r w:rsidRPr="002D5F04">
        <w:rPr>
          <w:rFonts w:ascii="Times New Roman" w:hAnsi="Times New Roman" w:cs="Times New Roman"/>
          <w:spacing w:val="-2"/>
          <w:kern w:val="2"/>
          <w:lang w:val="lt-LT"/>
        </w:rPr>
        <w:t>r</w:t>
      </w:r>
      <w:r w:rsidRPr="002D5F04">
        <w:rPr>
          <w:rFonts w:ascii="Times New Roman" w:hAnsi="Times New Roman" w:cs="Times New Roman"/>
          <w:spacing w:val="1"/>
          <w:kern w:val="2"/>
          <w:lang w:val="lt-LT"/>
        </w:rPr>
        <w:t>t</w:t>
      </w:r>
      <w:r w:rsidRPr="002D5F04">
        <w:rPr>
          <w:rFonts w:ascii="Times New Roman" w:hAnsi="Times New Roman" w:cs="Times New Roman"/>
          <w:spacing w:val="-2"/>
          <w:kern w:val="2"/>
          <w:lang w:val="lt-LT"/>
        </w:rPr>
        <w:t>e</w:t>
      </w:r>
      <w:r w:rsidRPr="002D5F04">
        <w:rPr>
          <w:rFonts w:ascii="Times New Roman" w:hAnsi="Times New Roman" w:cs="Times New Roman"/>
          <w:kern w:val="2"/>
          <w:lang w:val="lt-LT"/>
        </w:rPr>
        <w:t>r</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spacing w:val="1"/>
          <w:kern w:val="2"/>
          <w:lang w:val="lt-LT"/>
        </w:rPr>
        <w:t>r</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s</w:t>
      </w:r>
      <w:r w:rsidRPr="002D5F04">
        <w:rPr>
          <w:rFonts w:ascii="Times New Roman" w:hAnsi="Times New Roman" w:cs="Times New Roman"/>
          <w:kern w:val="2"/>
          <w:lang w:val="lt-LT"/>
        </w:rPr>
        <w:t>se</w:t>
      </w:r>
      <w:r w:rsidRPr="002D5F04">
        <w:rPr>
          <w:rFonts w:ascii="Times New Roman" w:hAnsi="Times New Roman" w:cs="Times New Roman"/>
          <w:spacing w:val="1"/>
          <w:kern w:val="2"/>
          <w:lang w:val="lt-LT"/>
        </w:rPr>
        <w:t xml:space="preserve"> </w:t>
      </w:r>
      <w:r w:rsidRPr="002D5F04">
        <w:rPr>
          <w:rFonts w:ascii="Times New Roman" w:hAnsi="Times New Roman" w:cs="Times New Roman"/>
          <w:kern w:val="2"/>
          <w:lang w:val="lt-LT"/>
        </w:rPr>
        <w:t>25</w:t>
      </w:r>
      <w:r w:rsidRPr="002D5F04">
        <w:rPr>
          <w:rFonts w:ascii="Times New Roman" w:hAnsi="Times New Roman" w:cs="Times New Roman"/>
          <w:spacing w:val="-2"/>
          <w:kern w:val="2"/>
          <w:lang w:val="lt-LT"/>
        </w:rPr>
        <w:t>0</w:t>
      </w:r>
      <w:r w:rsidR="00503F52" w:rsidRPr="002D5F04">
        <w:rPr>
          <w:rFonts w:ascii="Times New Roman" w:hAnsi="Times New Roman" w:cs="Times New Roman"/>
          <w:kern w:val="2"/>
          <w:lang w:val="lt-LT"/>
        </w:rPr>
        <w:t xml:space="preserve">, </w:t>
      </w:r>
      <w:r w:rsidRPr="002D5F04">
        <w:rPr>
          <w:rFonts w:ascii="Times New Roman" w:hAnsi="Times New Roman" w:cs="Times New Roman"/>
          <w:kern w:val="2"/>
          <w:lang w:val="lt-LT"/>
        </w:rPr>
        <w:t>6</w:t>
      </w:r>
      <w:r w:rsidRPr="002D5F04">
        <w:rPr>
          <w:rFonts w:ascii="Times New Roman" w:hAnsi="Times New Roman" w:cs="Times New Roman"/>
          <w:spacing w:val="-2"/>
          <w:kern w:val="2"/>
          <w:lang w:val="lt-LT"/>
        </w:rPr>
        <w:t>4</w:t>
      </w:r>
      <w:r w:rsidRPr="002D5F04">
        <w:rPr>
          <w:rFonts w:ascii="Times New Roman" w:hAnsi="Times New Roman" w:cs="Times New Roman"/>
          <w:kern w:val="2"/>
          <w:lang w:val="lt-LT"/>
        </w:rPr>
        <w:t xml:space="preserve">293 </w:t>
      </w:r>
      <w:r w:rsidRPr="002D5F04">
        <w:rPr>
          <w:rFonts w:ascii="Times New Roman" w:hAnsi="Times New Roman" w:cs="Times New Roman"/>
          <w:spacing w:val="-1"/>
          <w:kern w:val="2"/>
          <w:lang w:val="lt-LT"/>
        </w:rPr>
        <w:t>D</w:t>
      </w:r>
      <w:r w:rsidRPr="002D5F04">
        <w:rPr>
          <w:rFonts w:ascii="Times New Roman" w:hAnsi="Times New Roman" w:cs="Times New Roman"/>
          <w:kern w:val="2"/>
          <w:lang w:val="lt-LT"/>
        </w:rPr>
        <w:t>a</w:t>
      </w:r>
      <w:r w:rsidRPr="002D5F04">
        <w:rPr>
          <w:rFonts w:ascii="Times New Roman" w:hAnsi="Times New Roman" w:cs="Times New Roman"/>
          <w:spacing w:val="1"/>
          <w:kern w:val="2"/>
          <w:lang w:val="lt-LT"/>
        </w:rPr>
        <w:t>r</w:t>
      </w:r>
      <w:r w:rsidRPr="002D5F04">
        <w:rPr>
          <w:rFonts w:ascii="Times New Roman" w:hAnsi="Times New Roman" w:cs="Times New Roman"/>
          <w:spacing w:val="-4"/>
          <w:kern w:val="2"/>
          <w:lang w:val="lt-LT"/>
        </w:rPr>
        <w:t>m</w:t>
      </w:r>
      <w:r w:rsidRPr="002D5F04">
        <w:rPr>
          <w:rFonts w:ascii="Times New Roman" w:hAnsi="Times New Roman" w:cs="Times New Roman"/>
          <w:kern w:val="2"/>
          <w:lang w:val="lt-LT"/>
        </w:rPr>
        <w:t>s</w:t>
      </w:r>
      <w:r w:rsidRPr="002D5F04">
        <w:rPr>
          <w:rFonts w:ascii="Times New Roman" w:hAnsi="Times New Roman" w:cs="Times New Roman"/>
          <w:spacing w:val="1"/>
          <w:kern w:val="2"/>
          <w:lang w:val="lt-LT"/>
        </w:rPr>
        <w:t>t</w:t>
      </w:r>
      <w:r w:rsidRPr="002D5F04">
        <w:rPr>
          <w:rFonts w:ascii="Times New Roman" w:hAnsi="Times New Roman" w:cs="Times New Roman"/>
          <w:kern w:val="2"/>
          <w:lang w:val="lt-LT"/>
        </w:rPr>
        <w:t>a</w:t>
      </w:r>
      <w:r w:rsidRPr="002D5F04">
        <w:rPr>
          <w:rFonts w:ascii="Times New Roman" w:hAnsi="Times New Roman" w:cs="Times New Roman"/>
          <w:spacing w:val="-2"/>
          <w:kern w:val="2"/>
          <w:lang w:val="lt-LT"/>
        </w:rPr>
        <w:t>d</w:t>
      </w:r>
      <w:r w:rsidRPr="002D5F04">
        <w:rPr>
          <w:rFonts w:ascii="Times New Roman" w:hAnsi="Times New Roman" w:cs="Times New Roman"/>
          <w:kern w:val="2"/>
          <w:lang w:val="lt-LT"/>
        </w:rPr>
        <w:t>t</w:t>
      </w:r>
      <w:r w:rsidR="00503F52" w:rsidRPr="002D5F04">
        <w:rPr>
          <w:rFonts w:ascii="Times New Roman" w:hAnsi="Times New Roman" w:cs="Times New Roman"/>
          <w:kern w:val="2"/>
          <w:lang w:val="lt-LT"/>
        </w:rPr>
        <w:t xml:space="preserve">, </w:t>
      </w:r>
      <w:r w:rsidRPr="002D5F04">
        <w:rPr>
          <w:rFonts w:ascii="Times New Roman" w:hAnsi="Times New Roman" w:cs="Times New Roman"/>
          <w:spacing w:val="-1"/>
          <w:kern w:val="2"/>
          <w:lang w:val="lt-LT"/>
        </w:rPr>
        <w:t>Vokietija</w:t>
      </w:r>
    </w:p>
    <w:p w14:paraId="3DE44A60" w14:textId="77777777" w:rsidR="003D5926" w:rsidRPr="002D5F04" w:rsidRDefault="003D5926" w:rsidP="00AA7425">
      <w:pPr>
        <w:suppressAutoHyphens/>
        <w:spacing w:after="0" w:line="240" w:lineRule="auto"/>
        <w:rPr>
          <w:rFonts w:ascii="Times New Roman" w:hAnsi="Times New Roman" w:cs="Times New Roman"/>
          <w:color w:val="000000"/>
          <w:kern w:val="2"/>
          <w:lang w:val="lt-LT"/>
        </w:rPr>
      </w:pPr>
    </w:p>
    <w:p w14:paraId="65A9355B" w14:textId="77777777" w:rsidR="00503F52" w:rsidRPr="002D5F04" w:rsidRDefault="00503F52" w:rsidP="00AA7425">
      <w:pPr>
        <w:widowControl w:val="0"/>
        <w:spacing w:after="0" w:line="240" w:lineRule="auto"/>
        <w:rPr>
          <w:rFonts w:ascii="Times New Roman" w:hAnsi="Times New Roman" w:cs="Times New Roman"/>
          <w:b/>
          <w:bCs/>
          <w:lang w:val="lt-LT" w:eastAsia="sl-SI"/>
        </w:rPr>
      </w:pPr>
      <w:r w:rsidRPr="002D5F04">
        <w:rPr>
          <w:rFonts w:ascii="Times New Roman" w:hAnsi="Times New Roman" w:cs="Times New Roman"/>
          <w:b/>
          <w:bCs/>
          <w:lang w:val="lt-LT" w:eastAsia="sl-SI"/>
        </w:rPr>
        <w:t>Lygiagretus importuotojas</w:t>
      </w:r>
    </w:p>
    <w:p w14:paraId="2770CA6A" w14:textId="77777777" w:rsidR="00503F52" w:rsidRPr="002D5F04" w:rsidRDefault="00503F52" w:rsidP="00AA7425">
      <w:pPr>
        <w:widowControl w:val="0"/>
        <w:spacing w:after="0" w:line="240" w:lineRule="auto"/>
        <w:rPr>
          <w:rFonts w:ascii="Times New Roman" w:hAnsi="Times New Roman" w:cs="Times New Roman"/>
          <w:lang w:val="lt-LT" w:eastAsia="sl-SI"/>
        </w:rPr>
      </w:pPr>
      <w:r w:rsidRPr="002D5F04">
        <w:rPr>
          <w:rFonts w:ascii="Times New Roman" w:hAnsi="Times New Roman" w:cs="Times New Roman"/>
          <w:lang w:val="lt-LT" w:eastAsia="sl-SI"/>
        </w:rPr>
        <w:t>UAB „Lex ano“, Naugarduko g. 3, LT-03231 Vilnius, Lietuva</w:t>
      </w:r>
    </w:p>
    <w:p w14:paraId="2D11FCA1"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26158834" w14:textId="77777777" w:rsidR="00503F52" w:rsidRPr="002D5F04" w:rsidRDefault="00503F52" w:rsidP="00AA7425">
      <w:pPr>
        <w:spacing w:after="0" w:line="240" w:lineRule="auto"/>
        <w:rPr>
          <w:rFonts w:ascii="Times New Roman" w:hAnsi="Times New Roman" w:cs="Times New Roman"/>
          <w:b/>
          <w:noProof/>
          <w:lang w:val="lt-LT"/>
        </w:rPr>
      </w:pPr>
      <w:bookmarkStart w:id="0" w:name="_Hlk140226735"/>
      <w:r w:rsidRPr="002D5F04">
        <w:rPr>
          <w:rFonts w:ascii="Times New Roman" w:hAnsi="Times New Roman" w:cs="Times New Roman"/>
          <w:b/>
          <w:noProof/>
          <w:lang w:val="lt-LT"/>
        </w:rPr>
        <w:t>Perpakavo</w:t>
      </w:r>
    </w:p>
    <w:p w14:paraId="2316F2F5" w14:textId="05FD5FE0"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Lietuvos ir Norvegijos UAB „Norfachema“, Vytauto g. 6, LT-55175 Jonava, Lietuva</w:t>
      </w:r>
    </w:p>
    <w:p w14:paraId="42736018"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5F3A504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UAB „ENTAFARMA“, Klonėnų vs. 1, LT-19156 Širvintų r. sav , Lietuva</w:t>
      </w:r>
    </w:p>
    <w:p w14:paraId="5B27CD80" w14:textId="6453D0D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arba</w:t>
      </w:r>
    </w:p>
    <w:p w14:paraId="2103896F" w14:textId="77777777" w:rsidR="00503F52" w:rsidRPr="002D5F04" w:rsidRDefault="00503F52" w:rsidP="00AA7425">
      <w:pPr>
        <w:spacing w:after="0" w:line="240" w:lineRule="auto"/>
        <w:rPr>
          <w:rFonts w:ascii="Times New Roman" w:hAnsi="Times New Roman" w:cs="Times New Roman"/>
          <w:noProof/>
          <w:lang w:val="lt-LT"/>
        </w:rPr>
      </w:pPr>
      <w:r w:rsidRPr="002D5F04">
        <w:rPr>
          <w:rFonts w:ascii="Times New Roman" w:hAnsi="Times New Roman" w:cs="Times New Roman"/>
          <w:noProof/>
          <w:lang w:val="lt-LT"/>
        </w:rPr>
        <w:t>CEFEA Sp. z o.o. Sp. K., Ul. Działkowa 69, 02-234 Warszawa, Lenkija</w:t>
      </w:r>
    </w:p>
    <w:bookmarkEnd w:id="0"/>
    <w:p w14:paraId="1FBC2A50" w14:textId="77777777" w:rsidR="00503F52" w:rsidRPr="002D5F04" w:rsidRDefault="00503F52" w:rsidP="00AA7425">
      <w:pPr>
        <w:widowControl w:val="0"/>
        <w:spacing w:after="0" w:line="240" w:lineRule="auto"/>
        <w:rPr>
          <w:rFonts w:ascii="Times New Roman" w:hAnsi="Times New Roman" w:cs="Times New Roman"/>
          <w:lang w:val="lt-LT" w:eastAsia="sl-SI"/>
        </w:rPr>
      </w:pPr>
    </w:p>
    <w:p w14:paraId="5A60B7B6" w14:textId="47F0D8DD" w:rsidR="00503F52" w:rsidRPr="002D5F04" w:rsidRDefault="00503F52" w:rsidP="00AA7425">
      <w:pPr>
        <w:suppressAutoHyphens/>
        <w:spacing w:after="0" w:line="240" w:lineRule="auto"/>
        <w:rPr>
          <w:rFonts w:ascii="Times New Roman" w:hAnsi="Times New Roman" w:cs="Times New Roman"/>
          <w:color w:val="000000"/>
          <w:kern w:val="2"/>
          <w:lang w:val="lt-LT"/>
        </w:rPr>
      </w:pPr>
      <w:r w:rsidRPr="002D5F04">
        <w:rPr>
          <w:rFonts w:ascii="Times New Roman" w:hAnsi="Times New Roman" w:cs="Times New Roman"/>
          <w:b/>
          <w:bCs/>
          <w:lang w:val="lt-LT" w:eastAsia="sl-SI"/>
        </w:rPr>
        <w:t xml:space="preserve">Registruotojas eksportuojančioje valstybėje yra </w:t>
      </w:r>
      <w:r w:rsidRPr="002D5F04">
        <w:rPr>
          <w:rFonts w:ascii="Times New Roman" w:hAnsi="Times New Roman" w:cs="Times New Roman"/>
          <w:color w:val="000000"/>
          <w:kern w:val="2"/>
          <w:lang w:val="lt-LT"/>
        </w:rPr>
        <w:t>Egis Pharmaceuticals PLC, Keresztúri út 30-38, 1106 Budapest, Vengrija</w:t>
      </w:r>
    </w:p>
    <w:p w14:paraId="22029A25" w14:textId="4B74B807" w:rsidR="003D5926" w:rsidRPr="002D5F04" w:rsidRDefault="003D5926" w:rsidP="00AA7425">
      <w:pPr>
        <w:suppressAutoHyphens/>
        <w:spacing w:after="0" w:line="240" w:lineRule="auto"/>
        <w:rPr>
          <w:rFonts w:ascii="Times New Roman" w:hAnsi="Times New Roman" w:cs="Times New Roman"/>
          <w:kern w:val="2"/>
          <w:lang w:val="lt-LT"/>
        </w:rPr>
      </w:pPr>
    </w:p>
    <w:p w14:paraId="2DAA230F" w14:textId="1CA4EB08" w:rsidR="003D5926" w:rsidRPr="002D5F04" w:rsidRDefault="003D5926" w:rsidP="00AA7425">
      <w:pPr>
        <w:suppressAutoHyphens/>
        <w:spacing w:after="0" w:line="240" w:lineRule="auto"/>
        <w:ind w:right="-2"/>
        <w:rPr>
          <w:rFonts w:ascii="Times New Roman" w:hAnsi="Times New Roman" w:cs="Times New Roman"/>
          <w:kern w:val="2"/>
          <w:lang w:val="lt-LT"/>
        </w:rPr>
      </w:pPr>
      <w:r w:rsidRPr="002D5F04">
        <w:rPr>
          <w:rFonts w:ascii="Times New Roman" w:hAnsi="Times New Roman" w:cs="Times New Roman"/>
          <w:b/>
          <w:kern w:val="2"/>
          <w:lang w:val="lt-LT"/>
        </w:rPr>
        <w:t xml:space="preserve">Šis pakuotės lapelis paskutinį kartą peržiūrėtas </w:t>
      </w:r>
      <w:r w:rsidR="00E30D3F">
        <w:rPr>
          <w:rFonts w:ascii="Times New Roman" w:hAnsi="Times New Roman" w:cs="Times New Roman"/>
          <w:b/>
          <w:kern w:val="2"/>
          <w:lang w:val="lt-LT"/>
        </w:rPr>
        <w:t>2025-03-24</w:t>
      </w:r>
    </w:p>
    <w:p w14:paraId="3F240AA9" w14:textId="77777777" w:rsidR="003D5926" w:rsidRPr="002D5F04" w:rsidRDefault="003D5926" w:rsidP="00AA7425">
      <w:pPr>
        <w:suppressAutoHyphens/>
        <w:spacing w:after="0" w:line="240" w:lineRule="auto"/>
        <w:ind w:right="-2"/>
        <w:rPr>
          <w:rFonts w:ascii="Times New Roman" w:hAnsi="Times New Roman" w:cs="Times New Roman"/>
          <w:kern w:val="2"/>
          <w:lang w:val="lt-LT"/>
        </w:rPr>
      </w:pPr>
    </w:p>
    <w:p w14:paraId="64B9D06E" w14:textId="7C75BE6D" w:rsidR="003D5926" w:rsidRPr="002D5F04" w:rsidRDefault="003D5926" w:rsidP="00AA7425">
      <w:pPr>
        <w:tabs>
          <w:tab w:val="left" w:pos="0"/>
        </w:tabs>
        <w:suppressAutoHyphens/>
        <w:spacing w:after="0" w:line="240" w:lineRule="auto"/>
        <w:rPr>
          <w:rFonts w:ascii="Times New Roman" w:eastAsia="Times New Roman" w:hAnsi="Times New Roman" w:cs="Times New Roman"/>
          <w:snapToGrid w:val="0"/>
          <w:u w:val="single"/>
          <w:lang w:val="lt-LT"/>
        </w:rPr>
      </w:pPr>
      <w:r w:rsidRPr="002D5F04">
        <w:rPr>
          <w:rFonts w:ascii="Times New Roman" w:hAnsi="Times New Roman" w:cs="Times New Roman"/>
          <w:kern w:val="2"/>
          <w:lang w:val="lt-LT"/>
        </w:rPr>
        <w:t xml:space="preserve">Išsami informacija apie šį vaistą pateikiama Valstybinės vaistų kontrolės tarnybos prie Lietuvos Respublikos sveikatos apsaugos ministerijos tinklalapyje </w:t>
      </w:r>
      <w:r w:rsidR="00A007C6" w:rsidRPr="002D5F04">
        <w:rPr>
          <w:rFonts w:ascii="Times New Roman" w:hAnsi="Times New Roman" w:cs="Times New Roman"/>
          <w:color w:val="0000EE"/>
          <w:u w:val="single"/>
          <w:lang w:val="lt-LT" w:eastAsia="lt-LT"/>
        </w:rPr>
        <w:t>https://vvkt.lrv.lt/lt/</w:t>
      </w:r>
      <w:r w:rsidR="00AA7425" w:rsidRPr="002D5F04">
        <w:rPr>
          <w:rFonts w:ascii="Times New Roman" w:hAnsi="Times New Roman" w:cs="Times New Roman"/>
          <w:lang w:val="lt-LT" w:eastAsia="lt-LT"/>
        </w:rPr>
        <w:t>.</w:t>
      </w:r>
    </w:p>
    <w:p w14:paraId="4AEE2B04" w14:textId="77777777" w:rsidR="009041DB" w:rsidRPr="002D5F04" w:rsidRDefault="009041DB" w:rsidP="00AA7425">
      <w:pPr>
        <w:spacing w:after="0" w:line="240" w:lineRule="auto"/>
        <w:rPr>
          <w:rFonts w:ascii="Times New Roman" w:hAnsi="Times New Roman" w:cs="Times New Roman"/>
          <w:lang w:val="lt-LT"/>
        </w:rPr>
      </w:pPr>
    </w:p>
    <w:sectPr w:rsidR="009041DB" w:rsidRPr="002D5F04" w:rsidSect="00834335">
      <w:footerReference w:type="default" r:id="rId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EC95" w14:textId="77777777" w:rsidR="003D1D6F" w:rsidRDefault="003D1D6F">
      <w:pPr>
        <w:spacing w:after="0" w:line="240" w:lineRule="auto"/>
      </w:pPr>
      <w:r>
        <w:separator/>
      </w:r>
    </w:p>
  </w:endnote>
  <w:endnote w:type="continuationSeparator" w:id="0">
    <w:p w14:paraId="0954901A" w14:textId="77777777" w:rsidR="003D1D6F" w:rsidRDefault="003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551954"/>
      <w:docPartObj>
        <w:docPartGallery w:val="Page Numbers (Bottom of Page)"/>
        <w:docPartUnique/>
      </w:docPartObj>
    </w:sdtPr>
    <w:sdtEndPr>
      <w:rPr>
        <w:sz w:val="22"/>
        <w:szCs w:val="22"/>
      </w:rPr>
    </w:sdtEndPr>
    <w:sdtContent>
      <w:p w14:paraId="15F707D8" w14:textId="77777777" w:rsidR="003D1D6F" w:rsidRPr="00AA7425" w:rsidRDefault="003D5926">
        <w:pPr>
          <w:pStyle w:val="Porat"/>
          <w:jc w:val="center"/>
          <w:rPr>
            <w:sz w:val="22"/>
            <w:szCs w:val="22"/>
          </w:rPr>
        </w:pPr>
        <w:r w:rsidRPr="00AA7425">
          <w:rPr>
            <w:sz w:val="22"/>
            <w:szCs w:val="22"/>
          </w:rPr>
          <w:fldChar w:fldCharType="begin"/>
        </w:r>
        <w:r w:rsidRPr="00AA7425">
          <w:rPr>
            <w:sz w:val="22"/>
            <w:szCs w:val="22"/>
          </w:rPr>
          <w:instrText>PAGE   \* MERGEFORMAT</w:instrText>
        </w:r>
        <w:r w:rsidRPr="00AA7425">
          <w:rPr>
            <w:sz w:val="22"/>
            <w:szCs w:val="22"/>
          </w:rPr>
          <w:fldChar w:fldCharType="separate"/>
        </w:r>
        <w:r w:rsidRPr="00AA7425">
          <w:rPr>
            <w:noProof/>
            <w:sz w:val="22"/>
            <w:szCs w:val="22"/>
            <w:lang w:val="lt-LT"/>
          </w:rPr>
          <w:t>8</w:t>
        </w:r>
        <w:r w:rsidRPr="00AA7425">
          <w:rPr>
            <w:sz w:val="22"/>
            <w:szCs w:val="22"/>
          </w:rPr>
          <w:fldChar w:fldCharType="end"/>
        </w:r>
      </w:p>
    </w:sdtContent>
  </w:sdt>
  <w:p w14:paraId="40F4A8EF" w14:textId="77777777" w:rsidR="003D1D6F" w:rsidRPr="00AA7425" w:rsidRDefault="003D1D6F" w:rsidP="00DF3F80">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D0E0E" w14:textId="77777777" w:rsidR="003D1D6F" w:rsidRDefault="003D1D6F">
      <w:pPr>
        <w:spacing w:after="0" w:line="240" w:lineRule="auto"/>
      </w:pPr>
      <w:r>
        <w:separator/>
      </w:r>
    </w:p>
  </w:footnote>
  <w:footnote w:type="continuationSeparator" w:id="0">
    <w:p w14:paraId="5F1C8019" w14:textId="77777777" w:rsidR="003D1D6F" w:rsidRDefault="003D1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C8C176"/>
    <w:name w:val="WWNum5"/>
    <w:lvl w:ilvl="0">
      <w:start w:val="2"/>
      <w:numFmt w:val="decimal"/>
      <w:lvlText w:val="%1."/>
      <w:lvlJc w:val="left"/>
      <w:pPr>
        <w:tabs>
          <w:tab w:val="num" w:pos="570"/>
        </w:tabs>
        <w:ind w:left="570" w:hanging="570"/>
      </w:pPr>
      <w:rPr>
        <w:b/>
      </w:rPr>
    </w:lvl>
    <w:lvl w:ilvl="1">
      <w:start w:val="1"/>
      <w:numFmt w:val="bullet"/>
      <w:pStyle w:val="BT-EMEASMCA"/>
      <w:lvlText w:val="-"/>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192C0280"/>
    <w:name w:val="WWNum6"/>
    <w:lvl w:ilvl="0">
      <w:start w:val="1"/>
      <w:numFmt w:val="decimal"/>
      <w:lvlText w:val="%1."/>
      <w:lvlJc w:val="left"/>
      <w:pPr>
        <w:tabs>
          <w:tab w:val="num" w:pos="570"/>
        </w:tabs>
        <w:ind w:left="570" w:hanging="57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B"/>
    <w:multiLevelType w:val="multilevel"/>
    <w:tmpl w:val="0000000B"/>
    <w:name w:val="WWNum15"/>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multilevel"/>
    <w:tmpl w:val="0000000C"/>
    <w:name w:val="WWNum23"/>
    <w:lvl w:ilvl="0">
      <w:start w:val="1"/>
      <w:numFmt w:val="bullet"/>
      <w:lvlText w:val="-"/>
      <w:lvlJc w:val="left"/>
      <w:pPr>
        <w:tabs>
          <w:tab w:val="num" w:pos="2340"/>
        </w:tabs>
        <w:ind w:left="234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Num24"/>
    <w:lvl w:ilvl="0">
      <w:start w:val="1"/>
      <w:numFmt w:val="bullet"/>
      <w:lvlText w:val="-"/>
      <w:lvlJc w:val="left"/>
      <w:pPr>
        <w:tabs>
          <w:tab w:val="num" w:pos="0"/>
        </w:tabs>
        <w:ind w:left="36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9EAAF72"/>
    <w:name w:val="WWNum25"/>
    <w:lvl w:ilvl="0">
      <w:start w:val="2"/>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2900"/>
    <w:multiLevelType w:val="hybridMultilevel"/>
    <w:tmpl w:val="4E1CE11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2B20"/>
    <w:multiLevelType w:val="hybridMultilevel"/>
    <w:tmpl w:val="ED2E8282"/>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B1DF6"/>
    <w:multiLevelType w:val="hybridMultilevel"/>
    <w:tmpl w:val="3CD8A5C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63602081"/>
    <w:multiLevelType w:val="hybridMultilevel"/>
    <w:tmpl w:val="200A8FEA"/>
    <w:lvl w:ilvl="0" w:tplc="8FAEA6EC">
      <w:start w:val="1"/>
      <w:numFmt w:val="bullet"/>
      <w:lvlText w:val="•"/>
      <w:lvlJc w:val="left"/>
      <w:pPr>
        <w:ind w:left="7200" w:hanging="360"/>
      </w:pPr>
      <w:rPr>
        <w:rFonts w:ascii="Times New Roman" w:hAnsi="Times New Roman" w:cs="Times New Roman" w:hint="default"/>
      </w:rPr>
    </w:lvl>
    <w:lvl w:ilvl="1" w:tplc="04270003" w:tentative="1">
      <w:start w:val="1"/>
      <w:numFmt w:val="bullet"/>
      <w:lvlText w:val="o"/>
      <w:lvlJc w:val="left"/>
      <w:pPr>
        <w:ind w:left="7920" w:hanging="360"/>
      </w:pPr>
      <w:rPr>
        <w:rFonts w:ascii="Courier New" w:hAnsi="Courier New" w:cs="Courier New" w:hint="default"/>
      </w:rPr>
    </w:lvl>
    <w:lvl w:ilvl="2" w:tplc="04270005" w:tentative="1">
      <w:start w:val="1"/>
      <w:numFmt w:val="bullet"/>
      <w:lvlText w:val=""/>
      <w:lvlJc w:val="left"/>
      <w:pPr>
        <w:ind w:left="8640" w:hanging="360"/>
      </w:pPr>
      <w:rPr>
        <w:rFonts w:ascii="Wingdings" w:hAnsi="Wingdings" w:hint="default"/>
      </w:rPr>
    </w:lvl>
    <w:lvl w:ilvl="3" w:tplc="04270001" w:tentative="1">
      <w:start w:val="1"/>
      <w:numFmt w:val="bullet"/>
      <w:lvlText w:val=""/>
      <w:lvlJc w:val="left"/>
      <w:pPr>
        <w:ind w:left="9360" w:hanging="360"/>
      </w:pPr>
      <w:rPr>
        <w:rFonts w:ascii="Symbol" w:hAnsi="Symbol" w:hint="default"/>
      </w:rPr>
    </w:lvl>
    <w:lvl w:ilvl="4" w:tplc="04270003" w:tentative="1">
      <w:start w:val="1"/>
      <w:numFmt w:val="bullet"/>
      <w:lvlText w:val="o"/>
      <w:lvlJc w:val="left"/>
      <w:pPr>
        <w:ind w:left="10080" w:hanging="360"/>
      </w:pPr>
      <w:rPr>
        <w:rFonts w:ascii="Courier New" w:hAnsi="Courier New" w:cs="Courier New" w:hint="default"/>
      </w:rPr>
    </w:lvl>
    <w:lvl w:ilvl="5" w:tplc="04270005" w:tentative="1">
      <w:start w:val="1"/>
      <w:numFmt w:val="bullet"/>
      <w:lvlText w:val=""/>
      <w:lvlJc w:val="left"/>
      <w:pPr>
        <w:ind w:left="10800" w:hanging="360"/>
      </w:pPr>
      <w:rPr>
        <w:rFonts w:ascii="Wingdings" w:hAnsi="Wingdings" w:hint="default"/>
      </w:rPr>
    </w:lvl>
    <w:lvl w:ilvl="6" w:tplc="04270001" w:tentative="1">
      <w:start w:val="1"/>
      <w:numFmt w:val="bullet"/>
      <w:lvlText w:val=""/>
      <w:lvlJc w:val="left"/>
      <w:pPr>
        <w:ind w:left="11520" w:hanging="360"/>
      </w:pPr>
      <w:rPr>
        <w:rFonts w:ascii="Symbol" w:hAnsi="Symbol" w:hint="default"/>
      </w:rPr>
    </w:lvl>
    <w:lvl w:ilvl="7" w:tplc="04270003" w:tentative="1">
      <w:start w:val="1"/>
      <w:numFmt w:val="bullet"/>
      <w:lvlText w:val="o"/>
      <w:lvlJc w:val="left"/>
      <w:pPr>
        <w:ind w:left="12240" w:hanging="360"/>
      </w:pPr>
      <w:rPr>
        <w:rFonts w:ascii="Courier New" w:hAnsi="Courier New" w:cs="Courier New" w:hint="default"/>
      </w:rPr>
    </w:lvl>
    <w:lvl w:ilvl="8" w:tplc="04270005" w:tentative="1">
      <w:start w:val="1"/>
      <w:numFmt w:val="bullet"/>
      <w:lvlText w:val=""/>
      <w:lvlJc w:val="left"/>
      <w:pPr>
        <w:ind w:left="12960" w:hanging="360"/>
      </w:pPr>
      <w:rPr>
        <w:rFonts w:ascii="Wingdings" w:hAnsi="Wingdings" w:hint="default"/>
      </w:rPr>
    </w:lvl>
  </w:abstractNum>
  <w:abstractNum w:abstractNumId="10" w15:restartNumberingAfterBreak="0">
    <w:nsid w:val="7EA267AB"/>
    <w:multiLevelType w:val="hybridMultilevel"/>
    <w:tmpl w:val="072A28D4"/>
    <w:lvl w:ilvl="0" w:tplc="D9CABCC0">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810611">
    <w:abstractNumId w:val="0"/>
  </w:num>
  <w:num w:numId="2" w16cid:durableId="1326712397">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32611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815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7626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027593">
    <w:abstractNumId w:val="2"/>
  </w:num>
  <w:num w:numId="7" w16cid:durableId="1422917941">
    <w:abstractNumId w:val="3"/>
  </w:num>
  <w:num w:numId="8" w16cid:durableId="1640262176">
    <w:abstractNumId w:val="10"/>
  </w:num>
  <w:num w:numId="9" w16cid:durableId="2078554813">
    <w:abstractNumId w:val="6"/>
  </w:num>
  <w:num w:numId="10" w16cid:durableId="629823724">
    <w:abstractNumId w:val="8"/>
  </w:num>
  <w:num w:numId="11" w16cid:durableId="943806516">
    <w:abstractNumId w:val="7"/>
  </w:num>
  <w:num w:numId="12" w16cid:durableId="51033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26"/>
    <w:rsid w:val="00091829"/>
    <w:rsid w:val="000A46D2"/>
    <w:rsid w:val="001E7310"/>
    <w:rsid w:val="00234094"/>
    <w:rsid w:val="002A211A"/>
    <w:rsid w:val="002D5F04"/>
    <w:rsid w:val="003D1D6F"/>
    <w:rsid w:val="003D5926"/>
    <w:rsid w:val="00426085"/>
    <w:rsid w:val="00482862"/>
    <w:rsid w:val="00503F52"/>
    <w:rsid w:val="00725828"/>
    <w:rsid w:val="009041DB"/>
    <w:rsid w:val="009436DA"/>
    <w:rsid w:val="009641FD"/>
    <w:rsid w:val="00975D35"/>
    <w:rsid w:val="00A007C6"/>
    <w:rsid w:val="00AA7425"/>
    <w:rsid w:val="00B409DA"/>
    <w:rsid w:val="00D35E44"/>
    <w:rsid w:val="00D82EE9"/>
    <w:rsid w:val="00D95EFF"/>
    <w:rsid w:val="00E30D3F"/>
    <w:rsid w:val="00E41528"/>
    <w:rsid w:val="00EE36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FF48A"/>
  <w15:chartTrackingRefBased/>
  <w15:docId w15:val="{33248443-E5A9-4757-803C-854D8860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92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1">
    <w:name w:val="Poraštė Diagrama1"/>
    <w:basedOn w:val="Numatytasispastraiposriftas"/>
    <w:link w:val="Porat"/>
    <w:uiPriority w:val="99"/>
    <w:rsid w:val="003D5926"/>
    <w:rPr>
      <w:rFonts w:ascii="Times New Roman" w:hAnsi="Times New Roman" w:cs="Times New Roman"/>
      <w:kern w:val="2"/>
      <w:sz w:val="24"/>
      <w:szCs w:val="24"/>
      <w:lang w:val="hu-HU" w:eastAsia="hu-HU"/>
    </w:rPr>
  </w:style>
  <w:style w:type="paragraph" w:styleId="Porat">
    <w:name w:val="footer"/>
    <w:basedOn w:val="prastasis"/>
    <w:link w:val="PoratDiagrama1"/>
    <w:uiPriority w:val="99"/>
    <w:unhideWhenUsed/>
    <w:rsid w:val="003D5926"/>
    <w:pPr>
      <w:tabs>
        <w:tab w:val="center" w:pos="4536"/>
        <w:tab w:val="right" w:pos="9072"/>
      </w:tabs>
      <w:suppressAutoHyphens/>
      <w:spacing w:after="0" w:line="240" w:lineRule="auto"/>
    </w:pPr>
    <w:rPr>
      <w:rFonts w:ascii="Times New Roman" w:eastAsia="Times New Roman" w:hAnsi="Times New Roman" w:cs="Times New Roman"/>
      <w:kern w:val="2"/>
      <w:sz w:val="24"/>
      <w:szCs w:val="24"/>
      <w:lang w:val="hu-HU" w:eastAsia="hu-HU"/>
    </w:rPr>
  </w:style>
  <w:style w:type="character" w:customStyle="1" w:styleId="PoratDiagrama">
    <w:name w:val="Poraštė Diagrama"/>
    <w:basedOn w:val="Numatytasispastraiposriftas"/>
    <w:uiPriority w:val="99"/>
    <w:semiHidden/>
    <w:rsid w:val="003D5926"/>
    <w:rPr>
      <w:rFonts w:eastAsiaTheme="minorHAnsi"/>
      <w:lang w:val="en-US"/>
    </w:rPr>
  </w:style>
  <w:style w:type="paragraph" w:styleId="Sraopastraipa">
    <w:name w:val="List Paragraph"/>
    <w:basedOn w:val="prastasis"/>
    <w:uiPriority w:val="34"/>
    <w:qFormat/>
    <w:rsid w:val="003D5926"/>
    <w:pPr>
      <w:spacing w:line="256" w:lineRule="auto"/>
      <w:ind w:left="720"/>
      <w:contextualSpacing/>
    </w:pPr>
  </w:style>
  <w:style w:type="paragraph" w:customStyle="1" w:styleId="BT-EMEASMCA">
    <w:name w:val="BT- EMEA_SMCA"/>
    <w:basedOn w:val="prastasis"/>
    <w:autoRedefine/>
    <w:rsid w:val="003D5926"/>
    <w:pPr>
      <w:numPr>
        <w:ilvl w:val="1"/>
        <w:numId w:val="1"/>
      </w:numPr>
      <w:tabs>
        <w:tab w:val="num" w:pos="709"/>
      </w:tabs>
      <w:suppressAutoHyphens/>
      <w:spacing w:after="0" w:line="240" w:lineRule="auto"/>
      <w:ind w:left="709"/>
      <w:jc w:val="both"/>
    </w:pPr>
    <w:rPr>
      <w:rFonts w:ascii="Times New Roman" w:eastAsia="Times New Roman" w:hAnsi="Times New Roman" w:cs="Times New Roman"/>
      <w:kern w:val="2"/>
      <w:lang w:val="lt-LT"/>
    </w:rPr>
  </w:style>
  <w:style w:type="paragraph" w:customStyle="1" w:styleId="Spalvotassraas1parykinimas1">
    <w:name w:val="Spalvotas sąrašas – 1 paryškinimas1"/>
    <w:basedOn w:val="prastasis"/>
    <w:uiPriority w:val="34"/>
    <w:qFormat/>
    <w:rsid w:val="003D5926"/>
    <w:pPr>
      <w:spacing w:after="0" w:line="240" w:lineRule="auto"/>
      <w:ind w:left="720"/>
      <w:contextualSpacing/>
    </w:pPr>
    <w:rPr>
      <w:rFonts w:ascii="Times New Roman" w:eastAsia="Times New Roman" w:hAnsi="Times New Roman" w:cs="Times New Roman"/>
      <w:szCs w:val="24"/>
      <w:lang w:val="lt-LT" w:eastAsia="lt-LT"/>
    </w:rPr>
  </w:style>
  <w:style w:type="paragraph" w:styleId="Pataisymai">
    <w:name w:val="Revision"/>
    <w:hidden/>
    <w:uiPriority w:val="99"/>
    <w:semiHidden/>
    <w:rsid w:val="00725828"/>
    <w:pPr>
      <w:spacing w:after="0" w:line="240" w:lineRule="auto"/>
    </w:pPr>
    <w:rPr>
      <w:rFonts w:eastAsiaTheme="minorHAnsi"/>
      <w:lang w:val="en-US"/>
    </w:rPr>
  </w:style>
  <w:style w:type="paragraph" w:styleId="Antrats">
    <w:name w:val="header"/>
    <w:basedOn w:val="prastasis"/>
    <w:link w:val="AntratsDiagrama"/>
    <w:uiPriority w:val="99"/>
    <w:unhideWhenUsed/>
    <w:rsid w:val="00AA74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7425"/>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12019</Words>
  <Characters>6851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12</cp:revision>
  <dcterms:created xsi:type="dcterms:W3CDTF">2022-08-26T11:05:00Z</dcterms:created>
  <dcterms:modified xsi:type="dcterms:W3CDTF">2025-03-26T11:23:00Z</dcterms:modified>
</cp:coreProperties>
</file>