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E9A0" w14:textId="77777777" w:rsidR="00851716" w:rsidRPr="00851716" w:rsidRDefault="00851716" w:rsidP="00851716">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0BE773D" w14:textId="77777777" w:rsidR="00851716" w:rsidRPr="00851716" w:rsidRDefault="00851716" w:rsidP="00851716">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05F15061" w14:textId="77777777" w:rsidR="00851716" w:rsidRPr="00851716" w:rsidRDefault="00851716" w:rsidP="00851716">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15A55E53" w14:textId="77777777" w:rsidR="00851716" w:rsidRPr="00851716" w:rsidRDefault="00851716" w:rsidP="00851716">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04205BC4" w14:textId="77777777" w:rsidR="00851716" w:rsidRPr="00851716" w:rsidRDefault="00851716" w:rsidP="00851716">
      <w:pPr>
        <w:tabs>
          <w:tab w:val="left" w:pos="567"/>
          <w:tab w:val="left" w:pos="4536"/>
        </w:tabs>
        <w:spacing w:after="0" w:line="240" w:lineRule="auto"/>
        <w:ind w:left="567" w:hanging="567"/>
        <w:jc w:val="center"/>
        <w:outlineLvl w:val="0"/>
        <w:rPr>
          <w:rFonts w:ascii="Times New Roman" w:eastAsia="Calibri" w:hAnsi="Times New Roman" w:cs="Times New Roman"/>
          <w:caps/>
          <w:kern w:val="0"/>
          <w14:ligatures w14:val="none"/>
        </w:rPr>
      </w:pPr>
      <w:r w:rsidRPr="00851716">
        <w:rPr>
          <w:rFonts w:ascii="Times New Roman" w:eastAsia="Calibri" w:hAnsi="Times New Roman" w:cs="Times New Roman"/>
          <w:b/>
          <w:caps/>
          <w:kern w:val="0"/>
          <w14:ligatures w14:val="none"/>
        </w:rPr>
        <w:t>B. PAKUOTĖS LAPELIS</w:t>
      </w:r>
    </w:p>
    <w:p w14:paraId="686D17DC" w14:textId="77777777" w:rsidR="00851716" w:rsidRPr="00851716" w:rsidRDefault="00851716" w:rsidP="00851716">
      <w:pPr>
        <w:tabs>
          <w:tab w:val="left" w:pos="7209"/>
        </w:tabs>
        <w:spacing w:after="0" w:line="240" w:lineRule="auto"/>
        <w:jc w:val="center"/>
        <w:rPr>
          <w:rFonts w:ascii="Times New Roman" w:eastAsia="Calibri" w:hAnsi="Times New Roman" w:cs="Times New Roman"/>
          <w:b/>
          <w:kern w:val="0"/>
          <w14:ligatures w14:val="none"/>
        </w:rPr>
      </w:pPr>
      <w:r w:rsidRPr="00851716">
        <w:rPr>
          <w:rFonts w:ascii="Times New Roman" w:eastAsia="Calibri" w:hAnsi="Times New Roman" w:cs="Times New Roman"/>
          <w:kern w:val="0"/>
          <w:highlight w:val="lightGray"/>
          <w14:ligatures w14:val="none"/>
        </w:rPr>
        <w:br w:type="page"/>
      </w:r>
      <w:bookmarkStart w:id="0" w:name="_Toc129243138"/>
      <w:bookmarkStart w:id="1" w:name="_Toc129243263"/>
      <w:r w:rsidRPr="00851716">
        <w:rPr>
          <w:rFonts w:ascii="Times New Roman" w:eastAsia="Calibri" w:hAnsi="Times New Roman" w:cs="Times New Roman"/>
          <w:b/>
          <w:kern w:val="0"/>
          <w14:ligatures w14:val="none"/>
        </w:rPr>
        <w:lastRenderedPageBreak/>
        <w:t>Pakuotės lapelis: informacija vartotojui</w:t>
      </w:r>
    </w:p>
    <w:p w14:paraId="3C3952D3" w14:textId="77777777" w:rsidR="00851716" w:rsidRPr="00851716" w:rsidRDefault="00851716" w:rsidP="00851716">
      <w:pPr>
        <w:tabs>
          <w:tab w:val="left" w:pos="567"/>
        </w:tabs>
        <w:spacing w:after="0" w:line="240" w:lineRule="auto"/>
        <w:jc w:val="center"/>
        <w:rPr>
          <w:rFonts w:ascii="Times New Roman" w:eastAsia="Calibri" w:hAnsi="Times New Roman" w:cs="Times New Roman"/>
          <w:kern w:val="0"/>
          <w14:ligatures w14:val="none"/>
        </w:rPr>
      </w:pPr>
    </w:p>
    <w:p w14:paraId="7E2B44D0" w14:textId="77777777" w:rsidR="00851716" w:rsidRPr="00851716" w:rsidRDefault="00851716" w:rsidP="00851716">
      <w:pPr>
        <w:tabs>
          <w:tab w:val="left" w:pos="567"/>
        </w:tabs>
        <w:spacing w:after="0" w:line="240" w:lineRule="auto"/>
        <w:jc w:val="center"/>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Ospamox 250</w:t>
      </w:r>
      <w:r w:rsidRPr="00851716">
        <w:rPr>
          <w:rFonts w:ascii="Times New Roman" w:eastAsia="Times New Roman" w:hAnsi="Times New Roman" w:cs="Times New Roman"/>
          <w:b/>
          <w:kern w:val="0"/>
          <w:lang w:eastAsia="lt-LT"/>
          <w14:ligatures w14:val="none"/>
        </w:rPr>
        <w:t> </w:t>
      </w:r>
      <w:r w:rsidRPr="00851716">
        <w:rPr>
          <w:rFonts w:ascii="Times New Roman" w:eastAsia="Calibri" w:hAnsi="Times New Roman" w:cs="Times New Roman"/>
          <w:b/>
          <w:kern w:val="0"/>
          <w14:ligatures w14:val="none"/>
        </w:rPr>
        <w:t>mg/5</w:t>
      </w:r>
      <w:r w:rsidRPr="00851716">
        <w:rPr>
          <w:rFonts w:ascii="Times New Roman" w:eastAsia="Times New Roman" w:hAnsi="Times New Roman" w:cs="Times New Roman"/>
          <w:b/>
          <w:kern w:val="0"/>
          <w:lang w:eastAsia="lt-LT"/>
          <w14:ligatures w14:val="none"/>
        </w:rPr>
        <w:t> </w:t>
      </w:r>
      <w:r w:rsidRPr="00851716">
        <w:rPr>
          <w:rFonts w:ascii="Times New Roman" w:eastAsia="Calibri" w:hAnsi="Times New Roman" w:cs="Times New Roman"/>
          <w:b/>
          <w:kern w:val="0"/>
          <w14:ligatures w14:val="none"/>
        </w:rPr>
        <w:t>ml milteliai geriamajai suspensijai</w:t>
      </w:r>
    </w:p>
    <w:p w14:paraId="5CFBC96F" w14:textId="77777777" w:rsidR="00851716" w:rsidRPr="00851716" w:rsidRDefault="00851716" w:rsidP="00851716">
      <w:pPr>
        <w:tabs>
          <w:tab w:val="left" w:pos="567"/>
        </w:tabs>
        <w:spacing w:after="0" w:line="240" w:lineRule="auto"/>
        <w:jc w:val="center"/>
        <w:rPr>
          <w:rFonts w:ascii="Times New Roman" w:eastAsia="Calibri" w:hAnsi="Times New Roman" w:cs="Times New Roman"/>
          <w:b/>
          <w:kern w:val="0"/>
          <w14:ligatures w14:val="none"/>
        </w:rPr>
      </w:pPr>
    </w:p>
    <w:p w14:paraId="426B9A7D" w14:textId="77777777" w:rsidR="00851716" w:rsidRPr="00851716" w:rsidRDefault="00851716" w:rsidP="00851716">
      <w:pPr>
        <w:tabs>
          <w:tab w:val="left" w:pos="567"/>
        </w:tabs>
        <w:spacing w:after="0" w:line="240" w:lineRule="auto"/>
        <w:jc w:val="center"/>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amoksicilinas </w:t>
      </w:r>
    </w:p>
    <w:p w14:paraId="35128E38" w14:textId="77777777" w:rsidR="00851716" w:rsidRPr="00851716" w:rsidRDefault="00851716" w:rsidP="00851716">
      <w:pPr>
        <w:tabs>
          <w:tab w:val="left" w:pos="567"/>
        </w:tabs>
        <w:spacing w:after="0" w:line="240" w:lineRule="auto"/>
        <w:ind w:left="567" w:hanging="567"/>
        <w:jc w:val="center"/>
        <w:rPr>
          <w:rFonts w:ascii="Times New Roman" w:eastAsia="Calibri" w:hAnsi="Times New Roman" w:cs="Times New Roman"/>
          <w:kern w:val="0"/>
          <w14:ligatures w14:val="none"/>
        </w:rPr>
      </w:pPr>
    </w:p>
    <w:p w14:paraId="23E6C7E6" w14:textId="77777777" w:rsidR="00851716" w:rsidRPr="00851716" w:rsidRDefault="00851716" w:rsidP="00851716">
      <w:pPr>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78F75F4" w14:textId="0C76533A" w:rsidR="00851716" w:rsidRPr="00440384" w:rsidRDefault="00851716" w:rsidP="00440384">
      <w:pPr>
        <w:pStyle w:val="Sraopastraipa"/>
        <w:numPr>
          <w:ilvl w:val="0"/>
          <w:numId w:val="22"/>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Neišmeskite šio lapelio, nes vėl gali prireikti jį perskaityti.</w:t>
      </w:r>
    </w:p>
    <w:p w14:paraId="05AD02B6" w14:textId="29497E2C" w:rsidR="00851716" w:rsidRPr="00440384" w:rsidRDefault="00851716" w:rsidP="00440384">
      <w:pPr>
        <w:pStyle w:val="Sraopastraipa"/>
        <w:numPr>
          <w:ilvl w:val="0"/>
          <w:numId w:val="22"/>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Jeigu kiltų daugiau klausimų, kreipkitės į gydytoją arba vaistininką.</w:t>
      </w:r>
    </w:p>
    <w:p w14:paraId="594DB743" w14:textId="77777777" w:rsidR="00851716" w:rsidRPr="00851716" w:rsidRDefault="00851716" w:rsidP="00440384">
      <w:pPr>
        <w:numPr>
          <w:ilvl w:val="0"/>
          <w:numId w:val="22"/>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157C798E" w14:textId="77777777" w:rsidR="00851716" w:rsidRPr="00851716" w:rsidRDefault="00851716" w:rsidP="00440384">
      <w:pPr>
        <w:numPr>
          <w:ilvl w:val="0"/>
          <w:numId w:val="22"/>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63500BDC" w14:textId="77777777" w:rsidR="00851716" w:rsidRPr="00851716" w:rsidRDefault="00851716" w:rsidP="00851716">
      <w:pPr>
        <w:spacing w:after="0" w:line="240" w:lineRule="auto"/>
        <w:rPr>
          <w:rFonts w:ascii="Times New Roman" w:eastAsia="Calibri" w:hAnsi="Times New Roman" w:cs="Times New Roman"/>
          <w:kern w:val="0"/>
          <w14:ligatures w14:val="none"/>
        </w:rPr>
      </w:pPr>
    </w:p>
    <w:p w14:paraId="10E3D782" w14:textId="77777777" w:rsidR="00851716" w:rsidRPr="00851716" w:rsidRDefault="00851716" w:rsidP="00851716">
      <w:pPr>
        <w:spacing w:after="0" w:line="240" w:lineRule="auto"/>
        <w:ind w:left="567" w:hanging="567"/>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Apie ką rašoma šiame lapelyje?</w:t>
      </w:r>
    </w:p>
    <w:p w14:paraId="0FCF4EE0"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F11A724" w14:textId="486BA56F"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Kas yra Ospamox ir kam jis vartojamas</w:t>
      </w:r>
    </w:p>
    <w:p w14:paraId="0345D9A9" w14:textId="6F570559"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 xml:space="preserve">Kas žinotina prieš vartojant Ospamox </w:t>
      </w:r>
    </w:p>
    <w:p w14:paraId="29BBEA1C" w14:textId="217F73BE"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 xml:space="preserve">Kaip vartoti Ospamox </w:t>
      </w:r>
    </w:p>
    <w:p w14:paraId="2910F31E" w14:textId="5CAEECC8"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Galimas šalutinis poveikis</w:t>
      </w:r>
    </w:p>
    <w:p w14:paraId="0A4B8032" w14:textId="25638834"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 xml:space="preserve">Kaip laikyti Ospamox </w:t>
      </w:r>
    </w:p>
    <w:p w14:paraId="0D81BDC8" w14:textId="592A873E" w:rsidR="00851716" w:rsidRPr="00440384" w:rsidRDefault="00851716" w:rsidP="00440384">
      <w:pPr>
        <w:pStyle w:val="Sraopastraipa"/>
        <w:numPr>
          <w:ilvl w:val="0"/>
          <w:numId w:val="25"/>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Pakuotės turinys ir kita informacija</w:t>
      </w:r>
    </w:p>
    <w:p w14:paraId="455A5D4D"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6BA1CEE" w14:textId="77777777" w:rsidR="00851716" w:rsidRPr="00851716" w:rsidRDefault="00851716" w:rsidP="00851716">
      <w:pPr>
        <w:spacing w:after="0" w:line="240" w:lineRule="auto"/>
        <w:rPr>
          <w:rFonts w:ascii="Times New Roman" w:eastAsia="Calibri" w:hAnsi="Times New Roman" w:cs="Times New Roman"/>
          <w:kern w:val="0"/>
          <w14:ligatures w14:val="none"/>
        </w:rPr>
      </w:pPr>
    </w:p>
    <w:p w14:paraId="1CF494A7" w14:textId="77777777" w:rsidR="00851716" w:rsidRPr="00851716" w:rsidRDefault="00851716" w:rsidP="00851716">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1.</w:t>
      </w:r>
      <w:r w:rsidRPr="00851716">
        <w:rPr>
          <w:rFonts w:ascii="Times New Roman" w:eastAsia="Calibri" w:hAnsi="Times New Roman" w:cs="Times New Roman"/>
          <w:b/>
          <w:kern w:val="0"/>
          <w14:ligatures w14:val="none"/>
        </w:rPr>
        <w:tab/>
        <w:t>Kas yra Ospamox ir kam jis vartojamas</w:t>
      </w:r>
    </w:p>
    <w:p w14:paraId="6DF79B5D"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4F1030AD"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Kas yra Ospamox </w:t>
      </w:r>
    </w:p>
    <w:p w14:paraId="3B283A49"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Ospamox yra antibiotikas. Veiklioji medžiaga yra amoksicilinas. Jis priklauso vaistų, vadinamų penicilinais, grupei. </w:t>
      </w:r>
    </w:p>
    <w:p w14:paraId="1150C968"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634B47D0"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Kam vartojamas Ospamox </w:t>
      </w:r>
    </w:p>
    <w:p w14:paraId="5A0ED6C5" w14:textId="77777777" w:rsidR="00851716" w:rsidRPr="004220F9"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Ospamox vartojamas bakterijų sukeltoms įvairių organizmo vietų infekcinėms ligoms gydyti. Be to, Ospamox gali būti vartojamas kartu su kitais vaistais skrandžio opoms gydyti. </w:t>
      </w:r>
    </w:p>
    <w:p w14:paraId="0652261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88C6174" w14:textId="77777777" w:rsidR="00851716" w:rsidRPr="00851716" w:rsidRDefault="00851716" w:rsidP="00851716">
      <w:pPr>
        <w:tabs>
          <w:tab w:val="left" w:pos="567"/>
        </w:tabs>
        <w:spacing w:after="0" w:line="240" w:lineRule="auto"/>
        <w:jc w:val="both"/>
        <w:rPr>
          <w:rFonts w:ascii="Times New Roman" w:eastAsia="Calibri" w:hAnsi="Times New Roman" w:cs="Times New Roman"/>
          <w:b/>
          <w:kern w:val="0"/>
          <w14:ligatures w14:val="none"/>
        </w:rPr>
      </w:pPr>
    </w:p>
    <w:p w14:paraId="5C8366D8" w14:textId="77777777" w:rsidR="00851716" w:rsidRPr="00851716" w:rsidRDefault="00851716" w:rsidP="00851716">
      <w:pPr>
        <w:keepNext/>
        <w:tabs>
          <w:tab w:val="left" w:pos="567"/>
        </w:tabs>
        <w:spacing w:after="0" w:line="240" w:lineRule="auto"/>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2.</w:t>
      </w:r>
      <w:r w:rsidRPr="00851716">
        <w:rPr>
          <w:rFonts w:ascii="Times New Roman" w:eastAsia="Calibri" w:hAnsi="Times New Roman" w:cs="Times New Roman"/>
          <w:b/>
          <w:kern w:val="0"/>
          <w14:ligatures w14:val="none"/>
        </w:rPr>
        <w:tab/>
        <w:t>Kas žinotina prieš vartojant Ospamox</w:t>
      </w:r>
    </w:p>
    <w:p w14:paraId="380D6627"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7514BF68"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Ospamox vartoti draudžiama: </w:t>
      </w:r>
    </w:p>
    <w:p w14:paraId="37FFDF6F" w14:textId="77777777" w:rsidR="00851716" w:rsidRPr="00851716" w:rsidRDefault="00851716" w:rsidP="00851716">
      <w:pPr>
        <w:numPr>
          <w:ilvl w:val="0"/>
          <w:numId w:val="2"/>
        </w:numPr>
        <w:autoSpaceDE w:val="0"/>
        <w:autoSpaceDN w:val="0"/>
        <w:adjustRightInd w:val="0"/>
        <w:spacing w:after="0" w:line="240" w:lineRule="auto"/>
        <w:ind w:left="567" w:hanging="567"/>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yra alergija amoksicilinui, penicilinui arba bet kuriai pagalbinei šio vaisto medžiagai (jos išvardytos 6 skyriuje); </w:t>
      </w:r>
    </w:p>
    <w:p w14:paraId="6E2B7977" w14:textId="77777777" w:rsidR="00851716" w:rsidRPr="00851716" w:rsidRDefault="00851716" w:rsidP="00851716">
      <w:pPr>
        <w:numPr>
          <w:ilvl w:val="0"/>
          <w:numId w:val="2"/>
        </w:numPr>
        <w:autoSpaceDE w:val="0"/>
        <w:autoSpaceDN w:val="0"/>
        <w:adjustRightInd w:val="0"/>
        <w:spacing w:after="0" w:line="240" w:lineRule="auto"/>
        <w:ind w:left="567" w:hanging="567"/>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14DFC9C3"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684BF74F"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buvo pasireiškęs pirmiau nurodytas poveikis, Ospamox vartoti negalima. Jeigu abejojate, pasitarkite su savo gydytoju arba vaistininku prieš vartodami Ospamox. </w:t>
      </w:r>
    </w:p>
    <w:p w14:paraId="455B77C0"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610DE9B9"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Įspėjimai ir atsargumo priemonės </w:t>
      </w:r>
    </w:p>
    <w:p w14:paraId="6DCC4A67" w14:textId="77777777" w:rsidR="00851716" w:rsidRPr="00851716" w:rsidRDefault="00851716" w:rsidP="00851716">
      <w:pPr>
        <w:autoSpaceDE w:val="0"/>
        <w:autoSpaceDN w:val="0"/>
        <w:adjustRightInd w:val="0"/>
        <w:spacing w:after="0" w:line="240" w:lineRule="auto"/>
        <w:rPr>
          <w:rFonts w:ascii="Calibri" w:eastAsia="Calibri" w:hAnsi="Calibri" w:cs="Times New Roman"/>
          <w:b/>
          <w:kern w:val="0"/>
          <w14:ligatures w14:val="none"/>
        </w:rPr>
      </w:pPr>
      <w:r w:rsidRPr="00851716">
        <w:rPr>
          <w:rFonts w:ascii="Times New Roman" w:eastAsia="Calibri" w:hAnsi="Times New Roman" w:cs="Times New Roman"/>
          <w:color w:val="000000"/>
          <w:kern w:val="0"/>
          <w14:ligatures w14:val="none"/>
        </w:rPr>
        <w:t xml:space="preserve">Pasitarkite su gydytoju arba vaistininku, prieš pradėdami vartoti Ospamox, jeigu: </w:t>
      </w:r>
    </w:p>
    <w:p w14:paraId="514F3658" w14:textId="77777777" w:rsidR="00851716" w:rsidRPr="00851716" w:rsidRDefault="00851716" w:rsidP="00440384">
      <w:pPr>
        <w:numPr>
          <w:ilvl w:val="0"/>
          <w:numId w:val="26"/>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66E4C195" w14:textId="77777777" w:rsidR="00851716" w:rsidRPr="00851716" w:rsidRDefault="00851716" w:rsidP="00440384">
      <w:pPr>
        <w:numPr>
          <w:ilvl w:val="0"/>
          <w:numId w:val="26"/>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yra inkstų sutrikimų;</w:t>
      </w:r>
    </w:p>
    <w:p w14:paraId="70E35561" w14:textId="77777777" w:rsidR="00851716" w:rsidRPr="00851716" w:rsidRDefault="00851716" w:rsidP="00440384">
      <w:pPr>
        <w:numPr>
          <w:ilvl w:val="0"/>
          <w:numId w:val="26"/>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nereguliariai šlapinatės.</w:t>
      </w:r>
    </w:p>
    <w:p w14:paraId="5C4F6BC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6DE70078"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lastRenderedPageBreak/>
        <w:t>Jeigu abejojate, ar Jums yra pirmiau nurodytų sutrikimų, pasitarkite su savo gydytoju arba vaistininku prieš vartodami Ospamox.</w:t>
      </w:r>
    </w:p>
    <w:p w14:paraId="5209DE80"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FA9A559"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Kraujo ir šlapimo tyrimai </w:t>
      </w:r>
    </w:p>
    <w:p w14:paraId="0A3920CD"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bus atliekamas </w:t>
      </w:r>
    </w:p>
    <w:p w14:paraId="4CAC074D" w14:textId="77777777" w:rsidR="00851716" w:rsidRPr="00851716" w:rsidRDefault="00851716" w:rsidP="00440384">
      <w:pPr>
        <w:numPr>
          <w:ilvl w:val="0"/>
          <w:numId w:val="27"/>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šlapimo (gliukozės nustatymui) tyrimas arba kraujo tyrimas kepenų veiklai ištirti; </w:t>
      </w:r>
    </w:p>
    <w:p w14:paraId="7EA102F7" w14:textId="77777777" w:rsidR="00851716" w:rsidRPr="00851716" w:rsidRDefault="00851716" w:rsidP="00440384">
      <w:pPr>
        <w:numPr>
          <w:ilvl w:val="0"/>
          <w:numId w:val="27"/>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estriolio testas (atliekamas nėštumo metu normaliam kūdikio vystymuisi patikrinti</w:t>
      </w:r>
      <w:r w:rsidRPr="00851716">
        <w:rPr>
          <w:rFonts w:ascii="Times New Roman" w:eastAsia="Times New Roman" w:hAnsi="Times New Roman" w:cs="Times New Roman"/>
          <w:color w:val="000000"/>
          <w:kern w:val="0"/>
          <w:lang w:eastAsia="lt-LT"/>
          <w14:ligatures w14:val="none"/>
        </w:rPr>
        <w:t>).</w:t>
      </w:r>
    </w:p>
    <w:p w14:paraId="01FBB073"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Pasakykite gydytojui arba vaistininkui, kad vartojate Ospamox. Tai padaryti reikia dėl to, kad Ospamox gali pakeisti šių tyrimų rodmenis. </w:t>
      </w:r>
    </w:p>
    <w:p w14:paraId="2FACE2DA" w14:textId="77777777" w:rsidR="00851716" w:rsidRPr="00851716" w:rsidRDefault="00851716" w:rsidP="00851716">
      <w:pPr>
        <w:autoSpaceDE w:val="0"/>
        <w:autoSpaceDN w:val="0"/>
        <w:adjustRightInd w:val="0"/>
        <w:spacing w:after="0" w:line="240" w:lineRule="auto"/>
        <w:rPr>
          <w:rFonts w:ascii="Calibri" w:eastAsia="Calibri" w:hAnsi="Calibri" w:cs="Times New Roman"/>
          <w:b/>
          <w:kern w:val="0"/>
          <w14:ligatures w14:val="none"/>
        </w:rPr>
      </w:pPr>
    </w:p>
    <w:p w14:paraId="16878C15"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Kiti vaistai ir Ospamox </w:t>
      </w:r>
    </w:p>
    <w:p w14:paraId="6915C5A9"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034CE1E7" w14:textId="77777777" w:rsidR="00851716" w:rsidRPr="00851716" w:rsidRDefault="00851716" w:rsidP="00440384">
      <w:pPr>
        <w:numPr>
          <w:ilvl w:val="0"/>
          <w:numId w:val="28"/>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kartu su Ospamox vartojate alopurinolio (juo gydoma podagra), gali padidėti alerginių odos reakcijų rizika. </w:t>
      </w:r>
    </w:p>
    <w:p w14:paraId="378317E9" w14:textId="77777777" w:rsidR="00851716" w:rsidRPr="00851716" w:rsidRDefault="00851716" w:rsidP="00440384">
      <w:pPr>
        <w:numPr>
          <w:ilvl w:val="0"/>
          <w:numId w:val="28"/>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vartojate probenecido (juo gydoma podagra), kartu vartojamas probenecidas gali mažinti amoksicilino šalinimą iš organizmo, todėl jį ir vartoti kartu nerekomenduojama. </w:t>
      </w:r>
    </w:p>
    <w:p w14:paraId="3B3919F1" w14:textId="77777777" w:rsidR="00851716" w:rsidRPr="00851716" w:rsidRDefault="00851716" w:rsidP="00440384">
      <w:pPr>
        <w:numPr>
          <w:ilvl w:val="0"/>
          <w:numId w:val="28"/>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18A50A4B" w14:textId="77777777" w:rsidR="00851716" w:rsidRPr="00851716" w:rsidRDefault="00851716" w:rsidP="00440384">
      <w:pPr>
        <w:numPr>
          <w:ilvl w:val="0"/>
          <w:numId w:val="28"/>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vartojate kitų antibiotikų (pvz., tetraciklino), gali sumažėti Ospamox veiksmingumas. </w:t>
      </w:r>
    </w:p>
    <w:p w14:paraId="0E88ADA0" w14:textId="77777777" w:rsidR="00851716" w:rsidRPr="00851716" w:rsidRDefault="00851716" w:rsidP="00440384">
      <w:pPr>
        <w:numPr>
          <w:ilvl w:val="0"/>
          <w:numId w:val="28"/>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Jeigu vartojate metotreksato (juo gydomas vėžys arba sunki žvynelinė),</w:t>
      </w:r>
      <w:r w:rsidRPr="00851716">
        <w:rPr>
          <w:rFonts w:ascii="TimesNewRomanPS-BoldMT" w:eastAsia="Times New Roman" w:hAnsi="TimesNewRomanPS-BoldMT" w:cs="TimesNewRomanPS-BoldMT"/>
          <w:b/>
          <w:bCs/>
          <w:kern w:val="0"/>
          <w:lang w:eastAsia="lt-LT"/>
          <w14:ligatures w14:val="none"/>
        </w:rPr>
        <w:t xml:space="preserve"> </w:t>
      </w:r>
      <w:r w:rsidRPr="00851716">
        <w:rPr>
          <w:rFonts w:ascii="Times New Roman" w:eastAsia="Calibri" w:hAnsi="Times New Roman" w:cs="Times New Roman"/>
          <w:color w:val="000000"/>
          <w:kern w:val="0"/>
          <w14:ligatures w14:val="none"/>
        </w:rPr>
        <w:t xml:space="preserve">penicilinai gali mažinti metotreksato šalinimą iš organizmo ir dėl to gali sukelti šalutinio poveikio padidėjimą. </w:t>
      </w:r>
    </w:p>
    <w:p w14:paraId="2C798674"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4D27D3E0"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Nėštumas, žindymo laikotarpis ir vaisingumas </w:t>
      </w:r>
    </w:p>
    <w:p w14:paraId="0BF81A03"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480A8C34"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57B179AF"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Vairavimas ir mechanizmų valdymas </w:t>
      </w:r>
    </w:p>
    <w:p w14:paraId="4E9623C3"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Ospamox gali sukelti šalutinį poveikį ir simptomus (pvz., alergines reakcijas, svaigulį ir traukulius), kurie gali sutrikdyti Jūsų gebėjimą vairuoti. </w:t>
      </w:r>
    </w:p>
    <w:p w14:paraId="70E6CCF9"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Jeigu nesijaučiate gerai, vairuoti ir mechanizmų valdyti negalima.</w:t>
      </w:r>
    </w:p>
    <w:p w14:paraId="6152643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0DA8FD5" w14:textId="77777777"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Ospamox sudėtyje yra aspartamo, natrio benzoato, benzilo alkoholio, benzilbenzoato, etanolio, sorbitolio, sieros dioksido, gliukozės ir natrio.</w:t>
      </w:r>
    </w:p>
    <w:p w14:paraId="4BCCA4A9"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4D5CFC6"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Šio vaisto 5 ml paruoštos geriamosios suspensijos yra 8,5 mg aspartamo. Aspartamas yra fenilalanino šaltinis. Jis gali būti kenksmingas sergantiems fenilketonurija, reta genetine liga, kuria sergant fenilalaninas kaupiasi organizme, nes organizmas negali jo tinkamai pašalinti.</w:t>
      </w:r>
    </w:p>
    <w:p w14:paraId="19909362"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A72CFC5"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Šio vaisto 5 ml paruoštos geriamosios suspensijos yra 7,1 mg natrio benzoato (E 211), kuris silpnai dirgina akis, odą ir gleivinę. Šio vaisto 5 ml paruoštos geriamosios suspensijos yra ne daugiau kaip 0,44 mg benzilbenzoato. Natrio benzoatas ir benzilbenzoatas naujagimiams (iki 4 savaičių) gali sunkinti geltą (odos ir akių pageltimą).</w:t>
      </w:r>
    </w:p>
    <w:p w14:paraId="0199A91D"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7EF96A44" w14:textId="77777777" w:rsidR="00851716" w:rsidRPr="00851716" w:rsidRDefault="00851716" w:rsidP="00851716">
      <w:pPr>
        <w:autoSpaceDE w:val="0"/>
        <w:autoSpaceDN w:val="0"/>
        <w:adjustRightInd w:val="0"/>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Šio vaisto 5 ml paruoštos geriamosios suspensijos yra ne daugiau kaip 3,0 mg benzilo alkoholio. Benzilo alkoholis gali sukelti alerginių reakcijų. </w:t>
      </w:r>
      <w:r w:rsidRPr="00851716">
        <w:rPr>
          <w:rFonts w:ascii="Times New Roman" w:eastAsia="Times New Roman" w:hAnsi="Times New Roman" w:cs="Times New Roman"/>
          <w:kern w:val="0"/>
          <w:lang w:eastAsia="lt-LT"/>
          <w14:ligatures w14:val="none"/>
        </w:rPr>
        <w:t>Pasitarkite su gydytoju arba vaistininku, jeigu esate nėščia arba žindote kūdikį, sergate kepenų arba inkstų ligomis, kadangi didelis benzilo alkoholio kiekis gali kauptis Jūsų organizme ir sukelti šalutinį poveikį (vadinamąją metabolinę acidozę). Nevartokite ilgiau nei savaitę mažiems vaikams (jaunesniems kaip 3 metų), nebent tai patarė gydytojas arba vaistininkas.</w:t>
      </w:r>
      <w:r w:rsidRPr="00851716">
        <w:rPr>
          <w:rFonts w:ascii="Verdana" w:eastAsia="Times New Roman" w:hAnsi="Verdana" w:cs="Verdana"/>
          <w:kern w:val="0"/>
          <w:sz w:val="17"/>
          <w:szCs w:val="17"/>
          <w:lang w:eastAsia="lt-LT"/>
          <w14:ligatures w14:val="none"/>
        </w:rPr>
        <w:t xml:space="preserve"> </w:t>
      </w:r>
      <w:r w:rsidRPr="00851716">
        <w:rPr>
          <w:rFonts w:ascii="Times New Roman" w:eastAsia="Times New Roman" w:hAnsi="Times New Roman" w:cs="Times New Roman"/>
          <w:kern w:val="0"/>
          <w:lang w:eastAsia="lt-LT"/>
          <w14:ligatures w14:val="none"/>
        </w:rPr>
        <w:t>Neduokite savo naujagimiui (iki 4 savaičių), nebent tai patarė gydytojas. Tai yra dėl to, kad mažiems vaikams benzilo alkoholis siejamas su sunkaus šalutinio poveikio, įskaitant kvėpavimo sutrikimą, rizika.</w:t>
      </w:r>
    </w:p>
    <w:p w14:paraId="416E9D67" w14:textId="77777777" w:rsidR="00851716" w:rsidRPr="00851716" w:rsidRDefault="00851716" w:rsidP="00851716">
      <w:pPr>
        <w:spacing w:after="0" w:line="240" w:lineRule="auto"/>
        <w:rPr>
          <w:rFonts w:ascii="Times New Roman" w:eastAsia="Calibri" w:hAnsi="Times New Roman" w:cs="Times New Roman"/>
          <w:kern w:val="0"/>
          <w:szCs w:val="24"/>
          <w14:ligatures w14:val="none"/>
        </w:rPr>
      </w:pPr>
    </w:p>
    <w:p w14:paraId="4B99509C" w14:textId="77777777" w:rsidR="00851716" w:rsidRPr="00851716" w:rsidRDefault="00851716" w:rsidP="00851716">
      <w:pPr>
        <w:spacing w:after="0" w:line="240" w:lineRule="auto"/>
        <w:rPr>
          <w:rFonts w:ascii="Times New Roman" w:eastAsia="Calibri" w:hAnsi="Times New Roman" w:cs="Times New Roman"/>
          <w:kern w:val="0"/>
          <w:szCs w:val="24"/>
          <w14:ligatures w14:val="none"/>
        </w:rPr>
      </w:pPr>
      <w:r w:rsidRPr="00851716">
        <w:rPr>
          <w:rFonts w:ascii="Times New Roman" w:eastAsia="Calibri" w:hAnsi="Times New Roman" w:cs="Times New Roman"/>
          <w:kern w:val="0"/>
          <w:szCs w:val="24"/>
          <w14:ligatures w14:val="none"/>
        </w:rPr>
        <w:t>Šio vaisto sudėtyje yra mažas etanolio kiekis (mažiau kaip 100 mg 5 ml paruoštos geriamosios suspensijos).</w:t>
      </w:r>
    </w:p>
    <w:p w14:paraId="53B6427E" w14:textId="77777777" w:rsidR="00851716" w:rsidRPr="00851716" w:rsidRDefault="00851716" w:rsidP="00851716">
      <w:pPr>
        <w:spacing w:after="0" w:line="240" w:lineRule="auto"/>
        <w:rPr>
          <w:rFonts w:ascii="Times New Roman" w:eastAsia="Calibri" w:hAnsi="Times New Roman" w:cs="Times New Roman"/>
          <w:kern w:val="0"/>
          <w:szCs w:val="24"/>
          <w14:ligatures w14:val="none"/>
        </w:rPr>
      </w:pPr>
    </w:p>
    <w:p w14:paraId="1221C31A" w14:textId="77777777" w:rsidR="00851716" w:rsidRPr="00851716" w:rsidRDefault="00851716" w:rsidP="00851716">
      <w:pPr>
        <w:spacing w:after="0" w:line="240" w:lineRule="auto"/>
        <w:rPr>
          <w:rFonts w:ascii="Times New Roman" w:eastAsia="Calibri" w:hAnsi="Times New Roman" w:cs="Times New Roman"/>
          <w:kern w:val="0"/>
          <w:szCs w:val="24"/>
          <w14:ligatures w14:val="none"/>
        </w:rPr>
      </w:pPr>
      <w:r w:rsidRPr="00851716">
        <w:rPr>
          <w:rFonts w:ascii="Times New Roman" w:eastAsia="Calibri" w:hAnsi="Times New Roman" w:cs="Times New Roman"/>
          <w:kern w:val="0"/>
          <w:szCs w:val="24"/>
          <w14:ligatures w14:val="none"/>
        </w:rPr>
        <w:lastRenderedPageBreak/>
        <w:t>Šio vaisto 5 ml paruoštos geriamosios suspensijos yra mažiau kaip 1 mmol (23 mg) natrio, t.y. jis beveik neturi reikšmės.</w:t>
      </w:r>
    </w:p>
    <w:p w14:paraId="3446826E" w14:textId="77777777" w:rsidR="00851716" w:rsidRPr="00851716" w:rsidRDefault="00851716" w:rsidP="00851716">
      <w:pPr>
        <w:spacing w:after="0" w:line="240" w:lineRule="auto"/>
        <w:rPr>
          <w:rFonts w:ascii="Times New Roman" w:eastAsia="Calibri" w:hAnsi="Times New Roman" w:cs="Times New Roman"/>
          <w:kern w:val="0"/>
          <w:szCs w:val="24"/>
          <w14:ligatures w14:val="none"/>
        </w:rPr>
      </w:pPr>
    </w:p>
    <w:p w14:paraId="10068277"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Šio vaisto 5 ml paruoštos geriamosios suspensijos yra 0,14 mg sorbitolio.</w:t>
      </w:r>
    </w:p>
    <w:p w14:paraId="64C7D42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61232D4B"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Šio vaisto sudėtyje yra 100 ng sieros dioksido. Retais atvejais gali sukelti sunkių padidėjusio jautrumo reakcijų ir bronchų spazmą. </w:t>
      </w:r>
    </w:p>
    <w:p w14:paraId="1D8D6E84"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5D5706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Šio vaisto sudėtyje yra 0,68 mg gliukozės. Jeigu gydytojas Jums yra sakęs, kad netoleruojate kokių nors angliavandenių, kreipkitės į jį prieš pradėdami vartoti šį vaistą. </w:t>
      </w:r>
    </w:p>
    <w:p w14:paraId="78451C7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E6107C6"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B73FFFC" w14:textId="77777777" w:rsidR="00851716" w:rsidRPr="00851716" w:rsidRDefault="00851716" w:rsidP="00851716">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3.</w:t>
      </w:r>
      <w:r w:rsidRPr="00851716">
        <w:rPr>
          <w:rFonts w:ascii="Times New Roman" w:eastAsia="Calibri" w:hAnsi="Times New Roman" w:cs="Times New Roman"/>
          <w:b/>
          <w:kern w:val="0"/>
          <w14:ligatures w14:val="none"/>
        </w:rPr>
        <w:tab/>
        <w:t>Kaip vartoti Ospamox</w:t>
      </w:r>
    </w:p>
    <w:p w14:paraId="6C304434"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2B5810B"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58244A1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33BAFC0" w14:textId="77777777" w:rsidR="00851716" w:rsidRPr="00851716" w:rsidRDefault="00851716" w:rsidP="00440384">
      <w:pPr>
        <w:numPr>
          <w:ilvl w:val="0"/>
          <w:numId w:val="29"/>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Prieš gerdami dozę, buteliuką gerai pakratykite. </w:t>
      </w:r>
    </w:p>
    <w:p w14:paraId="23D2063C" w14:textId="77777777" w:rsidR="00851716" w:rsidRPr="00851716" w:rsidRDefault="00851716" w:rsidP="00440384">
      <w:pPr>
        <w:numPr>
          <w:ilvl w:val="0"/>
          <w:numId w:val="29"/>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Dozes paskirstykite taip, kad jas išgertumėte vienodais laiko intervalais ne dažniau kaip kas 4 valandas. </w:t>
      </w:r>
    </w:p>
    <w:p w14:paraId="4B45E917"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540BF829"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Įprasta dozė yra: </w:t>
      </w:r>
    </w:p>
    <w:p w14:paraId="6A3C30CE"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p>
    <w:p w14:paraId="22294EF7"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Vaikams, kurie sveria mažiau kaip 40</w:t>
      </w:r>
      <w:r w:rsidRPr="00851716">
        <w:rPr>
          <w:rFonts w:ascii="Times New Roman" w:eastAsia="Times New Roman" w:hAnsi="Times New Roman" w:cs="Times New Roman"/>
          <w:b/>
          <w:bCs/>
          <w:color w:val="000000"/>
          <w:kern w:val="0"/>
          <w:lang w:eastAsia="lt-LT"/>
          <w14:ligatures w14:val="none"/>
        </w:rPr>
        <w:t> </w:t>
      </w:r>
      <w:r w:rsidRPr="00851716">
        <w:rPr>
          <w:rFonts w:ascii="Times New Roman" w:eastAsia="Calibri" w:hAnsi="Times New Roman" w:cs="Times New Roman"/>
          <w:b/>
          <w:color w:val="000000"/>
          <w:kern w:val="0"/>
          <w14:ligatures w14:val="none"/>
        </w:rPr>
        <w:t xml:space="preserve">kg </w:t>
      </w:r>
    </w:p>
    <w:p w14:paraId="25C72470"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Visos dozės yra apskaičiuojamos pagal vaiko kūno masę kilogramais. </w:t>
      </w:r>
    </w:p>
    <w:p w14:paraId="63CD93D5" w14:textId="77777777" w:rsidR="00851716" w:rsidRPr="00851716" w:rsidRDefault="00851716" w:rsidP="00440384">
      <w:pPr>
        <w:numPr>
          <w:ilvl w:val="0"/>
          <w:numId w:val="30"/>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Jūsų gydytojas nurodys, kiek Ospamox reikia sugirdyti Jūsų kūdikiui arba vaikui. </w:t>
      </w:r>
    </w:p>
    <w:p w14:paraId="60AD4697" w14:textId="77777777" w:rsidR="00851716" w:rsidRPr="00851716" w:rsidRDefault="00851716" w:rsidP="00440384">
      <w:pPr>
        <w:numPr>
          <w:ilvl w:val="0"/>
          <w:numId w:val="30"/>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Įprasta dozė yra nuo </w:t>
      </w:r>
      <w:r w:rsidRPr="00851716">
        <w:rPr>
          <w:rFonts w:ascii="Times New Roman" w:eastAsia="Times New Roman" w:hAnsi="Times New Roman" w:cs="Times New Roman"/>
          <w:color w:val="000000"/>
          <w:kern w:val="0"/>
          <w:lang w:eastAsia="lt-LT"/>
          <w14:ligatures w14:val="none"/>
        </w:rPr>
        <w:t>20 </w:t>
      </w:r>
      <w:r w:rsidRPr="00851716">
        <w:rPr>
          <w:rFonts w:ascii="Times New Roman" w:eastAsia="Calibri" w:hAnsi="Times New Roman" w:cs="Times New Roman"/>
          <w:color w:val="000000"/>
          <w:kern w:val="0"/>
          <w14:ligatures w14:val="none"/>
        </w:rPr>
        <w:t>mg iki 90</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727A047D" w14:textId="77777777" w:rsidR="00851716" w:rsidRPr="00851716" w:rsidRDefault="00851716" w:rsidP="00440384">
      <w:pPr>
        <w:numPr>
          <w:ilvl w:val="0"/>
          <w:numId w:val="30"/>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Didžiausia rekomenduojama dozė yra 100</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mg kiekvienam kilogramui kūno masės per parą. </w:t>
      </w:r>
    </w:p>
    <w:p w14:paraId="4E0B365B"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1F312025"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Suaugusiesiems, senyviems pacientams ir 40</w:t>
      </w:r>
      <w:r w:rsidRPr="00851716">
        <w:rPr>
          <w:rFonts w:ascii="Times New Roman" w:eastAsia="Times New Roman" w:hAnsi="Times New Roman" w:cs="Times New Roman"/>
          <w:b/>
          <w:bCs/>
          <w:color w:val="000000"/>
          <w:kern w:val="0"/>
          <w:lang w:eastAsia="lt-LT"/>
          <w14:ligatures w14:val="none"/>
        </w:rPr>
        <w:t> </w:t>
      </w:r>
      <w:r w:rsidRPr="00851716">
        <w:rPr>
          <w:rFonts w:ascii="Times New Roman" w:eastAsia="Calibri" w:hAnsi="Times New Roman" w:cs="Times New Roman"/>
          <w:b/>
          <w:color w:val="000000"/>
          <w:kern w:val="0"/>
          <w14:ligatures w14:val="none"/>
        </w:rPr>
        <w:t xml:space="preserve">kg ar daugiau sveriantiems vaikams </w:t>
      </w:r>
    </w:p>
    <w:p w14:paraId="3AAAF22D"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Įprasta Ospamox dozė yra nuo 250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mg iki 500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mg tris kartus per parą arba nuo 750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mg iki 1</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g kas 12</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valandų, atsižvelgiant į ligos sunkumą ir infekcijos rūšį.</w:t>
      </w:r>
    </w:p>
    <w:p w14:paraId="4B196DCE"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lang w:val="en-US"/>
          <w14:ligatures w14:val="none"/>
        </w:rPr>
      </w:pPr>
    </w:p>
    <w:p w14:paraId="2996604A"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 xml:space="preserve">Sunki infekcinė liga. </w:t>
      </w:r>
      <w:r w:rsidRPr="00851716">
        <w:rPr>
          <w:rFonts w:ascii="Times New Roman" w:eastAsia="Calibri" w:hAnsi="Times New Roman" w:cs="Times New Roman"/>
          <w:color w:val="000000"/>
          <w:kern w:val="0"/>
          <w14:ligatures w14:val="none"/>
        </w:rPr>
        <w:t>Nuo 750</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mg iki 1</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g tris kartus per parą. </w:t>
      </w:r>
    </w:p>
    <w:p w14:paraId="08F8B24E"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 xml:space="preserve">Šlapimo takų infekcinė liga. </w:t>
      </w:r>
      <w:r w:rsidRPr="00851716">
        <w:rPr>
          <w:rFonts w:ascii="Times New Roman" w:eastAsia="Calibri" w:hAnsi="Times New Roman" w:cs="Times New Roman"/>
          <w:color w:val="000000"/>
          <w:kern w:val="0"/>
          <w14:ligatures w14:val="none"/>
        </w:rPr>
        <w:t>3</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g dozė du kartus per parą vieną dieną. </w:t>
      </w:r>
    </w:p>
    <w:p w14:paraId="47DD0F63"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Laimo liga (infekcinė liga, kurią perneša parazitai, vadinami erkėmis)</w:t>
      </w:r>
      <w:r w:rsidRPr="00851716">
        <w:rPr>
          <w:rFonts w:ascii="Times New Roman" w:eastAsia="Calibri" w:hAnsi="Times New Roman" w:cs="Times New Roman"/>
          <w:color w:val="000000"/>
          <w:kern w:val="0"/>
          <w14:ligatures w14:val="none"/>
        </w:rPr>
        <w:t>.</w:t>
      </w:r>
      <w:r w:rsidRPr="00851716">
        <w:rPr>
          <w:rFonts w:ascii="Times New Roman" w:eastAsia="Calibri" w:hAnsi="Times New Roman" w:cs="Times New Roman"/>
          <w:b/>
          <w:color w:val="000000"/>
          <w:kern w:val="0"/>
          <w14:ligatures w14:val="none"/>
        </w:rPr>
        <w:t xml:space="preserve"> </w:t>
      </w:r>
      <w:r w:rsidRPr="00851716">
        <w:rPr>
          <w:rFonts w:ascii="Times New Roman" w:eastAsia="Calibri" w:hAnsi="Times New Roman" w:cs="Times New Roman"/>
          <w:color w:val="000000"/>
          <w:kern w:val="0"/>
          <w14:ligatures w14:val="none"/>
        </w:rPr>
        <w:t>Izoliuota raudonė (pradinė ligos stadija: raudonos ar rožinės spalvos, žiedo formos išbėrimas): iki 4</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g per parą. </w:t>
      </w:r>
    </w:p>
    <w:p w14:paraId="06A41386"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Skrandžio opos. </w:t>
      </w:r>
      <w:r w:rsidRPr="00851716">
        <w:rPr>
          <w:rFonts w:ascii="Times New Roman" w:eastAsia="Calibri" w:hAnsi="Times New Roman" w:cs="Times New Roman"/>
          <w:color w:val="000000"/>
          <w:kern w:val="0"/>
          <w14:ligatures w14:val="none"/>
        </w:rPr>
        <w:t>Viena 750</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mg arba viena 1</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g dozė du kartus per parą 7</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paras kartu su kitais antibiotikais ir vaistais skrandžio opoms gydyti. </w:t>
      </w:r>
    </w:p>
    <w:p w14:paraId="5F8DA4E3"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Norint išvengti infekcinės širdies ligos chirurginės operacijos metu</w:t>
      </w:r>
      <w:r w:rsidRPr="00851716">
        <w:rPr>
          <w:rFonts w:ascii="Times New Roman" w:eastAsia="Calibri" w:hAnsi="Times New Roman" w:cs="Times New Roman"/>
          <w:color w:val="000000"/>
          <w:kern w:val="0"/>
          <w14:ligatures w14:val="none"/>
        </w:rPr>
        <w:t xml:space="preserve">. Dozė priklausys nuo operacijos pobūdžio. </w:t>
      </w:r>
      <w:r w:rsidRPr="00851716">
        <w:rPr>
          <w:rFonts w:ascii="Times New Roman" w:eastAsia="Calibri" w:hAnsi="Times New Roman" w:cs="Times New Roman"/>
          <w:color w:val="000000"/>
          <w:kern w:val="0"/>
          <w14:ligatures w14:val="none"/>
        </w:rPr>
        <w:br/>
        <w:t xml:space="preserve">Tuo pačiu laiku gali būti skiriami ir kiti vaistai. Išsamiau paaiškins Jūsų gydytojas, vaistininkas ar slaugytojas. </w:t>
      </w:r>
    </w:p>
    <w:p w14:paraId="57FB94EB" w14:textId="77777777" w:rsidR="00851716" w:rsidRPr="00851716" w:rsidRDefault="00851716" w:rsidP="00440384">
      <w:pPr>
        <w:numPr>
          <w:ilvl w:val="0"/>
          <w:numId w:val="31"/>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Didžiausia rekomenduojama dozė yra 6</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g per parą. </w:t>
      </w:r>
    </w:p>
    <w:p w14:paraId="698CF042"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lang w:val="en-US"/>
          <w14:ligatures w14:val="none"/>
        </w:rPr>
      </w:pPr>
    </w:p>
    <w:p w14:paraId="5EE9FB9A"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 xml:space="preserve">Inkstų veiklos sutrikimai </w:t>
      </w:r>
    </w:p>
    <w:p w14:paraId="516624CD"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569EAEDA"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lang w:val="en-US"/>
          <w14:ligatures w14:val="none"/>
        </w:rPr>
      </w:pPr>
    </w:p>
    <w:p w14:paraId="20A6CDFE"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Ką daryti pavartojus per didelę Ospamox dozę</w:t>
      </w:r>
    </w:p>
    <w:p w14:paraId="3A395939"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 išgėrėte per daug Ospamox, gali pasireikšti skrandžio veiklos sutrikimas (pykinimas, vėmimas ar viduriavimas) arba šlapime gali susiformuoti kristalai, dėl kurių šlapimas gali būti drumstas arba gali sutrikti </w:t>
      </w:r>
      <w:r w:rsidRPr="00851716">
        <w:rPr>
          <w:rFonts w:ascii="Times New Roman" w:eastAsia="Calibri" w:hAnsi="Times New Roman" w:cs="Times New Roman"/>
          <w:color w:val="000000"/>
          <w:kern w:val="0"/>
          <w14:ligatures w14:val="none"/>
        </w:rPr>
        <w:lastRenderedPageBreak/>
        <w:t xml:space="preserve">šlapinimasis. Kuo greičiau pasikalbėkite su savo gydytoju. Pasiimkite vaistą, kad galėtumėte parodyti jį gydytojui. </w:t>
      </w:r>
    </w:p>
    <w:p w14:paraId="4520B247"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12642E14"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 xml:space="preserve">Pamiršus pavartoti Ospamox </w:t>
      </w:r>
    </w:p>
    <w:p w14:paraId="28487867" w14:textId="77777777" w:rsidR="00851716" w:rsidRPr="00851716" w:rsidRDefault="00851716" w:rsidP="00440384">
      <w:pPr>
        <w:numPr>
          <w:ilvl w:val="0"/>
          <w:numId w:val="32"/>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 xml:space="preserve">Jei pamiršote išgerti vaisto dozę, išgerkite vaisto iškart, kai atsiminėte. </w:t>
      </w:r>
    </w:p>
    <w:p w14:paraId="7F3FD7AA" w14:textId="77777777" w:rsidR="00851716" w:rsidRPr="00851716" w:rsidRDefault="00851716" w:rsidP="00440384">
      <w:pPr>
        <w:numPr>
          <w:ilvl w:val="0"/>
          <w:numId w:val="32"/>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Negerkite kitos dozės per greitai, palaukite maždaug 4</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valandas ir tada išgerkite kitą dozę. </w:t>
      </w:r>
    </w:p>
    <w:p w14:paraId="4F418334" w14:textId="77777777" w:rsidR="00851716" w:rsidRPr="00851716" w:rsidRDefault="00851716" w:rsidP="00440384">
      <w:pPr>
        <w:numPr>
          <w:ilvl w:val="0"/>
          <w:numId w:val="32"/>
        </w:numPr>
        <w:autoSpaceDE w:val="0"/>
        <w:autoSpaceDN w:val="0"/>
        <w:adjustRightInd w:val="0"/>
        <w:spacing w:after="0" w:line="240" w:lineRule="auto"/>
        <w:rPr>
          <w:rFonts w:ascii="Calibri" w:eastAsia="Calibri" w:hAnsi="Calibri" w:cs="Times New Roman"/>
          <w:kern w:val="0"/>
          <w:lang w:val="de-DE"/>
          <w14:ligatures w14:val="none"/>
        </w:rPr>
      </w:pPr>
      <w:r w:rsidRPr="00851716">
        <w:rPr>
          <w:rFonts w:ascii="Times New Roman" w:eastAsia="Calibri" w:hAnsi="Times New Roman" w:cs="Times New Roman"/>
          <w:color w:val="000000"/>
          <w:kern w:val="0"/>
          <w14:ligatures w14:val="none"/>
        </w:rPr>
        <w:t xml:space="preserve">Negalima vartoti dvigubos dozės norint kompensuoti praleistą dozę. </w:t>
      </w:r>
    </w:p>
    <w:p w14:paraId="1F5331D7"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lang w:val="de-DE"/>
          <w14:ligatures w14:val="none"/>
        </w:rPr>
      </w:pPr>
    </w:p>
    <w:p w14:paraId="55ABD7AD"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lang w:val="en-US"/>
          <w14:ligatures w14:val="none"/>
        </w:rPr>
      </w:pPr>
      <w:r w:rsidRPr="00851716">
        <w:rPr>
          <w:rFonts w:ascii="Times New Roman" w:eastAsia="Calibri" w:hAnsi="Times New Roman" w:cs="Times New Roman"/>
          <w:b/>
          <w:color w:val="000000"/>
          <w:kern w:val="0"/>
          <w14:ligatures w14:val="none"/>
        </w:rPr>
        <w:t xml:space="preserve">Kiek laiko vartoti Ospamox? </w:t>
      </w:r>
    </w:p>
    <w:p w14:paraId="3C7DE822" w14:textId="77777777" w:rsidR="00851716" w:rsidRPr="00851716" w:rsidRDefault="00851716" w:rsidP="00440384">
      <w:pPr>
        <w:numPr>
          <w:ilvl w:val="0"/>
          <w:numId w:val="33"/>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Vartokite Ospamox tiek, kiek nurodė Jūsų gydytojas, net jeigu jaučiatės geriau. Kad infekcija būtų įveikta, Jūs turite išgerti kiekvieną dozę. Jeigu organizme lieka bakterijų, infekcinė liga gali atsinaujinti. </w:t>
      </w:r>
    </w:p>
    <w:p w14:paraId="453F237D" w14:textId="77777777" w:rsidR="00851716" w:rsidRPr="00851716" w:rsidRDefault="00851716" w:rsidP="00440384">
      <w:pPr>
        <w:numPr>
          <w:ilvl w:val="0"/>
          <w:numId w:val="33"/>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224142A9"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3CA7157A"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Ilgą laiką vartojant Ospamox, gali pasireikšti pienligė (mieliagrybių sukelta kūno gleivinių infekcinė liga dėl kurios gali pasireikšti perštėjimas, niežulys ir baltos išskyros). Jeigu pasireiškia šis sutrikimas, apie tai pasakykite gydytojui. </w:t>
      </w:r>
    </w:p>
    <w:p w14:paraId="70EFB91E"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p>
    <w:p w14:paraId="379D9EE6"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Jeigu ilgą laiką vartojate Ospamox, Jūsų gydytojas gali skirti atlikti papildomus tyrimus, kad įvertintų, ar Jūsų inkstų ir kepenų veikla bei kraujas yra normalūs.</w:t>
      </w:r>
    </w:p>
    <w:p w14:paraId="34E59FB8"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p>
    <w:p w14:paraId="682D183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Jeigu kiltų daugiau klausimų dėl šio vaisto vartojimo, kreipkitės į gydytoją arba vaistininką.</w:t>
      </w:r>
    </w:p>
    <w:p w14:paraId="250766B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27FCB880"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253ED28E" w14:textId="77777777" w:rsidR="00851716" w:rsidRPr="00851716" w:rsidRDefault="00851716" w:rsidP="00851716">
      <w:pPr>
        <w:keepNext/>
        <w:tabs>
          <w:tab w:val="left" w:pos="567"/>
        </w:tabs>
        <w:spacing w:after="0" w:line="240" w:lineRule="auto"/>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4.</w:t>
      </w:r>
      <w:r w:rsidRPr="00851716">
        <w:rPr>
          <w:rFonts w:ascii="Times New Roman" w:eastAsia="Calibri" w:hAnsi="Times New Roman" w:cs="Times New Roman"/>
          <w:b/>
          <w:kern w:val="0"/>
          <w14:ligatures w14:val="none"/>
        </w:rPr>
        <w:tab/>
        <w:t>Galimas šalutinis poveikis</w:t>
      </w:r>
    </w:p>
    <w:p w14:paraId="76205312" w14:textId="77777777" w:rsidR="00851716" w:rsidRPr="00851716" w:rsidRDefault="00851716" w:rsidP="00851716">
      <w:pPr>
        <w:tabs>
          <w:tab w:val="left" w:pos="567"/>
        </w:tabs>
        <w:spacing w:after="0" w:line="240" w:lineRule="auto"/>
        <w:ind w:left="567" w:hanging="567"/>
        <w:rPr>
          <w:rFonts w:ascii="Times New Roman" w:eastAsia="Calibri" w:hAnsi="Times New Roman" w:cs="Times New Roman"/>
          <w:kern w:val="0"/>
          <w14:ligatures w14:val="none"/>
        </w:rPr>
      </w:pPr>
    </w:p>
    <w:p w14:paraId="511FD04D"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Šis vaistas, kaip ir visi kiti, gali sukelti šalutinį poveikį, nors jis pasireiškia ne visiems žmonėms.</w:t>
      </w:r>
    </w:p>
    <w:p w14:paraId="4C86F011"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6FB48AB3"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Nutraukite Ospamox vartojimą ir nedelsdami kreipkitės į gydytoją, jeigu pastebėjote kurį nors toliau išvardytą sunkų šalutinį poveikį – Jums gali prireikti skubiai suteikti medicininę pagalbą. </w:t>
      </w:r>
    </w:p>
    <w:p w14:paraId="7C39DCA6" w14:textId="77777777" w:rsidR="00851716" w:rsidRPr="00851716" w:rsidRDefault="00851716" w:rsidP="00851716">
      <w:pPr>
        <w:autoSpaceDE w:val="0"/>
        <w:autoSpaceDN w:val="0"/>
        <w:adjustRightInd w:val="0"/>
        <w:spacing w:after="0" w:line="240" w:lineRule="auto"/>
        <w:ind w:hanging="1"/>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Toliau išvardyti labai reti šalutinio poveikio reiškiniai (gali pasireikšti rečiau kaip 1 iš 10 000 asmenų): </w:t>
      </w:r>
    </w:p>
    <w:p w14:paraId="52D2D499"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7D32DB01"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308A502"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Gali pasireikšti uždelstos alerginės reakcijos, kurios dažniausiai pasireiškia praėjus nuo 7 iki 12</w:t>
      </w:r>
      <w:r w:rsidRPr="00851716">
        <w:rPr>
          <w:rFonts w:ascii="Times New Roman" w:eastAsia="Times New Roman" w:hAnsi="Times New Roman" w:cs="Times New Roman"/>
          <w:color w:val="000000"/>
          <w:kern w:val="0"/>
          <w:lang w:eastAsia="lt-LT"/>
          <w14:ligatures w14:val="none"/>
        </w:rPr>
        <w:t> </w:t>
      </w:r>
      <w:r w:rsidRPr="00851716">
        <w:rPr>
          <w:rFonts w:ascii="Times New Roman" w:eastAsia="Calibri" w:hAnsi="Times New Roman" w:cs="Times New Roman"/>
          <w:color w:val="000000"/>
          <w:kern w:val="0"/>
          <w14:ligatures w14:val="none"/>
        </w:rPr>
        <w:t xml:space="preserve">parų po gydymo Ospamox, o jų požymiai gali būti: išbėrimas, karščiavimas, sąnarių skausmai ir limfmazgių padidėjimas, ypač pažastyje. </w:t>
      </w:r>
    </w:p>
    <w:p w14:paraId="1DAF0A15"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5F227EA0"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4960A667" w14:textId="77777777" w:rsidR="00851716" w:rsidRPr="00851716" w:rsidRDefault="00851716" w:rsidP="00440384">
      <w:pPr>
        <w:numPr>
          <w:ilvl w:val="0"/>
          <w:numId w:val="34"/>
        </w:num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851716">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851716">
        <w:rPr>
          <w:rFonts w:ascii="Times New Roman" w:eastAsia="Times New Roman" w:hAnsi="Times New Roman" w:cs="Times New Roman"/>
          <w:i/>
          <w:iCs/>
          <w:color w:val="000000"/>
          <w:kern w:val="0"/>
          <w:lang w:eastAsia="lt-LT"/>
          <w14:ligatures w14:val="none"/>
        </w:rPr>
        <w:t>DRESS</w:t>
      </w:r>
      <w:r w:rsidRPr="00851716">
        <w:rPr>
          <w:rFonts w:ascii="Times New Roman" w:eastAsia="Times New Roman" w:hAnsi="Times New Roman" w:cs="Times New Roman"/>
          <w:color w:val="000000"/>
          <w:kern w:val="0"/>
          <w:lang w:eastAsia="lt-LT"/>
          <w14:ligatures w14:val="none"/>
        </w:rPr>
        <w:t xml:space="preserve">)). </w:t>
      </w:r>
    </w:p>
    <w:p w14:paraId="1BDC94F0"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 xml:space="preserve">Karščiavimas, šaltkrėtis, gerklės skausmas ir kiti infekcinės ligos požymiai arba greitai atsirandančios mėlynės. Tai gali būti kraujo ląstelių sutrikimo požymis. </w:t>
      </w:r>
    </w:p>
    <w:p w14:paraId="784A74A8"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i/>
          <w:color w:val="000000"/>
          <w:kern w:val="0"/>
          <w14:ligatures w14:val="none"/>
        </w:rPr>
        <w:t xml:space="preserve">Jarisch-Herxheimer </w:t>
      </w:r>
      <w:r w:rsidRPr="00851716">
        <w:rPr>
          <w:rFonts w:ascii="Times New Roman" w:eastAsia="Calibri" w:hAnsi="Times New Roman" w:cs="Times New Roman"/>
          <w:color w:val="000000"/>
          <w:kern w:val="0"/>
          <w14:ligatures w14:val="none"/>
        </w:rPr>
        <w:t xml:space="preserve">reakcija, kuri pasireiškia gydant Laimo ligą Ospamox ir sukelia karščiavimą, drebulį, galvos skausmą, raumenų skausmą ir odos išbėrimą. </w:t>
      </w:r>
    </w:p>
    <w:p w14:paraId="5B6A3715" w14:textId="77777777" w:rsidR="00851716" w:rsidRPr="00851716" w:rsidRDefault="00851716" w:rsidP="00440384">
      <w:pPr>
        <w:numPr>
          <w:ilvl w:val="0"/>
          <w:numId w:val="34"/>
        </w:numPr>
        <w:autoSpaceDE w:val="0"/>
        <w:autoSpaceDN w:val="0"/>
        <w:adjustRightInd w:val="0"/>
        <w:spacing w:after="0" w:line="240" w:lineRule="auto"/>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lastRenderedPageBreak/>
        <w:t xml:space="preserve">Storosios (gaubtinės) žarnos uždegimas, pasireiškiantis viduriavimu (kartais su krauju), skausmu ir karščiavimu. </w:t>
      </w:r>
    </w:p>
    <w:p w14:paraId="7B9591D2" w14:textId="77777777" w:rsidR="00440384" w:rsidRPr="00440384" w:rsidRDefault="00851716" w:rsidP="00851716">
      <w:pPr>
        <w:numPr>
          <w:ilvl w:val="0"/>
          <w:numId w:val="12"/>
        </w:numPr>
        <w:autoSpaceDE w:val="0"/>
        <w:autoSpaceDN w:val="0"/>
        <w:adjustRightInd w:val="0"/>
        <w:spacing w:after="0" w:line="240" w:lineRule="auto"/>
        <w:ind w:hanging="284"/>
        <w:rPr>
          <w:rFonts w:ascii="Calibri" w:eastAsia="Calibri" w:hAnsi="Calibri" w:cs="Times New Roman"/>
          <w:kern w:val="0"/>
          <w:lang w:val="en-US"/>
          <w14:ligatures w14:val="none"/>
        </w:rPr>
      </w:pPr>
      <w:r w:rsidRPr="00851716">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0C1304E3" w14:textId="19C0269A" w:rsidR="00851716" w:rsidRPr="004220F9" w:rsidRDefault="00851716" w:rsidP="00440384">
      <w:pPr>
        <w:numPr>
          <w:ilvl w:val="1"/>
          <w:numId w:val="12"/>
        </w:numPr>
        <w:autoSpaceDE w:val="0"/>
        <w:autoSpaceDN w:val="0"/>
        <w:adjustRightInd w:val="0"/>
        <w:spacing w:after="0" w:line="240" w:lineRule="auto"/>
        <w:rPr>
          <w:rFonts w:ascii="Calibri" w:eastAsia="Calibri" w:hAnsi="Calibri" w:cs="Times New Roman"/>
          <w:kern w:val="0"/>
          <w:lang w:val="fr-FR"/>
          <w14:ligatures w14:val="none"/>
        </w:rPr>
      </w:pPr>
      <w:r w:rsidRPr="00851716">
        <w:rPr>
          <w:rFonts w:ascii="Times New Roman" w:eastAsia="Calibri" w:hAnsi="Times New Roman" w:cs="Times New Roman"/>
          <w:color w:val="000000"/>
          <w:kern w:val="0"/>
          <w14:ligatures w14:val="none"/>
        </w:rPr>
        <w:t xml:space="preserve">pasireiškia sunkus viduriavimas su kraujavimu; </w:t>
      </w:r>
    </w:p>
    <w:p w14:paraId="50AF2ECA" w14:textId="77777777" w:rsidR="00851716" w:rsidRPr="004220F9" w:rsidRDefault="00851716" w:rsidP="00440384">
      <w:pPr>
        <w:numPr>
          <w:ilvl w:val="1"/>
          <w:numId w:val="12"/>
        </w:numPr>
        <w:autoSpaceDE w:val="0"/>
        <w:autoSpaceDN w:val="0"/>
        <w:adjustRightInd w:val="0"/>
        <w:spacing w:after="0" w:line="240" w:lineRule="auto"/>
        <w:rPr>
          <w:rFonts w:ascii="Calibri" w:eastAsia="Calibri" w:hAnsi="Calibri" w:cs="Times New Roman"/>
          <w:kern w:val="0"/>
          <w:lang w:val="fr-FR"/>
          <w14:ligatures w14:val="none"/>
        </w:rPr>
      </w:pPr>
      <w:r w:rsidRPr="00851716">
        <w:rPr>
          <w:rFonts w:ascii="Times New Roman" w:eastAsia="Calibri" w:hAnsi="Times New Roman" w:cs="Times New Roman"/>
          <w:color w:val="000000"/>
          <w:kern w:val="0"/>
          <w14:ligatures w14:val="none"/>
        </w:rPr>
        <w:t xml:space="preserve">atsiranda pūslių, paraudimų ar mėlynių odoje; </w:t>
      </w:r>
    </w:p>
    <w:p w14:paraId="6BA2C94E" w14:textId="77777777" w:rsidR="00851716" w:rsidRPr="004220F9" w:rsidRDefault="00851716" w:rsidP="00440384">
      <w:pPr>
        <w:numPr>
          <w:ilvl w:val="1"/>
          <w:numId w:val="12"/>
        </w:numPr>
        <w:autoSpaceDE w:val="0"/>
        <w:autoSpaceDN w:val="0"/>
        <w:adjustRightInd w:val="0"/>
        <w:spacing w:after="0" w:line="240" w:lineRule="auto"/>
        <w:rPr>
          <w:rFonts w:ascii="Calibri" w:eastAsia="Calibri" w:hAnsi="Calibri" w:cs="Times New Roman"/>
          <w:kern w:val="0"/>
          <w:lang w:val="fr-FR"/>
          <w14:ligatures w14:val="none"/>
        </w:rPr>
      </w:pPr>
      <w:r w:rsidRPr="00851716">
        <w:rPr>
          <w:rFonts w:ascii="Times New Roman" w:eastAsia="Calibri" w:hAnsi="Times New Roman" w:cs="Times New Roman"/>
          <w:color w:val="000000"/>
          <w:kern w:val="0"/>
          <w14:ligatures w14:val="none"/>
        </w:rPr>
        <w:t xml:space="preserve">patamsėja šlapimas arba pašviesėja išmatos; </w:t>
      </w:r>
    </w:p>
    <w:p w14:paraId="5F11B1F1" w14:textId="77777777" w:rsidR="00851716" w:rsidRPr="00851716" w:rsidRDefault="00851716" w:rsidP="00440384">
      <w:pPr>
        <w:numPr>
          <w:ilvl w:val="1"/>
          <w:numId w:val="12"/>
        </w:num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44E44716"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 xml:space="preserve">Toks poveikis gali pasireikšti, vartojant vaistą arba praėjus net keletui savaičių po vartojimo pabaigos. </w:t>
      </w:r>
    </w:p>
    <w:p w14:paraId="0487FD59"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p>
    <w:p w14:paraId="700EF773" w14:textId="77777777" w:rsidR="00851716" w:rsidRPr="00851716" w:rsidRDefault="00851716" w:rsidP="00851716">
      <w:pPr>
        <w:autoSpaceDE w:val="0"/>
        <w:autoSpaceDN w:val="0"/>
        <w:adjustRightInd w:val="0"/>
        <w:spacing w:after="0" w:line="240" w:lineRule="auto"/>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0937F8DB"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b/>
          <w:kern w:val="0"/>
          <w14:ligatures w14:val="none"/>
        </w:rPr>
      </w:pPr>
    </w:p>
    <w:p w14:paraId="4352A99F" w14:textId="77777777" w:rsidR="00851716" w:rsidRPr="00851716" w:rsidRDefault="00851716" w:rsidP="00851716">
      <w:pPr>
        <w:autoSpaceDE w:val="0"/>
        <w:autoSpaceDN w:val="0"/>
        <w:adjustRightInd w:val="0"/>
        <w:spacing w:after="0" w:line="240" w:lineRule="auto"/>
        <w:ind w:left="567" w:hanging="568"/>
        <w:rPr>
          <w:rFonts w:ascii="Calibri" w:eastAsia="Calibri" w:hAnsi="Calibri" w:cs="Times New Roman"/>
          <w:kern w:val="0"/>
          <w14:ligatures w14:val="none"/>
        </w:rPr>
      </w:pPr>
      <w:r w:rsidRPr="00851716">
        <w:rPr>
          <w:rFonts w:ascii="Times New Roman" w:eastAsia="Calibri" w:hAnsi="Times New Roman" w:cs="Times New Roman"/>
          <w:b/>
          <w:color w:val="000000"/>
          <w:kern w:val="0"/>
          <w14:ligatures w14:val="none"/>
        </w:rPr>
        <w:t xml:space="preserve">Kartais gali pasireikšti lengvesnės odos reakcijos, pavyzdžiui: </w:t>
      </w:r>
    </w:p>
    <w:p w14:paraId="55421E37" w14:textId="77777777" w:rsidR="00851716" w:rsidRPr="00851716" w:rsidRDefault="00851716" w:rsidP="00851716">
      <w:pPr>
        <w:numPr>
          <w:ilvl w:val="0"/>
          <w:numId w:val="13"/>
        </w:numPr>
        <w:tabs>
          <w:tab w:val="left" w:pos="567"/>
        </w:tabs>
        <w:autoSpaceDE w:val="0"/>
        <w:autoSpaceDN w:val="0"/>
        <w:adjustRightInd w:val="0"/>
        <w:spacing w:after="0" w:line="240" w:lineRule="auto"/>
        <w:ind w:left="567" w:hanging="567"/>
        <w:rPr>
          <w:rFonts w:ascii="Calibri" w:eastAsia="Calibri" w:hAnsi="Calibri" w:cs="Times New Roman"/>
          <w:kern w:val="0"/>
          <w14:ligatures w14:val="none"/>
        </w:rPr>
      </w:pPr>
      <w:r w:rsidRPr="00851716">
        <w:rPr>
          <w:rFonts w:ascii="Times New Roman" w:eastAsia="Calibri" w:hAnsi="Times New Roman" w:cs="Times New Roman"/>
          <w:color w:val="000000"/>
          <w:kern w:val="0"/>
          <w14:ligatures w14:val="none"/>
        </w:rPr>
        <w:t>nesmarkiai niežtintis odos išbėrimas (apvalios nuo rausvos iki raudonos spalvos dėmės), į dilgėlinę panašus dilbių, kojų, delnų, rankų ar pėdų patinimas. Toks poveikis pasireiškia nedažnai (gali pasireikšti rečiau kaip 1 iš 100 žmonių).</w:t>
      </w:r>
    </w:p>
    <w:p w14:paraId="648DFB92"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5F8F6D7" w14:textId="77777777"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Jei pasireiškia kuris nors pirmiau nurodytas požymis, pasakykite savo gydytojui, nes gali prireikti nutraukti Ospamox vartojimą.</w:t>
      </w:r>
    </w:p>
    <w:p w14:paraId="2B22780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6463DA9E"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Kitas galimas šalutinis poveikis</w:t>
      </w:r>
    </w:p>
    <w:p w14:paraId="65C6C812"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5F6513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Dažni šalutinio poveikio reiškiniai (gali pasireikšti rečiau kaip 1 iš 10 asmenų):</w:t>
      </w:r>
    </w:p>
    <w:p w14:paraId="2596ED1F" w14:textId="77777777" w:rsidR="00851716" w:rsidRPr="00851716" w:rsidRDefault="00851716" w:rsidP="00440384">
      <w:pPr>
        <w:numPr>
          <w:ilvl w:val="0"/>
          <w:numId w:val="35"/>
        </w:num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odos išbėrimas;</w:t>
      </w:r>
    </w:p>
    <w:p w14:paraId="2A1389F1" w14:textId="77777777" w:rsidR="00851716" w:rsidRPr="00851716" w:rsidRDefault="00851716" w:rsidP="00440384">
      <w:pPr>
        <w:numPr>
          <w:ilvl w:val="0"/>
          <w:numId w:val="35"/>
        </w:num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blogavimas (pykinimas);</w:t>
      </w:r>
    </w:p>
    <w:p w14:paraId="4A9FA78F" w14:textId="77777777" w:rsidR="00851716" w:rsidRPr="00851716" w:rsidRDefault="00851716" w:rsidP="00440384">
      <w:pPr>
        <w:numPr>
          <w:ilvl w:val="0"/>
          <w:numId w:val="35"/>
        </w:num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viduriavimas.</w:t>
      </w:r>
    </w:p>
    <w:p w14:paraId="69EBFDF3"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D7A4DCA"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Nedažni šalutinio poveikio reiškiniai (gali pasireikšti rečiau kaip 1 iš 100 asmenų):</w:t>
      </w:r>
    </w:p>
    <w:p w14:paraId="7806F12E" w14:textId="77777777" w:rsidR="00851716" w:rsidRPr="00851716" w:rsidRDefault="00851716" w:rsidP="00851716">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šleikštulys (vėmimas).</w:t>
      </w:r>
    </w:p>
    <w:p w14:paraId="3D5F77C2"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28225AC"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Labai reti šalutinio poveikio reiškiniai (gali pasireikšti rečiau kaip 1 iš 10 000 asmenų):</w:t>
      </w:r>
    </w:p>
    <w:p w14:paraId="25EBE2F2"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pienligė (mieliagrybių sukelta makšties, burnos ar odos raukšlių infekcinė liga). Jūsų gydytojas arba vaistininkas gali skirti pienligės gydymą;</w:t>
      </w:r>
    </w:p>
    <w:p w14:paraId="656E1EE0"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inkstų veiklos sutrikimas;</w:t>
      </w:r>
    </w:p>
    <w:p w14:paraId="4CA363B9"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priepuoliai (traukuliai), kurie pasireiškia dideles dozes vartojantiems arba inkstų sutrikimą turintiems pacientams;</w:t>
      </w:r>
    </w:p>
    <w:p w14:paraId="33357CB6"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svaigulys;</w:t>
      </w:r>
    </w:p>
    <w:p w14:paraId="25FE170E"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pernelyg didelis aktyvumas;</w:t>
      </w:r>
    </w:p>
    <w:p w14:paraId="1FC72BC3"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ant dantų gali atsirasti dėmelių, kurios paprastai pašalinamos valant dantis (toks poveikis buvo nustatytas vaikams);</w:t>
      </w:r>
    </w:p>
    <w:p w14:paraId="36E689BE"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liežuvis gali tapti geltonos, rudos ar juodos spalvos ir įgyti plaukuotą išvaizdą;</w:t>
      </w:r>
    </w:p>
    <w:p w14:paraId="453F16D0"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205B0CC5"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mažas baltųjų kraujo ląstelių kiekis;</w:t>
      </w:r>
    </w:p>
    <w:p w14:paraId="6005A7EC"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mažas kraujo krešėjime dalyvaujančių ląstelių kiekis;</w:t>
      </w:r>
    </w:p>
    <w:p w14:paraId="5407F814" w14:textId="77777777" w:rsidR="00851716" w:rsidRPr="00851716" w:rsidRDefault="00851716" w:rsidP="00440384">
      <w:pPr>
        <w:numPr>
          <w:ilvl w:val="0"/>
          <w:numId w:val="36"/>
        </w:numPr>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gali praeiti daugiau nei normaliai laiko, kol sukreša kraujas. Tai galite pastebėti kraujuojant iš nosies arba įsipjovus.</w:t>
      </w:r>
    </w:p>
    <w:p w14:paraId="50C4EDF5" w14:textId="77777777" w:rsidR="00851716" w:rsidRPr="00851716" w:rsidRDefault="00851716" w:rsidP="00851716">
      <w:pPr>
        <w:keepNext/>
        <w:keepLines/>
        <w:spacing w:before="360" w:after="80" w:line="240" w:lineRule="auto"/>
        <w:outlineLvl w:val="0"/>
        <w:rPr>
          <w:rFonts w:ascii="Calibri Light" w:eastAsia="Calibri" w:hAnsi="Calibri Light" w:cs="Times New Roman"/>
          <w:color w:val="2E74B5"/>
          <w:kern w:val="0"/>
          <w:sz w:val="40"/>
          <w:szCs w:val="40"/>
          <w14:ligatures w14:val="none"/>
        </w:rPr>
      </w:pPr>
    </w:p>
    <w:p w14:paraId="2DE9AFEA" w14:textId="77777777" w:rsidR="00851716" w:rsidRPr="00851716" w:rsidRDefault="00851716" w:rsidP="00851716">
      <w:pPr>
        <w:keepNext/>
        <w:keepLines/>
        <w:spacing w:before="360" w:after="80" w:line="240" w:lineRule="auto"/>
        <w:outlineLvl w:val="0"/>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Šalutinio poveikio reiškiniai, kurių dažnis nežinomas (negali būti apskaičiuotas pagal turimus duomenis):</w:t>
      </w:r>
    </w:p>
    <w:p w14:paraId="790E6AA9" w14:textId="77777777" w:rsidR="00851716" w:rsidRPr="00851716" w:rsidRDefault="00851716" w:rsidP="00440384">
      <w:pPr>
        <w:numPr>
          <w:ilvl w:val="0"/>
          <w:numId w:val="37"/>
        </w:numPr>
        <w:spacing w:after="0" w:line="240" w:lineRule="auto"/>
        <w:contextualSpacing/>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Krūtinės skausmas pasireiškus alerginėms reakcijoms, kuris gali būti alergijos sukelto širdies smūgio (širdies priepuolio) simptomas (Kounis sindromas).</w:t>
      </w:r>
    </w:p>
    <w:p w14:paraId="391EE09D" w14:textId="77777777" w:rsidR="00851716" w:rsidRPr="00851716" w:rsidRDefault="00851716" w:rsidP="00440384">
      <w:pPr>
        <w:numPr>
          <w:ilvl w:val="0"/>
          <w:numId w:val="37"/>
        </w:numPr>
        <w:spacing w:after="0" w:line="240" w:lineRule="auto"/>
        <w:contextualSpacing/>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Vaistų sukelto enterokolito sindromas (VSES):</w:t>
      </w:r>
    </w:p>
    <w:p w14:paraId="709BAD64" w14:textId="77777777" w:rsidR="00851716" w:rsidRPr="00440384" w:rsidRDefault="00851716" w:rsidP="00440384">
      <w:pPr>
        <w:pStyle w:val="Sraopastraipa"/>
        <w:numPr>
          <w:ilvl w:val="0"/>
          <w:numId w:val="37"/>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 xml:space="preserve">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žemas kraujospūdis. </w:t>
      </w:r>
    </w:p>
    <w:p w14:paraId="1F57C4AD" w14:textId="77777777" w:rsidR="00851716" w:rsidRPr="00851716" w:rsidRDefault="00851716" w:rsidP="00440384">
      <w:pPr>
        <w:numPr>
          <w:ilvl w:val="0"/>
          <w:numId w:val="37"/>
        </w:numPr>
        <w:spacing w:after="0" w:line="240" w:lineRule="auto"/>
        <w:contextualSpacing/>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Kristalai šlapime, kurie gali sukelti ūminę inkstų pažaidą.</w:t>
      </w:r>
      <w:r w:rsidRPr="00851716">
        <w:rPr>
          <w:rFonts w:ascii="Times New Roman" w:eastAsia="Times New Roman" w:hAnsi="Times New Roman" w:cs="Times New Roman"/>
          <w:kern w:val="0"/>
          <w:szCs w:val="24"/>
          <w14:ligatures w14:val="none"/>
        </w:rPr>
        <w:t xml:space="preserve"> </w:t>
      </w:r>
      <w:r w:rsidRPr="00851716">
        <w:rPr>
          <w:rFonts w:ascii="Times New Roman" w:eastAsia="Calibri" w:hAnsi="Times New Roman" w:cs="Times New Roman"/>
          <w:kern w:val="0"/>
          <w14:ligatures w14:val="none"/>
        </w:rPr>
        <w:t>Dėl jų šlapimas gali būti drumstas arba gali pasunkėti šlapinimasis. Būtinai turite gerti daug skysčių, kad sumažėtų šių simptomų atsiradimo tikimybė.</w:t>
      </w:r>
    </w:p>
    <w:p w14:paraId="0520D155" w14:textId="77777777" w:rsidR="00851716" w:rsidRPr="00851716" w:rsidRDefault="00851716" w:rsidP="00440384">
      <w:pPr>
        <w:numPr>
          <w:ilvl w:val="0"/>
          <w:numId w:val="37"/>
        </w:numPr>
        <w:spacing w:after="0" w:line="240" w:lineRule="auto"/>
        <w:contextualSpacing/>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Išbėrimas su pūslėmis, kurios išsidėsto ratu arba kaip perlų grandinėlės aplink centrinėje dalyje</w:t>
      </w:r>
    </w:p>
    <w:p w14:paraId="570B4AFF" w14:textId="77777777" w:rsidR="00851716" w:rsidRPr="00440384" w:rsidRDefault="00851716" w:rsidP="00440384">
      <w:pPr>
        <w:pStyle w:val="Sraopastraipa"/>
        <w:numPr>
          <w:ilvl w:val="0"/>
          <w:numId w:val="37"/>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susiformavusį šašą (linijinė IgA liga).</w:t>
      </w:r>
    </w:p>
    <w:p w14:paraId="6748FD6A" w14:textId="77777777" w:rsidR="00851716" w:rsidRPr="00851716" w:rsidRDefault="00851716" w:rsidP="00440384">
      <w:pPr>
        <w:numPr>
          <w:ilvl w:val="0"/>
          <w:numId w:val="37"/>
        </w:numPr>
        <w:spacing w:after="0" w:line="240" w:lineRule="auto"/>
        <w:contextualSpacing/>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Galvos ir nugaros smegenis gaubiančių membranų uždegimas (aseptinis meningitas).</w:t>
      </w:r>
    </w:p>
    <w:p w14:paraId="691CDE11" w14:textId="77777777" w:rsidR="003975CE" w:rsidRDefault="003975CE" w:rsidP="00851716">
      <w:pPr>
        <w:tabs>
          <w:tab w:val="left" w:pos="567"/>
        </w:tabs>
        <w:spacing w:after="0" w:line="240" w:lineRule="auto"/>
        <w:rPr>
          <w:rFonts w:ascii="Times New Roman" w:eastAsia="Calibri" w:hAnsi="Times New Roman" w:cs="Times New Roman"/>
          <w:b/>
          <w:kern w:val="0"/>
          <w14:ligatures w14:val="none"/>
        </w:rPr>
      </w:pPr>
    </w:p>
    <w:p w14:paraId="784D64B2" w14:textId="00C03779"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Pranešimas apie šalutinį poveikį</w:t>
      </w:r>
    </w:p>
    <w:p w14:paraId="21045A24" w14:textId="202CDC0D" w:rsidR="003975CE" w:rsidRPr="003975CE" w:rsidRDefault="003975CE" w:rsidP="003975CE">
      <w:pPr>
        <w:spacing w:after="0" w:line="240" w:lineRule="auto"/>
        <w:rPr>
          <w:rFonts w:ascii="Times New Roman" w:eastAsia="Times New Roman" w:hAnsi="Times New Roman" w:cs="Times New Roman"/>
          <w:kern w:val="0"/>
          <w:szCs w:val="20"/>
          <w:lang w:eastAsia="lt-LT" w:bidi="lt-LT"/>
          <w14:ligatures w14:val="none"/>
        </w:rPr>
      </w:pPr>
      <w:r w:rsidRPr="003975CE">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F860D9" w:rsidRPr="005B3374">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F860D9" w:rsidRPr="005B3374">
        <w:rPr>
          <w:rFonts w:asciiTheme="majorBidi" w:hAnsiTheme="majorBidi" w:cstheme="majorBidi"/>
          <w:color w:val="0000EE"/>
          <w:u w:val="single"/>
          <w:lang w:eastAsia="lt-LT"/>
        </w:rPr>
        <w:t>https://vvkt.lrv.lt/lt/</w:t>
      </w:r>
      <w:r w:rsidR="00F860D9" w:rsidRPr="005B3374">
        <w:rPr>
          <w:rFonts w:asciiTheme="majorBidi" w:hAnsiTheme="majorBidi" w:cstheme="majorBidi"/>
          <w:lang w:eastAsia="lt-LT"/>
        </w:rPr>
        <w:t xml:space="preserve"> nurodytais būdais arba paskambinti nemokamu telefonu </w:t>
      </w:r>
      <w:r w:rsidR="00F860D9" w:rsidRPr="00BB4E61">
        <w:rPr>
          <w:rFonts w:asciiTheme="majorBidi" w:hAnsiTheme="majorBidi" w:cstheme="majorBidi"/>
          <w:shd w:val="clear" w:color="auto" w:fill="FFFFFF"/>
        </w:rPr>
        <w:t>+370 800 73568.</w:t>
      </w:r>
      <w:r w:rsidR="00F860D9" w:rsidRPr="005B3374">
        <w:rPr>
          <w:rFonts w:asciiTheme="majorBidi" w:hAnsiTheme="majorBidi" w:cstheme="majorBidi"/>
          <w:sz w:val="21"/>
          <w:szCs w:val="21"/>
          <w:shd w:val="clear" w:color="auto" w:fill="FFFFFF"/>
        </w:rPr>
        <w:t xml:space="preserve"> </w:t>
      </w:r>
      <w:r w:rsidR="00F860D9" w:rsidRPr="005B3374">
        <w:rPr>
          <w:rFonts w:asciiTheme="majorBidi" w:hAnsiTheme="majorBidi" w:cstheme="majorBidi"/>
          <w:lang w:eastAsia="lt-LT"/>
        </w:rPr>
        <w:t>Pranešdami apie šalutinį poveikį galite mums padėti gauti daugiau informacijos apie šio vaisto saugumą</w:t>
      </w:r>
      <w:r w:rsidRPr="003975CE">
        <w:rPr>
          <w:rFonts w:ascii="Times New Roman" w:eastAsia="Times New Roman" w:hAnsi="Times New Roman" w:cs="Times New Roman"/>
          <w:kern w:val="0"/>
          <w:szCs w:val="20"/>
          <w14:ligatures w14:val="none"/>
        </w:rPr>
        <w:t>.</w:t>
      </w:r>
    </w:p>
    <w:p w14:paraId="106F0E1F"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F7D7A0E"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BC026CD" w14:textId="77777777" w:rsidR="00851716" w:rsidRPr="00851716" w:rsidRDefault="00851716" w:rsidP="00851716">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5.</w:t>
      </w:r>
      <w:r w:rsidRPr="00851716">
        <w:rPr>
          <w:rFonts w:ascii="Times New Roman" w:eastAsia="Calibri" w:hAnsi="Times New Roman" w:cs="Times New Roman"/>
          <w:b/>
          <w:kern w:val="0"/>
          <w14:ligatures w14:val="none"/>
        </w:rPr>
        <w:tab/>
        <w:t xml:space="preserve">Kaip laikyti Ospamox </w:t>
      </w:r>
    </w:p>
    <w:p w14:paraId="759D7DC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5EE5BE9"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Šį vaistą laikykite vaikams nepastebimoje ir nepasiekiamoje vietoje.</w:t>
      </w:r>
    </w:p>
    <w:p w14:paraId="1448CACB" w14:textId="77777777" w:rsidR="00851716" w:rsidRPr="00851716" w:rsidRDefault="00851716" w:rsidP="00851716">
      <w:pPr>
        <w:tabs>
          <w:tab w:val="left" w:pos="567"/>
        </w:tabs>
        <w:spacing w:after="0" w:line="240" w:lineRule="auto"/>
        <w:jc w:val="both"/>
        <w:rPr>
          <w:rFonts w:ascii="Times New Roman" w:eastAsia="Calibri" w:hAnsi="Times New Roman" w:cs="Times New Roman"/>
          <w:kern w:val="0"/>
          <w14:ligatures w14:val="none"/>
        </w:rPr>
      </w:pPr>
    </w:p>
    <w:p w14:paraId="47989CB8"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Ant dėžutės ir buteliuko etiketės po „EXP“ nurodytam tinkamumo laikui pasibaigus, šio vaisto vartoti negalima. Vaistas tinkamas vartoti iki paskutinės nurodyto mėnesio dienos.</w:t>
      </w:r>
    </w:p>
    <w:p w14:paraId="44C129EB"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6B41499" w14:textId="74EC7B4D" w:rsidR="004B36C0"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Laikyti ne aukštesnėje kaip 25</w:t>
      </w:r>
      <w:r w:rsidRPr="00851716">
        <w:rPr>
          <w:rFonts w:ascii="Times New Roman" w:eastAsia="Times New Roman" w:hAnsi="Times New Roman" w:cs="Times New Roman"/>
          <w:kern w:val="0"/>
          <w:lang w:eastAsia="lt-LT"/>
          <w14:ligatures w14:val="none"/>
        </w:rPr>
        <w:t> °C</w:t>
      </w:r>
      <w:r w:rsidRPr="00851716">
        <w:rPr>
          <w:rFonts w:ascii="Times New Roman" w:eastAsia="Calibri" w:hAnsi="Times New Roman" w:cs="Times New Roman"/>
          <w:kern w:val="0"/>
          <w14:ligatures w14:val="none"/>
        </w:rPr>
        <w:t xml:space="preserve"> temperatūroje</w:t>
      </w:r>
      <w:r w:rsidR="004F2CB8">
        <w:rPr>
          <w:rFonts w:ascii="Times New Roman" w:eastAsia="Calibri" w:hAnsi="Times New Roman" w:cs="Times New Roman"/>
          <w:kern w:val="0"/>
          <w14:ligatures w14:val="none"/>
        </w:rPr>
        <w:t xml:space="preserve">, </w:t>
      </w:r>
      <w:r w:rsidR="004F2CB8" w:rsidRPr="005B3374">
        <w:rPr>
          <w:rFonts w:asciiTheme="majorBidi" w:eastAsia="Calibri" w:hAnsiTheme="majorBidi" w:cstheme="majorBidi"/>
        </w:rPr>
        <w:t>gamintojo pakuotėje</w:t>
      </w:r>
      <w:r w:rsidRPr="00851716">
        <w:rPr>
          <w:rFonts w:ascii="Times New Roman" w:eastAsia="Calibri" w:hAnsi="Times New Roman" w:cs="Times New Roman"/>
          <w:kern w:val="0"/>
          <w14:ligatures w14:val="none"/>
        </w:rPr>
        <w:t>.</w:t>
      </w:r>
    </w:p>
    <w:p w14:paraId="497E442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C087DA8"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Po paruošimo: laikyti šaldytuve (2</w:t>
      </w:r>
      <w:r w:rsidRPr="00851716">
        <w:rPr>
          <w:rFonts w:ascii="Times New Roman" w:eastAsia="Times New Roman" w:hAnsi="Times New Roman" w:cs="Times New Roman"/>
          <w:kern w:val="0"/>
          <w:lang w:eastAsia="lt-LT"/>
          <w14:ligatures w14:val="none"/>
        </w:rPr>
        <w:t> °C</w:t>
      </w:r>
      <w:r w:rsidRPr="00851716">
        <w:rPr>
          <w:rFonts w:ascii="Times New Roman" w:eastAsia="Calibri" w:hAnsi="Times New Roman" w:cs="Times New Roman"/>
          <w:kern w:val="0"/>
          <w14:ligatures w14:val="none"/>
        </w:rPr>
        <w:t xml:space="preserve"> - 8</w:t>
      </w:r>
      <w:r w:rsidRPr="00851716">
        <w:rPr>
          <w:rFonts w:ascii="Times New Roman" w:eastAsia="Times New Roman" w:hAnsi="Times New Roman" w:cs="Times New Roman"/>
          <w:kern w:val="0"/>
          <w:lang w:eastAsia="lt-LT"/>
          <w14:ligatures w14:val="none"/>
        </w:rPr>
        <w:t> °C</w:t>
      </w:r>
      <w:r w:rsidRPr="00851716">
        <w:rPr>
          <w:rFonts w:ascii="Times New Roman" w:eastAsia="Calibri" w:hAnsi="Times New Roman" w:cs="Times New Roman"/>
          <w:kern w:val="0"/>
          <w14:ligatures w14:val="none"/>
        </w:rPr>
        <w:t xml:space="preserve"> ).</w:t>
      </w:r>
    </w:p>
    <w:p w14:paraId="35024FF5" w14:textId="7FF2AEF6" w:rsidR="006C2028" w:rsidRDefault="00851716" w:rsidP="008E555B">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Nevartokite paruoštos suspensijos ilgiau kaip 14</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dienų.</w:t>
      </w:r>
    </w:p>
    <w:p w14:paraId="541D24A6" w14:textId="77777777" w:rsidR="008E555B" w:rsidRDefault="008E555B" w:rsidP="008E555B">
      <w:pPr>
        <w:tabs>
          <w:tab w:val="left" w:pos="567"/>
        </w:tabs>
        <w:spacing w:after="0" w:line="240" w:lineRule="auto"/>
      </w:pPr>
    </w:p>
    <w:p w14:paraId="62FA9113" w14:textId="5568AC2D" w:rsidR="00851716" w:rsidRPr="00851716" w:rsidRDefault="00851716" w:rsidP="008E555B">
      <w:pPr>
        <w:rPr>
          <w:rFonts w:ascii="Times New Roman" w:eastAsia="Calibri" w:hAnsi="Times New Roman" w:cs="Times New Roman"/>
          <w:kern w:val="0"/>
          <w14:ligatures w14:val="none"/>
        </w:rPr>
      </w:pPr>
      <w:r w:rsidRPr="00851716">
        <w:rPr>
          <w:rFonts w:ascii="Times New Roman" w:hAnsi="Times New Roman" w:cs="Times New Roman"/>
        </w:rPr>
        <w:t>Nevartokite šio vaisto, jeigu prieš ruošiant suspensiją  buteliuke yra matomų miltelių gumulėlių.</w:t>
      </w:r>
    </w:p>
    <w:p w14:paraId="419C67FC"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84DFF79"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534E7F07"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056C009F" w14:textId="77777777" w:rsidR="00851716" w:rsidRPr="00851716" w:rsidRDefault="00851716" w:rsidP="00851716">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6.</w:t>
      </w:r>
      <w:r w:rsidRPr="00851716">
        <w:rPr>
          <w:rFonts w:ascii="Times New Roman" w:eastAsia="Calibri" w:hAnsi="Times New Roman" w:cs="Times New Roman"/>
          <w:b/>
          <w:kern w:val="0"/>
          <w14:ligatures w14:val="none"/>
        </w:rPr>
        <w:tab/>
        <w:t>Pakuotės turinys ir kita informacija</w:t>
      </w:r>
    </w:p>
    <w:p w14:paraId="1B607568" w14:textId="77777777" w:rsidR="00851716" w:rsidRPr="00851716" w:rsidRDefault="00851716" w:rsidP="00851716">
      <w:pPr>
        <w:spacing w:after="0" w:line="240" w:lineRule="auto"/>
        <w:rPr>
          <w:rFonts w:ascii="Times New Roman" w:eastAsia="Calibri" w:hAnsi="Times New Roman" w:cs="Times New Roman"/>
          <w:kern w:val="0"/>
          <w14:ligatures w14:val="none"/>
        </w:rPr>
      </w:pPr>
    </w:p>
    <w:p w14:paraId="5E84DF9C"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Ospamox sudėtis</w:t>
      </w:r>
    </w:p>
    <w:p w14:paraId="2A8352CB" w14:textId="77777777" w:rsidR="00851716" w:rsidRPr="00851716" w:rsidRDefault="00851716" w:rsidP="00851716">
      <w:pPr>
        <w:tabs>
          <w:tab w:val="left" w:pos="567"/>
        </w:tabs>
        <w:spacing w:after="0" w:line="240" w:lineRule="auto"/>
        <w:ind w:left="540" w:hanging="540"/>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w:t>
      </w:r>
      <w:r w:rsidRPr="00851716">
        <w:rPr>
          <w:rFonts w:ascii="Times New Roman" w:eastAsia="Calibri" w:hAnsi="Times New Roman" w:cs="Times New Roman"/>
          <w:kern w:val="0"/>
          <w14:ligatures w14:val="none"/>
        </w:rPr>
        <w:tab/>
        <w:t>Veiklioji medžiaga yra amoksicilinas. Kiekvienuose 5</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ml paruoštos geriamosios suspensijos yra 250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mg amoksicilino (trihidrato pavidalu).</w:t>
      </w:r>
    </w:p>
    <w:p w14:paraId="0B0BF789" w14:textId="77777777" w:rsidR="00851716" w:rsidRPr="00851716" w:rsidRDefault="00851716" w:rsidP="00851716">
      <w:pPr>
        <w:tabs>
          <w:tab w:val="left" w:pos="567"/>
        </w:tabs>
        <w:spacing w:after="0" w:line="240" w:lineRule="auto"/>
        <w:ind w:left="567" w:hanging="567"/>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w:t>
      </w:r>
      <w:r w:rsidRPr="00851716">
        <w:rPr>
          <w:rFonts w:ascii="Times New Roman" w:eastAsia="Calibri" w:hAnsi="Times New Roman" w:cs="Times New Roman"/>
          <w:kern w:val="0"/>
          <w14:ligatures w14:val="none"/>
        </w:rPr>
        <w:tab/>
        <w:t>Pagalbinės medžiagos yra bevandenė citrinų rūgštis (E 330), natrio benzoatas (E 211), aspartamas (E 951), talkas (E 553b), bevandenis trinatrio citratas (E 331), guaras (E 412), nusodintas silicio dioksidas (E 551), citrinų kvapo milteliai (sudėtyje yra gliukozės, sorbitolio [E 420], sieros dioksido [E 220]), persikų ir abrikosų kvapo milteliai (sudėtyje yra benzilbenzoato, etanolio, sorbitolio [E 420], sieros dioksido [E 220]), apelsinų kvapo milteliai (sudėtyje yra benzilo alkoholio).</w:t>
      </w:r>
    </w:p>
    <w:p w14:paraId="652408AD" w14:textId="77777777" w:rsidR="00851716" w:rsidRPr="00851716" w:rsidRDefault="00851716" w:rsidP="00851716">
      <w:pPr>
        <w:tabs>
          <w:tab w:val="left" w:pos="567"/>
        </w:tabs>
        <w:spacing w:after="0" w:line="240" w:lineRule="auto"/>
        <w:ind w:left="540" w:hanging="540"/>
        <w:rPr>
          <w:rFonts w:ascii="Times New Roman" w:eastAsia="Calibri" w:hAnsi="Times New Roman" w:cs="Times New Roman"/>
          <w:kern w:val="0"/>
          <w14:ligatures w14:val="none"/>
        </w:rPr>
      </w:pPr>
    </w:p>
    <w:p w14:paraId="326DC0BF"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b/>
          <w:kern w:val="0"/>
          <w14:ligatures w14:val="none"/>
        </w:rPr>
        <w:t>Ospamox išvaizda ir kiekis pakuotėje</w:t>
      </w:r>
    </w:p>
    <w:p w14:paraId="37882871" w14:textId="77777777" w:rsidR="00851716" w:rsidRPr="00851716" w:rsidRDefault="00851716" w:rsidP="00851716">
      <w:pPr>
        <w:tabs>
          <w:tab w:val="left" w:pos="567"/>
        </w:tabs>
        <w:spacing w:after="0" w:line="240" w:lineRule="auto"/>
        <w:jc w:val="both"/>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Milteliai yra balti arba šiek tiek gelsvi, vaisių kvapo.</w:t>
      </w:r>
    </w:p>
    <w:p w14:paraId="7D8454B5" w14:textId="77777777" w:rsidR="00851716" w:rsidRPr="00851716" w:rsidRDefault="00851716" w:rsidP="00851716">
      <w:pPr>
        <w:tabs>
          <w:tab w:val="left" w:pos="567"/>
        </w:tabs>
        <w:spacing w:after="0" w:line="240" w:lineRule="auto"/>
        <w:jc w:val="both"/>
        <w:rPr>
          <w:rFonts w:ascii="Times New Roman" w:eastAsia="Calibri" w:hAnsi="Times New Roman" w:cs="Times New Roman"/>
          <w:kern w:val="0"/>
          <w14:ligatures w14:val="none"/>
        </w:rPr>
      </w:pPr>
    </w:p>
    <w:p w14:paraId="58B2A5E7" w14:textId="35FF984B"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Milteliai geriamajai suspensijai tiekiami 100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 xml:space="preserve">ml gintaro spalvos stiklo buteliukuose su </w:t>
      </w:r>
      <w:r w:rsidRPr="00851716">
        <w:rPr>
          <w:rFonts w:ascii="Times New Roman" w:eastAsia="Calibri" w:hAnsi="Times New Roman" w:cs="Times New Roman"/>
          <w:color w:val="000000"/>
          <w:kern w:val="0"/>
          <w14:ligatures w14:val="none"/>
        </w:rPr>
        <w:t xml:space="preserve">vaikų sunkiai atidaromu </w:t>
      </w:r>
      <w:r w:rsidRPr="00851716">
        <w:rPr>
          <w:rFonts w:ascii="Times New Roman" w:eastAsia="Calibri" w:hAnsi="Times New Roman" w:cs="Times New Roman"/>
          <w:kern w:val="0"/>
          <w14:ligatures w14:val="none"/>
        </w:rPr>
        <w:t>užsukamuoju uždoriu (jis atidaromas spaudžiant žemyn ir tuo pačiu metu sukant) ir sandarinimo membrana.</w:t>
      </w:r>
    </w:p>
    <w:p w14:paraId="58937C63" w14:textId="77777777" w:rsidR="00851716" w:rsidRPr="00851716" w:rsidRDefault="00851716" w:rsidP="00851716">
      <w:pPr>
        <w:tabs>
          <w:tab w:val="left" w:pos="567"/>
        </w:tabs>
        <w:spacing w:after="0" w:line="240" w:lineRule="auto"/>
        <w:jc w:val="both"/>
        <w:rPr>
          <w:rFonts w:ascii="Times New Roman" w:eastAsia="Calibri" w:hAnsi="Times New Roman" w:cs="Times New Roman"/>
          <w:kern w:val="0"/>
          <w14:ligatures w14:val="none"/>
        </w:rPr>
      </w:pPr>
    </w:p>
    <w:p w14:paraId="04B7668D" w14:textId="20154D7B"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i/>
          <w:kern w:val="0"/>
          <w14:ligatures w14:val="none"/>
        </w:rPr>
        <w:t>Pakuotės dydi</w:t>
      </w:r>
      <w:r w:rsidR="00C7000E">
        <w:rPr>
          <w:rFonts w:ascii="Times New Roman" w:eastAsia="Calibri" w:hAnsi="Times New Roman" w:cs="Times New Roman"/>
          <w:i/>
          <w:kern w:val="0"/>
          <w14:ligatures w14:val="none"/>
        </w:rPr>
        <w:t>s</w:t>
      </w:r>
      <w:r w:rsidRPr="00851716">
        <w:rPr>
          <w:rFonts w:ascii="Times New Roman" w:eastAsia="Calibri" w:hAnsi="Times New Roman" w:cs="Times New Roman"/>
          <w:kern w:val="0"/>
          <w14:ligatures w14:val="none"/>
        </w:rPr>
        <w:t>:</w:t>
      </w:r>
      <w:r w:rsidR="00C7000E">
        <w:rPr>
          <w:rFonts w:ascii="Times New Roman" w:eastAsia="Calibri" w:hAnsi="Times New Roman" w:cs="Times New Roman"/>
          <w:kern w:val="0"/>
          <w14:ligatures w14:val="none"/>
        </w:rPr>
        <w:t xml:space="preserve"> </w:t>
      </w:r>
      <w:r w:rsidRPr="00851716">
        <w:rPr>
          <w:rFonts w:ascii="Times New Roman" w:eastAsia="Calibri" w:hAnsi="Times New Roman" w:cs="Times New Roman"/>
          <w:kern w:val="0"/>
          <w14:ligatures w14:val="none"/>
        </w:rPr>
        <w:t>6,6 g miltelių 60</w:t>
      </w:r>
      <w:r w:rsidRPr="00851716">
        <w:rPr>
          <w:rFonts w:ascii="Times New Roman" w:eastAsia="Times New Roman" w:hAnsi="Times New Roman" w:cs="Times New Roman"/>
          <w:kern w:val="0"/>
          <w:lang w:eastAsia="lt-LT"/>
          <w14:ligatures w14:val="none"/>
        </w:rPr>
        <w:t> </w:t>
      </w:r>
      <w:r w:rsidRPr="00851716">
        <w:rPr>
          <w:rFonts w:ascii="Times New Roman" w:eastAsia="Calibri" w:hAnsi="Times New Roman" w:cs="Times New Roman"/>
          <w:kern w:val="0"/>
          <w14:ligatures w14:val="none"/>
        </w:rPr>
        <w:t>ml geriamosios suspensijos paruošti</w:t>
      </w:r>
    </w:p>
    <w:p w14:paraId="31AF4DC2"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2D46E218"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 xml:space="preserve">Kartono dėžutėje yra polipropileno matavimo šaukštas arba polipropileno ir polietileno geriamasis švirkštas (su adapteriu) su 1,25 ml, 2,5 ml ir 5 ml matavimo žymomis. </w:t>
      </w:r>
    </w:p>
    <w:p w14:paraId="135C8BA9"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60669D2C"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Norėdami atmatuoti vaisto geriamuoju švirkštu:</w:t>
      </w:r>
    </w:p>
    <w:p w14:paraId="5BA88576" w14:textId="48F2B34E"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pakratykite buteliuką;</w:t>
      </w:r>
    </w:p>
    <w:p w14:paraId="6B14EFF5" w14:textId="739722FF"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įdėkite adapterį į butelio kaklelį;</w:t>
      </w:r>
    </w:p>
    <w:p w14:paraId="1D468005" w14:textId="0C0F6FAE"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įdėkite švirkšto galiuką į adapterį;</w:t>
      </w:r>
    </w:p>
    <w:p w14:paraId="34A9F697" w14:textId="5769F30F"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apverskite buteliuką dugnu aukštyn;</w:t>
      </w:r>
    </w:p>
    <w:p w14:paraId="7765D039" w14:textId="40C5CA2B"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patraukite stūmoklį, atmatuodami reikiamą dozę;</w:t>
      </w:r>
    </w:p>
    <w:p w14:paraId="17F224F4" w14:textId="0A93446E" w:rsidR="00851716" w:rsidRPr="00440384" w:rsidRDefault="00851716" w:rsidP="00440384">
      <w:pPr>
        <w:pStyle w:val="Sraopastraipa"/>
        <w:numPr>
          <w:ilvl w:val="0"/>
          <w:numId w:val="21"/>
        </w:numPr>
        <w:spacing w:after="0" w:line="240" w:lineRule="auto"/>
        <w:rPr>
          <w:rFonts w:ascii="Times New Roman" w:eastAsia="Calibri" w:hAnsi="Times New Roman" w:cs="Times New Roman"/>
          <w:kern w:val="0"/>
          <w14:ligatures w14:val="none"/>
        </w:rPr>
      </w:pPr>
      <w:r w:rsidRPr="00440384">
        <w:rPr>
          <w:rFonts w:ascii="Times New Roman" w:eastAsia="Calibri" w:hAnsi="Times New Roman" w:cs="Times New Roman"/>
          <w:kern w:val="0"/>
          <w14:ligatures w14:val="none"/>
        </w:rPr>
        <w:t>atverskite buteliuką atgal, išimkite švirkštą, palikdami adapterį buteliuke ir užsukite buteliuką.</w:t>
      </w:r>
    </w:p>
    <w:p w14:paraId="35312F37"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bookmarkEnd w:id="0"/>
    <w:bookmarkEnd w:id="1"/>
    <w:p w14:paraId="5382539C" w14:textId="6443BC08" w:rsidR="00440384" w:rsidRDefault="00440384" w:rsidP="00440384">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440384">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440384">
        <w:rPr>
          <w:rFonts w:ascii="Times New Roman" w:hAnsi="Times New Roman" w:cs="Times New Roman"/>
          <w:b/>
          <w:color w:val="000000"/>
          <w:kern w:val="0"/>
          <w14:ligatures w14:val="none"/>
        </w:rPr>
        <w:t>amintojas</w:t>
      </w:r>
    </w:p>
    <w:p w14:paraId="5B0B8723" w14:textId="77777777" w:rsidR="004F2CB8" w:rsidRDefault="004F2CB8" w:rsidP="00440384">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p>
    <w:p w14:paraId="59CB9B6F" w14:textId="196DC05C" w:rsidR="004F2CB8" w:rsidRPr="00440384" w:rsidRDefault="004F2CB8" w:rsidP="00440384">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Pr>
          <w:rFonts w:ascii="Times New Roman" w:hAnsi="Times New Roman" w:cs="Times New Roman"/>
          <w:b/>
          <w:color w:val="000000"/>
          <w:kern w:val="0"/>
          <w14:ligatures w14:val="none"/>
        </w:rPr>
        <w:t>Registruotojas</w:t>
      </w:r>
    </w:p>
    <w:p w14:paraId="60774CBE" w14:textId="77777777" w:rsidR="00440384" w:rsidRPr="00440384" w:rsidRDefault="00440384" w:rsidP="00440384">
      <w:pPr>
        <w:autoSpaceDE w:val="0"/>
        <w:autoSpaceDN w:val="0"/>
        <w:adjustRightInd w:val="0"/>
        <w:spacing w:after="0" w:line="240" w:lineRule="auto"/>
        <w:rPr>
          <w:rFonts w:ascii="Times New Roman" w:hAnsi="Times New Roman" w:cs="Times New Roman"/>
          <w:bCs/>
          <w:color w:val="000000"/>
          <w:kern w:val="0"/>
          <w14:ligatures w14:val="none"/>
        </w:rPr>
      </w:pPr>
      <w:r w:rsidRPr="00440384">
        <w:rPr>
          <w:rFonts w:ascii="Times New Roman" w:hAnsi="Times New Roman" w:cs="Times New Roman"/>
          <w:bCs/>
          <w:color w:val="000000"/>
          <w:kern w:val="0"/>
          <w14:ligatures w14:val="none"/>
        </w:rPr>
        <w:t>Sandoz GmbH</w:t>
      </w:r>
    </w:p>
    <w:p w14:paraId="5BC7ED96" w14:textId="77777777" w:rsidR="00440384" w:rsidRPr="00440384" w:rsidRDefault="00440384" w:rsidP="00440384">
      <w:pPr>
        <w:autoSpaceDE w:val="0"/>
        <w:autoSpaceDN w:val="0"/>
        <w:adjustRightInd w:val="0"/>
        <w:spacing w:after="0" w:line="240" w:lineRule="auto"/>
        <w:rPr>
          <w:rFonts w:ascii="Times New Roman" w:hAnsi="Times New Roman" w:cs="Times New Roman"/>
          <w:bCs/>
          <w:color w:val="000000"/>
          <w:kern w:val="0"/>
          <w14:ligatures w14:val="none"/>
        </w:rPr>
      </w:pPr>
      <w:r w:rsidRPr="00440384">
        <w:rPr>
          <w:rFonts w:ascii="Times New Roman" w:hAnsi="Times New Roman" w:cs="Times New Roman"/>
          <w:bCs/>
          <w:color w:val="000000"/>
          <w:kern w:val="0"/>
          <w14:ligatures w14:val="none"/>
        </w:rPr>
        <w:t xml:space="preserve">Biochemiestrasse 10, </w:t>
      </w:r>
    </w:p>
    <w:p w14:paraId="1FF28828" w14:textId="77777777" w:rsidR="00440384" w:rsidRPr="00440384" w:rsidRDefault="00440384" w:rsidP="00440384">
      <w:pPr>
        <w:autoSpaceDE w:val="0"/>
        <w:autoSpaceDN w:val="0"/>
        <w:adjustRightInd w:val="0"/>
        <w:spacing w:after="0" w:line="240" w:lineRule="auto"/>
        <w:rPr>
          <w:rFonts w:ascii="Times New Roman" w:hAnsi="Times New Roman" w:cs="Times New Roman"/>
          <w:bCs/>
          <w:color w:val="000000"/>
          <w:kern w:val="0"/>
          <w14:ligatures w14:val="none"/>
        </w:rPr>
      </w:pPr>
      <w:r w:rsidRPr="00440384">
        <w:rPr>
          <w:rFonts w:ascii="Times New Roman" w:hAnsi="Times New Roman" w:cs="Times New Roman"/>
          <w:bCs/>
          <w:color w:val="000000"/>
          <w:kern w:val="0"/>
          <w14:ligatures w14:val="none"/>
        </w:rPr>
        <w:t>A- 6250 Kundl, Tyrol</w:t>
      </w:r>
    </w:p>
    <w:p w14:paraId="49CE6F4C" w14:textId="365E3941" w:rsidR="00440384" w:rsidRPr="00440384" w:rsidRDefault="00440384" w:rsidP="00440384">
      <w:pPr>
        <w:autoSpaceDE w:val="0"/>
        <w:autoSpaceDN w:val="0"/>
        <w:adjustRightInd w:val="0"/>
        <w:spacing w:after="0" w:line="240" w:lineRule="auto"/>
        <w:rPr>
          <w:rFonts w:ascii="Times New Roman" w:hAnsi="Times New Roman" w:cs="Times New Roman"/>
          <w:bCs/>
          <w:color w:val="000000"/>
          <w:kern w:val="0"/>
          <w14:ligatures w14:val="none"/>
        </w:rPr>
      </w:pPr>
      <w:r w:rsidRPr="00440384">
        <w:rPr>
          <w:rFonts w:ascii="Times New Roman" w:hAnsi="Times New Roman" w:cs="Times New Roman"/>
          <w:bCs/>
          <w:color w:val="000000"/>
          <w:kern w:val="0"/>
          <w14:ligatures w14:val="none"/>
        </w:rPr>
        <w:t>Austrija</w:t>
      </w:r>
    </w:p>
    <w:p w14:paraId="0F909878" w14:textId="77777777" w:rsidR="00440384" w:rsidRPr="00440384" w:rsidRDefault="00440384" w:rsidP="00440384">
      <w:pPr>
        <w:autoSpaceDE w:val="0"/>
        <w:autoSpaceDN w:val="0"/>
        <w:adjustRightInd w:val="0"/>
        <w:spacing w:after="0" w:line="240" w:lineRule="auto"/>
        <w:rPr>
          <w:rFonts w:ascii="Times New Roman" w:hAnsi="Times New Roman" w:cs="Times New Roman"/>
          <w:bCs/>
          <w:color w:val="000000"/>
          <w:kern w:val="0"/>
          <w14:ligatures w14:val="none"/>
        </w:rPr>
      </w:pPr>
    </w:p>
    <w:p w14:paraId="3935EF9D" w14:textId="77777777" w:rsidR="00440384" w:rsidRPr="00440384" w:rsidRDefault="00440384" w:rsidP="00440384">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440384">
        <w:rPr>
          <w:rFonts w:ascii="Times New Roman" w:hAnsi="Times New Roman" w:cs="Times New Roman"/>
          <w:b/>
          <w:color w:val="000000"/>
          <w:kern w:val="0"/>
          <w14:ligatures w14:val="none"/>
        </w:rPr>
        <w:t xml:space="preserve">Lygiagretus importuotojas </w:t>
      </w:r>
      <w:r w:rsidRPr="00440384">
        <w:rPr>
          <w:rFonts w:ascii="Times New Roman" w:hAnsi="Times New Roman" w:cs="Times New Roman"/>
          <w:b/>
          <w:color w:val="000000"/>
          <w:kern w:val="0"/>
          <w14:ligatures w14:val="none"/>
        </w:rPr>
        <w:br/>
      </w:r>
      <w:r w:rsidRPr="00440384">
        <w:rPr>
          <w:rFonts w:ascii="Times New Roman" w:eastAsia="TimesNewRoman" w:hAnsi="Times New Roman" w:cs="Times New Roman"/>
          <w:color w:val="000000"/>
          <w:kern w:val="0"/>
          <w14:ligatures w14:val="none"/>
        </w:rPr>
        <w:t>UAB „Niromed“</w:t>
      </w:r>
      <w:r w:rsidRPr="00440384">
        <w:rPr>
          <w:rFonts w:ascii="Times New Roman" w:hAnsi="Times New Roman" w:cs="Times New Roman"/>
          <w:b/>
          <w:color w:val="000000"/>
          <w:kern w:val="0"/>
          <w14:ligatures w14:val="none"/>
        </w:rPr>
        <w:br/>
      </w:r>
      <w:r w:rsidRPr="00440384">
        <w:rPr>
          <w:rFonts w:ascii="Times New Roman" w:eastAsia="TimesNewRoman" w:hAnsi="Times New Roman" w:cs="Times New Roman"/>
          <w:color w:val="000000"/>
          <w:kern w:val="0"/>
          <w14:ligatures w14:val="none"/>
        </w:rPr>
        <w:t>Žirmūnų g. 139A</w:t>
      </w:r>
      <w:r w:rsidRPr="00440384">
        <w:rPr>
          <w:rFonts w:ascii="Times New Roman" w:hAnsi="Times New Roman" w:cs="Times New Roman"/>
          <w:b/>
          <w:color w:val="000000"/>
          <w:kern w:val="0"/>
          <w14:ligatures w14:val="none"/>
        </w:rPr>
        <w:br/>
      </w:r>
      <w:r w:rsidRPr="00440384">
        <w:rPr>
          <w:rFonts w:ascii="Times New Roman" w:eastAsia="TimesNewRoman" w:hAnsi="Times New Roman" w:cs="Times New Roman"/>
          <w:color w:val="000000"/>
          <w:kern w:val="0"/>
          <w14:ligatures w14:val="none"/>
        </w:rPr>
        <w:t>LT-09120 Vilnius</w:t>
      </w:r>
      <w:r w:rsidRPr="00440384">
        <w:rPr>
          <w:rFonts w:ascii="Times New Roman" w:eastAsia="TimesNewRoman" w:hAnsi="Times New Roman" w:cs="Times New Roman"/>
          <w:color w:val="000000"/>
          <w:kern w:val="0"/>
          <w14:ligatures w14:val="none"/>
        </w:rPr>
        <w:br/>
        <w:t>Lietuva</w:t>
      </w:r>
    </w:p>
    <w:p w14:paraId="65362077" w14:textId="77777777" w:rsidR="00440384" w:rsidRPr="00440384" w:rsidRDefault="00440384" w:rsidP="00440384">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68886B8A" w14:textId="77777777" w:rsidR="00440384" w:rsidRPr="00440384" w:rsidRDefault="00440384" w:rsidP="00440384">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440384">
        <w:rPr>
          <w:rFonts w:ascii="Times New Roman" w:eastAsia="Times New Roman" w:hAnsi="Times New Roman" w:cs="Times New Roman"/>
          <w:b/>
          <w:bCs/>
          <w:kern w:val="0"/>
          <w14:ligatures w14:val="none"/>
        </w:rPr>
        <w:t>Perpakavo</w:t>
      </w:r>
    </w:p>
    <w:p w14:paraId="54928611"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LABOR Przedsiębiorstwo Farmaceutyczno-Chemiczne sp. z o.o.</w:t>
      </w:r>
    </w:p>
    <w:p w14:paraId="142E1A76"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Ul. Długosza 49,</w:t>
      </w:r>
    </w:p>
    <w:p w14:paraId="47B9E401"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51-162 Wrocław,</w:t>
      </w:r>
    </w:p>
    <w:p w14:paraId="416CCA9D"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Lenkija</w:t>
      </w:r>
    </w:p>
    <w:p w14:paraId="05A5B11F"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0889BB3"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arba</w:t>
      </w:r>
    </w:p>
    <w:p w14:paraId="53C9E6A9" w14:textId="77777777" w:rsidR="00440384" w:rsidRPr="00440384" w:rsidRDefault="00440384" w:rsidP="0044038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3A2C9EC" w14:textId="77777777" w:rsidR="00440384" w:rsidRPr="00440384" w:rsidRDefault="00440384" w:rsidP="00440384">
      <w:pPr>
        <w:tabs>
          <w:tab w:val="left" w:pos="1296"/>
        </w:tabs>
        <w:snapToGrid w:val="0"/>
        <w:spacing w:after="0" w:line="240" w:lineRule="auto"/>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UAB „Entafarma“</w:t>
      </w:r>
    </w:p>
    <w:p w14:paraId="17292520" w14:textId="77777777" w:rsidR="00440384" w:rsidRPr="00440384" w:rsidRDefault="00440384" w:rsidP="00440384">
      <w:pPr>
        <w:tabs>
          <w:tab w:val="left" w:pos="1296"/>
        </w:tabs>
        <w:snapToGrid w:val="0"/>
        <w:spacing w:after="0" w:line="240" w:lineRule="auto"/>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Klonėnų vs. 1,</w:t>
      </w:r>
    </w:p>
    <w:p w14:paraId="2081ED8E" w14:textId="77777777" w:rsidR="00440384" w:rsidRPr="00440384" w:rsidRDefault="00440384" w:rsidP="00440384">
      <w:pPr>
        <w:tabs>
          <w:tab w:val="left" w:pos="1296"/>
        </w:tabs>
        <w:snapToGrid w:val="0"/>
        <w:spacing w:after="0" w:line="240" w:lineRule="auto"/>
        <w:rPr>
          <w:rFonts w:ascii="Times New Roman" w:eastAsia="TimesNewRoman" w:hAnsi="Times New Roman" w:cs="Times New Roman"/>
          <w:color w:val="000000"/>
          <w:kern w:val="0"/>
          <w14:ligatures w14:val="none"/>
        </w:rPr>
      </w:pPr>
      <w:r w:rsidRPr="00440384">
        <w:rPr>
          <w:rFonts w:ascii="Times New Roman" w:eastAsia="TimesNewRoman" w:hAnsi="Times New Roman" w:cs="Times New Roman"/>
          <w:color w:val="000000"/>
          <w:kern w:val="0"/>
          <w14:ligatures w14:val="none"/>
        </w:rPr>
        <w:t>LT-19156 Širvintų r. sav.</w:t>
      </w:r>
    </w:p>
    <w:p w14:paraId="33832B84" w14:textId="77777777" w:rsidR="00440384" w:rsidRPr="004220F9" w:rsidRDefault="00440384" w:rsidP="00440384">
      <w:pPr>
        <w:tabs>
          <w:tab w:val="left" w:pos="1296"/>
        </w:tabs>
        <w:snapToGrid w:val="0"/>
        <w:spacing w:after="0" w:line="240" w:lineRule="auto"/>
        <w:rPr>
          <w:rFonts w:ascii="Times New Roman" w:eastAsia="Times New Roman" w:hAnsi="Times New Roman" w:cs="Times New Roman"/>
          <w:kern w:val="0"/>
          <w:szCs w:val="20"/>
          <w14:ligatures w14:val="none"/>
        </w:rPr>
      </w:pPr>
      <w:r w:rsidRPr="00440384">
        <w:rPr>
          <w:rFonts w:ascii="Times New Roman" w:eastAsia="TimesNewRoman" w:hAnsi="Times New Roman" w:cs="Times New Roman"/>
          <w:color w:val="000000"/>
          <w:kern w:val="0"/>
          <w14:ligatures w14:val="none"/>
        </w:rPr>
        <w:t>Lietuva</w:t>
      </w:r>
    </w:p>
    <w:p w14:paraId="698126A8" w14:textId="77777777" w:rsidR="00440384" w:rsidRDefault="00440384" w:rsidP="00851716">
      <w:pPr>
        <w:tabs>
          <w:tab w:val="left" w:pos="567"/>
        </w:tabs>
        <w:spacing w:after="0" w:line="240" w:lineRule="auto"/>
        <w:rPr>
          <w:rFonts w:ascii="Times New Roman" w:eastAsia="Calibri" w:hAnsi="Times New Roman" w:cs="Times New Roman"/>
          <w:b/>
          <w:kern w:val="0"/>
          <w14:ligatures w14:val="none"/>
        </w:rPr>
      </w:pPr>
    </w:p>
    <w:p w14:paraId="6A1C0C5E" w14:textId="3082EF8E" w:rsidR="00851716" w:rsidRDefault="00851716" w:rsidP="00851716">
      <w:pPr>
        <w:tabs>
          <w:tab w:val="left" w:pos="567"/>
        </w:tabs>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 xml:space="preserve">Šis pakuotės lapelis paskutinį kartą peržiūrėtas </w:t>
      </w:r>
      <w:r w:rsidR="004220F9">
        <w:rPr>
          <w:rFonts w:ascii="Times New Roman" w:eastAsia="Calibri" w:hAnsi="Times New Roman" w:cs="Times New Roman"/>
          <w:b/>
          <w:kern w:val="0"/>
          <w14:ligatures w14:val="none"/>
        </w:rPr>
        <w:t>2025-04-1</w:t>
      </w:r>
      <w:r w:rsidR="00065BC8">
        <w:rPr>
          <w:rFonts w:ascii="Times New Roman" w:eastAsia="Calibri" w:hAnsi="Times New Roman" w:cs="Times New Roman"/>
          <w:b/>
          <w:kern w:val="0"/>
          <w14:ligatures w14:val="none"/>
        </w:rPr>
        <w:t>4</w:t>
      </w:r>
    </w:p>
    <w:p w14:paraId="59AB9DD5" w14:textId="77777777" w:rsidR="007A111D" w:rsidRDefault="007A111D" w:rsidP="00851716">
      <w:pPr>
        <w:tabs>
          <w:tab w:val="left" w:pos="567"/>
        </w:tabs>
        <w:spacing w:after="0" w:line="240" w:lineRule="auto"/>
        <w:rPr>
          <w:rFonts w:ascii="Times New Roman" w:eastAsia="Calibri" w:hAnsi="Times New Roman" w:cs="Times New Roman"/>
          <w:b/>
          <w:kern w:val="0"/>
          <w14:ligatures w14:val="none"/>
        </w:rPr>
      </w:pPr>
    </w:p>
    <w:p w14:paraId="35D640D2" w14:textId="116308B0" w:rsidR="007A111D" w:rsidRPr="007A111D" w:rsidRDefault="007A111D" w:rsidP="007A111D">
      <w:pPr>
        <w:tabs>
          <w:tab w:val="left" w:pos="567"/>
        </w:tabs>
        <w:spacing w:after="0" w:line="240" w:lineRule="auto"/>
        <w:rPr>
          <w:rFonts w:ascii="Times New Roman" w:eastAsia="Calibri" w:hAnsi="Times New Roman" w:cs="Times New Roman"/>
          <w:b/>
          <w:kern w:val="0"/>
          <w14:ligatures w14:val="none"/>
        </w:rPr>
      </w:pPr>
      <w:r w:rsidRPr="007A111D">
        <w:rPr>
          <w:rFonts w:ascii="Times New Roman" w:hAnsi="Times New Roman" w:cs="Times New Roman"/>
          <w:i/>
          <w:iCs/>
        </w:rPr>
        <w:t>Lygiagrečiai importuojamas vaistas nuo referencinio vaisto skiriasi pagalbinėmis medžiagomis</w:t>
      </w:r>
      <w:r>
        <w:rPr>
          <w:rFonts w:ascii="Times New Roman" w:hAnsi="Times New Roman" w:cs="Times New Roman"/>
          <w:i/>
          <w:iCs/>
        </w:rPr>
        <w:t>:</w:t>
      </w:r>
      <w:r w:rsidRPr="007A111D">
        <w:rPr>
          <w:rFonts w:ascii="Times New Roman" w:hAnsi="Times New Roman" w:cs="Times New Roman"/>
          <w:i/>
          <w:iCs/>
        </w:rPr>
        <w:t xml:space="preserve"> referencinio vaisto sudėtyje papildomai yra benzilbenzoato, etanolio, benzilo alkoholio</w:t>
      </w:r>
      <w:r>
        <w:rPr>
          <w:rFonts w:ascii="Times New Roman" w:hAnsi="Times New Roman" w:cs="Times New Roman"/>
          <w:i/>
          <w:iCs/>
        </w:rPr>
        <w:t>;</w:t>
      </w:r>
      <w:r w:rsidRPr="007A111D">
        <w:rPr>
          <w:rFonts w:ascii="Times New Roman" w:hAnsi="Times New Roman" w:cs="Times New Roman"/>
          <w:i/>
          <w:iCs/>
        </w:rPr>
        <w:t xml:space="preserve"> laikymo sąlygomis</w:t>
      </w:r>
      <w:r>
        <w:rPr>
          <w:rFonts w:ascii="Times New Roman" w:hAnsi="Times New Roman" w:cs="Times New Roman"/>
          <w:i/>
          <w:iCs/>
        </w:rPr>
        <w:t>:</w:t>
      </w:r>
      <w:r w:rsidRPr="007A111D">
        <w:rPr>
          <w:rFonts w:ascii="Times New Roman" w:hAnsi="Times New Roman" w:cs="Times New Roman"/>
          <w:i/>
          <w:iCs/>
        </w:rPr>
        <w:t xml:space="preserve"> lygiagrečiai importuojamą vaistą laikyti gamintojo pakuotėje, referencinio vaisto buteliuką papildomai laikyti sandarų, kad vaistas būtų apsaugotas nuo drėgmės</w:t>
      </w:r>
      <w:r>
        <w:rPr>
          <w:rFonts w:ascii="Times New Roman" w:hAnsi="Times New Roman" w:cs="Times New Roman"/>
          <w:i/>
          <w:iCs/>
        </w:rPr>
        <w:t>.</w:t>
      </w:r>
    </w:p>
    <w:p w14:paraId="5FEA2D3C" w14:textId="77777777" w:rsidR="007A111D" w:rsidRPr="00851716" w:rsidRDefault="007A111D" w:rsidP="00851716">
      <w:pPr>
        <w:tabs>
          <w:tab w:val="left" w:pos="567"/>
        </w:tabs>
        <w:spacing w:after="0" w:line="240" w:lineRule="auto"/>
        <w:rPr>
          <w:rFonts w:ascii="Times New Roman" w:eastAsia="Calibri" w:hAnsi="Times New Roman" w:cs="Times New Roman"/>
          <w:b/>
          <w:kern w:val="0"/>
          <w14:ligatures w14:val="none"/>
        </w:rPr>
      </w:pPr>
    </w:p>
    <w:p w14:paraId="51136610" w14:textId="77777777"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p>
    <w:p w14:paraId="703F4D93" w14:textId="77777777"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51716" w:rsidRPr="00851716" w14:paraId="0FC24899" w14:textId="77777777" w:rsidTr="00F86283">
        <w:tc>
          <w:tcPr>
            <w:tcW w:w="9286" w:type="dxa"/>
            <w:shd w:val="clear" w:color="auto" w:fill="auto"/>
          </w:tcPr>
          <w:p w14:paraId="478FF178" w14:textId="77777777" w:rsidR="00851716" w:rsidRPr="00851716" w:rsidRDefault="00851716" w:rsidP="00851716">
            <w:pPr>
              <w:autoSpaceDE w:val="0"/>
              <w:autoSpaceDN w:val="0"/>
              <w:adjustRightInd w:val="0"/>
              <w:spacing w:after="0" w:line="240" w:lineRule="auto"/>
              <w:ind w:left="142"/>
              <w:rPr>
                <w:rFonts w:ascii="Times New Roman" w:eastAsia="Calibri" w:hAnsi="Times New Roman" w:cs="Times New Roman"/>
                <w:color w:val="000000"/>
                <w:kern w:val="0"/>
                <w14:ligatures w14:val="none"/>
              </w:rPr>
            </w:pPr>
            <w:r w:rsidRPr="00851716">
              <w:rPr>
                <w:rFonts w:ascii="Times New Roman" w:eastAsia="Calibri" w:hAnsi="Times New Roman" w:cs="Times New Roman"/>
                <w:b/>
                <w:color w:val="000000"/>
                <w:kern w:val="0"/>
                <w14:ligatures w14:val="none"/>
              </w:rPr>
              <w:t xml:space="preserve">Bendros antibiotikų vartojimo rekomendacijos </w:t>
            </w:r>
          </w:p>
          <w:p w14:paraId="782F662D" w14:textId="77777777" w:rsidR="00851716" w:rsidRPr="00851716" w:rsidRDefault="00851716" w:rsidP="00851716">
            <w:pPr>
              <w:autoSpaceDE w:val="0"/>
              <w:autoSpaceDN w:val="0"/>
              <w:adjustRightInd w:val="0"/>
              <w:spacing w:after="0" w:line="240" w:lineRule="auto"/>
              <w:rPr>
                <w:rFonts w:ascii="Times New Roman" w:eastAsia="Calibri" w:hAnsi="Times New Roman" w:cs="Times New Roman"/>
                <w:color w:val="000000"/>
                <w:kern w:val="0"/>
                <w14:ligatures w14:val="none"/>
              </w:rPr>
            </w:pPr>
          </w:p>
          <w:p w14:paraId="4D6FC787"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Antibiotikais gydomos bakterijų sukeltos infekcinės ligos. Antibiotikai yra neveiksmingi virusų sukeltų infekcinių ligų atvejais. </w:t>
            </w:r>
          </w:p>
          <w:p w14:paraId="5446778F"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2E6589E8"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086864C6"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27EEAB17"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Bakterijos gali tapti atsparios antibiotikams dėl įvairių priežasčių. Atidus antibiotikų vartojimas gali padėti sumažinti tikimybę, kad bakterijos taps jam atsparios. </w:t>
            </w:r>
          </w:p>
          <w:p w14:paraId="0A265CD0"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7CC347AA" w14:textId="77777777" w:rsidR="00851716" w:rsidRPr="00851716" w:rsidRDefault="00851716" w:rsidP="00851716">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6AA1361F" w14:textId="77777777" w:rsidR="00851716" w:rsidRPr="00851716" w:rsidRDefault="00851716" w:rsidP="00851716">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45A63CB8" w14:textId="77777777" w:rsidR="00851716" w:rsidRPr="00851716" w:rsidRDefault="00851716" w:rsidP="00851716">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Antibiotiko gerti negalima, jeigu jis nebuvo specialiai paskirtas Jums, ir juo turite gydyti tik tą infekcinę ligą, kuriai gydyti antibiotikas buvo skirtas. </w:t>
            </w:r>
          </w:p>
          <w:p w14:paraId="1574498B" w14:textId="77777777" w:rsidR="00851716" w:rsidRPr="00851716" w:rsidRDefault="00851716" w:rsidP="00851716">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Negalima gerti antibiotikų, kurie buvo paskirti kitiems žmonėms, net jeigu jie serga infekcine liga, kuri yra panaši į ligą, kuria sergate Jūs. </w:t>
            </w:r>
          </w:p>
          <w:p w14:paraId="29362626" w14:textId="77777777" w:rsidR="00851716" w:rsidRPr="00851716" w:rsidRDefault="00851716" w:rsidP="00851716">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 xml:space="preserve">Antibiotikų, kurie buvo paskirti Jums, negalima duoti kitiems žmonėms. </w:t>
            </w:r>
          </w:p>
          <w:p w14:paraId="1D6252AE" w14:textId="77777777" w:rsidR="00851716" w:rsidRPr="00851716" w:rsidRDefault="00851716" w:rsidP="00851716">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851716">
              <w:rPr>
                <w:rFonts w:ascii="Times New Roman" w:eastAsia="Calibri" w:hAnsi="Times New Roman" w:cs="Times New Roman"/>
                <w:color w:val="000000"/>
                <w:kern w:val="0"/>
                <w14:ligatures w14:val="none"/>
              </w:rPr>
              <w:t>Jeigu baigus Jūsų gydytojo paskirtą gydymo kursą liko antibiotikų, likusius vaistus turite grąžinti į vaistinę tinkamam sunaikinimui.</w:t>
            </w:r>
          </w:p>
          <w:p w14:paraId="600A8CA4" w14:textId="77777777" w:rsidR="00851716" w:rsidRPr="00851716" w:rsidRDefault="00851716" w:rsidP="00851716">
            <w:pPr>
              <w:tabs>
                <w:tab w:val="left" w:pos="567"/>
              </w:tabs>
              <w:spacing w:after="0" w:line="240" w:lineRule="auto"/>
              <w:rPr>
                <w:rFonts w:ascii="Times New Roman" w:eastAsia="Calibri" w:hAnsi="Times New Roman" w:cs="Times New Roman"/>
                <w:b/>
                <w:kern w:val="0"/>
                <w14:ligatures w14:val="none"/>
              </w:rPr>
            </w:pPr>
          </w:p>
        </w:tc>
      </w:tr>
    </w:tbl>
    <w:p w14:paraId="2B67C0F8" w14:textId="77777777" w:rsidR="00851716" w:rsidRPr="00851716" w:rsidRDefault="00851716" w:rsidP="00851716">
      <w:pPr>
        <w:spacing w:after="0" w:line="240" w:lineRule="auto"/>
        <w:rPr>
          <w:rFonts w:ascii="Times New Roman" w:eastAsia="Calibri" w:hAnsi="Times New Roman" w:cs="Times New Roman"/>
          <w:kern w:val="0"/>
          <w14:ligatures w14:val="none"/>
        </w:rPr>
      </w:pPr>
    </w:p>
    <w:p w14:paraId="4662A417" w14:textId="278F570F" w:rsidR="00851716" w:rsidRPr="00851716" w:rsidRDefault="00851716" w:rsidP="00851716">
      <w:pPr>
        <w:numPr>
          <w:ilvl w:val="12"/>
          <w:numId w:val="0"/>
        </w:numPr>
        <w:tabs>
          <w:tab w:val="left" w:pos="567"/>
        </w:tabs>
        <w:spacing w:after="0" w:line="240" w:lineRule="auto"/>
        <w:ind w:right="-2"/>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851716">
        <w:rPr>
          <w:rFonts w:ascii="Times New Roman" w:eastAsia="Calibri" w:hAnsi="Times New Roman" w:cs="Times New Roman"/>
          <w:i/>
          <w:kern w:val="0"/>
          <w14:ligatures w14:val="none"/>
        </w:rPr>
        <w:t xml:space="preserve"> </w:t>
      </w:r>
      <w:r w:rsidR="00545D50" w:rsidRPr="005B3374">
        <w:rPr>
          <w:rFonts w:asciiTheme="majorBidi" w:hAnsiTheme="majorBidi" w:cstheme="majorBidi"/>
          <w:color w:val="0000EE"/>
          <w:u w:val="single"/>
          <w:lang w:eastAsia="lt-LT"/>
        </w:rPr>
        <w:t>https://vvkt.lrv.lt/lt/</w:t>
      </w:r>
      <w:r w:rsidR="00545D50">
        <w:rPr>
          <w:rFonts w:asciiTheme="majorBidi" w:hAnsiTheme="majorBidi" w:cstheme="majorBidi"/>
          <w:color w:val="0000EE"/>
          <w:u w:val="single"/>
          <w:lang w:eastAsia="lt-LT"/>
        </w:rPr>
        <w:t>.</w:t>
      </w:r>
    </w:p>
    <w:p w14:paraId="513DD075" w14:textId="77777777" w:rsidR="00851716" w:rsidRPr="00851716" w:rsidRDefault="00851716" w:rsidP="00851716">
      <w:pPr>
        <w:tabs>
          <w:tab w:val="left" w:pos="567"/>
        </w:tabs>
        <w:spacing w:after="0" w:line="240" w:lineRule="auto"/>
        <w:rPr>
          <w:rFonts w:ascii="Times New Roman" w:eastAsia="Calibri" w:hAnsi="Times New Roman" w:cs="Times New Roman"/>
          <w:kern w:val="0"/>
          <w:highlight w:val="yellow"/>
          <w14:ligatures w14:val="none"/>
        </w:rPr>
      </w:pPr>
    </w:p>
    <w:p w14:paraId="4B730AFE"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w:t>
      </w:r>
    </w:p>
    <w:p w14:paraId="3025E1FF" w14:textId="6E19E0BC" w:rsidR="00851716" w:rsidRDefault="00851716" w:rsidP="00851716">
      <w:pPr>
        <w:tabs>
          <w:tab w:val="left" w:pos="567"/>
        </w:tabs>
        <w:spacing w:after="0" w:line="240" w:lineRule="auto"/>
        <w:rPr>
          <w:rFonts w:ascii="Times New Roman" w:eastAsia="Calibri" w:hAnsi="Times New Roman" w:cs="Times New Roman"/>
          <w:b/>
          <w:kern w:val="0"/>
          <w14:ligatures w14:val="none"/>
        </w:rPr>
      </w:pPr>
      <w:r w:rsidRPr="00851716">
        <w:rPr>
          <w:rFonts w:ascii="Times New Roman" w:eastAsia="Calibri" w:hAnsi="Times New Roman" w:cs="Times New Roman"/>
          <w:b/>
          <w:kern w:val="0"/>
          <w14:ligatures w14:val="none"/>
        </w:rPr>
        <w:t>Tirpinimo instrukcijos</w:t>
      </w:r>
    </w:p>
    <w:p w14:paraId="26A81493" w14:textId="77777777" w:rsidR="00851716" w:rsidRDefault="00851716" w:rsidP="00851716">
      <w:pPr>
        <w:spacing w:after="0" w:line="240" w:lineRule="auto"/>
        <w:rPr>
          <w:rFonts w:ascii="Times New Roman" w:eastAsia="Times New Roman" w:hAnsi="Times New Roman" w:cs="Times New Roman"/>
          <w:color w:val="000000"/>
          <w:kern w:val="0"/>
          <w:szCs w:val="24"/>
          <w14:ligatures w14:val="none"/>
        </w:rPr>
      </w:pPr>
    </w:p>
    <w:p w14:paraId="385BCA08" w14:textId="1A14AFC7" w:rsidR="00851716" w:rsidRPr="00851716" w:rsidRDefault="00851716" w:rsidP="00851716">
      <w:pPr>
        <w:spacing w:after="0" w:line="240" w:lineRule="auto"/>
        <w:rPr>
          <w:rFonts w:ascii="Times New Roman" w:eastAsia="Calibri" w:hAnsi="Times New Roman" w:cs="Times New Roman"/>
          <w:kern w:val="0"/>
          <w:szCs w:val="24"/>
          <w14:ligatures w14:val="none"/>
        </w:rPr>
      </w:pPr>
      <w:r w:rsidRPr="00851716">
        <w:rPr>
          <w:rFonts w:ascii="Times New Roman" w:eastAsia="Times New Roman" w:hAnsi="Times New Roman" w:cs="Times New Roman"/>
          <w:color w:val="000000"/>
          <w:kern w:val="0"/>
          <w:szCs w:val="24"/>
          <w14:ligatures w14:val="none"/>
        </w:rPr>
        <w:t>Nuėmus užsukamąjį dangtelį  įsitikinkite, kad buteliuko sandarinamasis dangtelis yra nesugadintas ir tvirtai priklijuotas prie buteliuko briaunos. Papurtykite buteliuką milteliams supurenti</w:t>
      </w:r>
      <w:r w:rsidRPr="00851716">
        <w:rPr>
          <w:rFonts w:ascii="Times New Roman" w:eastAsia="Times New Roman" w:hAnsi="Times New Roman" w:cs="Times New Roman"/>
          <w:kern w:val="0"/>
          <w:lang w:val="en-GB"/>
          <w14:ligatures w14:val="none"/>
        </w:rPr>
        <w:t>.</w:t>
      </w:r>
    </w:p>
    <w:p w14:paraId="346258F1"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3BFAECB1" w14:textId="77777777" w:rsidR="00851716" w:rsidRPr="00851716" w:rsidRDefault="00851716" w:rsidP="00851716">
      <w:pPr>
        <w:numPr>
          <w:ilvl w:val="0"/>
          <w:numId w:val="19"/>
        </w:num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Ruošiant 60 ml suspensijos, į buteliuką</w:t>
      </w:r>
      <w:r w:rsidRPr="00851716">
        <w:rPr>
          <w:rFonts w:ascii="Times New Roman" w:eastAsia="Times New Roman" w:hAnsi="Times New Roman" w:cs="Times New Roman"/>
          <w:kern w:val="0"/>
          <w:szCs w:val="24"/>
          <w14:ligatures w14:val="none"/>
        </w:rPr>
        <w:t>, kuriame yra 6,6</w:t>
      </w:r>
      <w:r w:rsidRPr="00851716">
        <w:rPr>
          <w:rFonts w:ascii="Times New Roman" w:eastAsia="Times New Roman" w:hAnsi="Times New Roman" w:cs="Times New Roman"/>
          <w:kern w:val="0"/>
          <w:szCs w:val="24"/>
          <w:lang w:eastAsia="lt-LT"/>
          <w14:ligatures w14:val="none"/>
        </w:rPr>
        <w:t> </w:t>
      </w:r>
      <w:r w:rsidRPr="00851716">
        <w:rPr>
          <w:rFonts w:ascii="Times New Roman" w:eastAsia="Times New Roman" w:hAnsi="Times New Roman" w:cs="Times New Roman"/>
          <w:kern w:val="0"/>
          <w:szCs w:val="24"/>
          <w14:ligatures w14:val="none"/>
        </w:rPr>
        <w:t xml:space="preserve">g miltelių, </w:t>
      </w:r>
      <w:r w:rsidRPr="00851716">
        <w:rPr>
          <w:rFonts w:ascii="Times New Roman" w:eastAsia="Calibri" w:hAnsi="Times New Roman" w:cs="Times New Roman"/>
          <w:kern w:val="0"/>
          <w14:ligatures w14:val="none"/>
        </w:rPr>
        <w:t xml:space="preserve">reikia įpilti 55 ml vandens. </w:t>
      </w:r>
    </w:p>
    <w:p w14:paraId="3E4C7253"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p>
    <w:p w14:paraId="15CAC142" w14:textId="77777777" w:rsidR="00851716" w:rsidRPr="00851716" w:rsidRDefault="00851716" w:rsidP="00851716">
      <w:pPr>
        <w:tabs>
          <w:tab w:val="left" w:pos="567"/>
        </w:tabs>
        <w:spacing w:after="0" w:line="240" w:lineRule="auto"/>
        <w:rPr>
          <w:rFonts w:ascii="Times New Roman" w:eastAsia="Times New Roman" w:hAnsi="Times New Roman" w:cs="Times New Roman"/>
          <w:kern w:val="0"/>
          <w:szCs w:val="24"/>
          <w14:ligatures w14:val="none"/>
        </w:rPr>
      </w:pPr>
      <w:r w:rsidRPr="00851716">
        <w:rPr>
          <w:rFonts w:ascii="Times New Roman" w:eastAsia="Times New Roman" w:hAnsi="Times New Roman" w:cs="Times New Roman"/>
          <w:kern w:val="0"/>
          <w:szCs w:val="24"/>
          <w14:ligatures w14:val="none"/>
        </w:rPr>
        <w:t xml:space="preserve">Pripilkite į buteliuką geriamojo vandens tiek, kad būtų maždaug 1 cm žemiau žymos, po to buteliuką užsukite ir tuoj pat stipriai pakratykite. Kai putos nusės lėtai pripilkite į buteliuką vandens tiksliai iki žymos ir vėl energingai pakratykite. </w:t>
      </w:r>
    </w:p>
    <w:p w14:paraId="1E64B20F" w14:textId="77777777" w:rsidR="00851716" w:rsidRPr="00851716" w:rsidRDefault="00851716" w:rsidP="00851716">
      <w:pPr>
        <w:tabs>
          <w:tab w:val="left" w:pos="567"/>
        </w:tabs>
        <w:spacing w:after="0" w:line="240" w:lineRule="auto"/>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Paruošta suspensija yra balta arba šiek tiek gelsva.</w:t>
      </w:r>
    </w:p>
    <w:p w14:paraId="02A11985" w14:textId="77777777" w:rsidR="006C2028" w:rsidRDefault="00851716" w:rsidP="006C2028">
      <w:pPr>
        <w:keepNext/>
        <w:keepLines/>
        <w:spacing w:before="360" w:after="80" w:line="240" w:lineRule="auto"/>
        <w:outlineLvl w:val="0"/>
        <w:rPr>
          <w:rFonts w:ascii="Times New Roman" w:eastAsia="Calibri" w:hAnsi="Times New Roman" w:cs="Times New Roman"/>
          <w:kern w:val="0"/>
          <w14:ligatures w14:val="none"/>
        </w:rPr>
      </w:pPr>
      <w:r w:rsidRPr="00851716">
        <w:rPr>
          <w:rFonts w:ascii="Times New Roman" w:eastAsia="Calibri" w:hAnsi="Times New Roman" w:cs="Times New Roman"/>
          <w:kern w:val="0"/>
          <w14:ligatures w14:val="none"/>
        </w:rPr>
        <w:t>Nevartokite paruoštos suspensijos, jeigu ji yra ne baltos ar šviesiai gelsvos spalvos.</w:t>
      </w:r>
    </w:p>
    <w:p w14:paraId="56818C14" w14:textId="42E7C30B" w:rsidR="006C2028" w:rsidRDefault="00851716" w:rsidP="006C2028">
      <w:pPr>
        <w:keepNext/>
        <w:keepLines/>
        <w:spacing w:before="360" w:after="80" w:line="240" w:lineRule="auto"/>
        <w:outlineLvl w:val="0"/>
        <w:rPr>
          <w:rFonts w:ascii="Times New Roman" w:hAnsi="Times New Roman" w:cs="Times New Roman"/>
        </w:rPr>
      </w:pPr>
      <w:r w:rsidRPr="00851716">
        <w:rPr>
          <w:rFonts w:ascii="Times New Roman" w:hAnsi="Times New Roman" w:cs="Times New Roman"/>
        </w:rPr>
        <w:t>Prieš kiekvieną vartojimą gerai suplakite.</w:t>
      </w:r>
      <w:r w:rsidRPr="00851716" w:rsidDel="00A53491">
        <w:rPr>
          <w:rFonts w:ascii="Times New Roman" w:hAnsi="Times New Roman" w:cs="Times New Roman"/>
        </w:rPr>
        <w:t xml:space="preserve"> </w:t>
      </w:r>
    </w:p>
    <w:p w14:paraId="498B6198" w14:textId="7554EFD4" w:rsidR="00851716" w:rsidRPr="00851716" w:rsidRDefault="00851716" w:rsidP="006C2028">
      <w:pPr>
        <w:keepNext/>
        <w:keepLines/>
        <w:spacing w:before="360" w:after="80" w:line="240" w:lineRule="auto"/>
        <w:outlineLvl w:val="0"/>
        <w:rPr>
          <w:rFonts w:ascii="Times New Roman" w:hAnsi="Times New Roman" w:cs="Times New Roman"/>
        </w:rPr>
      </w:pPr>
      <w:r w:rsidRPr="00851716">
        <w:rPr>
          <w:rFonts w:ascii="Times New Roman" w:hAnsi="Times New Roman" w:cs="Times New Roman"/>
        </w:rPr>
        <w:t>Nesuvartotą vaistinį preparatą ar atliekas reikia tvarkyti laikantis vietinių reikalavimų.</w:t>
      </w:r>
    </w:p>
    <w:p w14:paraId="032BD765" w14:textId="77777777" w:rsidR="00851716" w:rsidRPr="00851716" w:rsidRDefault="00851716" w:rsidP="006C2028">
      <w:pPr>
        <w:rPr>
          <w:rFonts w:ascii="Times New Roman" w:hAnsi="Times New Roman" w:cs="Times New Roman"/>
        </w:rPr>
      </w:pPr>
    </w:p>
    <w:p w14:paraId="1D1A9BC8" w14:textId="77777777" w:rsidR="00E7340C" w:rsidRDefault="00E7340C"/>
    <w:sectPr w:rsidR="00E7340C" w:rsidSect="00545D50">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C9EC7F6"/>
    <w:lvl w:ilvl="0" w:tplc="56A20516">
      <w:start w:val="1"/>
      <w:numFmt w:val="bullet"/>
      <w:lvlText w:val="-"/>
      <w:lvlJc w:val="left"/>
      <w:pPr>
        <w:ind w:left="720" w:hanging="360"/>
      </w:pPr>
      <w:rPr>
        <w:rFonts w:ascii="Sylfaen" w:hAnsi="Sylfae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7168D5"/>
    <w:multiLevelType w:val="hybridMultilevel"/>
    <w:tmpl w:val="A1DACE8E"/>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0C9F507A"/>
    <w:multiLevelType w:val="hybridMultilevel"/>
    <w:tmpl w:val="561AA94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E46271"/>
    <w:multiLevelType w:val="hybridMultilevel"/>
    <w:tmpl w:val="D7B6F108"/>
    <w:lvl w:ilvl="0" w:tplc="56A20516">
      <w:start w:val="1"/>
      <w:numFmt w:val="bullet"/>
      <w:lvlText w:val="-"/>
      <w:lvlJc w:val="left"/>
      <w:pPr>
        <w:ind w:left="719" w:hanging="360"/>
      </w:pPr>
      <w:rPr>
        <w:rFonts w:ascii="Sylfaen" w:hAnsi="Sylfaen" w:hint="default"/>
        <w:sz w:val="22"/>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6"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2243C6"/>
    <w:multiLevelType w:val="hybridMultilevel"/>
    <w:tmpl w:val="BDFCF4AC"/>
    <w:lvl w:ilvl="0" w:tplc="1D1402AC">
      <w:start w:val="6"/>
      <w:numFmt w:val="bullet"/>
      <w:lvlText w:val="-"/>
      <w:lvlJc w:val="left"/>
      <w:pPr>
        <w:ind w:left="924" w:hanging="564"/>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002E0"/>
    <w:multiLevelType w:val="hybridMultilevel"/>
    <w:tmpl w:val="9B9C39E6"/>
    <w:lvl w:ilvl="0" w:tplc="56A20516">
      <w:start w:val="1"/>
      <w:numFmt w:val="bullet"/>
      <w:lvlText w:val="-"/>
      <w:lvlJc w:val="left"/>
      <w:pPr>
        <w:ind w:left="720" w:hanging="360"/>
      </w:pPr>
      <w:rPr>
        <w:rFonts w:ascii="Sylfaen" w:hAnsi="Sylfae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AE5364"/>
    <w:multiLevelType w:val="hybridMultilevel"/>
    <w:tmpl w:val="F1DACB3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7"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30016023"/>
    <w:multiLevelType w:val="hybridMultilevel"/>
    <w:tmpl w:val="B9E64E0C"/>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83372B"/>
    <w:multiLevelType w:val="hybridMultilevel"/>
    <w:tmpl w:val="30B4D22A"/>
    <w:lvl w:ilvl="0" w:tplc="56A20516">
      <w:start w:val="1"/>
      <w:numFmt w:val="bullet"/>
      <w:lvlText w:val="-"/>
      <w:lvlJc w:val="left"/>
      <w:pPr>
        <w:ind w:left="719" w:hanging="360"/>
      </w:pPr>
      <w:rPr>
        <w:rFonts w:ascii="Sylfaen" w:hAnsi="Sylfaen" w:hint="default"/>
        <w:sz w:val="22"/>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0"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465F12"/>
    <w:multiLevelType w:val="hybridMultilevel"/>
    <w:tmpl w:val="9F9EE94C"/>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5B29A5"/>
    <w:multiLevelType w:val="hybridMultilevel"/>
    <w:tmpl w:val="6FC8E5F4"/>
    <w:lvl w:ilvl="0" w:tplc="56A20516">
      <w:start w:val="1"/>
      <w:numFmt w:val="bullet"/>
      <w:lvlText w:val="-"/>
      <w:lvlJc w:val="left"/>
      <w:pPr>
        <w:ind w:left="719" w:hanging="360"/>
      </w:pPr>
      <w:rPr>
        <w:rFonts w:ascii="Sylfaen" w:hAnsi="Sylfaen" w:hint="default"/>
        <w:sz w:val="22"/>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5" w15:restartNumberingAfterBreak="0">
    <w:nsid w:val="4D59243B"/>
    <w:multiLevelType w:val="hybridMultilevel"/>
    <w:tmpl w:val="44E8E53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5B4269"/>
    <w:multiLevelType w:val="hybridMultilevel"/>
    <w:tmpl w:val="99C6D956"/>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960787"/>
    <w:multiLevelType w:val="hybridMultilevel"/>
    <w:tmpl w:val="E1AC157E"/>
    <w:lvl w:ilvl="0" w:tplc="56A20516">
      <w:start w:val="1"/>
      <w:numFmt w:val="bullet"/>
      <w:lvlText w:val="-"/>
      <w:lvlJc w:val="left"/>
      <w:pPr>
        <w:ind w:left="720" w:hanging="360"/>
      </w:pPr>
      <w:rPr>
        <w:rFonts w:ascii="Sylfaen" w:hAnsi="Sylfae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306E64"/>
    <w:multiLevelType w:val="hybridMultilevel"/>
    <w:tmpl w:val="690A0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BC7E6B"/>
    <w:multiLevelType w:val="hybridMultilevel"/>
    <w:tmpl w:val="DE143646"/>
    <w:lvl w:ilvl="0" w:tplc="9F42587C">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4E6048"/>
    <w:multiLevelType w:val="hybridMultilevel"/>
    <w:tmpl w:val="2D5A3F80"/>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6427F3"/>
    <w:multiLevelType w:val="hybridMultilevel"/>
    <w:tmpl w:val="0B3A0458"/>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8549EE"/>
    <w:multiLevelType w:val="hybridMultilevel"/>
    <w:tmpl w:val="93B4FB04"/>
    <w:lvl w:ilvl="0" w:tplc="56A20516">
      <w:start w:val="1"/>
      <w:numFmt w:val="bullet"/>
      <w:lvlText w:val="-"/>
      <w:lvlJc w:val="left"/>
      <w:pPr>
        <w:ind w:left="720" w:hanging="360"/>
      </w:pPr>
      <w:rPr>
        <w:rFonts w:ascii="Sylfaen" w:hAnsi="Sylfae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06644D"/>
    <w:multiLevelType w:val="hybridMultilevel"/>
    <w:tmpl w:val="D3120164"/>
    <w:lvl w:ilvl="0" w:tplc="56A20516">
      <w:start w:val="1"/>
      <w:numFmt w:val="bullet"/>
      <w:lvlText w:val="-"/>
      <w:lvlJc w:val="left"/>
      <w:pPr>
        <w:ind w:left="719" w:hanging="360"/>
      </w:pPr>
      <w:rPr>
        <w:rFonts w:ascii="Sylfaen" w:hAnsi="Sylfaen" w:hint="default"/>
        <w:sz w:val="22"/>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num w:numId="1" w16cid:durableId="773019265">
    <w:abstractNumId w:val="0"/>
    <w:lvlOverride w:ilvl="0">
      <w:lvl w:ilvl="0">
        <w:start w:val="1"/>
        <w:numFmt w:val="bullet"/>
        <w:lvlText w:val="-"/>
        <w:legacy w:legacy="1" w:legacySpace="0" w:legacyIndent="360"/>
        <w:lvlJc w:val="left"/>
        <w:pPr>
          <w:ind w:left="360" w:hanging="360"/>
        </w:pPr>
      </w:lvl>
    </w:lvlOverride>
  </w:num>
  <w:num w:numId="2" w16cid:durableId="1188788571">
    <w:abstractNumId w:val="21"/>
  </w:num>
  <w:num w:numId="3" w16cid:durableId="347408326">
    <w:abstractNumId w:val="20"/>
  </w:num>
  <w:num w:numId="4" w16cid:durableId="1917595723">
    <w:abstractNumId w:val="6"/>
  </w:num>
  <w:num w:numId="5" w16cid:durableId="1721593198">
    <w:abstractNumId w:val="23"/>
  </w:num>
  <w:num w:numId="6" w16cid:durableId="310642604">
    <w:abstractNumId w:val="17"/>
  </w:num>
  <w:num w:numId="7" w16cid:durableId="1329476924">
    <w:abstractNumId w:val="29"/>
  </w:num>
  <w:num w:numId="8" w16cid:durableId="991179653">
    <w:abstractNumId w:val="3"/>
  </w:num>
  <w:num w:numId="9" w16cid:durableId="1367098325">
    <w:abstractNumId w:val="16"/>
  </w:num>
  <w:num w:numId="10" w16cid:durableId="279386024">
    <w:abstractNumId w:val="8"/>
  </w:num>
  <w:num w:numId="11" w16cid:durableId="1102921297">
    <w:abstractNumId w:val="15"/>
  </w:num>
  <w:num w:numId="12" w16cid:durableId="942539699">
    <w:abstractNumId w:val="1"/>
  </w:num>
  <w:num w:numId="13" w16cid:durableId="1167290016">
    <w:abstractNumId w:val="11"/>
  </w:num>
  <w:num w:numId="14" w16cid:durableId="1980374500">
    <w:abstractNumId w:val="13"/>
  </w:num>
  <w:num w:numId="15" w16cid:durableId="2099936136">
    <w:abstractNumId w:val="27"/>
  </w:num>
  <w:num w:numId="16" w16cid:durableId="1348603501">
    <w:abstractNumId w:val="33"/>
  </w:num>
  <w:num w:numId="17" w16cid:durableId="1676608476">
    <w:abstractNumId w:val="35"/>
  </w:num>
  <w:num w:numId="18" w16cid:durableId="1756826707">
    <w:abstractNumId w:val="7"/>
  </w:num>
  <w:num w:numId="19" w16cid:durableId="13385338">
    <w:abstractNumId w:val="12"/>
  </w:num>
  <w:num w:numId="20" w16cid:durableId="852958483">
    <w:abstractNumId w:val="10"/>
  </w:num>
  <w:num w:numId="21" w16cid:durableId="1317412216">
    <w:abstractNumId w:val="18"/>
  </w:num>
  <w:num w:numId="22" w16cid:durableId="1902713060">
    <w:abstractNumId w:val="4"/>
  </w:num>
  <w:num w:numId="23" w16cid:durableId="459570341">
    <w:abstractNumId w:val="9"/>
  </w:num>
  <w:num w:numId="24" w16cid:durableId="2089615962">
    <w:abstractNumId w:val="28"/>
  </w:num>
  <w:num w:numId="25" w16cid:durableId="1543520248">
    <w:abstractNumId w:val="30"/>
  </w:num>
  <w:num w:numId="26" w16cid:durableId="2060519816">
    <w:abstractNumId w:val="22"/>
  </w:num>
  <w:num w:numId="27" w16cid:durableId="1610967311">
    <w:abstractNumId w:val="24"/>
  </w:num>
  <w:num w:numId="28" w16cid:durableId="1789162388">
    <w:abstractNumId w:val="26"/>
  </w:num>
  <w:num w:numId="29" w16cid:durableId="388579634">
    <w:abstractNumId w:val="36"/>
  </w:num>
  <w:num w:numId="30" w16cid:durableId="101849921">
    <w:abstractNumId w:val="2"/>
  </w:num>
  <w:num w:numId="31" w16cid:durableId="1033572710">
    <w:abstractNumId w:val="19"/>
  </w:num>
  <w:num w:numId="32" w16cid:durableId="1392535221">
    <w:abstractNumId w:val="5"/>
  </w:num>
  <w:num w:numId="33" w16cid:durableId="1934314322">
    <w:abstractNumId w:val="34"/>
  </w:num>
  <w:num w:numId="34" w16cid:durableId="1898394560">
    <w:abstractNumId w:val="31"/>
  </w:num>
  <w:num w:numId="35" w16cid:durableId="1436318691">
    <w:abstractNumId w:val="32"/>
  </w:num>
  <w:num w:numId="36" w16cid:durableId="2098551779">
    <w:abstractNumId w:val="25"/>
  </w:num>
  <w:num w:numId="37" w16cid:durableId="2033412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AA"/>
    <w:rsid w:val="00065BC8"/>
    <w:rsid w:val="00093FB5"/>
    <w:rsid w:val="001739C9"/>
    <w:rsid w:val="002F2D2A"/>
    <w:rsid w:val="00375F79"/>
    <w:rsid w:val="003975CE"/>
    <w:rsid w:val="003A7627"/>
    <w:rsid w:val="004220F9"/>
    <w:rsid w:val="00440384"/>
    <w:rsid w:val="0047249F"/>
    <w:rsid w:val="004B36C0"/>
    <w:rsid w:val="004F2CB8"/>
    <w:rsid w:val="005128E5"/>
    <w:rsid w:val="00545D50"/>
    <w:rsid w:val="006C2028"/>
    <w:rsid w:val="00777B8D"/>
    <w:rsid w:val="007A111D"/>
    <w:rsid w:val="00851716"/>
    <w:rsid w:val="008B031A"/>
    <w:rsid w:val="008E555B"/>
    <w:rsid w:val="00BA1455"/>
    <w:rsid w:val="00C7000E"/>
    <w:rsid w:val="00D676AA"/>
    <w:rsid w:val="00E7340C"/>
    <w:rsid w:val="00F860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0BBD"/>
  <w15:chartTrackingRefBased/>
  <w15:docId w15:val="{9106E9A4-6102-4406-A6B4-4A712797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76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76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76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76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6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76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6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6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76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76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76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76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76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6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76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6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6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6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6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6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6AA"/>
    <w:rPr>
      <w:i/>
      <w:iCs/>
      <w:color w:val="404040" w:themeColor="text1" w:themeTint="BF"/>
    </w:rPr>
  </w:style>
  <w:style w:type="paragraph" w:styleId="Sraopastraipa">
    <w:name w:val="List Paragraph"/>
    <w:basedOn w:val="prastasis"/>
    <w:uiPriority w:val="34"/>
    <w:qFormat/>
    <w:rsid w:val="00D676AA"/>
    <w:pPr>
      <w:ind w:left="720"/>
      <w:contextualSpacing/>
    </w:pPr>
  </w:style>
  <w:style w:type="character" w:styleId="Rykuspabraukimas">
    <w:name w:val="Intense Emphasis"/>
    <w:basedOn w:val="Numatytasispastraiposriftas"/>
    <w:uiPriority w:val="21"/>
    <w:qFormat/>
    <w:rsid w:val="00D676AA"/>
    <w:rPr>
      <w:i/>
      <w:iCs/>
      <w:color w:val="0F4761" w:themeColor="accent1" w:themeShade="BF"/>
    </w:rPr>
  </w:style>
  <w:style w:type="paragraph" w:styleId="Iskirtacitata">
    <w:name w:val="Intense Quote"/>
    <w:basedOn w:val="prastasis"/>
    <w:next w:val="prastasis"/>
    <w:link w:val="IskirtacitataDiagrama"/>
    <w:uiPriority w:val="30"/>
    <w:qFormat/>
    <w:rsid w:val="00D6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76AA"/>
    <w:rPr>
      <w:i/>
      <w:iCs/>
      <w:color w:val="0F4761" w:themeColor="accent1" w:themeShade="BF"/>
    </w:rPr>
  </w:style>
  <w:style w:type="character" w:styleId="Rykinuoroda">
    <w:name w:val="Intense Reference"/>
    <w:basedOn w:val="Numatytasispastraiposriftas"/>
    <w:uiPriority w:val="32"/>
    <w:qFormat/>
    <w:rsid w:val="00D67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13947</Words>
  <Characters>7950</Characters>
  <Application>Microsoft Office Word</Application>
  <DocSecurity>0</DocSecurity>
  <Lines>66</Lines>
  <Paragraphs>43</Paragraphs>
  <ScaleCrop>false</ScaleCrop>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2024-08-18T19:20:00Z</dcterms:created>
  <dcterms:modified xsi:type="dcterms:W3CDTF">2025-04-22T03:24:00Z</dcterms:modified>
</cp:coreProperties>
</file>