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CBC0" w14:textId="77777777" w:rsidR="000035FA" w:rsidRPr="000035FA" w:rsidRDefault="000035FA" w:rsidP="000035FA">
      <w:pPr>
        <w:tabs>
          <w:tab w:val="left" w:pos="567"/>
        </w:tabs>
        <w:spacing w:after="0" w:line="240" w:lineRule="auto"/>
        <w:jc w:val="center"/>
        <w:outlineLvl w:val="0"/>
        <w:rPr>
          <w:rFonts w:ascii="Times New Roman" w:eastAsia="Times New Roman" w:hAnsi="Times New Roman" w:cs="Times New Roman"/>
          <w:bCs/>
          <w:kern w:val="0"/>
          <w14:ligatures w14:val="none"/>
        </w:rPr>
      </w:pPr>
    </w:p>
    <w:p w14:paraId="60B1409E" w14:textId="77777777" w:rsidR="000035FA" w:rsidRPr="000035FA" w:rsidRDefault="000035FA" w:rsidP="000035FA">
      <w:pPr>
        <w:tabs>
          <w:tab w:val="left" w:pos="567"/>
        </w:tabs>
        <w:spacing w:after="0" w:line="240" w:lineRule="auto"/>
        <w:jc w:val="center"/>
        <w:outlineLvl w:val="0"/>
        <w:rPr>
          <w:rFonts w:ascii="Times New Roman" w:eastAsia="Times New Roman" w:hAnsi="Times New Roman" w:cs="Times New Roman"/>
          <w:bCs/>
          <w:kern w:val="0"/>
          <w14:ligatures w14:val="none"/>
        </w:rPr>
      </w:pPr>
    </w:p>
    <w:p w14:paraId="0B08CC43" w14:textId="77777777" w:rsidR="000035FA" w:rsidRPr="000035FA" w:rsidRDefault="000035FA" w:rsidP="000035FA">
      <w:pPr>
        <w:tabs>
          <w:tab w:val="left" w:pos="567"/>
        </w:tabs>
        <w:spacing w:after="0" w:line="240" w:lineRule="auto"/>
        <w:jc w:val="center"/>
        <w:outlineLvl w:val="0"/>
        <w:rPr>
          <w:rFonts w:ascii="Times New Roman" w:eastAsia="Times New Roman" w:hAnsi="Times New Roman" w:cs="Times New Roman"/>
          <w:bCs/>
          <w:kern w:val="0"/>
          <w14:ligatures w14:val="none"/>
        </w:rPr>
      </w:pPr>
    </w:p>
    <w:p w14:paraId="6B90D82A" w14:textId="77777777" w:rsidR="000035FA" w:rsidRPr="000035FA" w:rsidRDefault="000035FA" w:rsidP="000035FA">
      <w:pPr>
        <w:tabs>
          <w:tab w:val="left" w:pos="567"/>
        </w:tabs>
        <w:spacing w:after="0" w:line="240" w:lineRule="auto"/>
        <w:jc w:val="center"/>
        <w:outlineLvl w:val="0"/>
        <w:rPr>
          <w:rFonts w:ascii="Times New Roman" w:eastAsia="Times New Roman" w:hAnsi="Times New Roman" w:cs="Times New Roman"/>
          <w:bCs/>
          <w:kern w:val="0"/>
          <w14:ligatures w14:val="none"/>
        </w:rPr>
      </w:pPr>
    </w:p>
    <w:p w14:paraId="2EC1BB72" w14:textId="77777777" w:rsidR="000035FA" w:rsidRPr="000035FA" w:rsidRDefault="000035FA" w:rsidP="000035FA">
      <w:pPr>
        <w:tabs>
          <w:tab w:val="left" w:pos="567"/>
        </w:tabs>
        <w:spacing w:after="0" w:line="240" w:lineRule="auto"/>
        <w:jc w:val="center"/>
        <w:outlineLvl w:val="0"/>
        <w:rPr>
          <w:rFonts w:ascii="Times New Roman" w:eastAsia="Times New Roman" w:hAnsi="Times New Roman" w:cs="Times New Roman"/>
          <w:b/>
          <w:kern w:val="0"/>
          <w14:ligatures w14:val="none"/>
        </w:rPr>
      </w:pPr>
      <w:r w:rsidRPr="000035FA">
        <w:rPr>
          <w:rFonts w:ascii="Times New Roman" w:eastAsia="Times New Roman" w:hAnsi="Times New Roman" w:cs="Times New Roman"/>
          <w:b/>
          <w:snapToGrid w:val="0"/>
          <w:kern w:val="0"/>
          <w:szCs w:val="20"/>
          <w14:ligatures w14:val="none"/>
        </w:rPr>
        <w:t xml:space="preserve">B. </w:t>
      </w:r>
      <w:r w:rsidRPr="000035FA">
        <w:rPr>
          <w:rFonts w:ascii="Times New Roman" w:eastAsia="Times New Roman" w:hAnsi="Times New Roman" w:cs="Times New Roman"/>
          <w:b/>
          <w:kern w:val="0"/>
          <w14:ligatures w14:val="none"/>
        </w:rPr>
        <w:t>PAKUOTĖS LAPELIS</w:t>
      </w:r>
    </w:p>
    <w:p w14:paraId="5940C560" w14:textId="77777777" w:rsidR="000035FA" w:rsidRPr="000035FA" w:rsidRDefault="000035FA" w:rsidP="000035FA">
      <w:pPr>
        <w:spacing w:after="0" w:line="240" w:lineRule="auto"/>
        <w:jc w:val="center"/>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br w:type="page"/>
      </w:r>
      <w:r w:rsidRPr="000035FA">
        <w:rPr>
          <w:rFonts w:ascii="Times New Roman" w:eastAsia="Times New Roman" w:hAnsi="Times New Roman" w:cs="Times New Roman"/>
          <w:b/>
          <w:kern w:val="0"/>
          <w14:ligatures w14:val="none"/>
        </w:rPr>
        <w:lastRenderedPageBreak/>
        <w:t>Pakuotės lapelis: informacija vartotojui</w:t>
      </w:r>
    </w:p>
    <w:p w14:paraId="24E0E039" w14:textId="77777777" w:rsidR="000035FA" w:rsidRPr="000035FA" w:rsidRDefault="000035FA" w:rsidP="000035FA">
      <w:pPr>
        <w:spacing w:after="0" w:line="240" w:lineRule="auto"/>
        <w:jc w:val="center"/>
        <w:outlineLvl w:val="0"/>
        <w:rPr>
          <w:rFonts w:ascii="Times New Roman" w:eastAsia="Times New Roman" w:hAnsi="Times New Roman" w:cs="Times New Roman"/>
          <w:kern w:val="0"/>
          <w14:ligatures w14:val="none"/>
        </w:rPr>
      </w:pPr>
    </w:p>
    <w:p w14:paraId="6206B735" w14:textId="77777777" w:rsidR="000035FA" w:rsidRPr="000035FA" w:rsidRDefault="000035FA" w:rsidP="000035FA">
      <w:pPr>
        <w:spacing w:after="0" w:line="240" w:lineRule="auto"/>
        <w:jc w:val="center"/>
        <w:outlineLvl w:val="0"/>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 xml:space="preserve">Ducressa </w:t>
      </w:r>
      <w:r w:rsidRPr="000035FA">
        <w:rPr>
          <w:rFonts w:ascii="Times New Roman" w:eastAsia="DengXian" w:hAnsi="Times New Roman" w:cs="Arial"/>
          <w:b/>
          <w:kern w:val="0"/>
          <w14:ligatures w14:val="none"/>
        </w:rPr>
        <w:t>1 mg/5 mg/ml</w:t>
      </w:r>
      <w:r w:rsidRPr="000035FA" w:rsidDel="008B516A">
        <w:rPr>
          <w:rFonts w:ascii="Times New Roman" w:eastAsia="Times New Roman" w:hAnsi="Times New Roman" w:cs="Times New Roman"/>
          <w:b/>
          <w:kern w:val="0"/>
          <w14:ligatures w14:val="none"/>
        </w:rPr>
        <w:t xml:space="preserve"> </w:t>
      </w:r>
      <w:r w:rsidRPr="000035FA">
        <w:rPr>
          <w:rFonts w:ascii="Times New Roman" w:eastAsia="Times New Roman" w:hAnsi="Times New Roman" w:cs="Times New Roman"/>
          <w:b/>
          <w:kern w:val="0"/>
          <w14:ligatures w14:val="none"/>
        </w:rPr>
        <w:t>akių lašai (tirpalas)</w:t>
      </w:r>
    </w:p>
    <w:p w14:paraId="36AF578D" w14:textId="77777777" w:rsidR="000035FA" w:rsidRPr="000035FA" w:rsidRDefault="000035FA" w:rsidP="000035FA">
      <w:pPr>
        <w:numPr>
          <w:ilvl w:val="12"/>
          <w:numId w:val="0"/>
        </w:numPr>
        <w:spacing w:after="0" w:line="240" w:lineRule="auto"/>
        <w:jc w:val="center"/>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deksametazonas / levofloksacinas</w:t>
      </w:r>
    </w:p>
    <w:p w14:paraId="7FBE9A41"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p>
    <w:p w14:paraId="4E30AE3E"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p>
    <w:p w14:paraId="3C995977" w14:textId="77777777" w:rsidR="000035FA" w:rsidRPr="000035FA" w:rsidRDefault="000035FA" w:rsidP="000035FA">
      <w:pPr>
        <w:suppressAutoHyphen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6209F502" w14:textId="77777777" w:rsidR="000035FA" w:rsidRPr="000035FA" w:rsidRDefault="000035FA" w:rsidP="00F858B1">
      <w:pPr>
        <w:numPr>
          <w:ilvl w:val="0"/>
          <w:numId w:val="6"/>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Neišmeskite šio lapelio, nes vėl gali prireikti jį perskaityti. </w:t>
      </w:r>
    </w:p>
    <w:p w14:paraId="33093235" w14:textId="77777777" w:rsidR="000035FA" w:rsidRPr="000035FA" w:rsidRDefault="000035FA" w:rsidP="00F858B1">
      <w:pPr>
        <w:numPr>
          <w:ilvl w:val="0"/>
          <w:numId w:val="6"/>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Jeigu kiltų daugiau klausimų, kreipkitės į gydytoją arba vaistininką. </w:t>
      </w:r>
    </w:p>
    <w:p w14:paraId="02D7E4FD" w14:textId="534E921E" w:rsidR="000035FA" w:rsidRPr="00F858B1" w:rsidRDefault="000035FA" w:rsidP="00F858B1">
      <w:pPr>
        <w:pStyle w:val="Sraopastraipa"/>
        <w:numPr>
          <w:ilvl w:val="0"/>
          <w:numId w:val="6"/>
        </w:numPr>
        <w:spacing w:after="0" w:line="240" w:lineRule="auto"/>
        <w:ind w:right="-2"/>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r w:rsidRPr="00F858B1">
        <w:rPr>
          <w:rFonts w:ascii="Times New Roman" w:eastAsia="Times New Roman" w:hAnsi="Times New Roman" w:cs="Times New Roman"/>
          <w:color w:val="008000"/>
          <w:kern w:val="0"/>
          <w14:ligatures w14:val="none"/>
        </w:rPr>
        <w:t xml:space="preserve"> </w:t>
      </w:r>
    </w:p>
    <w:p w14:paraId="2F786732" w14:textId="77777777" w:rsidR="000035FA" w:rsidRPr="000035FA" w:rsidRDefault="000035FA" w:rsidP="00F858B1">
      <w:pPr>
        <w:numPr>
          <w:ilvl w:val="0"/>
          <w:numId w:val="6"/>
        </w:numPr>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Jeigu pasireiškė šalutinis poveikis (nei jeigu jis šiame lapelyje nenurodytas),</w:t>
      </w:r>
      <w:r w:rsidRPr="000035FA">
        <w:rPr>
          <w:rFonts w:ascii="Times New Roman" w:eastAsia="Times New Roman" w:hAnsi="Times New Roman" w:cs="Times New Roman"/>
          <w:color w:val="FF0000"/>
          <w:kern w:val="0"/>
          <w14:ligatures w14:val="none"/>
        </w:rPr>
        <w:t xml:space="preserve"> </w:t>
      </w:r>
      <w:r w:rsidRPr="000035FA">
        <w:rPr>
          <w:rFonts w:ascii="Times New Roman" w:eastAsia="Times New Roman" w:hAnsi="Times New Roman" w:cs="Times New Roman"/>
          <w:kern w:val="0"/>
          <w14:ligatures w14:val="none"/>
        </w:rPr>
        <w:t>kreipkitės į gydytoją arba vaistininką. Žr. 4 skyrių.</w:t>
      </w:r>
    </w:p>
    <w:p w14:paraId="391BC63A"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79908079"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379DA741"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Apie ką rašoma šiame lapelyje?</w:t>
      </w:r>
    </w:p>
    <w:p w14:paraId="362647D9"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p>
    <w:p w14:paraId="759F2480" w14:textId="78E7A13A"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 xml:space="preserve">Kas yra Ducressa ir kam jis vartojamas </w:t>
      </w:r>
    </w:p>
    <w:p w14:paraId="75482614" w14:textId="46BEAC94"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 xml:space="preserve">Kas žinotina prieš vartojant Ducressa </w:t>
      </w:r>
    </w:p>
    <w:p w14:paraId="6BE9B68A" w14:textId="7C83757F"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 xml:space="preserve">Kaip vartoti Ducressa </w:t>
      </w:r>
    </w:p>
    <w:p w14:paraId="000CADEB" w14:textId="1B68CC3F"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 xml:space="preserve">Galimas šalutinis poveikis </w:t>
      </w:r>
    </w:p>
    <w:p w14:paraId="0178C580" w14:textId="2B3B034F"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 xml:space="preserve">Kaip laikyti Ducressa </w:t>
      </w:r>
    </w:p>
    <w:p w14:paraId="113D6AAA" w14:textId="745A5B9B" w:rsidR="000035FA" w:rsidRPr="00F858B1" w:rsidRDefault="000035FA" w:rsidP="00F858B1">
      <w:pPr>
        <w:pStyle w:val="Sraopastraipa"/>
        <w:numPr>
          <w:ilvl w:val="0"/>
          <w:numId w:val="4"/>
        </w:numPr>
        <w:spacing w:after="0" w:line="240" w:lineRule="auto"/>
        <w:ind w:right="-29"/>
        <w:rPr>
          <w:rFonts w:ascii="Times New Roman" w:eastAsia="Times New Roman" w:hAnsi="Times New Roman" w:cs="Times New Roman"/>
          <w:kern w:val="0"/>
          <w14:ligatures w14:val="none"/>
        </w:rPr>
      </w:pPr>
      <w:r w:rsidRPr="00F858B1">
        <w:rPr>
          <w:rFonts w:ascii="Times New Roman" w:eastAsia="Times New Roman" w:hAnsi="Times New Roman" w:cs="Times New Roman"/>
          <w:kern w:val="0"/>
          <w14:ligatures w14:val="none"/>
        </w:rPr>
        <w:t>Pakuotės turinys ir kita informacija</w:t>
      </w:r>
    </w:p>
    <w:p w14:paraId="7C31AE80"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1900503B"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p>
    <w:p w14:paraId="3C12AA7F" w14:textId="77777777" w:rsidR="000035FA" w:rsidRPr="000035FA" w:rsidRDefault="000035FA" w:rsidP="000035FA">
      <w:pPr>
        <w:keepNext/>
        <w:keepLines/>
        <w:tabs>
          <w:tab w:val="left" w:pos="567"/>
        </w:tab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1.</w:t>
      </w:r>
      <w:r w:rsidRPr="000035FA">
        <w:rPr>
          <w:rFonts w:ascii="Times New Roman" w:eastAsia="Times New Roman" w:hAnsi="Times New Roman" w:cs="Times New Roman"/>
          <w:b/>
          <w:kern w:val="0"/>
          <w14:ligatures w14:val="none"/>
        </w:rPr>
        <w:tab/>
        <w:t>Kas yra Ducressa ir kam jis vartojamas</w:t>
      </w:r>
    </w:p>
    <w:p w14:paraId="3323936B" w14:textId="77777777" w:rsidR="000035FA" w:rsidRPr="000035FA" w:rsidRDefault="000035FA" w:rsidP="000035FA">
      <w:pPr>
        <w:keepNext/>
        <w:keepLines/>
        <w:numPr>
          <w:ilvl w:val="12"/>
          <w:numId w:val="0"/>
        </w:numPr>
        <w:spacing w:after="0" w:line="240" w:lineRule="auto"/>
        <w:rPr>
          <w:rFonts w:ascii="Times New Roman" w:eastAsia="Times New Roman" w:hAnsi="Times New Roman" w:cs="Times New Roman"/>
          <w:kern w:val="0"/>
          <w14:ligatures w14:val="none"/>
        </w:rPr>
      </w:pPr>
    </w:p>
    <w:p w14:paraId="76DB3C12" w14:textId="77777777" w:rsidR="000035FA" w:rsidRPr="000035FA" w:rsidRDefault="000035FA" w:rsidP="000035FA">
      <w:pPr>
        <w:keepNext/>
        <w:keepLine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bCs/>
          <w:kern w:val="0"/>
          <w14:ligatures w14:val="none"/>
        </w:rPr>
        <w:t>Kokio tipo vaistas tai yra ir kaip jis veikia</w:t>
      </w:r>
    </w:p>
    <w:p w14:paraId="539C7453"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Ducressa yra akių lašų tirpalas, kurio sudėtyje yra levofloksacino ir deksametazono. </w:t>
      </w:r>
    </w:p>
    <w:p w14:paraId="342782AC"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Levofloksacinas – tai fluorochinolonų (sutrumpintas pavadinimas – chinolonai) grupės antibiotikas. Jis veikia naikindamas kai kurias infekciją galinčias sukelti bakterijų rūšis.</w:t>
      </w:r>
    </w:p>
    <w:p w14:paraId="6ACCD740"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Deksametazonas yra uždegimą malšinantis kortikosteroidas (slopinantis tokius simptomus, kaip skausmas, karštis, tinimas ir paraudimas).</w:t>
      </w:r>
    </w:p>
    <w:p w14:paraId="4F6A9920"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47814999" w14:textId="77777777" w:rsidR="000035FA" w:rsidRPr="000035FA" w:rsidRDefault="000035FA" w:rsidP="000035FA">
      <w:pPr>
        <w:keepNext/>
        <w:keepLine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b/>
          <w:bCs/>
          <w:kern w:val="0"/>
          <w14:ligatures w14:val="none"/>
        </w:rPr>
        <w:t>Kam skirtas Jūsų vaistas</w:t>
      </w:r>
    </w:p>
    <w:p w14:paraId="45F15EC7"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Ducressa vartojamas suaugusiesiems uždegimo profilaktikai ir gydymui bei po kataraktos operacijos galimos akies infekcijos profilaktikai.</w:t>
      </w:r>
    </w:p>
    <w:p w14:paraId="57CDDD38"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0FACA0E3"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6CA4DB63" w14:textId="77777777" w:rsidR="000035FA" w:rsidRPr="000035FA" w:rsidRDefault="000035FA" w:rsidP="000035FA">
      <w:pPr>
        <w:keepNext/>
        <w:keepLines/>
        <w:tabs>
          <w:tab w:val="left" w:pos="567"/>
        </w:tab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2.</w:t>
      </w:r>
      <w:r w:rsidRPr="000035FA">
        <w:rPr>
          <w:rFonts w:ascii="Times New Roman" w:eastAsia="Times New Roman" w:hAnsi="Times New Roman" w:cs="Times New Roman"/>
          <w:b/>
          <w:kern w:val="0"/>
          <w14:ligatures w14:val="none"/>
        </w:rPr>
        <w:tab/>
        <w:t>Kas žinotina prieš vartojant Ducressa</w:t>
      </w:r>
    </w:p>
    <w:p w14:paraId="0B814447" w14:textId="77777777" w:rsidR="000035FA" w:rsidRPr="000035FA" w:rsidRDefault="000035FA" w:rsidP="000035FA">
      <w:pPr>
        <w:keepNext/>
        <w:keepLines/>
        <w:numPr>
          <w:ilvl w:val="12"/>
          <w:numId w:val="0"/>
        </w:numPr>
        <w:spacing w:after="0" w:line="240" w:lineRule="auto"/>
        <w:outlineLvl w:val="0"/>
        <w:rPr>
          <w:rFonts w:ascii="Times New Roman" w:eastAsia="Times New Roman" w:hAnsi="Times New Roman" w:cs="Times New Roman"/>
          <w:i/>
          <w:kern w:val="0"/>
          <w14:ligatures w14:val="none"/>
        </w:rPr>
      </w:pPr>
    </w:p>
    <w:p w14:paraId="79250D10" w14:textId="77777777" w:rsidR="000035FA" w:rsidRPr="000035FA" w:rsidRDefault="000035FA" w:rsidP="000035FA">
      <w:pPr>
        <w:keepNext/>
        <w:keepLines/>
        <w:tabs>
          <w:tab w:val="left" w:pos="567"/>
        </w:tab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Ducressa vartoti draudžiama:</w:t>
      </w:r>
    </w:p>
    <w:p w14:paraId="1D7324A3"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jeigu yra alergija levofloksacinui (ar kitiems chinolonams), deksametazonui (ar kitiems kortikosteroidams) arba bet kuriai pagalbinei šio vaisto medžiagai (jos išvardytos 6 skyriuje);</w:t>
      </w:r>
    </w:p>
    <w:p w14:paraId="65514493"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sergate akių infekcine liga, kuri negydoma vaistais, įskaitant virusines infekcijas (pavyzdžiui, </w:t>
      </w:r>
      <w:r w:rsidRPr="000035FA">
        <w:rPr>
          <w:rFonts w:ascii="Times New Roman" w:eastAsia="Times New Roman" w:hAnsi="Times New Roman" w:cs="Times New Roman"/>
          <w:i/>
          <w:iCs/>
          <w:kern w:val="0"/>
          <w14:ligatures w14:val="none"/>
        </w:rPr>
        <w:t>herpes simplex</w:t>
      </w:r>
      <w:r w:rsidRPr="000035FA">
        <w:rPr>
          <w:rFonts w:ascii="Times New Roman" w:eastAsia="Times New Roman" w:hAnsi="Times New Roman" w:cs="Times New Roman"/>
          <w:kern w:val="0"/>
          <w14:ligatures w14:val="none"/>
        </w:rPr>
        <w:t xml:space="preserve"> keratitas ar vėjaraupiai), grybelines infekcijas bei akių tuberkuliozę. </w:t>
      </w:r>
    </w:p>
    <w:p w14:paraId="79C0A08D"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Infekcijos požymiai gali būti lipnios išskyros iš akies arba gydytojo neįvertintas akies paraudimas.</w:t>
      </w:r>
    </w:p>
    <w:p w14:paraId="6DDC49AA"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p>
    <w:p w14:paraId="3702F61F" w14:textId="77777777" w:rsidR="000035FA" w:rsidRPr="000035FA" w:rsidRDefault="000035FA" w:rsidP="000035FA">
      <w:pPr>
        <w:keepNext/>
        <w:keepLine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Įspėjimai ir atsargumo priemonės</w:t>
      </w:r>
      <w:r w:rsidRPr="000035FA">
        <w:rPr>
          <w:rFonts w:ascii="Times New Roman" w:eastAsia="Times New Roman" w:hAnsi="Times New Roman" w:cs="Times New Roman"/>
          <w:kern w:val="0"/>
          <w14:ligatures w14:val="none"/>
        </w:rPr>
        <w:t xml:space="preserve"> </w:t>
      </w:r>
    </w:p>
    <w:p w14:paraId="07A8C461" w14:textId="77777777" w:rsidR="000035FA" w:rsidRPr="000035FA" w:rsidRDefault="000035FA" w:rsidP="000035FA">
      <w:pPr>
        <w:keepNext/>
        <w:keepLine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Pasitarkite su gydytoju, prieš pradėdami vartoti Ducressa.</w:t>
      </w:r>
    </w:p>
    <w:p w14:paraId="70826ACB" w14:textId="77777777" w:rsidR="000035FA" w:rsidRPr="000035FA" w:rsidRDefault="000035FA" w:rsidP="000035FA">
      <w:pPr>
        <w:keepNext/>
        <w:keepLines/>
        <w:spacing w:after="0" w:line="240" w:lineRule="auto"/>
        <w:rPr>
          <w:rFonts w:ascii="Times New Roman" w:eastAsia="Times New Roman" w:hAnsi="Times New Roman" w:cs="Times New Roman"/>
          <w:kern w:val="0"/>
          <w14:ligatures w14:val="none"/>
        </w:rPr>
      </w:pPr>
    </w:p>
    <w:p w14:paraId="5647D85E"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Jums yra skirtas gydymas kitais antibiotikais, įskaitant geriamuosius antibiotikus. Kaip ir skiriant kitus vaistus nuo infekcijos, dėl ilgo vartojimo gali išsivystyti atsparumas antibiotikams, skatinantis patogeninių mikroorganizmų dauginimąsi.</w:t>
      </w:r>
    </w:p>
    <w:p w14:paraId="1D447A46"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lastRenderedPageBreak/>
        <w:t>Jei Jums yra padidėjęs akispūdis arba jau yra buvęs aukštas akispūdis po steroidinių vaistų akims vartojimo. Vartojant Ducressa, yra rizika, kad akispūdis vėl padidės. Jei yra padidėjęs akispūdis, praneškite apie tai gydytojui.</w:t>
      </w:r>
    </w:p>
    <w:p w14:paraId="67138706"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sergate glaukoma.</w:t>
      </w:r>
    </w:p>
    <w:p w14:paraId="732FE8D6"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pasireiškia regėjimo sutrikimas ar neryškus matymas.</w:t>
      </w:r>
    </w:p>
    <w:p w14:paraId="10045D05"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vartojate nesteroidinius vaistus nuo uždegimo, žr. skyrių „Kiti vaistai ir Ducressa“.</w:t>
      </w:r>
    </w:p>
    <w:p w14:paraId="12714549"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dėl sutrikimo plonėja akies audiniai, nes ilgas gydymas steroidais gali paskatinti tolesnį plonėjimą ir galimą perforaciją.</w:t>
      </w:r>
    </w:p>
    <w:p w14:paraId="1E7BCB67"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sergate cukriniu diabetu. </w:t>
      </w:r>
    </w:p>
    <w:p w14:paraId="0E36E5A5" w14:textId="77777777" w:rsidR="000035FA" w:rsidRPr="000035FA" w:rsidRDefault="000035FA" w:rsidP="000035FA">
      <w:pPr>
        <w:tabs>
          <w:tab w:val="left" w:pos="567"/>
        </w:tabs>
        <w:spacing w:after="0" w:line="240" w:lineRule="auto"/>
        <w:rPr>
          <w:rFonts w:ascii="Times New Roman" w:eastAsia="Times New Roman" w:hAnsi="Times New Roman" w:cs="Times New Roman"/>
          <w:kern w:val="0"/>
          <w14:ligatures w14:val="none"/>
        </w:rPr>
      </w:pPr>
    </w:p>
    <w:p w14:paraId="6B149965" w14:textId="77777777" w:rsidR="000035FA" w:rsidRPr="000035FA" w:rsidRDefault="000035FA" w:rsidP="000035FA">
      <w:pPr>
        <w:keepNext/>
        <w:keepLines/>
        <w:tabs>
          <w:tab w:val="left" w:pos="567"/>
        </w:tabs>
        <w:spacing w:after="0" w:line="240" w:lineRule="auto"/>
        <w:rPr>
          <w:rFonts w:ascii="Times New Roman" w:eastAsia="Times New Roman" w:hAnsi="Times New Roman" w:cs="Times New Roman"/>
          <w:b/>
          <w:bCs/>
          <w:kern w:val="0"/>
          <w14:ligatures w14:val="none"/>
        </w:rPr>
      </w:pPr>
      <w:r w:rsidRPr="000035FA">
        <w:rPr>
          <w:rFonts w:ascii="Times New Roman" w:eastAsia="Times New Roman" w:hAnsi="Times New Roman" w:cs="Times New Roman"/>
          <w:b/>
          <w:bCs/>
          <w:kern w:val="0"/>
          <w14:ligatures w14:val="none"/>
        </w:rPr>
        <w:t>Svarbi informacija, jei nešiojate kontaktinius lęšius</w:t>
      </w:r>
    </w:p>
    <w:p w14:paraId="104DA936" w14:textId="77777777" w:rsidR="000035FA" w:rsidRPr="000035FA" w:rsidRDefault="000035FA" w:rsidP="000035FA">
      <w:p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Po kataraktos operacijos visu gydymo Ducressa laikotarpiu neturėtumėte nešioti kontaktinių lęšių.</w:t>
      </w:r>
    </w:p>
    <w:p w14:paraId="0E61374A"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p>
    <w:p w14:paraId="4292CDFA" w14:textId="77777777" w:rsidR="000035FA" w:rsidRPr="000035FA" w:rsidRDefault="000035FA" w:rsidP="000035FA">
      <w:pPr>
        <w:keepNext/>
        <w:keepLines/>
        <w:spacing w:after="0" w:line="240" w:lineRule="auto"/>
        <w:rPr>
          <w:rFonts w:ascii="Times New Roman" w:eastAsia="Times New Roman" w:hAnsi="Times New Roman" w:cs="Times New Roman"/>
          <w:b/>
          <w:bCs/>
          <w:kern w:val="0"/>
          <w14:ligatures w14:val="none"/>
        </w:rPr>
      </w:pPr>
      <w:r w:rsidRPr="000035FA">
        <w:rPr>
          <w:rFonts w:ascii="Times New Roman" w:eastAsia="Times New Roman" w:hAnsi="Times New Roman" w:cs="Times New Roman"/>
          <w:b/>
          <w:bCs/>
          <w:kern w:val="0"/>
          <w14:ligatures w14:val="none"/>
        </w:rPr>
        <w:t>Vaikams ir paaugliams</w:t>
      </w:r>
    </w:p>
    <w:p w14:paraId="14F4BD39"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Ducressa nerekomenduojama vartoti vaikams ir jaunesniems kaip 18 metų paaugliams, nes nėra pakankamai duomenų apie saugumą ir veiksmingumą šioje grupėje.</w:t>
      </w:r>
    </w:p>
    <w:p w14:paraId="0C0BFF8A" w14:textId="77777777" w:rsidR="000035FA" w:rsidRPr="000035FA" w:rsidRDefault="000035FA" w:rsidP="000035FA">
      <w:pPr>
        <w:spacing w:after="0" w:line="240" w:lineRule="auto"/>
        <w:rPr>
          <w:rFonts w:ascii="Times New Roman" w:eastAsia="Times New Roman" w:hAnsi="Times New Roman" w:cs="Times New Roman"/>
          <w:kern w:val="0"/>
          <w14:ligatures w14:val="none"/>
        </w:rPr>
      </w:pPr>
    </w:p>
    <w:p w14:paraId="4356FDB7"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Kiti vaistai ir Ducressa</w:t>
      </w:r>
      <w:r w:rsidRPr="000035FA">
        <w:rPr>
          <w:rFonts w:ascii="Times New Roman" w:eastAsia="Times New Roman" w:hAnsi="Times New Roman" w:cs="Times New Roman"/>
          <w:kern w:val="0"/>
          <w14:ligatures w14:val="none"/>
        </w:rPr>
        <w:t xml:space="preserve"> </w:t>
      </w:r>
    </w:p>
    <w:p w14:paraId="7B50323D"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Pasakykite gydytojui arba vaistininkui </w:t>
      </w:r>
    </w:p>
    <w:p w14:paraId="4EA4496B" w14:textId="77777777" w:rsidR="000035FA" w:rsidRPr="000035FA" w:rsidRDefault="000035FA" w:rsidP="000035FA">
      <w:pPr>
        <w:numPr>
          <w:ilvl w:val="0"/>
          <w:numId w:val="1"/>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jeigu vartojate ar neseniai vartojote kitų vaistų arba dėl to nesate tikri, įskaitant įsigytus be recepto; </w:t>
      </w:r>
    </w:p>
    <w:p w14:paraId="0FA16012" w14:textId="77777777" w:rsidR="000035FA" w:rsidRPr="000035FA" w:rsidRDefault="000035FA" w:rsidP="000035FA">
      <w:pPr>
        <w:numPr>
          <w:ilvl w:val="0"/>
          <w:numId w:val="1"/>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prieš pradėdami vartoti Ducressa vartojate kitus akių lašus ar akių tepalą (žr. 3 skyrių „Kaip vartoti Ducressa“);</w:t>
      </w:r>
    </w:p>
    <w:p w14:paraId="3CEF4FFB" w14:textId="77777777" w:rsidR="000035FA" w:rsidRPr="000035FA" w:rsidRDefault="000035FA" w:rsidP="000035FA">
      <w:pPr>
        <w:numPr>
          <w:ilvl w:val="0"/>
          <w:numId w:val="1"/>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vartojate akims skirtus nesteroidinius vaistus nuo uždegimo (vartojamus nuo skausmo ir akies uždegimo), pvz., ketorolaką, diklofenaką, bromfenaką ir nepafenaką. Kartu vartojant steroidinius ir nesteroidinius vaistus nuo uždegimo, gali atsirasti akies gijimo problemų; </w:t>
      </w:r>
    </w:p>
    <w:p w14:paraId="43DC27ED" w14:textId="77777777" w:rsidR="000035FA" w:rsidRPr="000035FA" w:rsidRDefault="000035FA" w:rsidP="000035FA">
      <w:pPr>
        <w:numPr>
          <w:ilvl w:val="0"/>
          <w:numId w:val="1"/>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vartojate ritonavirą ar kobicistatą (ŽIV gydyti), nes šie vaistai gali padidinti deksametazono kiekį kraujyje; </w:t>
      </w:r>
    </w:p>
    <w:p w14:paraId="6FF47D78" w14:textId="77777777" w:rsidR="000035FA" w:rsidRPr="000035FA" w:rsidRDefault="000035FA" w:rsidP="000035FA">
      <w:pPr>
        <w:numPr>
          <w:ilvl w:val="0"/>
          <w:numId w:val="1"/>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vartojate probenecidą (podagrai gydyti), cimetidiną (skrandžio opai gydyti) ir ciklosporiną (norint išvengti persodinto organo atmetimo), nes šie vaistai gali pakeisti levofloksacino absorbciją ir metabolizmą. </w:t>
      </w:r>
    </w:p>
    <w:p w14:paraId="117E64A6"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38E7F81E" w14:textId="77777777" w:rsidR="000035FA" w:rsidRPr="000035FA" w:rsidRDefault="000035FA" w:rsidP="000035FA">
      <w:pPr>
        <w:keepNext/>
        <w:keepLines/>
        <w:numPr>
          <w:ilvl w:val="12"/>
          <w:numId w:val="0"/>
        </w:numPr>
        <w:spacing w:after="0" w:line="240" w:lineRule="auto"/>
        <w:ind w:right="-2"/>
        <w:outlineLvl w:val="0"/>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Nėštumas ir žindymo laikotarpis</w:t>
      </w:r>
    </w:p>
    <w:p w14:paraId="36265923"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 Nėštumo arba žindymo laikotarpiu Ducressa vartoti negalima.</w:t>
      </w:r>
    </w:p>
    <w:p w14:paraId="78365D11"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p>
    <w:p w14:paraId="589D4EB5" w14:textId="77777777" w:rsidR="000035FA" w:rsidRPr="000035FA" w:rsidRDefault="000035FA" w:rsidP="000035FA">
      <w:pPr>
        <w:keepNext/>
        <w:keepLines/>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Vairavimas ir mechanizmų valdymas</w:t>
      </w:r>
    </w:p>
    <w:p w14:paraId="25E16792"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pavartojus šio vaisto kurį laiką pasireiškia neryškus matymas, nevairuokite ir nevaldykite mechanizmų, kol matymas nebus ryškus.</w:t>
      </w:r>
    </w:p>
    <w:p w14:paraId="534F2281"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bCs/>
          <w:kern w:val="0"/>
          <w14:ligatures w14:val="none"/>
        </w:rPr>
      </w:pPr>
    </w:p>
    <w:p w14:paraId="1DEBA03B"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Ducressa sudėtyje yra fosfatinio buferio</w:t>
      </w:r>
    </w:p>
    <w:p w14:paraId="736ECA74"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Kiekviename šio vaisto mililitre yra 4,01 mg fosfatų, tai atitinka 0,12 mg viename laše. </w:t>
      </w:r>
    </w:p>
    <w:p w14:paraId="7C59A7DE"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1689E6DD" w14:textId="77777777" w:rsidR="000035FA" w:rsidRPr="000035FA" w:rsidRDefault="000035FA" w:rsidP="000035FA">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bookmarkStart w:id="0" w:name="_Hlk27996210"/>
    </w:p>
    <w:p w14:paraId="436A5F76" w14:textId="77777777" w:rsidR="000035FA" w:rsidRPr="000035FA" w:rsidRDefault="000035FA" w:rsidP="000035FA">
      <w:pPr>
        <w:keepNext/>
        <w:keepLines/>
        <w:numPr>
          <w:ilvl w:val="12"/>
          <w:numId w:val="0"/>
        </w:numPr>
        <w:tabs>
          <w:tab w:val="left" w:pos="567"/>
        </w:tabs>
        <w:spacing w:after="0" w:line="240" w:lineRule="auto"/>
        <w:ind w:right="-2"/>
        <w:rPr>
          <w:rFonts w:ascii="Times New Roman" w:eastAsia="Times New Roman" w:hAnsi="Times New Roman" w:cs="Times New Roman"/>
          <w:b/>
          <w:bCs/>
          <w:kern w:val="0"/>
          <w14:ligatures w14:val="none"/>
        </w:rPr>
      </w:pPr>
      <w:r w:rsidRPr="000035FA">
        <w:rPr>
          <w:rFonts w:ascii="Times New Roman" w:eastAsia="Times New Roman" w:hAnsi="Times New Roman" w:cs="Times New Roman"/>
          <w:b/>
          <w:bCs/>
          <w:kern w:val="0"/>
          <w14:ligatures w14:val="none"/>
        </w:rPr>
        <w:t>Ducressa sudėtyje yra benzalkonio chlorido</w:t>
      </w:r>
    </w:p>
    <w:p w14:paraId="62DD0E07" w14:textId="77777777" w:rsidR="000035FA" w:rsidRPr="000035FA" w:rsidRDefault="000035FA" w:rsidP="000035FA">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Kiekviename šio vaisto mililitre yra 0,05 mg benzalkonio chlorido, tai atitinka 0,0015 mg viename laše. </w:t>
      </w:r>
    </w:p>
    <w:p w14:paraId="55700C6A" w14:textId="77777777" w:rsidR="000035FA" w:rsidRPr="000035FA" w:rsidRDefault="000035FA" w:rsidP="000035FA">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46993199" w14:textId="77777777" w:rsidR="000035FA" w:rsidRPr="000035FA" w:rsidRDefault="000035FA" w:rsidP="000035FA">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bookmarkEnd w:id="0"/>
    <w:p w14:paraId="7E10946B"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5D1AC4E8"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6700D1D2" w14:textId="77777777" w:rsidR="000035FA" w:rsidRPr="000035FA" w:rsidRDefault="000035FA" w:rsidP="000035FA">
      <w:pPr>
        <w:keepNext/>
        <w:keepLines/>
        <w:tabs>
          <w:tab w:val="left" w:pos="567"/>
        </w:tab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lastRenderedPageBreak/>
        <w:t>3.</w:t>
      </w:r>
      <w:r w:rsidRPr="000035FA">
        <w:rPr>
          <w:rFonts w:ascii="Times New Roman" w:eastAsia="Times New Roman" w:hAnsi="Times New Roman" w:cs="Times New Roman"/>
          <w:b/>
          <w:kern w:val="0"/>
          <w14:ligatures w14:val="none"/>
        </w:rPr>
        <w:tab/>
        <w:t>Kaip vartoti Ducressa</w:t>
      </w:r>
    </w:p>
    <w:p w14:paraId="257E4174"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kern w:val="0"/>
          <w14:ligatures w14:val="none"/>
        </w:rPr>
      </w:pPr>
    </w:p>
    <w:p w14:paraId="77A1C2A6"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Visada vartokite šį vaistą tiksliai kaip nurodė gydytojas arba vaistininkas. Jeigu abejojate, kreipkitės į gydytoją arba vaistininką.</w:t>
      </w:r>
    </w:p>
    <w:p w14:paraId="13B54D66"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2D66F588"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Rekomenduojama dozė yra 1 lašas ant paveiktos akies kas 6 valandas. Didžiausia dozė yra 4 lašai per parą. Įprasta gydymo Ducressa trukmė yra 7 dienos, po kurių, jei gydytojas mano, kad tai yra reikalinga, gydymas steroidiniais akių lašais tęsiamas dar 7 dienas.</w:t>
      </w:r>
    </w:p>
    <w:p w14:paraId="61E63414"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Gydytojas patars, kiek laiko vartoti lašus. </w:t>
      </w:r>
    </w:p>
    <w:p w14:paraId="5768BCA7"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Jeigu vartojate kitus akims skirtus vaistus, prieš vartodami kitos rūšies akių lašus turite palaukti bent 15 minučių. Akių tepalą reikia vartoti paskutinį.</w:t>
      </w:r>
    </w:p>
    <w:p w14:paraId="681A4741"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532C7ABA" w14:textId="77777777" w:rsidR="000035FA" w:rsidRPr="000035FA" w:rsidRDefault="000035FA" w:rsidP="000035FA">
      <w:pPr>
        <w:keepNext/>
        <w:keepLines/>
        <w:numPr>
          <w:ilvl w:val="12"/>
          <w:numId w:val="0"/>
        </w:numPr>
        <w:spacing w:after="0" w:line="240" w:lineRule="auto"/>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Kaip vartoti</w:t>
      </w:r>
    </w:p>
    <w:p w14:paraId="6C6D23E9"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Jei galite, paprašykite, kad lašus Jums įlašintų kas nors kitas. Paprašykite, kad prieš lašindamas vaistus asmuo kartu su Jumis perskaitytų šias instrukcijas. </w:t>
      </w:r>
    </w:p>
    <w:p w14:paraId="32078287"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p>
    <w:p w14:paraId="652749A3"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1) Kruopščiai nusiplaukite rankas (1 pav.). </w:t>
      </w:r>
    </w:p>
    <w:p w14:paraId="2F40CED4" w14:textId="77777777" w:rsidR="000035FA" w:rsidRPr="000035FA" w:rsidRDefault="000035FA" w:rsidP="000035FA">
      <w:pPr>
        <w:tabs>
          <w:tab w:val="left" w:pos="567"/>
        </w:tabs>
        <w:autoSpaceDE w:val="0"/>
        <w:autoSpaceDN w:val="0"/>
        <w:adjustRightInd w:val="0"/>
        <w:spacing w:after="0" w:line="240" w:lineRule="auto"/>
        <w:rPr>
          <w:rFonts w:ascii="Times New Roman" w:eastAsia="Times New Roman" w:hAnsi="Times New Roman" w:cs="Times New Roman"/>
          <w:b/>
          <w:bCs/>
          <w:kern w:val="0"/>
          <w14:ligatures w14:val="none"/>
        </w:rPr>
      </w:pPr>
      <w:r w:rsidRPr="000035FA">
        <w:rPr>
          <w:rFonts w:ascii="Times New Roman" w:eastAsia="Times New Roman" w:hAnsi="Times New Roman" w:cs="Times New Roman"/>
          <w:kern w:val="0"/>
          <w14:ligatures w14:val="none"/>
        </w:rPr>
        <w:t xml:space="preserve">2) Atidarykite buteliuką. </w:t>
      </w:r>
      <w:r w:rsidRPr="000035FA">
        <w:rPr>
          <w:rFonts w:ascii="Times New Roman" w:eastAsia="Times New Roman" w:hAnsi="Times New Roman" w:cs="Times New Roman"/>
          <w:b/>
          <w:bCs/>
          <w:kern w:val="0"/>
          <w14:ligatures w14:val="none"/>
        </w:rPr>
        <w:t>Pirmą kartą atidarę buteliuką nuimkite nuo dangtelio atsilaisvinusį žiedą.</w:t>
      </w:r>
    </w:p>
    <w:p w14:paraId="644B61F9"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Ypač saugokite, kad lašintuvo galiukas nepaliestų akies, odos aplink akis ar pirštų.</w:t>
      </w:r>
    </w:p>
    <w:p w14:paraId="3AFA67D2"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3) Atsukite buteliuko dangtelį. Laikykite žemyn nukreiptą buteliuką nykščiu ir kitais pirštais. </w:t>
      </w:r>
    </w:p>
    <w:p w14:paraId="336DBF61"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4) Pirštu atitraukite apatinį akies voką, kad tarp jo ir akies susidarytų „kišenė“. Į jį pateks lašas (2 pav.).</w:t>
      </w:r>
    </w:p>
    <w:p w14:paraId="1453A8C9"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5) Atloškite galvą, priartinkite buteliuko antgalį prie akies ir švelniai paspauskite buteliuką per vidurį, kad lašas įlašėtų ant akies (3 pav.). Atkreipkite dėmesį, kad tarp paspaudimo ir lašo pasirodymo gali praeiti kelios sekundės. Nespauskite per stipriai.</w:t>
      </w:r>
    </w:p>
    <w:p w14:paraId="687ED180" w14:textId="77777777" w:rsidR="000035FA" w:rsidRPr="000035FA" w:rsidRDefault="000035FA" w:rsidP="000035FA">
      <w:p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6) Sulašinę Ducressa, akies kampą prie nosies prispauskite pirštu. Taip vaistas nepateks į kitas organizmo dalis (4 pav.).</w:t>
      </w:r>
    </w:p>
    <w:p w14:paraId="64381B53" w14:textId="77777777" w:rsidR="000035FA" w:rsidRPr="000035FA" w:rsidRDefault="000035FA" w:rsidP="000035FA">
      <w:pPr>
        <w:tabs>
          <w:tab w:val="left" w:pos="567"/>
        </w:tabs>
        <w:spacing w:after="0" w:line="240" w:lineRule="auto"/>
        <w:rPr>
          <w:rFonts w:ascii="Times New Roman" w:eastAsia="Times New Roman" w:hAnsi="Times New Roman" w:cs="Times New Roman"/>
          <w:kern w:val="0"/>
          <w14:ligatures w14:val="none"/>
        </w:rPr>
      </w:pPr>
    </w:p>
    <w:p w14:paraId="577D3AB5"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noProof/>
          <w:kern w:val="0"/>
          <w:lang w:eastAsia="lt-LT"/>
          <w14:ligatures w14:val="none"/>
        </w:rPr>
        <w:drawing>
          <wp:inline distT="0" distB="0" distL="0" distR="0" wp14:anchorId="361129D6" wp14:editId="4B7ED753">
            <wp:extent cx="5106488" cy="1206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5182" cy="1321963"/>
                    </a:xfrm>
                    <a:prstGeom prst="rect">
                      <a:avLst/>
                    </a:prstGeom>
                    <a:noFill/>
                    <a:ln>
                      <a:noFill/>
                    </a:ln>
                  </pic:spPr>
                </pic:pic>
              </a:graphicData>
            </a:graphic>
          </wp:inline>
        </w:drawing>
      </w:r>
    </w:p>
    <w:p w14:paraId="7A421FBF"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p>
    <w:p w14:paraId="55C8D51A"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lašas nepataikė ant akies, pabandykite dar kartą. Po vartojimo iš karto tvirtai uždarykite buteliuką dangteliu.</w:t>
      </w:r>
    </w:p>
    <w:p w14:paraId="14A423E2"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p>
    <w:p w14:paraId="78015BFB" w14:textId="77777777" w:rsidR="000035FA" w:rsidRPr="000035FA" w:rsidRDefault="000035FA" w:rsidP="000035FA">
      <w:pPr>
        <w:keepNext/>
        <w:keepLines/>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Ką daryti pavartojus per didelę Ducressa dozę?</w:t>
      </w:r>
    </w:p>
    <w:p w14:paraId="6732A5F1"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i/>
          <w:kern w:val="0"/>
          <w14:ligatures w14:val="none"/>
        </w:rPr>
      </w:pPr>
      <w:r w:rsidRPr="000035FA">
        <w:rPr>
          <w:rFonts w:ascii="Times New Roman" w:eastAsia="Times New Roman" w:hAnsi="Times New Roman" w:cs="Times New Roman"/>
          <w:kern w:val="0"/>
          <w14:ligatures w14:val="none"/>
        </w:rPr>
        <w:t>Jei pavartojate per didelę šio vaisto dozę, jį galima išskalauti šiltu vandeniu.</w:t>
      </w:r>
    </w:p>
    <w:p w14:paraId="1D14EED6" w14:textId="77777777"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bCs/>
          <w:kern w:val="0"/>
          <w14:ligatures w14:val="none"/>
        </w:rPr>
      </w:pPr>
    </w:p>
    <w:p w14:paraId="471B4AE1" w14:textId="77777777" w:rsidR="000035FA" w:rsidRPr="000035FA" w:rsidRDefault="000035FA" w:rsidP="000035FA">
      <w:pPr>
        <w:keepNext/>
        <w:keepLines/>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 xml:space="preserve">Pamiršus pavartoti Ducressa </w:t>
      </w:r>
    </w:p>
    <w:p w14:paraId="7D1469FC"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pamiršote pavartoti šio vaisto, nesijaudinkite, o pavartokite iš karto, kai bus įmanoma. Negalima vartoti dvigubos dozės norint kompensuoti praleistą dozę.</w:t>
      </w:r>
    </w:p>
    <w:p w14:paraId="1332D6FF"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206E9E39" w14:textId="77777777" w:rsidR="000035FA" w:rsidRPr="000035FA" w:rsidRDefault="000035FA" w:rsidP="000035FA">
      <w:pPr>
        <w:keepNext/>
        <w:keepLines/>
        <w:numPr>
          <w:ilvl w:val="12"/>
          <w:numId w:val="0"/>
        </w:numPr>
        <w:spacing w:after="0" w:line="240" w:lineRule="auto"/>
        <w:ind w:right="-2"/>
        <w:outlineLvl w:val="0"/>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 xml:space="preserve">Nustojus vartoti Ducressa </w:t>
      </w:r>
    </w:p>
    <w:p w14:paraId="4EB8C347"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Jei nustojote vartoti šį vaistą anksčiau, nei nurodyta, pasakykite apie tai gydytojui. Jeigu kiltų daugiau klausimų dėl šio vaisto vartojimo, kreipkitės į gydytoją arba vaistininką.</w:t>
      </w:r>
    </w:p>
    <w:p w14:paraId="21285B14"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p>
    <w:p w14:paraId="243AD167"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p>
    <w:p w14:paraId="7F802CAA" w14:textId="77777777" w:rsidR="000035FA" w:rsidRPr="000035FA" w:rsidRDefault="000035FA" w:rsidP="000035FA">
      <w:pPr>
        <w:keepNext/>
        <w:keepLines/>
        <w:numPr>
          <w:ilvl w:val="12"/>
          <w:numId w:val="0"/>
        </w:numPr>
        <w:spacing w:after="0" w:line="240" w:lineRule="auto"/>
        <w:ind w:left="567" w:right="-2" w:hanging="567"/>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lastRenderedPageBreak/>
        <w:t>4.</w:t>
      </w:r>
      <w:r w:rsidRPr="000035FA">
        <w:rPr>
          <w:rFonts w:ascii="Times New Roman" w:eastAsia="Times New Roman" w:hAnsi="Times New Roman" w:cs="Times New Roman"/>
          <w:b/>
          <w:kern w:val="0"/>
          <w14:ligatures w14:val="none"/>
        </w:rPr>
        <w:tab/>
        <w:t>Galimas šalutinis poveikis</w:t>
      </w:r>
    </w:p>
    <w:p w14:paraId="733E6433" w14:textId="77777777" w:rsidR="000035FA" w:rsidRPr="000035FA" w:rsidRDefault="000035FA" w:rsidP="000035FA">
      <w:pPr>
        <w:keepNext/>
        <w:keepLines/>
        <w:numPr>
          <w:ilvl w:val="12"/>
          <w:numId w:val="0"/>
        </w:numPr>
        <w:spacing w:after="0" w:line="240" w:lineRule="auto"/>
        <w:rPr>
          <w:rFonts w:ascii="Times New Roman" w:eastAsia="Times New Roman" w:hAnsi="Times New Roman" w:cs="Times New Roman"/>
          <w:kern w:val="0"/>
          <w14:ligatures w14:val="none"/>
        </w:rPr>
      </w:pPr>
    </w:p>
    <w:p w14:paraId="3B96EED7" w14:textId="77777777" w:rsidR="000035FA" w:rsidRPr="000035FA" w:rsidRDefault="000035FA" w:rsidP="000035FA">
      <w:pPr>
        <w:keepNext/>
        <w:keepLines/>
        <w:numPr>
          <w:ilvl w:val="12"/>
          <w:numId w:val="0"/>
        </w:numPr>
        <w:spacing w:after="0" w:line="240" w:lineRule="auto"/>
        <w:ind w:right="-29"/>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Šis vaistas, kaip ir visi kiti, gali sukelti šalutinį poveikį, nors jis pasireiškia ne visiems žmonėms. Paprastai šalutinis poveikis nėra sunkus ir pasireiškia tik akims.</w:t>
      </w:r>
    </w:p>
    <w:p w14:paraId="285580C1" w14:textId="77777777" w:rsidR="000035FA" w:rsidRPr="000035FA" w:rsidRDefault="000035FA" w:rsidP="000035FA">
      <w:pPr>
        <w:keepNext/>
        <w:keepLines/>
        <w:numPr>
          <w:ilvl w:val="12"/>
          <w:numId w:val="0"/>
        </w:numPr>
        <w:spacing w:after="0" w:line="240" w:lineRule="auto"/>
        <w:ind w:right="-29"/>
        <w:rPr>
          <w:rFonts w:ascii="Times New Roman" w:eastAsia="Times New Roman" w:hAnsi="Times New Roman" w:cs="Times New Roman"/>
          <w:kern w:val="0"/>
          <w14:ligatures w14:val="none"/>
        </w:rPr>
      </w:pPr>
    </w:p>
    <w:p w14:paraId="73392D00"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DengXian" w:hAnsi="Times New Roman" w:cs="Times New Roman"/>
          <w:b/>
          <w:bCs/>
          <w:color w:val="000000"/>
          <w:kern w:val="0"/>
          <w14:ligatures w14:val="none"/>
        </w:rPr>
      </w:pPr>
      <w:r w:rsidRPr="000035FA">
        <w:rPr>
          <w:rFonts w:ascii="Times New Roman" w:eastAsia="DengXian" w:hAnsi="Times New Roman" w:cs="Times New Roman"/>
          <w:bCs/>
          <w:color w:val="000000"/>
          <w:kern w:val="0"/>
          <w14:ligatures w14:val="none"/>
        </w:rPr>
        <w:t>Labai retais atvejais šis vaistas gali sukelti sunkias alergines reakcijas (anafilaksines reakcijas), pasireiškiančias tinimu gerklėje ir kvėpavimo sunkumais.</w:t>
      </w:r>
    </w:p>
    <w:p w14:paraId="73803E60"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DengXian" w:hAnsi="Times New Roman" w:cs="Times New Roman"/>
          <w:bCs/>
          <w:color w:val="000000"/>
          <w:kern w:val="0"/>
          <w14:ligatures w14:val="none"/>
        </w:rPr>
      </w:pPr>
      <w:r w:rsidRPr="000035FA">
        <w:rPr>
          <w:rFonts w:ascii="Times New Roman" w:eastAsia="DengXian" w:hAnsi="Times New Roman" w:cs="Times New Roman"/>
          <w:bCs/>
          <w:color w:val="000000"/>
          <w:kern w:val="0"/>
          <w14:ligatures w14:val="none"/>
        </w:rPr>
        <w:t>Jei pasireiškia bet kurie iš šių simptomų, nutraukite Ducressa vartojimą ir nedelsdami kreipkitės į gydytoją.</w:t>
      </w:r>
    </w:p>
    <w:p w14:paraId="19E5DFF0"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DengXian" w:hAnsi="Times New Roman" w:cs="Times New Roman"/>
          <w:bCs/>
          <w:color w:val="000000"/>
          <w:kern w:val="0"/>
          <w14:ligatures w14:val="none"/>
        </w:rPr>
      </w:pPr>
      <w:r w:rsidRPr="000035FA">
        <w:rPr>
          <w:rFonts w:ascii="Times New Roman" w:eastAsia="DengXian" w:hAnsi="Times New Roman" w:cs="Times New Roman"/>
          <w:bCs/>
          <w:color w:val="000000"/>
          <w:kern w:val="0"/>
          <w14:ligatures w14:val="none"/>
        </w:rPr>
        <w:t>Žmonėms, vartojantiems geriamuosius ar į veną leidžiamus fluorochinolonus (ypač senyviems pacientams ir tiems, kurie tuo pačiu metu gydomi kortikosteroidais), gali kilti sausgyslių uždegimas ir plyšimas. Jei patiriate sausgyslių skausmą ar tinimą (sausgyslių uždegimą), nutraukite Ducressa vartojimą.</w:t>
      </w:r>
    </w:p>
    <w:p w14:paraId="22CCC5CB" w14:textId="77777777" w:rsidR="000035FA" w:rsidRPr="000035FA" w:rsidRDefault="000035FA" w:rsidP="000035FA">
      <w:pPr>
        <w:autoSpaceDE w:val="0"/>
        <w:autoSpaceDN w:val="0"/>
        <w:adjustRightInd w:val="0"/>
        <w:spacing w:after="0" w:line="240" w:lineRule="auto"/>
        <w:rPr>
          <w:rFonts w:ascii="Times New Roman" w:eastAsia="DengXian" w:hAnsi="Times New Roman" w:cs="Times New Roman"/>
          <w:bCs/>
          <w:color w:val="000000"/>
          <w:kern w:val="0"/>
          <w14:ligatures w14:val="none"/>
        </w:rPr>
      </w:pPr>
    </w:p>
    <w:p w14:paraId="24CCBACA" w14:textId="77777777" w:rsidR="000035FA" w:rsidRPr="000035FA" w:rsidRDefault="000035FA" w:rsidP="000035FA">
      <w:pPr>
        <w:keepNext/>
        <w:keepLines/>
        <w:autoSpaceDE w:val="0"/>
        <w:autoSpaceDN w:val="0"/>
        <w:adjustRightInd w:val="0"/>
        <w:spacing w:after="0" w:line="240" w:lineRule="auto"/>
        <w:rPr>
          <w:rFonts w:ascii="Times New Roman" w:eastAsia="DengXian" w:hAnsi="Times New Roman" w:cs="Times New Roman"/>
          <w:b/>
          <w:bCs/>
          <w:color w:val="000000"/>
          <w:kern w:val="0"/>
          <w14:ligatures w14:val="none"/>
        </w:rPr>
      </w:pPr>
      <w:r w:rsidRPr="000035FA">
        <w:rPr>
          <w:rFonts w:ascii="Times New Roman" w:eastAsia="DengXian" w:hAnsi="Times New Roman" w:cs="Times New Roman"/>
          <w:b/>
          <w:bCs/>
          <w:color w:val="000000"/>
          <w:kern w:val="0"/>
          <w14:ligatures w14:val="none"/>
        </w:rPr>
        <w:t>Taip pat akyje (-yse) galite patirti kelis arba visus iš toliau nurodytų šalutinių poveikių</w:t>
      </w:r>
    </w:p>
    <w:p w14:paraId="5D269A24" w14:textId="77777777" w:rsidR="000035FA" w:rsidRPr="000035FA" w:rsidRDefault="000035FA" w:rsidP="000035FA">
      <w:pPr>
        <w:keepNext/>
        <w:keepLines/>
        <w:autoSpaceDE w:val="0"/>
        <w:autoSpaceDN w:val="0"/>
        <w:adjustRightInd w:val="0"/>
        <w:spacing w:after="0" w:line="240" w:lineRule="auto"/>
        <w:rPr>
          <w:rFonts w:ascii="Times New Roman" w:eastAsia="DengXian" w:hAnsi="Times New Roman" w:cs="Times New Roman"/>
          <w:color w:val="000000"/>
          <w:kern w:val="0"/>
          <w14:ligatures w14:val="none"/>
        </w:rPr>
      </w:pPr>
    </w:p>
    <w:p w14:paraId="2CF45136" w14:textId="198916E7" w:rsidR="000035FA" w:rsidRPr="000035FA" w:rsidRDefault="00F858B1" w:rsidP="000035FA">
      <w:pPr>
        <w:keepNext/>
        <w:keepLines/>
        <w:autoSpaceDE w:val="0"/>
        <w:autoSpaceDN w:val="0"/>
        <w:adjustRightInd w:val="0"/>
        <w:spacing w:after="0" w:line="240" w:lineRule="auto"/>
        <w:rPr>
          <w:rFonts w:ascii="Times New Roman" w:eastAsia="DengXian" w:hAnsi="Times New Roman" w:cs="Times New Roman"/>
          <w:bCs/>
          <w:color w:val="000000"/>
          <w:kern w:val="0"/>
          <w14:ligatures w14:val="none"/>
        </w:rPr>
      </w:pPr>
      <w:r w:rsidRPr="00F858B1">
        <w:rPr>
          <w:rFonts w:ascii="Times New Roman" w:eastAsia="DengXian" w:hAnsi="Times New Roman" w:cs="Times New Roman"/>
          <w:b/>
          <w:color w:val="000000"/>
          <w:kern w:val="0"/>
          <w14:ligatures w14:val="none"/>
        </w:rPr>
        <w:t xml:space="preserve">Labai dažni šalutinio poveikio reiškiniai </w:t>
      </w:r>
      <w:r w:rsidRPr="00F858B1">
        <w:rPr>
          <w:rFonts w:ascii="Times New Roman" w:eastAsia="DengXian" w:hAnsi="Times New Roman" w:cs="Times New Roman"/>
          <w:bCs/>
          <w:color w:val="000000"/>
          <w:kern w:val="0"/>
          <w14:ligatures w14:val="none"/>
        </w:rPr>
        <w:t>(gali pasireikšti ne rečiau kaip 1 iš 10 asmenų):</w:t>
      </w:r>
    </w:p>
    <w:p w14:paraId="33DC614E" w14:textId="77777777" w:rsidR="000035FA" w:rsidRPr="000035FA" w:rsidRDefault="000035FA" w:rsidP="000035FA">
      <w:pPr>
        <w:numPr>
          <w:ilvl w:val="0"/>
          <w:numId w:val="1"/>
        </w:numPr>
        <w:tabs>
          <w:tab w:val="left" w:pos="567"/>
        </w:tabs>
        <w:spacing w:after="0" w:line="240" w:lineRule="auto"/>
        <w:ind w:right="-29"/>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padidėjęs akispūdis.</w:t>
      </w:r>
    </w:p>
    <w:p w14:paraId="288DBB43" w14:textId="77777777" w:rsidR="000035FA" w:rsidRPr="000035FA" w:rsidRDefault="000035FA" w:rsidP="000035FA">
      <w:pPr>
        <w:autoSpaceDE w:val="0"/>
        <w:autoSpaceDN w:val="0"/>
        <w:adjustRightInd w:val="0"/>
        <w:spacing w:after="0" w:line="240" w:lineRule="auto"/>
        <w:rPr>
          <w:rFonts w:ascii="Times New Roman" w:eastAsia="DengXian" w:hAnsi="Times New Roman" w:cs="Arial"/>
          <w:color w:val="000000"/>
          <w:kern w:val="0"/>
          <w14:ligatures w14:val="none"/>
        </w:rPr>
      </w:pPr>
    </w:p>
    <w:p w14:paraId="6055CF95" w14:textId="06319DB3" w:rsidR="000035FA" w:rsidRPr="000035FA" w:rsidRDefault="00281DDB" w:rsidP="000035FA">
      <w:pPr>
        <w:keepNext/>
        <w:keepLines/>
        <w:autoSpaceDE w:val="0"/>
        <w:autoSpaceDN w:val="0"/>
        <w:adjustRightInd w:val="0"/>
        <w:spacing w:after="0" w:line="240" w:lineRule="auto"/>
        <w:rPr>
          <w:rFonts w:ascii="Times New Roman" w:eastAsia="Times New Roman" w:hAnsi="Times New Roman" w:cs="Times New Roman"/>
          <w:bCs/>
          <w:kern w:val="0"/>
          <w14:ligatures w14:val="none"/>
        </w:rPr>
      </w:pPr>
      <w:r w:rsidRPr="00281DDB">
        <w:rPr>
          <w:rFonts w:ascii="Times New Roman" w:eastAsia="DengXian" w:hAnsi="Times New Roman" w:cs="Times New Roman"/>
          <w:b/>
          <w:color w:val="000000"/>
          <w:kern w:val="0"/>
          <w14:ligatures w14:val="none"/>
        </w:rPr>
        <w:t xml:space="preserve">Dažni šalutinio poveikio reiškiniai </w:t>
      </w:r>
      <w:r w:rsidRPr="00281DDB">
        <w:rPr>
          <w:rFonts w:ascii="Times New Roman" w:eastAsia="DengXian" w:hAnsi="Times New Roman" w:cs="Times New Roman"/>
          <w:bCs/>
          <w:color w:val="000000"/>
          <w:kern w:val="0"/>
          <w14:ligatures w14:val="none"/>
        </w:rPr>
        <w:t>(gali pasireikšti rečiau kaip 1 iš 10 asmenų):</w:t>
      </w:r>
    </w:p>
    <w:p w14:paraId="57096397"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0035FA">
        <w:rPr>
          <w:rFonts w:ascii="Times New Roman" w:eastAsia="DengXian" w:hAnsi="Times New Roman" w:cs="Times New Roman"/>
          <w:kern w:val="0"/>
          <w14:ligatures w14:val="none"/>
        </w:rPr>
        <w:t xml:space="preserve">akies diskomfortas, perštėjimas ar sudirginimas, deginimas, niežėjimas; </w:t>
      </w:r>
    </w:p>
    <w:p w14:paraId="1E3E773E"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0035FA">
        <w:rPr>
          <w:rFonts w:ascii="Times New Roman" w:eastAsia="DengXian" w:hAnsi="Times New Roman" w:cs="Times New Roman"/>
          <w:kern w:val="0"/>
          <w14:ligatures w14:val="none"/>
        </w:rPr>
        <w:t xml:space="preserve">neryškus arba suprastėjęs regėjimas; </w:t>
      </w:r>
    </w:p>
    <w:p w14:paraId="5D7141C4" w14:textId="77777777" w:rsidR="000035FA" w:rsidRPr="000035FA" w:rsidRDefault="000035FA" w:rsidP="000035FA">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0035FA">
        <w:rPr>
          <w:rFonts w:ascii="Times New Roman" w:eastAsia="DengXian" w:hAnsi="Times New Roman" w:cs="Times New Roman"/>
          <w:kern w:val="0"/>
          <w14:ligatures w14:val="none"/>
        </w:rPr>
        <w:t>gleivės akyje.</w:t>
      </w:r>
    </w:p>
    <w:p w14:paraId="5CF4D78A" w14:textId="77777777" w:rsidR="000035FA" w:rsidRPr="000035FA" w:rsidRDefault="000035FA" w:rsidP="000035FA">
      <w:pPr>
        <w:numPr>
          <w:ilvl w:val="12"/>
          <w:numId w:val="0"/>
        </w:numPr>
        <w:spacing w:after="0" w:line="240" w:lineRule="auto"/>
        <w:ind w:right="-29"/>
        <w:rPr>
          <w:rFonts w:ascii="Times New Roman" w:eastAsia="Times New Roman" w:hAnsi="Times New Roman" w:cs="Times New Roman"/>
          <w:kern w:val="0"/>
          <w14:ligatures w14:val="none"/>
        </w:rPr>
      </w:pPr>
    </w:p>
    <w:p w14:paraId="37FDB315" w14:textId="507122D1" w:rsidR="000035FA" w:rsidRPr="000035FA" w:rsidRDefault="002D7FCD" w:rsidP="000035FA">
      <w:pPr>
        <w:keepNext/>
        <w:keepLines/>
        <w:autoSpaceDE w:val="0"/>
        <w:autoSpaceDN w:val="0"/>
        <w:adjustRightInd w:val="0"/>
        <w:spacing w:after="0" w:line="240" w:lineRule="auto"/>
        <w:rPr>
          <w:rFonts w:ascii="Times New Roman" w:eastAsia="DengXian" w:hAnsi="Times New Roman" w:cs="Times New Roman"/>
          <w:bCs/>
          <w:color w:val="000000"/>
          <w:kern w:val="0"/>
          <w14:ligatures w14:val="none"/>
        </w:rPr>
      </w:pPr>
      <w:r w:rsidRPr="002D7FCD">
        <w:rPr>
          <w:rFonts w:ascii="Times New Roman" w:eastAsia="DengXian" w:hAnsi="Times New Roman" w:cs="Times New Roman"/>
          <w:b/>
          <w:color w:val="000000"/>
          <w:kern w:val="0"/>
          <w14:ligatures w14:val="none"/>
        </w:rPr>
        <w:t xml:space="preserve">Nedažni šalutinio poveikio reiškiniai </w:t>
      </w:r>
      <w:r w:rsidRPr="002D7FCD">
        <w:rPr>
          <w:rFonts w:ascii="Times New Roman" w:eastAsia="DengXian" w:hAnsi="Times New Roman" w:cs="Times New Roman"/>
          <w:bCs/>
          <w:color w:val="000000"/>
          <w:kern w:val="0"/>
          <w14:ligatures w14:val="none"/>
        </w:rPr>
        <w:t>(gali pasireikšti rečiau kaip 1 iš 100 asmenų):</w:t>
      </w:r>
    </w:p>
    <w:p w14:paraId="1ACC0054"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ilgesnis, nei tikimasi, ragenos gijimas; </w:t>
      </w:r>
    </w:p>
    <w:p w14:paraId="1F3545DF"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akių infekcijos; </w:t>
      </w:r>
    </w:p>
    <w:p w14:paraId="59C64E0F"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nenormalus pojūtis akyje; </w:t>
      </w:r>
    </w:p>
    <w:p w14:paraId="27AD6B52"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sustiprėjęs ašarojimas; </w:t>
      </w:r>
    </w:p>
    <w:p w14:paraId="42FAE269"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akies sausumas ir nuovargis;</w:t>
      </w:r>
    </w:p>
    <w:p w14:paraId="2DCCA3C6"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akies skausmas; </w:t>
      </w:r>
    </w:p>
    <w:p w14:paraId="1EB39D4D"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šviesesnis vaizdas; </w:t>
      </w:r>
    </w:p>
    <w:p w14:paraId="6BA6598E"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priekinio akies dangalo (junginės) patinimas ar paraudimas (krauju pasruvusios akys); </w:t>
      </w:r>
    </w:p>
    <w:p w14:paraId="67C67A78"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akies voko patinimas ar paraudimas; </w:t>
      </w:r>
    </w:p>
    <w:p w14:paraId="44553E5C"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color w:val="000000"/>
          <w:kern w:val="0"/>
          <w14:ligatures w14:val="none"/>
        </w:rPr>
        <w:t xml:space="preserve">jautrumas šviesai; </w:t>
      </w:r>
    </w:p>
    <w:p w14:paraId="1546376D" w14:textId="77777777" w:rsidR="000035FA" w:rsidRPr="000035FA" w:rsidRDefault="000035FA" w:rsidP="000035FA">
      <w:pPr>
        <w:numPr>
          <w:ilvl w:val="0"/>
          <w:numId w:val="1"/>
        </w:numPr>
        <w:tabs>
          <w:tab w:val="left" w:pos="567"/>
        </w:tabs>
        <w:spacing w:after="0" w:line="240" w:lineRule="auto"/>
        <w:rPr>
          <w:rFonts w:ascii="Times New Roman" w:eastAsia="Times New Roman" w:hAnsi="Times New Roman" w:cs="Times New Roman"/>
          <w:kern w:val="0"/>
          <w14:ligatures w14:val="none"/>
        </w:rPr>
      </w:pPr>
      <w:r w:rsidRPr="000035FA">
        <w:rPr>
          <w:rFonts w:ascii="Times New Roman" w:eastAsia="Times New Roman" w:hAnsi="Times New Roman" w:cs="Times New Roman"/>
          <w:color w:val="000000"/>
          <w:kern w:val="0"/>
          <w14:ligatures w14:val="none"/>
        </w:rPr>
        <w:t>vokų lipnumas.</w:t>
      </w:r>
    </w:p>
    <w:p w14:paraId="41C90892" w14:textId="77777777" w:rsidR="000035FA" w:rsidRPr="000035FA" w:rsidRDefault="000035FA" w:rsidP="000035FA">
      <w:pPr>
        <w:autoSpaceDE w:val="0"/>
        <w:autoSpaceDN w:val="0"/>
        <w:adjustRightInd w:val="0"/>
        <w:spacing w:after="0" w:line="240" w:lineRule="auto"/>
        <w:rPr>
          <w:rFonts w:ascii="Times New Roman" w:eastAsia="DengXian" w:hAnsi="Times New Roman" w:cs="Arial"/>
          <w:color w:val="000000"/>
          <w:kern w:val="0"/>
          <w14:ligatures w14:val="none"/>
        </w:rPr>
      </w:pPr>
    </w:p>
    <w:p w14:paraId="585A96D0" w14:textId="32375B4A" w:rsidR="000035FA" w:rsidRPr="000035FA" w:rsidRDefault="005F18CE" w:rsidP="000035FA">
      <w:pPr>
        <w:keepNext/>
        <w:keepLines/>
        <w:numPr>
          <w:ilvl w:val="12"/>
          <w:numId w:val="0"/>
        </w:numPr>
        <w:spacing w:after="0" w:line="240" w:lineRule="auto"/>
        <w:ind w:right="-2"/>
        <w:rPr>
          <w:rFonts w:ascii="Times New Roman" w:eastAsia="Times New Roman" w:hAnsi="Times New Roman" w:cs="Times New Roman"/>
          <w:bCs/>
          <w:kern w:val="0"/>
          <w14:ligatures w14:val="none"/>
        </w:rPr>
      </w:pPr>
      <w:r w:rsidRPr="005F18CE">
        <w:rPr>
          <w:rFonts w:ascii="Times New Roman" w:eastAsia="Times New Roman" w:hAnsi="Times New Roman" w:cs="Times New Roman"/>
          <w:b/>
          <w:kern w:val="0"/>
          <w14:ligatures w14:val="none"/>
        </w:rPr>
        <w:t xml:space="preserve">Labai reti šalutinio poveikio reiškiniai </w:t>
      </w:r>
      <w:r w:rsidRPr="005F18CE">
        <w:rPr>
          <w:rFonts w:ascii="Times New Roman" w:eastAsia="Times New Roman" w:hAnsi="Times New Roman" w:cs="Times New Roman"/>
          <w:bCs/>
          <w:kern w:val="0"/>
          <w14:ligatures w14:val="none"/>
        </w:rPr>
        <w:t>(gali pasireikšti rečiau kaip 1 iš 10 000 asmenų):</w:t>
      </w:r>
    </w:p>
    <w:p w14:paraId="2658983C"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vyzdžių išsiplėtimas; </w:t>
      </w:r>
    </w:p>
    <w:p w14:paraId="2FD4F423"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vokų užkritimas; </w:t>
      </w:r>
    </w:p>
    <w:p w14:paraId="17A6C15A"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kalcio sankaupa ant akies paviršiaus (ragenos kalcifikacija); </w:t>
      </w:r>
    </w:p>
    <w:p w14:paraId="73545CFA"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ašarų ir smėlio pojūtis akyje (kristalinė keratopatija); </w:t>
      </w:r>
    </w:p>
    <w:p w14:paraId="067FE75F"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akies paviršiaus storio pokyčiai; </w:t>
      </w:r>
    </w:p>
    <w:p w14:paraId="73DBE76C"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opa ant akies paviršiaus; </w:t>
      </w:r>
    </w:p>
    <w:p w14:paraId="564A181D"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mažos skylutės ant akies paviršiaus (ragenos perforacija); </w:t>
      </w:r>
    </w:p>
    <w:p w14:paraId="738BF05E"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akies paviršiaus tinimas (ragenos edema); </w:t>
      </w:r>
    </w:p>
    <w:p w14:paraId="5A912C33"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skausmą ir paraudimą keliantis akies uždegimas (uveitas).</w:t>
      </w:r>
    </w:p>
    <w:p w14:paraId="0E5989A8" w14:textId="77777777" w:rsidR="000035FA" w:rsidRPr="000035FA" w:rsidRDefault="000035FA" w:rsidP="000035FA">
      <w:pPr>
        <w:numPr>
          <w:ilvl w:val="12"/>
          <w:numId w:val="0"/>
        </w:numPr>
        <w:spacing w:after="0" w:line="240" w:lineRule="auto"/>
        <w:ind w:right="-29"/>
        <w:rPr>
          <w:rFonts w:ascii="Times New Roman" w:eastAsia="Times New Roman" w:hAnsi="Times New Roman" w:cs="Times New Roman"/>
          <w:kern w:val="0"/>
          <w14:ligatures w14:val="none"/>
        </w:rPr>
      </w:pPr>
    </w:p>
    <w:p w14:paraId="1C029F71" w14:textId="77777777" w:rsidR="000035FA" w:rsidRPr="000035FA" w:rsidRDefault="000035FA" w:rsidP="000035FA">
      <w:pPr>
        <w:keepNext/>
        <w:keepLines/>
        <w:numPr>
          <w:ilvl w:val="12"/>
          <w:numId w:val="0"/>
        </w:numPr>
        <w:spacing w:after="0" w:line="240" w:lineRule="auto"/>
        <w:ind w:right="-29"/>
        <w:rPr>
          <w:rFonts w:ascii="Times New Roman" w:eastAsia="Times New Roman" w:hAnsi="Times New Roman" w:cs="Times New Roman"/>
          <w:kern w:val="0"/>
          <w14:ligatures w14:val="none"/>
        </w:rPr>
      </w:pPr>
      <w:r w:rsidRPr="000035FA">
        <w:rPr>
          <w:rFonts w:ascii="Times New Roman" w:eastAsia="Times New Roman" w:hAnsi="Times New Roman" w:cs="Times New Roman"/>
          <w:b/>
          <w:bCs/>
          <w:kern w:val="0"/>
          <w14:ligatures w14:val="none"/>
        </w:rPr>
        <w:t>Poveikį galite justi ir kitose organizmo vietose</w:t>
      </w:r>
    </w:p>
    <w:p w14:paraId="2BAB6860" w14:textId="77777777" w:rsidR="000035FA" w:rsidRPr="000035FA" w:rsidRDefault="000035FA" w:rsidP="000035FA">
      <w:pPr>
        <w:keepNext/>
        <w:keepLines/>
        <w:numPr>
          <w:ilvl w:val="12"/>
          <w:numId w:val="0"/>
        </w:numPr>
        <w:spacing w:after="0" w:line="240" w:lineRule="auto"/>
        <w:ind w:right="-29"/>
        <w:rPr>
          <w:rFonts w:ascii="Times New Roman" w:eastAsia="Times New Roman" w:hAnsi="Times New Roman" w:cs="Times New Roman"/>
          <w:kern w:val="0"/>
          <w14:ligatures w14:val="none"/>
        </w:rPr>
      </w:pPr>
    </w:p>
    <w:p w14:paraId="69CFF8CC" w14:textId="203817BA" w:rsidR="000035FA" w:rsidRPr="000035FA" w:rsidRDefault="002D7FCD" w:rsidP="000035FA">
      <w:pPr>
        <w:keepNext/>
        <w:keepLines/>
        <w:autoSpaceDE w:val="0"/>
        <w:autoSpaceDN w:val="0"/>
        <w:adjustRightInd w:val="0"/>
        <w:spacing w:after="0" w:line="240" w:lineRule="auto"/>
        <w:rPr>
          <w:rFonts w:ascii="Times New Roman" w:eastAsia="DengXian" w:hAnsi="Times New Roman" w:cs="Times New Roman"/>
          <w:bCs/>
          <w:color w:val="000000"/>
          <w:kern w:val="0"/>
          <w14:ligatures w14:val="none"/>
        </w:rPr>
      </w:pPr>
      <w:r w:rsidRPr="002D7FCD">
        <w:rPr>
          <w:rFonts w:ascii="Times New Roman" w:eastAsia="DengXian" w:hAnsi="Times New Roman" w:cs="Times New Roman"/>
          <w:b/>
          <w:color w:val="000000"/>
          <w:kern w:val="0"/>
          <w14:ligatures w14:val="none"/>
        </w:rPr>
        <w:t xml:space="preserve">Nedažni šalutinio poveikio reiškiniai </w:t>
      </w:r>
      <w:r w:rsidRPr="002D7FCD">
        <w:rPr>
          <w:rFonts w:ascii="Times New Roman" w:eastAsia="DengXian" w:hAnsi="Times New Roman" w:cs="Times New Roman"/>
          <w:bCs/>
          <w:color w:val="000000"/>
          <w:kern w:val="0"/>
          <w14:ligatures w14:val="none"/>
        </w:rPr>
        <w:t>(gali pasireikšti rečiau kaip 1 iš 100 asmenų):</w:t>
      </w:r>
    </w:p>
    <w:p w14:paraId="6A88A6B6" w14:textId="77777777" w:rsidR="000035FA" w:rsidRPr="000035FA" w:rsidRDefault="000035FA" w:rsidP="000035FA">
      <w:pPr>
        <w:numPr>
          <w:ilvl w:val="0"/>
          <w:numId w:val="2"/>
        </w:numPr>
        <w:tabs>
          <w:tab w:val="left" w:pos="567"/>
        </w:tabs>
        <w:autoSpaceDE w:val="0"/>
        <w:autoSpaceDN w:val="0"/>
        <w:adjustRightInd w:val="0"/>
        <w:spacing w:after="0" w:line="240" w:lineRule="auto"/>
        <w:rPr>
          <w:rFonts w:ascii="Times New Roman" w:eastAsia="DengXian" w:hAnsi="Times New Roman" w:cs="Times New Roman"/>
          <w:color w:val="000000"/>
          <w:kern w:val="0"/>
          <w14:ligatures w14:val="none"/>
        </w:rPr>
      </w:pPr>
      <w:r w:rsidRPr="000035FA">
        <w:rPr>
          <w:rFonts w:ascii="Times New Roman" w:eastAsia="DengXian" w:hAnsi="Times New Roman" w:cs="Times New Roman"/>
          <w:color w:val="000000"/>
          <w:kern w:val="0"/>
          <w14:ligatures w14:val="none"/>
        </w:rPr>
        <w:t xml:space="preserve">galvos skausmas; </w:t>
      </w:r>
    </w:p>
    <w:p w14:paraId="177096F2" w14:textId="77777777" w:rsidR="000035FA" w:rsidRPr="000035FA" w:rsidRDefault="000035FA" w:rsidP="000035FA">
      <w:pPr>
        <w:numPr>
          <w:ilvl w:val="0"/>
          <w:numId w:val="2"/>
        </w:numPr>
        <w:tabs>
          <w:tab w:val="left" w:pos="567"/>
        </w:tabs>
        <w:autoSpaceDE w:val="0"/>
        <w:autoSpaceDN w:val="0"/>
        <w:adjustRightInd w:val="0"/>
        <w:spacing w:after="0" w:line="240" w:lineRule="auto"/>
        <w:rPr>
          <w:rFonts w:ascii="Times New Roman" w:eastAsia="DengXian" w:hAnsi="Times New Roman" w:cs="Times New Roman"/>
          <w:color w:val="000000"/>
          <w:kern w:val="0"/>
          <w14:ligatures w14:val="none"/>
        </w:rPr>
      </w:pPr>
      <w:r w:rsidRPr="000035FA">
        <w:rPr>
          <w:rFonts w:ascii="Times New Roman" w:eastAsia="DengXian" w:hAnsi="Times New Roman" w:cs="Times New Roman"/>
          <w:color w:val="000000"/>
          <w:kern w:val="0"/>
          <w14:ligatures w14:val="none"/>
        </w:rPr>
        <w:t>skonio pojūčio pasikeitimas;</w:t>
      </w:r>
    </w:p>
    <w:p w14:paraId="555B7AEF" w14:textId="77777777" w:rsidR="000035FA" w:rsidRPr="000035FA" w:rsidRDefault="000035FA" w:rsidP="000035FA">
      <w:pPr>
        <w:numPr>
          <w:ilvl w:val="0"/>
          <w:numId w:val="2"/>
        </w:numPr>
        <w:tabs>
          <w:tab w:val="left" w:pos="567"/>
        </w:tabs>
        <w:autoSpaceDE w:val="0"/>
        <w:autoSpaceDN w:val="0"/>
        <w:adjustRightInd w:val="0"/>
        <w:spacing w:after="0" w:line="240" w:lineRule="auto"/>
        <w:rPr>
          <w:rFonts w:ascii="Times New Roman" w:eastAsia="DengXian" w:hAnsi="Times New Roman" w:cs="Times New Roman"/>
          <w:color w:val="000000"/>
          <w:kern w:val="0"/>
          <w14:ligatures w14:val="none"/>
        </w:rPr>
      </w:pPr>
      <w:r w:rsidRPr="000035FA">
        <w:rPr>
          <w:rFonts w:ascii="Times New Roman" w:eastAsia="DengXian" w:hAnsi="Times New Roman" w:cs="Times New Roman"/>
          <w:color w:val="000000"/>
          <w:kern w:val="0"/>
          <w14:ligatures w14:val="none"/>
        </w:rPr>
        <w:t>niežėjimas;</w:t>
      </w:r>
    </w:p>
    <w:p w14:paraId="3188056E"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color w:val="000000"/>
          <w:kern w:val="0"/>
          <w14:ligatures w14:val="none"/>
        </w:rPr>
      </w:pPr>
      <w:r w:rsidRPr="000035FA">
        <w:rPr>
          <w:rFonts w:ascii="Times New Roman" w:eastAsia="Times New Roman" w:hAnsi="Times New Roman" w:cs="Times New Roman"/>
          <w:color w:val="000000"/>
          <w:kern w:val="0"/>
          <w14:ligatures w14:val="none"/>
        </w:rPr>
        <w:t>užgulusi ar varvanti nosis.</w:t>
      </w:r>
    </w:p>
    <w:p w14:paraId="4A45284C" w14:textId="77777777" w:rsidR="000035FA" w:rsidRPr="000035FA" w:rsidRDefault="000035FA" w:rsidP="000035FA">
      <w:pPr>
        <w:numPr>
          <w:ilvl w:val="12"/>
          <w:numId w:val="0"/>
        </w:numPr>
        <w:spacing w:after="0" w:line="240" w:lineRule="auto"/>
        <w:ind w:right="-29"/>
        <w:rPr>
          <w:rFonts w:ascii="Times New Roman" w:eastAsia="Times New Roman" w:hAnsi="Times New Roman" w:cs="Times New Roman"/>
          <w:kern w:val="0"/>
          <w14:ligatures w14:val="none"/>
        </w:rPr>
      </w:pPr>
    </w:p>
    <w:p w14:paraId="5A27D58F" w14:textId="05A0270F" w:rsidR="000035FA" w:rsidRPr="000035FA" w:rsidRDefault="005B246F" w:rsidP="000035FA">
      <w:pPr>
        <w:keepNext/>
        <w:keepLines/>
        <w:numPr>
          <w:ilvl w:val="12"/>
          <w:numId w:val="0"/>
        </w:numPr>
        <w:spacing w:after="0" w:line="240" w:lineRule="auto"/>
        <w:ind w:right="-2"/>
        <w:rPr>
          <w:rFonts w:ascii="Times New Roman" w:eastAsia="Times New Roman" w:hAnsi="Times New Roman" w:cs="Times New Roman"/>
          <w:bCs/>
          <w:kern w:val="0"/>
          <w14:ligatures w14:val="none"/>
        </w:rPr>
      </w:pPr>
      <w:r w:rsidRPr="005B246F">
        <w:rPr>
          <w:rFonts w:ascii="Times New Roman" w:eastAsia="Times New Roman" w:hAnsi="Times New Roman" w:cs="Times New Roman"/>
          <w:b/>
          <w:kern w:val="0"/>
          <w14:ligatures w14:val="none"/>
        </w:rPr>
        <w:t xml:space="preserve">Reti šalutinio poveikio reiškiniai </w:t>
      </w:r>
      <w:r w:rsidRPr="005B246F">
        <w:rPr>
          <w:rFonts w:ascii="Times New Roman" w:eastAsia="Times New Roman" w:hAnsi="Times New Roman" w:cs="Times New Roman"/>
          <w:bCs/>
          <w:kern w:val="0"/>
          <w14:ligatures w14:val="none"/>
        </w:rPr>
        <w:t>(gali pasireikšti rečiau kaip 1 iš 1 000 asmenų):</w:t>
      </w:r>
    </w:p>
    <w:p w14:paraId="4538A2A5" w14:textId="77777777" w:rsidR="000035FA" w:rsidRPr="000035FA" w:rsidRDefault="000035FA" w:rsidP="000035FA">
      <w:pPr>
        <w:numPr>
          <w:ilvl w:val="0"/>
          <w:numId w:val="2"/>
        </w:numPr>
        <w:tabs>
          <w:tab w:val="left" w:pos="567"/>
        </w:tabs>
        <w:spacing w:after="0" w:line="240" w:lineRule="auto"/>
        <w:rPr>
          <w:rFonts w:ascii="Times New Roman" w:eastAsia="Times New Roman" w:hAnsi="Times New Roman" w:cs="Times New Roman"/>
          <w:color w:val="000000"/>
          <w:kern w:val="0"/>
          <w14:ligatures w14:val="none"/>
        </w:rPr>
      </w:pPr>
      <w:r w:rsidRPr="000035FA">
        <w:rPr>
          <w:rFonts w:ascii="Times New Roman" w:eastAsia="Times New Roman" w:hAnsi="Times New Roman" w:cs="Times New Roman"/>
          <w:color w:val="000000"/>
          <w:kern w:val="0"/>
          <w14:ligatures w14:val="none"/>
        </w:rPr>
        <w:t>alerginės reakcijos, pvz., odos išbėrimas.</w:t>
      </w:r>
    </w:p>
    <w:p w14:paraId="28C469A9" w14:textId="77777777" w:rsidR="000035FA" w:rsidRPr="000035FA" w:rsidRDefault="000035FA" w:rsidP="000035FA">
      <w:pPr>
        <w:spacing w:after="0" w:line="240" w:lineRule="auto"/>
        <w:rPr>
          <w:rFonts w:ascii="Times New Roman" w:eastAsia="Times New Roman" w:hAnsi="Times New Roman" w:cs="Times New Roman"/>
          <w:color w:val="000000"/>
          <w:kern w:val="0"/>
          <w:lang w:eastAsia="it-IT"/>
          <w14:ligatures w14:val="none"/>
        </w:rPr>
      </w:pPr>
    </w:p>
    <w:p w14:paraId="12164A72" w14:textId="5FC25BE3" w:rsidR="000035FA" w:rsidRPr="000035FA" w:rsidRDefault="00B4305D" w:rsidP="000035FA">
      <w:pPr>
        <w:keepNext/>
        <w:keepLines/>
        <w:spacing w:after="0" w:line="240" w:lineRule="auto"/>
        <w:rPr>
          <w:rFonts w:ascii="Times New Roman" w:eastAsia="Times New Roman" w:hAnsi="Times New Roman" w:cs="Times New Roman"/>
          <w:bCs/>
          <w:kern w:val="0"/>
          <w14:ligatures w14:val="none"/>
        </w:rPr>
      </w:pPr>
      <w:r w:rsidRPr="00B4305D">
        <w:rPr>
          <w:rFonts w:ascii="Times New Roman" w:eastAsia="Times New Roman" w:hAnsi="Times New Roman" w:cs="Times New Roman"/>
          <w:b/>
          <w:kern w:val="0"/>
          <w14:ligatures w14:val="none"/>
        </w:rPr>
        <w:t>Labai reti šalutinio poveikio reiškiniai</w:t>
      </w:r>
      <w:r w:rsidRPr="00B4305D">
        <w:rPr>
          <w:rFonts w:ascii="Times New Roman" w:eastAsia="Times New Roman" w:hAnsi="Times New Roman" w:cs="Times New Roman"/>
          <w:bCs/>
          <w:kern w:val="0"/>
          <w14:ligatures w14:val="none"/>
        </w:rPr>
        <w:t xml:space="preserve"> (gali pasireikšti rečiau kaip 1 iš 10 000 asmenų):</w:t>
      </w:r>
    </w:p>
    <w:p w14:paraId="7C32A6EA" w14:textId="77777777" w:rsidR="000035FA" w:rsidRPr="000035FA" w:rsidRDefault="000035FA" w:rsidP="000035FA">
      <w:pPr>
        <w:numPr>
          <w:ilvl w:val="0"/>
          <w:numId w:val="2"/>
        </w:numPr>
        <w:tabs>
          <w:tab w:val="left" w:pos="567"/>
        </w:tabs>
        <w:spacing w:after="0" w:line="240" w:lineRule="auto"/>
        <w:rPr>
          <w:rFonts w:ascii="Times New Roman" w:eastAsia="Times New Roman" w:hAnsi="Times New Roman" w:cs="Times New Roman"/>
          <w:color w:val="000000"/>
          <w:kern w:val="0"/>
          <w14:ligatures w14:val="none"/>
        </w:rPr>
      </w:pPr>
      <w:r w:rsidRPr="000035FA">
        <w:rPr>
          <w:rFonts w:ascii="Times New Roman" w:eastAsia="Times New Roman" w:hAnsi="Times New Roman" w:cs="Times New Roman"/>
          <w:color w:val="000000"/>
          <w:kern w:val="0"/>
          <w14:ligatures w14:val="none"/>
        </w:rPr>
        <w:t>veido tinimas.</w:t>
      </w:r>
    </w:p>
    <w:p w14:paraId="3E3A655B" w14:textId="77777777" w:rsidR="000035FA" w:rsidRPr="000035FA" w:rsidRDefault="000035FA" w:rsidP="000035FA">
      <w:pPr>
        <w:spacing w:after="0" w:line="240" w:lineRule="auto"/>
        <w:rPr>
          <w:rFonts w:ascii="Times New Roman" w:eastAsia="Times New Roman" w:hAnsi="Times New Roman" w:cs="Times New Roman"/>
          <w:color w:val="000000"/>
          <w:kern w:val="0"/>
          <w14:ligatures w14:val="none"/>
        </w:rPr>
      </w:pPr>
    </w:p>
    <w:p w14:paraId="614F21C2" w14:textId="7BAEF767" w:rsidR="000035FA" w:rsidRPr="000035FA" w:rsidRDefault="00906C54" w:rsidP="000035FA">
      <w:pPr>
        <w:spacing w:after="0" w:line="240" w:lineRule="auto"/>
        <w:rPr>
          <w:rFonts w:ascii="Times New Roman" w:eastAsia="Times New Roman" w:hAnsi="Times New Roman" w:cs="Times New Roman"/>
          <w:color w:val="000000"/>
          <w:kern w:val="0"/>
          <w14:ligatures w14:val="none"/>
        </w:rPr>
      </w:pPr>
      <w:r w:rsidRPr="00906C54">
        <w:rPr>
          <w:rFonts w:ascii="Times New Roman" w:eastAsia="Times New Roman" w:hAnsi="Times New Roman" w:cs="Times New Roman"/>
          <w:b/>
          <w:bCs/>
          <w:color w:val="000000"/>
          <w:kern w:val="0"/>
          <w14:ligatures w14:val="none"/>
        </w:rPr>
        <w:t>Šalutinio poveikio reiškiniai, kurių dažnis nežinomas</w:t>
      </w:r>
      <w:r w:rsidRPr="00906C54">
        <w:rPr>
          <w:rFonts w:ascii="Times New Roman" w:eastAsia="Times New Roman" w:hAnsi="Times New Roman" w:cs="Times New Roman"/>
          <w:color w:val="000000"/>
          <w:kern w:val="0"/>
          <w14:ligatures w14:val="none"/>
        </w:rPr>
        <w:t xml:space="preserve"> (negali būti apskaičiuotas pagal turimus duomenis):</w:t>
      </w:r>
    </w:p>
    <w:p w14:paraId="33CEF72E" w14:textId="77777777" w:rsidR="000035FA" w:rsidRPr="000035FA" w:rsidRDefault="000035FA" w:rsidP="000035FA">
      <w:pPr>
        <w:numPr>
          <w:ilvl w:val="0"/>
          <w:numId w:val="2"/>
        </w:numPr>
        <w:tabs>
          <w:tab w:val="left" w:pos="567"/>
        </w:tabs>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antinksčių funkcijos susilpnėjimas, kurį gali rodyti mažas cukraus kiekis kraujyje, dehidratacija, mažėjantis svoris ir orientacijos praradimas;</w:t>
      </w:r>
    </w:p>
    <w:p w14:paraId="25ED622D" w14:textId="77777777" w:rsidR="000035FA" w:rsidRPr="000035FA" w:rsidRDefault="000035FA" w:rsidP="000035FA">
      <w:pPr>
        <w:keepNext/>
        <w:keepLines/>
        <w:widowControl w:val="0"/>
        <w:numPr>
          <w:ilvl w:val="0"/>
          <w:numId w:val="2"/>
        </w:numPr>
        <w:tabs>
          <w:tab w:val="left" w:pos="567"/>
        </w:tabs>
        <w:spacing w:after="0" w:line="240" w:lineRule="auto"/>
        <w:ind w:right="-2"/>
        <w:rPr>
          <w:rFonts w:ascii="Times New Roman" w:eastAsia="Times New Roman" w:hAnsi="Times New Roman" w:cs="Times New Roman"/>
          <w:b/>
          <w:bCs/>
          <w:color w:val="000000"/>
          <w:kern w:val="0"/>
          <w14:ligatures w14:val="none"/>
        </w:rPr>
      </w:pPr>
      <w:r w:rsidRPr="000035FA">
        <w:rPr>
          <w:rFonts w:ascii="Times New Roman" w:eastAsia="MS Mincho" w:hAnsi="Times New Roman" w:cs="Times New Roman"/>
          <w:kern w:val="0"/>
          <w:szCs w:val="20"/>
          <w14:ligatures w14:val="none"/>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w:t>
      </w:r>
    </w:p>
    <w:p w14:paraId="1EDC103F"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bCs/>
          <w:kern w:val="0"/>
          <w14:ligatures w14:val="none"/>
        </w:rPr>
      </w:pPr>
    </w:p>
    <w:p w14:paraId="7B6807B1" w14:textId="77777777" w:rsidR="000035FA" w:rsidRPr="000035FA" w:rsidRDefault="000035FA" w:rsidP="000035FA">
      <w:pPr>
        <w:keepNext/>
        <w:keepLines/>
        <w:numPr>
          <w:ilvl w:val="12"/>
          <w:numId w:val="0"/>
        </w:numPr>
        <w:tabs>
          <w:tab w:val="left" w:pos="567"/>
        </w:tabs>
        <w:spacing w:after="0" w:line="240" w:lineRule="auto"/>
        <w:outlineLvl w:val="0"/>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Pranešimas apie šalutinį poveikį</w:t>
      </w:r>
    </w:p>
    <w:p w14:paraId="31261550" w14:textId="016042B5" w:rsidR="0096791F" w:rsidRPr="0096791F" w:rsidRDefault="0096791F" w:rsidP="0096791F">
      <w:pPr>
        <w:spacing w:after="0" w:line="240" w:lineRule="auto"/>
        <w:rPr>
          <w:rFonts w:ascii="Times New Roman" w:eastAsia="Times New Roman" w:hAnsi="Times New Roman" w:cs="Times New Roman"/>
          <w:kern w:val="0"/>
          <w:szCs w:val="20"/>
          <w:lang w:eastAsia="lt-LT" w:bidi="lt-LT"/>
          <w14:ligatures w14:val="none"/>
        </w:rPr>
      </w:pPr>
      <w:r w:rsidRPr="0096791F">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BE18E0" w:rsidRPr="00BE18E0">
        <w:rPr>
          <w:rFonts w:ascii="Times New Roman" w:eastAsia="Times New Roman" w:hAnsi="Times New Roman" w:cs="Times New Roman"/>
          <w:kern w:val="0"/>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96791F">
        <w:rPr>
          <w:rFonts w:ascii="Times New Roman" w:eastAsia="Times New Roman" w:hAnsi="Times New Roman" w:cs="Times New Roman"/>
          <w:kern w:val="0"/>
          <w:szCs w:val="20"/>
          <w14:ligatures w14:val="none"/>
        </w:rPr>
        <w:t>.</w:t>
      </w:r>
    </w:p>
    <w:p w14:paraId="3F35CAAF" w14:textId="77777777" w:rsidR="000035FA" w:rsidRPr="000035FA" w:rsidRDefault="000035FA" w:rsidP="000035F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0DAD7DBC" w14:textId="77777777" w:rsidR="000035FA" w:rsidRPr="000035FA" w:rsidRDefault="000035FA" w:rsidP="000035F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53BD46D3" w14:textId="77777777" w:rsidR="000035FA" w:rsidRPr="000035FA" w:rsidRDefault="000035FA" w:rsidP="000035FA">
      <w:pPr>
        <w:keepNext/>
        <w:keepLines/>
        <w:numPr>
          <w:ilvl w:val="12"/>
          <w:numId w:val="0"/>
        </w:numPr>
        <w:spacing w:after="0" w:line="240" w:lineRule="auto"/>
        <w:ind w:left="567" w:right="-2" w:hanging="567"/>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5.</w:t>
      </w:r>
      <w:r w:rsidRPr="000035FA">
        <w:rPr>
          <w:rFonts w:ascii="Times New Roman" w:eastAsia="Times New Roman" w:hAnsi="Times New Roman" w:cs="Times New Roman"/>
          <w:b/>
          <w:kern w:val="0"/>
          <w14:ligatures w14:val="none"/>
        </w:rPr>
        <w:tab/>
        <w:t xml:space="preserve">Kaip laikyti Ducressa </w:t>
      </w:r>
    </w:p>
    <w:p w14:paraId="1F52E8F7"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kern w:val="0"/>
          <w14:ligatures w14:val="none"/>
        </w:rPr>
      </w:pPr>
    </w:p>
    <w:p w14:paraId="4AC01D2D"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Šį vaistą laikykite vaikams nepastebimoje ir nepasiekiamoje vietoje.</w:t>
      </w:r>
    </w:p>
    <w:p w14:paraId="472C3232"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058E82C2"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Ant buteliuko ir dėžutės po „EXP“ nurodytam tinkamumo laikui pasibaigus, šio vaisto vartoti negalima. Vaistas tinkamas vartoti iki paskutinės nurodyto mėnesio dienos. </w:t>
      </w:r>
    </w:p>
    <w:p w14:paraId="473AF0BE"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Nevartokite šio vaisto, jei prieš pradėdami naudoti naują buteliuką pastebėsite, kad plastikinis žiedas aplink dangtelį ir kaklelį yra pažeistas arba jo nėra. </w:t>
      </w:r>
    </w:p>
    <w:p w14:paraId="6A63CB38" w14:textId="77777777" w:rsidR="003F15A9" w:rsidRDefault="003F15A9" w:rsidP="000035FA">
      <w:pPr>
        <w:numPr>
          <w:ilvl w:val="12"/>
          <w:numId w:val="0"/>
        </w:numPr>
        <w:spacing w:after="0" w:line="240" w:lineRule="auto"/>
        <w:ind w:right="-2"/>
        <w:rPr>
          <w:rFonts w:ascii="Times New Roman" w:eastAsia="Times New Roman" w:hAnsi="Times New Roman" w:cs="Times New Roman"/>
          <w:kern w:val="0"/>
          <w14:ligatures w14:val="none"/>
        </w:rPr>
      </w:pPr>
    </w:p>
    <w:p w14:paraId="4965BE9E" w14:textId="77777777" w:rsidR="003F15A9"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Buteliuką laikyti sandarų. </w:t>
      </w:r>
    </w:p>
    <w:p w14:paraId="3B327F91" w14:textId="11782666"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Praėjus 28 dienoms po pirmojo buteliuko atidarymo, siekiant išvengti infekcijų, jį reikia išmesti ir pradėti naudoti naują buteliuką. </w:t>
      </w:r>
    </w:p>
    <w:p w14:paraId="21836F90" w14:textId="77777777" w:rsidR="00861166" w:rsidRDefault="00861166" w:rsidP="000035FA">
      <w:pPr>
        <w:numPr>
          <w:ilvl w:val="12"/>
          <w:numId w:val="0"/>
        </w:numPr>
        <w:spacing w:after="0" w:line="240" w:lineRule="auto"/>
        <w:ind w:right="-2"/>
        <w:rPr>
          <w:rFonts w:ascii="Times New Roman" w:eastAsia="Times New Roman" w:hAnsi="Times New Roman" w:cs="Times New Roman"/>
          <w:kern w:val="0"/>
          <w14:ligatures w14:val="none"/>
        </w:rPr>
      </w:pPr>
    </w:p>
    <w:p w14:paraId="1B54AFA6" w14:textId="367E2CA4"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Šiam vaistui specialių laikymo sąlygų nereikia. </w:t>
      </w:r>
    </w:p>
    <w:p w14:paraId="1AE34235"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1B6FA8FF"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5B30BE4"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60DBE7B8" w14:textId="77777777"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p>
    <w:p w14:paraId="6F555907" w14:textId="77777777" w:rsidR="000035FA" w:rsidRPr="000035FA" w:rsidRDefault="000035FA" w:rsidP="000035FA">
      <w:pPr>
        <w:keepNext/>
        <w:keepLines/>
        <w:numPr>
          <w:ilvl w:val="12"/>
          <w:numId w:val="0"/>
        </w:numPr>
        <w:tabs>
          <w:tab w:val="left" w:pos="567"/>
        </w:tabs>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6.</w:t>
      </w:r>
      <w:r w:rsidRPr="000035FA">
        <w:rPr>
          <w:rFonts w:ascii="Times New Roman" w:eastAsia="Times New Roman" w:hAnsi="Times New Roman" w:cs="Times New Roman"/>
          <w:b/>
          <w:kern w:val="0"/>
          <w14:ligatures w14:val="none"/>
        </w:rPr>
        <w:tab/>
        <w:t>Pakuotės turinys ir kita informacija</w:t>
      </w:r>
    </w:p>
    <w:p w14:paraId="384563EB" w14:textId="77777777" w:rsidR="000035FA" w:rsidRPr="000035FA" w:rsidRDefault="000035FA" w:rsidP="000035FA">
      <w:pPr>
        <w:keepNext/>
        <w:keepLines/>
        <w:numPr>
          <w:ilvl w:val="12"/>
          <w:numId w:val="0"/>
        </w:numPr>
        <w:spacing w:after="0" w:line="240" w:lineRule="auto"/>
        <w:rPr>
          <w:rFonts w:ascii="Times New Roman" w:eastAsia="Times New Roman" w:hAnsi="Times New Roman" w:cs="Times New Roman"/>
          <w:kern w:val="0"/>
          <w14:ligatures w14:val="none"/>
        </w:rPr>
      </w:pPr>
    </w:p>
    <w:p w14:paraId="59170A4F"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 xml:space="preserve">Ducressa sudėtis </w:t>
      </w:r>
    </w:p>
    <w:p w14:paraId="63F34DAB" w14:textId="77777777" w:rsidR="000035FA" w:rsidRPr="000035FA" w:rsidRDefault="000035FA" w:rsidP="000035FA">
      <w:pPr>
        <w:numPr>
          <w:ilvl w:val="0"/>
          <w:numId w:val="1"/>
        </w:numPr>
        <w:tabs>
          <w:tab w:val="left" w:pos="567"/>
        </w:tabs>
        <w:spacing w:after="0" w:line="240" w:lineRule="auto"/>
        <w:ind w:left="567" w:right="-2" w:hanging="567"/>
        <w:rPr>
          <w:rFonts w:ascii="Times New Roman" w:eastAsia="Times New Roman" w:hAnsi="Times New Roman" w:cs="Times New Roman"/>
          <w:i/>
          <w:iCs/>
          <w:kern w:val="0"/>
          <w14:ligatures w14:val="none"/>
        </w:rPr>
      </w:pPr>
      <w:r w:rsidRPr="000035FA">
        <w:rPr>
          <w:rFonts w:ascii="Times New Roman" w:eastAsia="Times New Roman" w:hAnsi="Times New Roman" w:cs="Times New Roman"/>
          <w:kern w:val="0"/>
          <w14:ligatures w14:val="none"/>
        </w:rPr>
        <w:t>Veikliosios medžiagos yra levofloksacinas (hemihidrato pavidalu) ir deksametazonas (natrio fosfato pavidalu). Kiekviename tirpalo mililitre yra 5 mg levofloksacino ir 1 mg deksametazono.</w:t>
      </w:r>
    </w:p>
    <w:p w14:paraId="07F77237" w14:textId="77777777" w:rsidR="000035FA" w:rsidRPr="000035FA" w:rsidRDefault="000035FA" w:rsidP="000035FA">
      <w:pPr>
        <w:numPr>
          <w:ilvl w:val="0"/>
          <w:numId w:val="1"/>
        </w:numPr>
        <w:tabs>
          <w:tab w:val="left" w:pos="567"/>
        </w:tabs>
        <w:spacing w:after="0" w:line="240" w:lineRule="auto"/>
        <w:ind w:left="567" w:right="-2" w:hanging="567"/>
        <w:rPr>
          <w:rFonts w:ascii="Times New Roman" w:eastAsia="Times New Roman" w:hAnsi="Times New Roman" w:cs="Times New Roman"/>
          <w:i/>
          <w:iCs/>
          <w:kern w:val="0"/>
          <w14:ligatures w14:val="none"/>
        </w:rPr>
      </w:pPr>
      <w:r w:rsidRPr="000035FA">
        <w:rPr>
          <w:rFonts w:ascii="Times New Roman" w:eastAsia="Times New Roman" w:hAnsi="Times New Roman" w:cs="Times New Roman"/>
          <w:kern w:val="0"/>
          <w14:ligatures w14:val="none"/>
        </w:rPr>
        <w:t xml:space="preserve">Pagalbinės medžiagos yra natrio-divandenilio fosfatas monohidratas, dinatrio fosfatas dodekahidratas, natrio citratas, benzalkonio chloridas, natrio hidroksidas / </w:t>
      </w:r>
      <w:r w:rsidRPr="000035FA">
        <w:rPr>
          <w:rFonts w:ascii="Times New Roman" w:eastAsia="Times New Roman" w:hAnsi="Times New Roman" w:cs="Times New Roman"/>
          <w:kern w:val="0"/>
          <w:szCs w:val="20"/>
          <w14:ligatures w14:val="none"/>
        </w:rPr>
        <w:t>vandenilio chlorido</w:t>
      </w:r>
      <w:r w:rsidRPr="000035FA">
        <w:rPr>
          <w:rFonts w:ascii="Times New Roman" w:eastAsia="Times New Roman" w:hAnsi="Times New Roman" w:cs="Times New Roman"/>
          <w:kern w:val="0"/>
          <w14:ligatures w14:val="none"/>
        </w:rPr>
        <w:t xml:space="preserve"> rūgštis (pH reguliuojanti medžiaga), injekcinis vanduo.</w:t>
      </w:r>
    </w:p>
    <w:p w14:paraId="3AE55A55" w14:textId="77777777" w:rsidR="000035FA" w:rsidRPr="000035FA" w:rsidRDefault="000035FA" w:rsidP="000035FA">
      <w:pPr>
        <w:spacing w:after="0" w:line="240" w:lineRule="auto"/>
        <w:ind w:right="-2"/>
        <w:rPr>
          <w:rFonts w:ascii="Times New Roman" w:eastAsia="Times New Roman" w:hAnsi="Times New Roman" w:cs="Times New Roman"/>
          <w:kern w:val="0"/>
          <w14:ligatures w14:val="none"/>
        </w:rPr>
      </w:pPr>
    </w:p>
    <w:p w14:paraId="0BC74B1F" w14:textId="77777777" w:rsidR="000035FA" w:rsidRPr="000035FA" w:rsidRDefault="000035FA" w:rsidP="000035FA">
      <w:pPr>
        <w:keepNext/>
        <w:keepLines/>
        <w:numPr>
          <w:ilvl w:val="12"/>
          <w:numId w:val="0"/>
        </w:numPr>
        <w:spacing w:after="0" w:line="240" w:lineRule="auto"/>
        <w:ind w:right="-2"/>
        <w:rPr>
          <w:rFonts w:ascii="Times New Roman" w:eastAsia="Times New Roman" w:hAnsi="Times New Roman" w:cs="Times New Roman"/>
          <w:b/>
          <w:kern w:val="0"/>
          <w14:ligatures w14:val="none"/>
        </w:rPr>
      </w:pPr>
      <w:r w:rsidRPr="000035FA">
        <w:rPr>
          <w:rFonts w:ascii="Times New Roman" w:eastAsia="Times New Roman" w:hAnsi="Times New Roman" w:cs="Times New Roman"/>
          <w:b/>
          <w:kern w:val="0"/>
          <w14:ligatures w14:val="none"/>
        </w:rPr>
        <w:t>Ducressa išvaizda ir kiekis pakuotėje</w:t>
      </w:r>
    </w:p>
    <w:p w14:paraId="1B86DB19" w14:textId="77777777" w:rsidR="00A230C9"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t xml:space="preserve">Ducressa yra skaidrus, žalsvai gelsvos spalvos tirpalas, kuriame beveik nėra dalelių, net jeigu išspausti lašai atrodo skaidrūs ir bespalviai. </w:t>
      </w:r>
    </w:p>
    <w:p w14:paraId="77998860" w14:textId="4D1AE318" w:rsidR="000035FA" w:rsidRPr="000035FA" w:rsidRDefault="000035FA" w:rsidP="000035FA">
      <w:pPr>
        <w:numPr>
          <w:ilvl w:val="12"/>
          <w:numId w:val="0"/>
        </w:numPr>
        <w:spacing w:after="0" w:line="240" w:lineRule="auto"/>
        <w:ind w:right="-2"/>
        <w:rPr>
          <w:rFonts w:ascii="Times New Roman" w:eastAsia="Times New Roman" w:hAnsi="Times New Roman" w:cs="Times New Roman"/>
          <w:kern w:val="0"/>
          <w14:ligatures w14:val="none"/>
        </w:rPr>
      </w:pPr>
      <w:r w:rsidRPr="000035FA">
        <w:rPr>
          <w:rFonts w:ascii="Times New Roman" w:eastAsia="Times New Roman" w:hAnsi="Times New Roman" w:cs="Times New Roman"/>
          <w:kern w:val="0"/>
          <w14:ligatures w14:val="none"/>
        </w:rPr>
        <w:lastRenderedPageBreak/>
        <w:t>Jis tiekiamas pakuotėje, kurioje yra vienas 5 ml baltas plastikinis buteliukas su baltu lašintuvu. Plastikinis buteliukas uždarytas užsukamuoju dangteliu.</w:t>
      </w:r>
    </w:p>
    <w:p w14:paraId="5811B9D8" w14:textId="77777777" w:rsidR="000035FA" w:rsidRPr="000035FA" w:rsidRDefault="000035FA" w:rsidP="000035FA">
      <w:pPr>
        <w:numPr>
          <w:ilvl w:val="12"/>
          <w:numId w:val="0"/>
        </w:numPr>
        <w:spacing w:after="0" w:line="240" w:lineRule="auto"/>
        <w:rPr>
          <w:rFonts w:ascii="Times New Roman" w:eastAsia="Times New Roman" w:hAnsi="Times New Roman" w:cs="Times New Roman"/>
          <w:kern w:val="0"/>
          <w14:ligatures w14:val="none"/>
        </w:rPr>
      </w:pPr>
    </w:p>
    <w:p w14:paraId="6A946732" w14:textId="13F18A0D" w:rsidR="00BE18E0" w:rsidRDefault="002F4C6B" w:rsidP="002F4C6B">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2F4C6B">
        <w:rPr>
          <w:rFonts w:ascii="Times New Roman" w:eastAsia="Times New Roman" w:hAnsi="Times New Roman" w:cs="Times New Roman"/>
          <w:b/>
          <w:noProof/>
          <w:kern w:val="0"/>
          <w14:ligatures w14:val="none"/>
        </w:rPr>
        <w:t>Registruotojas eksportuojančioje valstybėje</w:t>
      </w:r>
      <w:r w:rsidR="00BE18E0">
        <w:rPr>
          <w:rFonts w:ascii="Times New Roman" w:eastAsia="Times New Roman" w:hAnsi="Times New Roman" w:cs="Times New Roman"/>
          <w:b/>
          <w:noProof/>
          <w:kern w:val="0"/>
          <w14:ligatures w14:val="none"/>
        </w:rPr>
        <w:t xml:space="preserve"> ir gamintojas</w:t>
      </w:r>
    </w:p>
    <w:p w14:paraId="0F91C72F" w14:textId="77777777" w:rsidR="00BE18E0" w:rsidRDefault="00BE18E0" w:rsidP="002F4C6B">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311EC0B1" w14:textId="714F9026" w:rsidR="00BE18E0" w:rsidRPr="002F4C6B" w:rsidRDefault="00BE18E0" w:rsidP="002F4C6B">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Pr>
          <w:rFonts w:ascii="Times New Roman" w:eastAsia="Times New Roman" w:hAnsi="Times New Roman" w:cs="Times New Roman"/>
          <w:b/>
          <w:noProof/>
          <w:kern w:val="0"/>
          <w14:ligatures w14:val="none"/>
        </w:rPr>
        <w:t>Registruotojas</w:t>
      </w:r>
    </w:p>
    <w:p w14:paraId="3F1871A1" w14:textId="77777777" w:rsidR="002F4C6B" w:rsidRP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r w:rsidRPr="002F4C6B">
        <w:rPr>
          <w:rFonts w:ascii="Times New Roman" w:hAnsi="Times New Roman" w:cs="Times New Roman"/>
          <w:bCs/>
          <w:color w:val="000000"/>
          <w:kern w:val="0"/>
          <w14:ligatures w14:val="none"/>
        </w:rPr>
        <w:t>Santen Oy</w:t>
      </w:r>
    </w:p>
    <w:p w14:paraId="27CC1258" w14:textId="77777777" w:rsidR="002F4C6B" w:rsidRP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r w:rsidRPr="002F4C6B">
        <w:rPr>
          <w:rFonts w:ascii="Times New Roman" w:hAnsi="Times New Roman" w:cs="Times New Roman"/>
          <w:bCs/>
          <w:color w:val="000000"/>
          <w:kern w:val="0"/>
          <w14:ligatures w14:val="none"/>
        </w:rPr>
        <w:t>Niittyhaankatu 20</w:t>
      </w:r>
    </w:p>
    <w:p w14:paraId="5AE8802D" w14:textId="77777777" w:rsidR="002F4C6B" w:rsidRP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r w:rsidRPr="002F4C6B">
        <w:rPr>
          <w:rFonts w:ascii="Times New Roman" w:hAnsi="Times New Roman" w:cs="Times New Roman"/>
          <w:bCs/>
          <w:color w:val="000000"/>
          <w:kern w:val="0"/>
          <w14:ligatures w14:val="none"/>
        </w:rPr>
        <w:t>33720 Tampere</w:t>
      </w:r>
    </w:p>
    <w:p w14:paraId="1B966436" w14:textId="248A1FC2" w:rsid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r w:rsidRPr="002F4C6B">
        <w:rPr>
          <w:rFonts w:ascii="Times New Roman" w:hAnsi="Times New Roman" w:cs="Times New Roman"/>
          <w:bCs/>
          <w:color w:val="000000"/>
          <w:kern w:val="0"/>
          <w14:ligatures w14:val="none"/>
        </w:rPr>
        <w:t>Suomija</w:t>
      </w:r>
    </w:p>
    <w:p w14:paraId="4C904BC4" w14:textId="77777777" w:rsidR="002F4C6B" w:rsidRP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p>
    <w:p w14:paraId="738F3B30" w14:textId="77777777" w:rsidR="002F4C6B" w:rsidRPr="002F4C6B" w:rsidRDefault="002F4C6B" w:rsidP="002F4C6B">
      <w:pPr>
        <w:autoSpaceDE w:val="0"/>
        <w:autoSpaceDN w:val="0"/>
        <w:adjustRightInd w:val="0"/>
        <w:spacing w:after="0" w:line="240" w:lineRule="auto"/>
        <w:rPr>
          <w:rFonts w:ascii="Times New Roman" w:hAnsi="Times New Roman" w:cs="Times New Roman"/>
          <w:b/>
          <w:color w:val="000000"/>
          <w:kern w:val="0"/>
          <w14:ligatures w14:val="none"/>
        </w:rPr>
      </w:pPr>
      <w:r w:rsidRPr="002F4C6B">
        <w:rPr>
          <w:rFonts w:ascii="Times New Roman" w:hAnsi="Times New Roman" w:cs="Times New Roman"/>
          <w:b/>
          <w:color w:val="000000"/>
          <w:kern w:val="0"/>
          <w14:ligatures w14:val="none"/>
        </w:rPr>
        <w:t>Gamintojas</w:t>
      </w:r>
    </w:p>
    <w:p w14:paraId="4C8B040E" w14:textId="77777777" w:rsidR="00A906CA" w:rsidRPr="00A906CA" w:rsidRDefault="00A906CA" w:rsidP="00A906CA">
      <w:pPr>
        <w:autoSpaceDE w:val="0"/>
        <w:autoSpaceDN w:val="0"/>
        <w:adjustRightInd w:val="0"/>
        <w:spacing w:after="0" w:line="240" w:lineRule="auto"/>
        <w:rPr>
          <w:rFonts w:ascii="Times New Roman" w:hAnsi="Times New Roman" w:cs="Times New Roman"/>
          <w:bCs/>
          <w:color w:val="000000"/>
          <w:kern w:val="0"/>
          <w14:ligatures w14:val="none"/>
        </w:rPr>
      </w:pPr>
      <w:r w:rsidRPr="00A906CA">
        <w:rPr>
          <w:rFonts w:ascii="Times New Roman" w:hAnsi="Times New Roman" w:cs="Times New Roman"/>
          <w:bCs/>
          <w:color w:val="000000"/>
          <w:kern w:val="0"/>
          <w14:ligatures w14:val="none"/>
        </w:rPr>
        <w:t>Santen Oy</w:t>
      </w:r>
    </w:p>
    <w:p w14:paraId="0C277504" w14:textId="77777777" w:rsidR="00A906CA" w:rsidRPr="00A906CA" w:rsidRDefault="00A906CA" w:rsidP="00A906CA">
      <w:pPr>
        <w:autoSpaceDE w:val="0"/>
        <w:autoSpaceDN w:val="0"/>
        <w:adjustRightInd w:val="0"/>
        <w:spacing w:after="0" w:line="240" w:lineRule="auto"/>
        <w:rPr>
          <w:rFonts w:ascii="Times New Roman" w:hAnsi="Times New Roman" w:cs="Times New Roman"/>
          <w:bCs/>
          <w:color w:val="000000"/>
          <w:kern w:val="0"/>
          <w14:ligatures w14:val="none"/>
        </w:rPr>
      </w:pPr>
      <w:r w:rsidRPr="00A906CA">
        <w:rPr>
          <w:rFonts w:ascii="Times New Roman" w:hAnsi="Times New Roman" w:cs="Times New Roman"/>
          <w:bCs/>
          <w:color w:val="000000"/>
          <w:kern w:val="0"/>
          <w14:ligatures w14:val="none"/>
        </w:rPr>
        <w:t>Kelloportinkatu 1</w:t>
      </w:r>
    </w:p>
    <w:p w14:paraId="60C0E275" w14:textId="77777777" w:rsidR="00A906CA" w:rsidRPr="00A906CA" w:rsidRDefault="00A906CA" w:rsidP="00A906CA">
      <w:pPr>
        <w:autoSpaceDE w:val="0"/>
        <w:autoSpaceDN w:val="0"/>
        <w:adjustRightInd w:val="0"/>
        <w:spacing w:after="0" w:line="240" w:lineRule="auto"/>
        <w:rPr>
          <w:rFonts w:ascii="Times New Roman" w:hAnsi="Times New Roman" w:cs="Times New Roman"/>
          <w:bCs/>
          <w:color w:val="000000"/>
          <w:kern w:val="0"/>
          <w14:ligatures w14:val="none"/>
        </w:rPr>
      </w:pPr>
      <w:r w:rsidRPr="00A906CA">
        <w:rPr>
          <w:rFonts w:ascii="Times New Roman" w:hAnsi="Times New Roman" w:cs="Times New Roman"/>
          <w:bCs/>
          <w:color w:val="000000"/>
          <w:kern w:val="0"/>
          <w14:ligatures w14:val="none"/>
        </w:rPr>
        <w:t>33100 Tampere</w:t>
      </w:r>
    </w:p>
    <w:p w14:paraId="58DE9CE4" w14:textId="62BC91B2" w:rsidR="002F4C6B" w:rsidRPr="002F4C6B" w:rsidRDefault="00A906CA" w:rsidP="00A906CA">
      <w:pPr>
        <w:autoSpaceDE w:val="0"/>
        <w:autoSpaceDN w:val="0"/>
        <w:adjustRightInd w:val="0"/>
        <w:spacing w:after="0" w:line="240" w:lineRule="auto"/>
        <w:rPr>
          <w:rFonts w:ascii="Times New Roman" w:hAnsi="Times New Roman" w:cs="Times New Roman"/>
          <w:bCs/>
          <w:color w:val="000000"/>
          <w:kern w:val="0"/>
          <w14:ligatures w14:val="none"/>
        </w:rPr>
      </w:pPr>
      <w:r w:rsidRPr="00A906CA">
        <w:rPr>
          <w:rFonts w:ascii="Times New Roman" w:hAnsi="Times New Roman" w:cs="Times New Roman"/>
          <w:bCs/>
          <w:color w:val="000000"/>
          <w:kern w:val="0"/>
          <w14:ligatures w14:val="none"/>
        </w:rPr>
        <w:t>Suomija</w:t>
      </w:r>
    </w:p>
    <w:p w14:paraId="6F35CBCA" w14:textId="77777777" w:rsidR="002F4C6B" w:rsidRPr="002F4C6B" w:rsidRDefault="002F4C6B" w:rsidP="002F4C6B">
      <w:pPr>
        <w:autoSpaceDE w:val="0"/>
        <w:autoSpaceDN w:val="0"/>
        <w:adjustRightInd w:val="0"/>
        <w:spacing w:after="0" w:line="240" w:lineRule="auto"/>
        <w:rPr>
          <w:rFonts w:ascii="Times New Roman" w:hAnsi="Times New Roman" w:cs="Times New Roman"/>
          <w:bCs/>
          <w:color w:val="000000"/>
          <w:kern w:val="0"/>
          <w14:ligatures w14:val="none"/>
        </w:rPr>
      </w:pPr>
    </w:p>
    <w:p w14:paraId="7DD7F2F9" w14:textId="77777777" w:rsidR="002F4C6B" w:rsidRPr="002F4C6B" w:rsidRDefault="002F4C6B" w:rsidP="002F4C6B">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2F4C6B">
        <w:rPr>
          <w:rFonts w:ascii="Times New Roman" w:hAnsi="Times New Roman" w:cs="Times New Roman"/>
          <w:b/>
          <w:color w:val="000000"/>
          <w:kern w:val="0"/>
          <w14:ligatures w14:val="none"/>
        </w:rPr>
        <w:t xml:space="preserve">Lygiagretus importuotojas </w:t>
      </w:r>
      <w:r w:rsidRPr="002F4C6B">
        <w:rPr>
          <w:rFonts w:ascii="Times New Roman" w:hAnsi="Times New Roman" w:cs="Times New Roman"/>
          <w:b/>
          <w:color w:val="000000"/>
          <w:kern w:val="0"/>
          <w14:ligatures w14:val="none"/>
        </w:rPr>
        <w:br/>
      </w:r>
      <w:r w:rsidRPr="002F4C6B">
        <w:rPr>
          <w:rFonts w:ascii="Times New Roman" w:eastAsia="TimesNewRoman" w:hAnsi="Times New Roman" w:cs="Times New Roman"/>
          <w:color w:val="000000"/>
          <w:kern w:val="0"/>
          <w14:ligatures w14:val="none"/>
        </w:rPr>
        <w:t>UAB „Niromed“</w:t>
      </w:r>
      <w:r w:rsidRPr="002F4C6B">
        <w:rPr>
          <w:rFonts w:ascii="Times New Roman" w:hAnsi="Times New Roman" w:cs="Times New Roman"/>
          <w:b/>
          <w:color w:val="000000"/>
          <w:kern w:val="0"/>
          <w14:ligatures w14:val="none"/>
        </w:rPr>
        <w:br/>
      </w:r>
      <w:r w:rsidRPr="002F4C6B">
        <w:rPr>
          <w:rFonts w:ascii="Times New Roman" w:eastAsia="TimesNewRoman" w:hAnsi="Times New Roman" w:cs="Times New Roman"/>
          <w:color w:val="000000"/>
          <w:kern w:val="0"/>
          <w14:ligatures w14:val="none"/>
        </w:rPr>
        <w:t>Žirmūnų g. 139A</w:t>
      </w:r>
      <w:r w:rsidRPr="002F4C6B">
        <w:rPr>
          <w:rFonts w:ascii="Times New Roman" w:hAnsi="Times New Roman" w:cs="Times New Roman"/>
          <w:b/>
          <w:color w:val="000000"/>
          <w:kern w:val="0"/>
          <w14:ligatures w14:val="none"/>
        </w:rPr>
        <w:br/>
      </w:r>
      <w:r w:rsidRPr="002F4C6B">
        <w:rPr>
          <w:rFonts w:ascii="Times New Roman" w:eastAsia="TimesNewRoman" w:hAnsi="Times New Roman" w:cs="Times New Roman"/>
          <w:color w:val="000000"/>
          <w:kern w:val="0"/>
          <w14:ligatures w14:val="none"/>
        </w:rPr>
        <w:t>LT-09120 Vilnius</w:t>
      </w:r>
      <w:r w:rsidRPr="002F4C6B">
        <w:rPr>
          <w:rFonts w:ascii="Times New Roman" w:eastAsia="TimesNewRoman" w:hAnsi="Times New Roman" w:cs="Times New Roman"/>
          <w:color w:val="000000"/>
          <w:kern w:val="0"/>
          <w14:ligatures w14:val="none"/>
        </w:rPr>
        <w:br/>
        <w:t>Lietuva</w:t>
      </w:r>
    </w:p>
    <w:p w14:paraId="60913E8E" w14:textId="77777777" w:rsidR="002F4C6B" w:rsidRPr="002F4C6B" w:rsidRDefault="002F4C6B" w:rsidP="002F4C6B">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F19B06B" w14:textId="77777777" w:rsidR="002F4C6B" w:rsidRPr="002F4C6B" w:rsidRDefault="002F4C6B" w:rsidP="002F4C6B">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2F4C6B">
        <w:rPr>
          <w:rFonts w:ascii="Times New Roman" w:eastAsia="Times New Roman" w:hAnsi="Times New Roman" w:cs="Times New Roman"/>
          <w:b/>
          <w:bCs/>
          <w:kern w:val="0"/>
          <w14:ligatures w14:val="none"/>
        </w:rPr>
        <w:t>Perpakavo</w:t>
      </w:r>
    </w:p>
    <w:p w14:paraId="5791C2C0"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LABOR Przedsiębiorstwo Farmaceutyczno-Chemiczne sp. z o.o.</w:t>
      </w:r>
    </w:p>
    <w:p w14:paraId="0DE91D57"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Ul. Długosza 49,</w:t>
      </w:r>
    </w:p>
    <w:p w14:paraId="43174110"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51-162 Wrocław,</w:t>
      </w:r>
    </w:p>
    <w:p w14:paraId="6E27CDF7"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Lenkija</w:t>
      </w:r>
    </w:p>
    <w:p w14:paraId="08155DB1"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6B80493"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arba</w:t>
      </w:r>
    </w:p>
    <w:p w14:paraId="4C945ADC" w14:textId="77777777" w:rsidR="002F4C6B" w:rsidRPr="002F4C6B" w:rsidRDefault="002F4C6B" w:rsidP="002F4C6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26E937E" w14:textId="77777777" w:rsidR="002F4C6B" w:rsidRPr="002F4C6B" w:rsidRDefault="002F4C6B" w:rsidP="002F4C6B">
      <w:pPr>
        <w:tabs>
          <w:tab w:val="left" w:pos="1296"/>
        </w:tabs>
        <w:snapToGrid w:val="0"/>
        <w:spacing w:after="0" w:line="240" w:lineRule="auto"/>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UAB „Entafarma“</w:t>
      </w:r>
    </w:p>
    <w:p w14:paraId="171D465B" w14:textId="77777777" w:rsidR="002F4C6B" w:rsidRPr="002F4C6B" w:rsidRDefault="002F4C6B" w:rsidP="002F4C6B">
      <w:pPr>
        <w:tabs>
          <w:tab w:val="left" w:pos="1296"/>
        </w:tabs>
        <w:snapToGrid w:val="0"/>
        <w:spacing w:after="0" w:line="240" w:lineRule="auto"/>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Klonėnų vs. 1,</w:t>
      </w:r>
    </w:p>
    <w:p w14:paraId="5920D504" w14:textId="77777777" w:rsidR="002F4C6B" w:rsidRPr="002F4C6B" w:rsidRDefault="002F4C6B" w:rsidP="002F4C6B">
      <w:pPr>
        <w:tabs>
          <w:tab w:val="left" w:pos="1296"/>
        </w:tabs>
        <w:snapToGrid w:val="0"/>
        <w:spacing w:after="0" w:line="240" w:lineRule="auto"/>
        <w:rPr>
          <w:rFonts w:ascii="Times New Roman" w:eastAsia="TimesNewRoman" w:hAnsi="Times New Roman" w:cs="Times New Roman"/>
          <w:color w:val="000000"/>
          <w:kern w:val="0"/>
          <w14:ligatures w14:val="none"/>
        </w:rPr>
      </w:pPr>
      <w:r w:rsidRPr="002F4C6B">
        <w:rPr>
          <w:rFonts w:ascii="Times New Roman" w:eastAsia="TimesNewRoman" w:hAnsi="Times New Roman" w:cs="Times New Roman"/>
          <w:color w:val="000000"/>
          <w:kern w:val="0"/>
          <w14:ligatures w14:val="none"/>
        </w:rPr>
        <w:t>LT-19156 Širvintų r. sav.</w:t>
      </w:r>
    </w:p>
    <w:p w14:paraId="5B98F0FD" w14:textId="77777777" w:rsidR="002F4C6B" w:rsidRPr="00513C21" w:rsidRDefault="002F4C6B" w:rsidP="002F4C6B">
      <w:pPr>
        <w:tabs>
          <w:tab w:val="left" w:pos="1296"/>
        </w:tabs>
        <w:snapToGrid w:val="0"/>
        <w:spacing w:after="0" w:line="240" w:lineRule="auto"/>
        <w:rPr>
          <w:rFonts w:ascii="Times New Roman" w:eastAsia="Times New Roman" w:hAnsi="Times New Roman" w:cs="Times New Roman"/>
          <w:kern w:val="0"/>
          <w:szCs w:val="20"/>
          <w14:ligatures w14:val="none"/>
        </w:rPr>
      </w:pPr>
      <w:r w:rsidRPr="002F4C6B">
        <w:rPr>
          <w:rFonts w:ascii="Times New Roman" w:eastAsia="TimesNewRoman" w:hAnsi="Times New Roman" w:cs="Times New Roman"/>
          <w:color w:val="000000"/>
          <w:kern w:val="0"/>
          <w14:ligatures w14:val="none"/>
        </w:rPr>
        <w:t>Lietuva</w:t>
      </w:r>
    </w:p>
    <w:p w14:paraId="6568D055" w14:textId="77777777" w:rsidR="000035FA" w:rsidRPr="000035FA" w:rsidRDefault="000035FA" w:rsidP="000035FA">
      <w:pPr>
        <w:numPr>
          <w:ilvl w:val="12"/>
          <w:numId w:val="0"/>
        </w:numPr>
        <w:spacing w:after="0" w:line="240" w:lineRule="auto"/>
        <w:ind w:right="-2"/>
        <w:rPr>
          <w:rFonts w:ascii="Times New Roman" w:eastAsia="DengXian" w:hAnsi="Times New Roman" w:cs="Arial"/>
          <w:kern w:val="0"/>
          <w14:ligatures w14:val="none"/>
        </w:rPr>
      </w:pPr>
    </w:p>
    <w:p w14:paraId="010D33AF" w14:textId="14831ADC" w:rsidR="000035FA" w:rsidRPr="000035FA" w:rsidRDefault="000035FA" w:rsidP="000035FA">
      <w:pPr>
        <w:numPr>
          <w:ilvl w:val="12"/>
          <w:numId w:val="0"/>
        </w:numPr>
        <w:spacing w:after="0" w:line="240" w:lineRule="auto"/>
        <w:ind w:right="-2"/>
        <w:outlineLvl w:val="0"/>
        <w:rPr>
          <w:rFonts w:ascii="Times New Roman" w:eastAsia="Times New Roman" w:hAnsi="Times New Roman" w:cs="Times New Roman"/>
          <w:kern w:val="0"/>
          <w14:ligatures w14:val="none"/>
        </w:rPr>
      </w:pPr>
      <w:r w:rsidRPr="000035FA">
        <w:rPr>
          <w:rFonts w:ascii="Times New Roman" w:eastAsia="Times New Roman" w:hAnsi="Times New Roman" w:cs="Times New Roman"/>
          <w:b/>
          <w:kern w:val="0"/>
          <w14:ligatures w14:val="none"/>
        </w:rPr>
        <w:t xml:space="preserve">Šis pakuotės lapelis paskutinį kartą peržiūrėtas </w:t>
      </w:r>
      <w:r w:rsidR="00513C21">
        <w:rPr>
          <w:rFonts w:ascii="Times New Roman" w:eastAsia="Times New Roman" w:hAnsi="Times New Roman" w:cs="Times New Roman"/>
          <w:b/>
          <w:kern w:val="0"/>
          <w14:ligatures w14:val="none"/>
        </w:rPr>
        <w:t>2025-04-03</w:t>
      </w:r>
    </w:p>
    <w:p w14:paraId="72847C24" w14:textId="77777777" w:rsidR="000035FA" w:rsidRPr="000035FA" w:rsidRDefault="000035FA" w:rsidP="000035FA">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5F9B5A6D" w14:textId="7CE64E1C" w:rsidR="000035FA" w:rsidRPr="000035FA" w:rsidRDefault="000035FA" w:rsidP="000035FA">
      <w:pPr>
        <w:numPr>
          <w:ilvl w:val="12"/>
          <w:numId w:val="0"/>
        </w:numPr>
        <w:spacing w:line="240" w:lineRule="auto"/>
        <w:ind w:right="-2"/>
        <w:rPr>
          <w:rFonts w:ascii="Times New Roman" w:eastAsia="DengXian" w:hAnsi="Times New Roman" w:cs="Times New Roman"/>
          <w:kern w:val="0"/>
          <w:szCs w:val="24"/>
          <w14:ligatures w14:val="none"/>
        </w:rPr>
      </w:pPr>
      <w:r w:rsidRPr="000035FA">
        <w:rPr>
          <w:rFonts w:ascii="Times New Roman" w:eastAsia="DengXian" w:hAnsi="Times New Roman" w:cs="Times New Roman"/>
          <w:kern w:val="0"/>
          <w14:ligatures w14:val="none"/>
        </w:rPr>
        <w:t xml:space="preserve">Išsami informacija apie šį </w:t>
      </w:r>
      <w:r w:rsidRPr="000035FA">
        <w:rPr>
          <w:rFonts w:ascii="Times New Roman" w:eastAsia="DengXian" w:hAnsi="Times New Roman" w:cs="Times New Roman"/>
          <w:kern w:val="0"/>
          <w:szCs w:val="24"/>
          <w14:ligatures w14:val="none"/>
        </w:rPr>
        <w:t>vaistą</w:t>
      </w:r>
      <w:r w:rsidRPr="000035FA">
        <w:rPr>
          <w:rFonts w:ascii="Times New Roman" w:eastAsia="DengXian" w:hAnsi="Times New Roman" w:cs="Times New Roman"/>
          <w:kern w:val="0"/>
          <w14:ligatures w14:val="none"/>
        </w:rPr>
        <w:t xml:space="preserve"> pateikiama Valstybinės vaistų kontrolės tarnybos prie Lietuvos Respublikos sveikatos apsaugos ministerijos tinklalapyje</w:t>
      </w:r>
      <w:r w:rsidRPr="000035FA">
        <w:rPr>
          <w:rFonts w:ascii="Times New Roman" w:eastAsia="DengXian" w:hAnsi="Times New Roman" w:cs="Times New Roman"/>
          <w:i/>
          <w:kern w:val="0"/>
          <w:szCs w:val="24"/>
          <w14:ligatures w14:val="none"/>
        </w:rPr>
        <w:t xml:space="preserve"> </w:t>
      </w:r>
      <w:r w:rsidR="00505B5E" w:rsidRPr="00036652">
        <w:rPr>
          <w:rFonts w:asciiTheme="majorBidi" w:hAnsiTheme="majorBidi" w:cstheme="majorBidi"/>
          <w:color w:val="0000EE"/>
          <w:u w:val="single"/>
          <w:lang w:eastAsia="lt-LT"/>
        </w:rPr>
        <w:t>https://vvkt.lrv.lt/lt/</w:t>
      </w:r>
      <w:r w:rsidR="00505B5E">
        <w:rPr>
          <w:rFonts w:asciiTheme="majorBidi" w:hAnsiTheme="majorBidi" w:cstheme="majorBidi"/>
          <w:color w:val="0000EE"/>
          <w:u w:val="single"/>
          <w:lang w:eastAsia="lt-LT"/>
        </w:rPr>
        <w:t>.</w:t>
      </w:r>
    </w:p>
    <w:p w14:paraId="65E8FBCF" w14:textId="77777777" w:rsidR="000035FA" w:rsidRPr="000035FA" w:rsidRDefault="000035FA" w:rsidP="000035FA">
      <w:pPr>
        <w:tabs>
          <w:tab w:val="left" w:pos="567"/>
        </w:tabs>
        <w:spacing w:after="0" w:line="240" w:lineRule="auto"/>
        <w:rPr>
          <w:rFonts w:ascii="Times New Roman" w:eastAsia="Times New Roman" w:hAnsi="Times New Roman" w:cs="Times New Roman"/>
          <w:kern w:val="0"/>
          <w14:ligatures w14:val="none"/>
        </w:rPr>
      </w:pPr>
    </w:p>
    <w:p w14:paraId="7FD7A2FE"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6012C"/>
    <w:multiLevelType w:val="hybridMultilevel"/>
    <w:tmpl w:val="4FEEC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72AB1"/>
    <w:multiLevelType w:val="hybridMultilevel"/>
    <w:tmpl w:val="E3E4335A"/>
    <w:lvl w:ilvl="0" w:tplc="2DFA2758">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6C1F96"/>
    <w:multiLevelType w:val="hybridMultilevel"/>
    <w:tmpl w:val="47863EB4"/>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946013"/>
    <w:multiLevelType w:val="hybridMultilevel"/>
    <w:tmpl w:val="00AE6526"/>
    <w:lvl w:ilvl="0" w:tplc="FFFFFFFF">
      <w:start w:val="1"/>
      <w:numFmt w:val="bullet"/>
      <w:lvlText w:val="-"/>
      <w:legacy w:legacy="1" w:legacySpace="0" w:legacyIndent="360"/>
      <w:lvlJc w:val="left"/>
      <w:pPr>
        <w:ind w:left="36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894F10"/>
    <w:multiLevelType w:val="hybridMultilevel"/>
    <w:tmpl w:val="AAFE86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5155154">
    <w:abstractNumId w:val="0"/>
    <w:lvlOverride w:ilvl="0">
      <w:lvl w:ilvl="0">
        <w:start w:val="1"/>
        <w:numFmt w:val="bullet"/>
        <w:lvlText w:val="-"/>
        <w:legacy w:legacy="1" w:legacySpace="0" w:legacyIndent="360"/>
        <w:lvlJc w:val="left"/>
        <w:pPr>
          <w:ind w:left="360" w:hanging="360"/>
        </w:pPr>
      </w:lvl>
    </w:lvlOverride>
  </w:num>
  <w:num w:numId="2" w16cid:durableId="32267723">
    <w:abstractNumId w:val="4"/>
  </w:num>
  <w:num w:numId="3" w16cid:durableId="766537143">
    <w:abstractNumId w:val="5"/>
  </w:num>
  <w:num w:numId="4" w16cid:durableId="1313830653">
    <w:abstractNumId w:val="2"/>
  </w:num>
  <w:num w:numId="5" w16cid:durableId="787626340">
    <w:abstractNumId w:val="1"/>
  </w:num>
  <w:num w:numId="6" w16cid:durableId="1921451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AC"/>
    <w:rsid w:val="000035FA"/>
    <w:rsid w:val="000460A7"/>
    <w:rsid w:val="00093FB5"/>
    <w:rsid w:val="001739C9"/>
    <w:rsid w:val="00281DDB"/>
    <w:rsid w:val="002D7FCD"/>
    <w:rsid w:val="002F2D2A"/>
    <w:rsid w:val="002F4C6B"/>
    <w:rsid w:val="00375F79"/>
    <w:rsid w:val="003F15A9"/>
    <w:rsid w:val="00505B5E"/>
    <w:rsid w:val="00513C21"/>
    <w:rsid w:val="005B246F"/>
    <w:rsid w:val="005D373E"/>
    <w:rsid w:val="005F18CE"/>
    <w:rsid w:val="00624D90"/>
    <w:rsid w:val="00702FF6"/>
    <w:rsid w:val="00861166"/>
    <w:rsid w:val="00906C54"/>
    <w:rsid w:val="009402AC"/>
    <w:rsid w:val="0096791F"/>
    <w:rsid w:val="00A230C9"/>
    <w:rsid w:val="00A906CA"/>
    <w:rsid w:val="00B4305D"/>
    <w:rsid w:val="00BA1455"/>
    <w:rsid w:val="00BE18E0"/>
    <w:rsid w:val="00E7340C"/>
    <w:rsid w:val="00F80ADE"/>
    <w:rsid w:val="00F858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5762"/>
  <w15:chartTrackingRefBased/>
  <w15:docId w15:val="{62089573-382D-4C54-BE8D-2595DEFE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0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02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02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02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02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02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02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02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02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02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02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02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02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02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02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02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02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02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02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02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02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02AC"/>
    <w:rPr>
      <w:i/>
      <w:iCs/>
      <w:color w:val="404040" w:themeColor="text1" w:themeTint="BF"/>
    </w:rPr>
  </w:style>
  <w:style w:type="paragraph" w:styleId="Sraopastraipa">
    <w:name w:val="List Paragraph"/>
    <w:basedOn w:val="prastasis"/>
    <w:uiPriority w:val="34"/>
    <w:qFormat/>
    <w:rsid w:val="009402AC"/>
    <w:pPr>
      <w:ind w:left="720"/>
      <w:contextualSpacing/>
    </w:pPr>
  </w:style>
  <w:style w:type="character" w:styleId="Rykuspabraukimas">
    <w:name w:val="Intense Emphasis"/>
    <w:basedOn w:val="Numatytasispastraiposriftas"/>
    <w:uiPriority w:val="21"/>
    <w:qFormat/>
    <w:rsid w:val="009402AC"/>
    <w:rPr>
      <w:i/>
      <w:iCs/>
      <w:color w:val="0F4761" w:themeColor="accent1" w:themeShade="BF"/>
    </w:rPr>
  </w:style>
  <w:style w:type="paragraph" w:styleId="Iskirtacitata">
    <w:name w:val="Intense Quote"/>
    <w:basedOn w:val="prastasis"/>
    <w:next w:val="prastasis"/>
    <w:link w:val="IskirtacitataDiagrama"/>
    <w:uiPriority w:val="30"/>
    <w:qFormat/>
    <w:rsid w:val="0094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02AC"/>
    <w:rPr>
      <w:i/>
      <w:iCs/>
      <w:color w:val="0F4761" w:themeColor="accent1" w:themeShade="BF"/>
    </w:rPr>
  </w:style>
  <w:style w:type="character" w:styleId="Rykinuoroda">
    <w:name w:val="Intense Reference"/>
    <w:basedOn w:val="Numatytasispastraiposriftas"/>
    <w:uiPriority w:val="32"/>
    <w:qFormat/>
    <w:rsid w:val="009402AC"/>
    <w:rPr>
      <w:b/>
      <w:bCs/>
      <w:smallCaps/>
      <w:color w:val="0F4761" w:themeColor="accent1" w:themeShade="BF"/>
      <w:spacing w:val="5"/>
    </w:rPr>
  </w:style>
  <w:style w:type="table" w:customStyle="1" w:styleId="TableGrid1">
    <w:name w:val="Table Grid1"/>
    <w:basedOn w:val="prastojilentel"/>
    <w:next w:val="Lentelstinklelis"/>
    <w:uiPriority w:val="39"/>
    <w:rsid w:val="000035FA"/>
    <w:pPr>
      <w:spacing w:after="0" w:line="240" w:lineRule="auto"/>
    </w:pPr>
    <w:rPr>
      <w:rFonts w:eastAsia="DengXi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0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8792</Words>
  <Characters>5013</Characters>
  <Application>Microsoft Office Word</Application>
  <DocSecurity>0</DocSecurity>
  <Lines>41</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2024-09-10T19:56:00Z</dcterms:created>
  <dcterms:modified xsi:type="dcterms:W3CDTF">2025-04-10T19:26:00Z</dcterms:modified>
</cp:coreProperties>
</file>