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6C45" w14:textId="77777777" w:rsidR="008F7970" w:rsidRDefault="008F7970">
      <w:pPr>
        <w:widowControl w:val="0"/>
        <w:tabs>
          <w:tab w:val="left" w:pos="567"/>
        </w:tabs>
        <w:outlineLvl w:val="1"/>
        <w:rPr>
          <w:rFonts w:ascii="Times New Roman" w:hAnsi="Times New Roman" w:cs="Times New Roman"/>
          <w:b/>
        </w:rPr>
      </w:pPr>
    </w:p>
    <w:p w14:paraId="28C07081" w14:textId="77777777" w:rsidR="008F7970" w:rsidRDefault="008F7970">
      <w:pPr>
        <w:widowControl w:val="0"/>
        <w:ind w:left="0" w:firstLine="0"/>
        <w:rPr>
          <w:rFonts w:ascii="Times New Roman" w:hAnsi="Times New Roman" w:cs="Times New Roman"/>
        </w:rPr>
      </w:pPr>
    </w:p>
    <w:p w14:paraId="79A8CBBE" w14:textId="77777777" w:rsidR="008F7970" w:rsidRDefault="008F7970">
      <w:pPr>
        <w:widowControl w:val="0"/>
        <w:ind w:left="0" w:firstLine="0"/>
        <w:rPr>
          <w:rFonts w:ascii="Times New Roman" w:hAnsi="Times New Roman" w:cs="Times New Roman"/>
        </w:rPr>
      </w:pPr>
    </w:p>
    <w:p w14:paraId="5B9D31C8" w14:textId="77777777" w:rsidR="008F7970" w:rsidRDefault="008F7970">
      <w:pPr>
        <w:widowControl w:val="0"/>
        <w:ind w:left="0" w:firstLine="0"/>
        <w:rPr>
          <w:rFonts w:ascii="Times New Roman" w:hAnsi="Times New Roman" w:cs="Times New Roman"/>
        </w:rPr>
      </w:pPr>
    </w:p>
    <w:p w14:paraId="388BA5F1" w14:textId="77777777" w:rsidR="008F7970" w:rsidRDefault="008F7970">
      <w:pPr>
        <w:widowControl w:val="0"/>
        <w:ind w:left="0" w:firstLine="0"/>
        <w:rPr>
          <w:rFonts w:ascii="Times New Roman" w:hAnsi="Times New Roman" w:cs="Times New Roman"/>
        </w:rPr>
      </w:pPr>
    </w:p>
    <w:p w14:paraId="6069D1AF" w14:textId="77777777" w:rsidR="008F7970" w:rsidRDefault="008F7970">
      <w:pPr>
        <w:widowControl w:val="0"/>
        <w:ind w:left="0" w:firstLine="0"/>
        <w:rPr>
          <w:rFonts w:ascii="Times New Roman" w:hAnsi="Times New Roman" w:cs="Times New Roman"/>
        </w:rPr>
      </w:pPr>
    </w:p>
    <w:p w14:paraId="569E1D2F" w14:textId="77777777" w:rsidR="008F7970" w:rsidRDefault="008F7970">
      <w:pPr>
        <w:widowControl w:val="0"/>
        <w:ind w:left="0" w:firstLine="0"/>
        <w:rPr>
          <w:rFonts w:ascii="Times New Roman" w:hAnsi="Times New Roman" w:cs="Times New Roman"/>
        </w:rPr>
      </w:pPr>
    </w:p>
    <w:p w14:paraId="0AD28286" w14:textId="77777777" w:rsidR="008F7970" w:rsidRDefault="008F7970">
      <w:pPr>
        <w:widowControl w:val="0"/>
        <w:ind w:left="0" w:firstLine="0"/>
        <w:rPr>
          <w:rFonts w:ascii="Times New Roman" w:hAnsi="Times New Roman" w:cs="Times New Roman"/>
        </w:rPr>
      </w:pPr>
    </w:p>
    <w:p w14:paraId="48E5F81D" w14:textId="77777777" w:rsidR="008F7970" w:rsidRDefault="008F7970">
      <w:pPr>
        <w:widowControl w:val="0"/>
        <w:ind w:left="0" w:firstLine="0"/>
        <w:rPr>
          <w:rFonts w:ascii="Times New Roman" w:hAnsi="Times New Roman" w:cs="Times New Roman"/>
        </w:rPr>
      </w:pPr>
    </w:p>
    <w:p w14:paraId="396C5B89" w14:textId="77777777" w:rsidR="008F7970" w:rsidRDefault="008F7970">
      <w:pPr>
        <w:widowControl w:val="0"/>
        <w:ind w:left="0" w:firstLine="0"/>
        <w:rPr>
          <w:rFonts w:ascii="Times New Roman" w:hAnsi="Times New Roman" w:cs="Times New Roman"/>
        </w:rPr>
      </w:pPr>
    </w:p>
    <w:p w14:paraId="0D0058EF" w14:textId="77777777" w:rsidR="008F7970" w:rsidRDefault="008F7970">
      <w:pPr>
        <w:widowControl w:val="0"/>
        <w:ind w:left="0" w:firstLine="0"/>
        <w:rPr>
          <w:rFonts w:ascii="Times New Roman" w:hAnsi="Times New Roman" w:cs="Times New Roman"/>
        </w:rPr>
      </w:pPr>
    </w:p>
    <w:p w14:paraId="61608B35" w14:textId="77777777" w:rsidR="008F7970" w:rsidRDefault="008F7970">
      <w:pPr>
        <w:widowControl w:val="0"/>
        <w:ind w:left="0" w:firstLine="0"/>
        <w:rPr>
          <w:rFonts w:ascii="Times New Roman" w:hAnsi="Times New Roman" w:cs="Times New Roman"/>
        </w:rPr>
      </w:pPr>
    </w:p>
    <w:p w14:paraId="4FC96DE8" w14:textId="77777777" w:rsidR="008F7970" w:rsidRDefault="008F7970">
      <w:pPr>
        <w:widowControl w:val="0"/>
        <w:ind w:left="0" w:firstLine="0"/>
        <w:rPr>
          <w:rFonts w:ascii="Times New Roman" w:hAnsi="Times New Roman" w:cs="Times New Roman"/>
        </w:rPr>
      </w:pPr>
    </w:p>
    <w:p w14:paraId="7D8A4E92" w14:textId="77777777" w:rsidR="008F7970" w:rsidRDefault="008F7970">
      <w:pPr>
        <w:widowControl w:val="0"/>
        <w:ind w:left="0" w:firstLine="0"/>
        <w:rPr>
          <w:rFonts w:ascii="Times New Roman" w:hAnsi="Times New Roman" w:cs="Times New Roman"/>
        </w:rPr>
      </w:pPr>
    </w:p>
    <w:p w14:paraId="3DF52974" w14:textId="77777777" w:rsidR="008F7970" w:rsidRDefault="008F7970">
      <w:pPr>
        <w:widowControl w:val="0"/>
        <w:ind w:left="0" w:firstLine="0"/>
        <w:rPr>
          <w:rFonts w:ascii="Times New Roman" w:hAnsi="Times New Roman" w:cs="Times New Roman"/>
        </w:rPr>
      </w:pPr>
    </w:p>
    <w:p w14:paraId="01442F12" w14:textId="77777777" w:rsidR="008F7970" w:rsidRDefault="008F7970">
      <w:pPr>
        <w:widowControl w:val="0"/>
        <w:ind w:left="0" w:firstLine="0"/>
        <w:rPr>
          <w:rFonts w:ascii="Times New Roman" w:hAnsi="Times New Roman" w:cs="Times New Roman"/>
        </w:rPr>
      </w:pPr>
    </w:p>
    <w:p w14:paraId="2FCE768B" w14:textId="77777777" w:rsidR="008F7970" w:rsidRDefault="008F7970">
      <w:pPr>
        <w:widowControl w:val="0"/>
        <w:ind w:left="0" w:firstLine="0"/>
        <w:rPr>
          <w:rFonts w:ascii="Times New Roman" w:hAnsi="Times New Roman" w:cs="Times New Roman"/>
        </w:rPr>
      </w:pPr>
    </w:p>
    <w:p w14:paraId="1EA68465" w14:textId="77777777" w:rsidR="008F7970" w:rsidRDefault="008F7970">
      <w:pPr>
        <w:widowControl w:val="0"/>
        <w:ind w:left="0" w:firstLine="0"/>
        <w:rPr>
          <w:rFonts w:ascii="Times New Roman" w:hAnsi="Times New Roman" w:cs="Times New Roman"/>
        </w:rPr>
      </w:pPr>
    </w:p>
    <w:p w14:paraId="7531EA1F" w14:textId="77777777" w:rsidR="008F7970" w:rsidRDefault="008F7970">
      <w:pPr>
        <w:widowControl w:val="0"/>
        <w:ind w:left="0" w:firstLine="0"/>
        <w:rPr>
          <w:rFonts w:ascii="Times New Roman" w:hAnsi="Times New Roman" w:cs="Times New Roman"/>
        </w:rPr>
      </w:pPr>
    </w:p>
    <w:p w14:paraId="16EF9E23" w14:textId="77777777" w:rsidR="008F7970" w:rsidRDefault="008F7970">
      <w:pPr>
        <w:widowControl w:val="0"/>
        <w:ind w:left="0" w:firstLine="0"/>
        <w:rPr>
          <w:rFonts w:ascii="Times New Roman" w:hAnsi="Times New Roman" w:cs="Times New Roman"/>
        </w:rPr>
      </w:pPr>
    </w:p>
    <w:p w14:paraId="0192721F" w14:textId="77777777" w:rsidR="008F7970" w:rsidRDefault="008F7970">
      <w:pPr>
        <w:widowControl w:val="0"/>
        <w:ind w:left="0" w:firstLine="0"/>
        <w:rPr>
          <w:rFonts w:ascii="Times New Roman" w:hAnsi="Times New Roman" w:cs="Times New Roman"/>
        </w:rPr>
      </w:pPr>
    </w:p>
    <w:p w14:paraId="6A30B4B9" w14:textId="77777777" w:rsidR="008F7970" w:rsidRDefault="008F7970">
      <w:pPr>
        <w:widowControl w:val="0"/>
        <w:ind w:left="0" w:firstLine="0"/>
        <w:rPr>
          <w:rFonts w:ascii="Times New Roman" w:hAnsi="Times New Roman" w:cs="Times New Roman"/>
        </w:rPr>
      </w:pPr>
    </w:p>
    <w:p w14:paraId="69921684" w14:textId="77777777" w:rsidR="008F7970" w:rsidRDefault="008F7970">
      <w:pPr>
        <w:widowControl w:val="0"/>
        <w:ind w:left="0" w:firstLine="0"/>
        <w:rPr>
          <w:rFonts w:ascii="Times New Roman" w:hAnsi="Times New Roman" w:cs="Times New Roman"/>
        </w:rPr>
      </w:pPr>
    </w:p>
    <w:p w14:paraId="2476AE2E" w14:textId="77777777" w:rsidR="008F7970" w:rsidRDefault="00AD4BB2">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I PRIEDAS</w:t>
      </w:r>
    </w:p>
    <w:p w14:paraId="7804E796" w14:textId="77777777" w:rsidR="008F7970" w:rsidRDefault="008F7970">
      <w:pPr>
        <w:widowControl w:val="0"/>
        <w:ind w:left="0" w:firstLine="0"/>
        <w:rPr>
          <w:rFonts w:ascii="Times New Roman" w:hAnsi="Times New Roman" w:cs="Times New Roman"/>
        </w:rPr>
      </w:pPr>
    </w:p>
    <w:p w14:paraId="6F354D44" w14:textId="77777777" w:rsidR="008F7970" w:rsidRDefault="00AD4BB2">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PREPARATO CHARAKTERISTIKŲ SANTRAUKA</w:t>
      </w:r>
    </w:p>
    <w:p w14:paraId="6AE21992" w14:textId="77777777" w:rsidR="008F7970" w:rsidRDefault="00AD4BB2">
      <w:pPr>
        <w:widowControl w:val="0"/>
        <w:tabs>
          <w:tab w:val="center" w:pos="4153"/>
          <w:tab w:val="right" w:pos="8306"/>
        </w:tabs>
        <w:ind w:left="0" w:firstLine="0"/>
        <w:rPr>
          <w:rFonts w:ascii="Times New Roman" w:hAnsi="Times New Roman" w:cs="Times New Roman"/>
          <w:b/>
        </w:rPr>
      </w:pPr>
      <w:r>
        <w:rPr>
          <w:rFonts w:ascii="Times New Roman" w:hAnsi="Times New Roman" w:cs="Times New Roman"/>
        </w:rPr>
        <w:br w:type="page"/>
      </w:r>
    </w:p>
    <w:p w14:paraId="7EFBD738"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t>VAISTINIO PREPARATO PAVADINIMAS</w:t>
      </w:r>
    </w:p>
    <w:p w14:paraId="1E7C6FD0" w14:textId="77777777" w:rsidR="008F7970" w:rsidRDefault="008F7970">
      <w:pPr>
        <w:widowControl w:val="0"/>
        <w:ind w:left="0" w:firstLine="0"/>
        <w:rPr>
          <w:rFonts w:ascii="Times New Roman" w:hAnsi="Times New Roman" w:cs="Times New Roman"/>
        </w:rPr>
      </w:pPr>
    </w:p>
    <w:p w14:paraId="26DA4AC4" w14:textId="77777777" w:rsidR="008F7970" w:rsidRDefault="00AD4BB2">
      <w:pPr>
        <w:widowControl w:val="0"/>
        <w:ind w:left="0" w:firstLine="0"/>
        <w:rPr>
          <w:rFonts w:ascii="Times New Roman" w:hAnsi="Times New Roman" w:cs="Times New Roman"/>
          <w:lang w:val="sl-SI"/>
        </w:rPr>
      </w:pPr>
      <w:bookmarkStart w:id="0" w:name="_Hlk210312110"/>
      <w:proofErr w:type="spellStart"/>
      <w:r>
        <w:rPr>
          <w:rFonts w:ascii="Times New Roman" w:hAnsi="Times New Roman" w:cs="Times New Roman"/>
        </w:rPr>
        <w:t>Pitezenib</w:t>
      </w:r>
      <w:proofErr w:type="spellEnd"/>
      <w:r>
        <w:rPr>
          <w:rFonts w:ascii="Times New Roman" w:hAnsi="Times New Roman" w:cs="Times New Roman"/>
        </w:rPr>
        <w:t xml:space="preserve"> 2 mg/10 mg tabletės</w:t>
      </w:r>
    </w:p>
    <w:p w14:paraId="1F7310A1"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rPr>
        <w:t>Pitezenib</w:t>
      </w:r>
      <w:proofErr w:type="spellEnd"/>
      <w:r>
        <w:rPr>
          <w:rFonts w:ascii="Times New Roman" w:hAnsi="Times New Roman" w:cs="Times New Roman"/>
        </w:rPr>
        <w:t xml:space="preserve"> 4 mg/10 mg tabletės</w:t>
      </w:r>
    </w:p>
    <w:bookmarkEnd w:id="0"/>
    <w:p w14:paraId="1C51B8A6" w14:textId="77777777" w:rsidR="008F7970" w:rsidRDefault="008F7970">
      <w:pPr>
        <w:widowControl w:val="0"/>
        <w:ind w:left="0" w:firstLine="0"/>
        <w:rPr>
          <w:rFonts w:ascii="Times New Roman" w:hAnsi="Times New Roman" w:cs="Times New Roman"/>
        </w:rPr>
      </w:pPr>
    </w:p>
    <w:p w14:paraId="062568B6" w14:textId="77777777" w:rsidR="008F7970" w:rsidRDefault="008F7970">
      <w:pPr>
        <w:widowControl w:val="0"/>
        <w:ind w:left="0" w:firstLine="0"/>
        <w:rPr>
          <w:rFonts w:ascii="Times New Roman" w:hAnsi="Times New Roman" w:cs="Times New Roman"/>
        </w:rPr>
      </w:pPr>
    </w:p>
    <w:p w14:paraId="642ECEA1"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KOKYBINĖ IR KIEKYBINĖ SUDĖTIS</w:t>
      </w:r>
    </w:p>
    <w:p w14:paraId="72B9DF63" w14:textId="77777777" w:rsidR="008F7970" w:rsidRDefault="008F7970">
      <w:pPr>
        <w:widowControl w:val="0"/>
        <w:ind w:left="0" w:firstLine="0"/>
        <w:rPr>
          <w:rFonts w:ascii="Times New Roman" w:hAnsi="Times New Roman" w:cs="Times New Roman"/>
        </w:rPr>
      </w:pPr>
    </w:p>
    <w:p w14:paraId="5FBBBE31" w14:textId="77777777" w:rsidR="008F7970" w:rsidRDefault="00AD4BB2">
      <w:pPr>
        <w:widowControl w:val="0"/>
        <w:ind w:left="0" w:firstLine="0"/>
        <w:rPr>
          <w:rFonts w:ascii="Times New Roman" w:hAnsi="Times New Roman" w:cs="Times New Roman"/>
          <w:u w:val="single"/>
        </w:rPr>
      </w:pPr>
      <w:bookmarkStart w:id="1" w:name="_Hlk210645493"/>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407C46ED"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Kiekvienoje tabletėje yra 2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p w14:paraId="7AB9C5DD" w14:textId="77777777" w:rsidR="008F7970" w:rsidRDefault="008F7970">
      <w:pPr>
        <w:widowControl w:val="0"/>
        <w:ind w:left="0" w:firstLine="0"/>
        <w:rPr>
          <w:rFonts w:ascii="Times New Roman" w:hAnsi="Times New Roman" w:cs="Times New Roman"/>
        </w:rPr>
      </w:pPr>
    </w:p>
    <w:p w14:paraId="43E8B256"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510E5B3E"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Kiekvienoje tabletėje yra 4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bookmarkEnd w:id="1"/>
    <w:p w14:paraId="2ECF36BC" w14:textId="77777777" w:rsidR="008F7970" w:rsidRDefault="008F7970">
      <w:pPr>
        <w:widowControl w:val="0"/>
        <w:ind w:left="0" w:firstLine="0"/>
        <w:rPr>
          <w:rFonts w:ascii="Times New Roman" w:hAnsi="Times New Roman" w:cs="Times New Roman"/>
        </w:rPr>
      </w:pPr>
    </w:p>
    <w:p w14:paraId="5E73A2A3" w14:textId="77777777" w:rsidR="008F7970" w:rsidRDefault="00AD4BB2">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Pagalbinė medžiaga, kurios poveikis žinomas:</w:t>
      </w:r>
    </w:p>
    <w:p w14:paraId="153326FA"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666AFD8A" w14:textId="77777777" w:rsidR="008F7970" w:rsidRDefault="00AD4BB2">
      <w:pPr>
        <w:widowControl w:val="0"/>
        <w:tabs>
          <w:tab w:val="left" w:pos="567"/>
        </w:tabs>
        <w:ind w:left="0" w:firstLine="0"/>
        <w:rPr>
          <w:rFonts w:ascii="Times New Roman" w:hAnsi="Times New Roman" w:cs="Times New Roman"/>
        </w:rPr>
      </w:pPr>
      <w:r>
        <w:rPr>
          <w:rFonts w:ascii="Times New Roman" w:hAnsi="Times New Roman" w:cs="Times New Roman"/>
        </w:rPr>
        <w:t xml:space="preserve">Kiekvienoje tabletėje yra 153,34 mg laktozės (laktozės </w:t>
      </w:r>
      <w:proofErr w:type="spellStart"/>
      <w:r>
        <w:rPr>
          <w:rFonts w:ascii="Times New Roman" w:hAnsi="Times New Roman" w:cs="Times New Roman"/>
        </w:rPr>
        <w:t>monohidrato</w:t>
      </w:r>
      <w:proofErr w:type="spellEnd"/>
      <w:r>
        <w:rPr>
          <w:rFonts w:ascii="Times New Roman" w:hAnsi="Times New Roman" w:cs="Times New Roman"/>
        </w:rPr>
        <w:t xml:space="preserve"> pavidalu)</w:t>
      </w:r>
    </w:p>
    <w:p w14:paraId="318D843B" w14:textId="77777777" w:rsidR="008F7970" w:rsidRDefault="008F7970">
      <w:pPr>
        <w:widowControl w:val="0"/>
        <w:tabs>
          <w:tab w:val="left" w:pos="567"/>
        </w:tabs>
        <w:ind w:left="0" w:firstLine="0"/>
        <w:rPr>
          <w:rFonts w:ascii="Times New Roman" w:hAnsi="Times New Roman" w:cs="Times New Roman"/>
          <w:u w:val="single"/>
        </w:rPr>
      </w:pPr>
    </w:p>
    <w:p w14:paraId="1D1690E5"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05C16348"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Kiekvienoje tabletėje yra 151,35 mg laktozės (laktozės </w:t>
      </w:r>
      <w:proofErr w:type="spellStart"/>
      <w:r>
        <w:rPr>
          <w:rFonts w:ascii="Times New Roman" w:hAnsi="Times New Roman" w:cs="Times New Roman"/>
        </w:rPr>
        <w:t>monohidrato</w:t>
      </w:r>
      <w:proofErr w:type="spellEnd"/>
      <w:r>
        <w:rPr>
          <w:rFonts w:ascii="Times New Roman" w:hAnsi="Times New Roman" w:cs="Times New Roman"/>
        </w:rPr>
        <w:t xml:space="preserve"> pavidalu)</w:t>
      </w:r>
    </w:p>
    <w:p w14:paraId="670A7C93" w14:textId="77777777" w:rsidR="008F7970" w:rsidRDefault="008F7970">
      <w:pPr>
        <w:widowControl w:val="0"/>
        <w:tabs>
          <w:tab w:val="left" w:pos="567"/>
        </w:tabs>
        <w:ind w:left="0" w:firstLine="0"/>
        <w:rPr>
          <w:rFonts w:ascii="Times New Roman" w:hAnsi="Times New Roman" w:cs="Times New Roman"/>
          <w:u w:val="single"/>
        </w:rPr>
      </w:pPr>
    </w:p>
    <w:p w14:paraId="1859EED1" w14:textId="77777777" w:rsidR="008F7970" w:rsidRDefault="00AD4BB2">
      <w:pPr>
        <w:widowControl w:val="0"/>
        <w:tabs>
          <w:tab w:val="left" w:pos="567"/>
        </w:tabs>
        <w:ind w:left="0" w:firstLine="0"/>
        <w:rPr>
          <w:rFonts w:ascii="Times New Roman" w:hAnsi="Times New Roman" w:cs="Times New Roman"/>
        </w:rPr>
      </w:pPr>
      <w:r>
        <w:rPr>
          <w:rFonts w:ascii="Times New Roman" w:hAnsi="Times New Roman" w:cs="Times New Roman"/>
        </w:rPr>
        <w:t>Visos pagalbinės medžiagos išvardytos 6.1 skyriuje.</w:t>
      </w:r>
    </w:p>
    <w:p w14:paraId="4D2B927B" w14:textId="77777777" w:rsidR="008F7970" w:rsidRDefault="008F7970">
      <w:pPr>
        <w:widowControl w:val="0"/>
        <w:ind w:left="0" w:firstLine="0"/>
        <w:rPr>
          <w:rFonts w:ascii="Times New Roman" w:hAnsi="Times New Roman" w:cs="Times New Roman"/>
        </w:rPr>
      </w:pPr>
    </w:p>
    <w:p w14:paraId="1B9F4843" w14:textId="77777777" w:rsidR="008F7970" w:rsidRDefault="008F7970">
      <w:pPr>
        <w:widowControl w:val="0"/>
        <w:ind w:left="0" w:firstLine="0"/>
        <w:rPr>
          <w:rFonts w:ascii="Times New Roman" w:hAnsi="Times New Roman" w:cs="Times New Roman"/>
        </w:rPr>
      </w:pPr>
    </w:p>
    <w:p w14:paraId="48A3E212"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FARMACINĖ FORMA</w:t>
      </w:r>
    </w:p>
    <w:p w14:paraId="52249B10" w14:textId="77777777" w:rsidR="008F7970" w:rsidRDefault="008F7970">
      <w:pPr>
        <w:widowControl w:val="0"/>
        <w:ind w:left="0" w:firstLine="0"/>
        <w:rPr>
          <w:rFonts w:ascii="Times New Roman" w:hAnsi="Times New Roman" w:cs="Times New Roman"/>
        </w:rPr>
      </w:pPr>
    </w:p>
    <w:p w14:paraId="615D9C70" w14:textId="77777777" w:rsidR="008F7970" w:rsidRDefault="00AD4BB2">
      <w:pPr>
        <w:widowControl w:val="0"/>
        <w:ind w:left="0" w:firstLine="0"/>
        <w:rPr>
          <w:rFonts w:ascii="Times New Roman" w:hAnsi="Times New Roman" w:cs="Times New Roman"/>
        </w:rPr>
      </w:pPr>
      <w:r>
        <w:rPr>
          <w:rFonts w:ascii="Times New Roman" w:hAnsi="Times New Roman" w:cs="Times New Roman"/>
        </w:rPr>
        <w:t>Tabletė</w:t>
      </w:r>
    </w:p>
    <w:p w14:paraId="5F47568B" w14:textId="77777777" w:rsidR="008F7970" w:rsidRDefault="008F7970">
      <w:pPr>
        <w:widowControl w:val="0"/>
        <w:ind w:left="0" w:firstLine="0"/>
        <w:rPr>
          <w:rFonts w:ascii="Times New Roman" w:hAnsi="Times New Roman" w:cs="Times New Roman"/>
        </w:rPr>
      </w:pPr>
    </w:p>
    <w:p w14:paraId="4ECFF4E0"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1AF2222C" w14:textId="77777777" w:rsidR="008F7970" w:rsidRDefault="00AD4BB2">
      <w:pPr>
        <w:widowControl w:val="0"/>
        <w:ind w:left="0" w:firstLine="0"/>
        <w:rPr>
          <w:rFonts w:ascii="Times New Roman" w:hAnsi="Times New Roman" w:cs="Times New Roman"/>
          <w:lang w:val="sl-SI"/>
        </w:rPr>
      </w:pPr>
      <w:r>
        <w:rPr>
          <w:rFonts w:ascii="Times New Roman" w:hAnsi="Times New Roman" w:cs="Times New Roman"/>
          <w:lang w:val="sl-SI"/>
        </w:rPr>
        <w:t>Baltos arba beveik baltos, ovalios, abipus išgaubtos tabletės, kurių vienoje pusėje pažymėta B2.</w:t>
      </w:r>
    </w:p>
    <w:p w14:paraId="5615C1EF" w14:textId="77777777" w:rsidR="008F7970" w:rsidRDefault="00AD4BB2">
      <w:pPr>
        <w:widowControl w:val="0"/>
        <w:ind w:left="0" w:firstLine="0"/>
        <w:rPr>
          <w:rFonts w:ascii="Times New Roman" w:hAnsi="Times New Roman" w:cs="Times New Roman"/>
          <w:lang w:val="sl-SI"/>
        </w:rPr>
      </w:pPr>
      <w:r>
        <w:rPr>
          <w:rFonts w:ascii="Times New Roman" w:hAnsi="Times New Roman" w:cs="Times New Roman"/>
          <w:lang w:val="sl-SI"/>
        </w:rPr>
        <w:t>Tabletės matmenys: maždaug 13 mm × 6 mm.</w:t>
      </w:r>
    </w:p>
    <w:p w14:paraId="1BBDC066" w14:textId="77777777" w:rsidR="008F7970" w:rsidRDefault="008F7970">
      <w:pPr>
        <w:widowControl w:val="0"/>
        <w:ind w:left="0" w:firstLine="0"/>
        <w:rPr>
          <w:rFonts w:ascii="Times New Roman" w:hAnsi="Times New Roman" w:cs="Times New Roman"/>
          <w:lang w:val="sl-SI"/>
        </w:rPr>
      </w:pPr>
    </w:p>
    <w:p w14:paraId="598AC2F9" w14:textId="77777777" w:rsidR="008F7970" w:rsidRDefault="00AD4BB2">
      <w:pPr>
        <w:widowControl w:val="0"/>
        <w:ind w:left="0" w:firstLine="0"/>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3B66B3F5" w14:textId="77777777" w:rsidR="008F7970" w:rsidRDefault="00AD4BB2">
      <w:pPr>
        <w:widowControl w:val="0"/>
        <w:ind w:left="0" w:firstLine="0"/>
        <w:rPr>
          <w:rFonts w:ascii="Times New Roman" w:hAnsi="Times New Roman" w:cs="Times New Roman"/>
          <w:lang w:val="sl-SI"/>
        </w:rPr>
      </w:pPr>
      <w:r>
        <w:rPr>
          <w:rFonts w:ascii="Times New Roman" w:hAnsi="Times New Roman" w:cs="Times New Roman"/>
          <w:lang w:val="sl-SI"/>
        </w:rPr>
        <w:t>Baltos arba beveik baltos, apvalios, abipus išgaubtos tabletės, kurių vienoje pusėje yra žyma B4.</w:t>
      </w:r>
    </w:p>
    <w:p w14:paraId="6E128E40" w14:textId="77777777" w:rsidR="008F7970" w:rsidRDefault="00AD4BB2">
      <w:pPr>
        <w:widowControl w:val="0"/>
        <w:ind w:left="0" w:firstLine="0"/>
        <w:rPr>
          <w:rFonts w:ascii="Times New Roman" w:hAnsi="Times New Roman" w:cs="Times New Roman"/>
        </w:rPr>
      </w:pPr>
      <w:r>
        <w:rPr>
          <w:rFonts w:ascii="Times New Roman" w:eastAsia="Times New Roman" w:hAnsi="Times New Roman" w:cs="Times New Roman"/>
          <w:lang w:eastAsia="en-GB"/>
        </w:rPr>
        <w:t>Tabletės matmenys: skersmuo apie 9 mm.</w:t>
      </w:r>
    </w:p>
    <w:p w14:paraId="58E81BB1" w14:textId="77777777" w:rsidR="008F7970" w:rsidRDefault="008F7970">
      <w:pPr>
        <w:widowControl w:val="0"/>
        <w:ind w:left="0" w:firstLine="0"/>
        <w:rPr>
          <w:rFonts w:ascii="Times New Roman" w:hAnsi="Times New Roman" w:cs="Times New Roman"/>
        </w:rPr>
      </w:pPr>
    </w:p>
    <w:p w14:paraId="5B7B4B9C" w14:textId="77777777" w:rsidR="008F7970" w:rsidRDefault="008F7970">
      <w:pPr>
        <w:widowControl w:val="0"/>
        <w:ind w:left="0" w:firstLine="0"/>
        <w:rPr>
          <w:rFonts w:ascii="Times New Roman" w:hAnsi="Times New Roman" w:cs="Times New Roman"/>
        </w:rPr>
      </w:pPr>
    </w:p>
    <w:p w14:paraId="2410989C" w14:textId="77777777" w:rsidR="008F7970" w:rsidRDefault="00AD4BB2">
      <w:pPr>
        <w:keepNext/>
        <w:keepLines/>
        <w:tabs>
          <w:tab w:val="left" w:pos="567"/>
        </w:tabs>
        <w:ind w:left="0" w:firstLine="0"/>
        <w:outlineLvl w:val="2"/>
        <w:rPr>
          <w:rFonts w:ascii="Times New Roman" w:eastAsia="Times New Roman" w:hAnsi="Times New Roman" w:cs="Times New Roman"/>
          <w:b/>
          <w:bCs/>
          <w:snapToGrid w:val="0"/>
          <w:lang w:eastAsia="en-GB"/>
        </w:rPr>
      </w:pPr>
      <w:r>
        <w:rPr>
          <w:rFonts w:ascii="Times New Roman" w:eastAsia="Times New Roman" w:hAnsi="Times New Roman" w:cs="Times New Roman"/>
          <w:b/>
          <w:bCs/>
          <w:snapToGrid w:val="0"/>
          <w:lang w:eastAsia="en-GB"/>
        </w:rPr>
        <w:t>4.</w:t>
      </w:r>
      <w:r>
        <w:rPr>
          <w:rFonts w:ascii="Times New Roman" w:eastAsia="Times New Roman" w:hAnsi="Times New Roman" w:cs="Times New Roman"/>
          <w:b/>
          <w:bCs/>
          <w:snapToGrid w:val="0"/>
          <w:lang w:eastAsia="en-GB"/>
        </w:rPr>
        <w:tab/>
        <w:t>KLINIKINĖ INFORMACIJA</w:t>
      </w:r>
    </w:p>
    <w:p w14:paraId="2BBB5298" w14:textId="77777777" w:rsidR="008F7970" w:rsidRDefault="008F7970">
      <w:pPr>
        <w:widowControl w:val="0"/>
        <w:rPr>
          <w:rFonts w:ascii="Times New Roman" w:eastAsia="Times New Roman" w:hAnsi="Times New Roman" w:cs="Times New Roman"/>
        </w:rPr>
      </w:pPr>
    </w:p>
    <w:p w14:paraId="4C5C545B"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p>
    <w:p w14:paraId="0D1CF74F" w14:textId="77777777" w:rsidR="008F7970" w:rsidRDefault="008F7970">
      <w:pPr>
        <w:widowControl w:val="0"/>
        <w:rPr>
          <w:rFonts w:ascii="Times New Roman" w:eastAsia="Times New Roman" w:hAnsi="Times New Roman" w:cs="Times New Roman"/>
        </w:rPr>
      </w:pPr>
    </w:p>
    <w:p w14:paraId="2B4859C8" w14:textId="77777777" w:rsidR="008F7970" w:rsidRDefault="00AD4BB2">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skirtas pakeičiamajam gydymui, papildanti dietą ir kitus nefarmakologinius gydymo būdus, suaugusiems pacientams, kurie serga pirmine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heterozigotinę</w:t>
      </w:r>
      <w:proofErr w:type="spellEnd"/>
      <w:r>
        <w:rPr>
          <w:rFonts w:ascii="Times New Roman" w:eastAsia="Times New Roman" w:hAnsi="Times New Roman" w:cs="Times New Roman"/>
        </w:rPr>
        <w:t xml:space="preserve"> šeiminę ir nešeiminę </w:t>
      </w:r>
      <w:proofErr w:type="spellStart"/>
      <w:r>
        <w:rPr>
          <w:rFonts w:ascii="Times New Roman" w:eastAsia="Times New Roman" w:hAnsi="Times New Roman" w:cs="Times New Roman"/>
        </w:rPr>
        <w:t>hipercholesterolemiją</w:t>
      </w:r>
      <w:proofErr w:type="spellEnd"/>
      <w:r>
        <w:rPr>
          <w:rFonts w:ascii="Times New Roman" w:eastAsia="Times New Roman" w:hAnsi="Times New Roman" w:cs="Times New Roman"/>
        </w:rPr>
        <w:t xml:space="preserve">, arba kombinuota (mišria) </w:t>
      </w:r>
      <w:proofErr w:type="spellStart"/>
      <w:r>
        <w:rPr>
          <w:rFonts w:ascii="Times New Roman" w:eastAsia="Times New Roman" w:hAnsi="Times New Roman" w:cs="Times New Roman"/>
        </w:rPr>
        <w:t>dislipidemija</w:t>
      </w:r>
      <w:proofErr w:type="spellEnd"/>
      <w:r>
        <w:rPr>
          <w:rFonts w:ascii="Times New Roman" w:eastAsia="Times New Roman" w:hAnsi="Times New Roman" w:cs="Times New Roman"/>
        </w:rPr>
        <w:t xml:space="preserve"> ir kurių būklė yra tinkamai sureguliuota atskirais vaistiniais preparatais </w:t>
      </w:r>
      <w:proofErr w:type="spellStart"/>
      <w:r>
        <w:rPr>
          <w:rFonts w:ascii="Times New Roman" w:eastAsia="Times New Roman" w:hAnsi="Times New Roman" w:cs="Times New Roman"/>
        </w:rPr>
        <w:t>pitavastatinu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skiriamais kartu tokiomis pačiomis dozėmis, kaip ir fiksuotų dozių derinyje.</w:t>
      </w:r>
    </w:p>
    <w:p w14:paraId="11A91D75" w14:textId="77777777" w:rsidR="008F7970" w:rsidRDefault="008F7970">
      <w:pPr>
        <w:widowControl w:val="0"/>
        <w:autoSpaceDE w:val="0"/>
        <w:autoSpaceDN w:val="0"/>
        <w:adjustRightInd w:val="0"/>
        <w:ind w:left="0" w:firstLine="0"/>
        <w:rPr>
          <w:rFonts w:ascii="Times New Roman" w:eastAsia="Times New Roman" w:hAnsi="Times New Roman" w:cs="Times New Roman"/>
        </w:rPr>
      </w:pPr>
    </w:p>
    <w:p w14:paraId="1FDBD624" w14:textId="77777777" w:rsidR="008F7970" w:rsidRDefault="00AD4BB2">
      <w:pPr>
        <w:widowControl w:val="0"/>
        <w:tabs>
          <w:tab w:val="left" w:pos="567"/>
        </w:tabs>
        <w:outlineLvl w:val="2"/>
        <w:rPr>
          <w:rFonts w:ascii="Times New Roman" w:eastAsia="Times New Roman" w:hAnsi="Times New Roman" w:cs="Times New Roman"/>
          <w:b/>
        </w:rPr>
      </w:pPr>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p>
    <w:p w14:paraId="4FB2E53D" w14:textId="77777777" w:rsidR="008F7970" w:rsidRDefault="008F7970">
      <w:pPr>
        <w:widowControl w:val="0"/>
        <w:rPr>
          <w:rFonts w:ascii="Times New Roman" w:eastAsia="Times New Roman" w:hAnsi="Times New Roman" w:cs="Times New Roman"/>
          <w:bCs/>
        </w:rPr>
      </w:pPr>
    </w:p>
    <w:p w14:paraId="1D113DEA" w14:textId="77777777" w:rsidR="008F7970" w:rsidRDefault="00AD4BB2">
      <w:pPr>
        <w:widowControl w:val="0"/>
        <w:ind w:left="0" w:firstLine="0"/>
        <w:rPr>
          <w:rFonts w:ascii="Times New Roman" w:eastAsia="Times New Roman" w:hAnsi="Times New Roman" w:cs="Times New Roman"/>
        </w:rPr>
      </w:pPr>
      <w:r>
        <w:rPr>
          <w:rFonts w:ascii="Times New Roman" w:eastAsia="Times New Roman" w:hAnsi="Times New Roman" w:cs="Times New Roman"/>
          <w:u w:val="single"/>
        </w:rPr>
        <w:t>Dozavimas</w:t>
      </w:r>
    </w:p>
    <w:p w14:paraId="3980EAF0" w14:textId="77777777" w:rsidR="008F7970" w:rsidRDefault="008F7970">
      <w:pPr>
        <w:widowControl w:val="0"/>
        <w:ind w:left="0" w:firstLine="0"/>
        <w:rPr>
          <w:rFonts w:ascii="Times New Roman" w:eastAsia="Times New Roman" w:hAnsi="Times New Roman" w:cs="Times New Roman"/>
        </w:rPr>
      </w:pPr>
    </w:p>
    <w:p w14:paraId="21C1C41E" w14:textId="77777777" w:rsidR="008F7970" w:rsidRDefault="00AD4BB2">
      <w:pPr>
        <w:widowControl w:val="0"/>
        <w:ind w:left="0" w:firstLine="0"/>
        <w:rPr>
          <w:rFonts w:ascii="Times New Roman" w:eastAsia="Times New Roman" w:hAnsi="Times New Roman" w:cs="Times New Roman"/>
          <w:iCs/>
        </w:rPr>
      </w:pPr>
      <w:r>
        <w:rPr>
          <w:rFonts w:ascii="Times New Roman" w:eastAsia="Times New Roman" w:hAnsi="Times New Roman" w:cs="Times New Roman"/>
          <w:iCs/>
        </w:rPr>
        <w:t>Pacientas prieš pradedant gydymą turi laikytis cholesterolio koncentraciją mažinančios dietos. Svarbu, kad visi pacientai toliau kontroliuotų savo dietą gydymo metu.</w:t>
      </w:r>
    </w:p>
    <w:p w14:paraId="218D7EF4" w14:textId="77777777" w:rsidR="008F7970" w:rsidRDefault="008F7970">
      <w:pPr>
        <w:autoSpaceDE w:val="0"/>
        <w:autoSpaceDN w:val="0"/>
        <w:adjustRightInd w:val="0"/>
        <w:ind w:left="0" w:firstLine="0"/>
        <w:rPr>
          <w:rFonts w:ascii="Times New Roman" w:eastAsia="Times New Roman" w:hAnsi="Times New Roman" w:cs="Times New Roman"/>
        </w:rPr>
      </w:pPr>
    </w:p>
    <w:p w14:paraId="4C4C1821" w14:textId="77777777" w:rsidR="008F7970" w:rsidRDefault="00AD4BB2">
      <w:pPr>
        <w:widowControl w:val="0"/>
        <w:ind w:left="0" w:firstLine="0"/>
        <w:rPr>
          <w:rFonts w:ascii="Times New Roman" w:eastAsia="Times New Roman" w:hAnsi="Times New Roman" w:cs="Times New Roman"/>
          <w:iCs/>
        </w:rPr>
      </w:pPr>
      <w:r>
        <w:rPr>
          <w:rFonts w:ascii="Times New Roman" w:eastAsia="Times New Roman" w:hAnsi="Times New Roman" w:cs="Times New Roman"/>
          <w:iCs/>
        </w:rPr>
        <w:t xml:space="preserve">Rekomenduojama </w:t>
      </w:r>
      <w:proofErr w:type="spellStart"/>
      <w:r>
        <w:rPr>
          <w:rFonts w:ascii="Times New Roman" w:eastAsia="Times New Roman" w:hAnsi="Times New Roman" w:cs="Times New Roman"/>
          <w:iCs/>
        </w:rPr>
        <w:t>Pitezenib</w:t>
      </w:r>
      <w:proofErr w:type="spellEnd"/>
      <w:r>
        <w:rPr>
          <w:rFonts w:ascii="Times New Roman" w:eastAsia="Times New Roman" w:hAnsi="Times New Roman" w:cs="Times New Roman"/>
          <w:iCs/>
        </w:rPr>
        <w:t xml:space="preserve"> dozė yra viena tabletė per parą.</w:t>
      </w:r>
    </w:p>
    <w:p w14:paraId="1E467A64" w14:textId="77777777" w:rsidR="008F7970" w:rsidRDefault="008F7970">
      <w:pPr>
        <w:autoSpaceDE w:val="0"/>
        <w:autoSpaceDN w:val="0"/>
        <w:adjustRightInd w:val="0"/>
        <w:ind w:left="0" w:firstLine="0"/>
        <w:rPr>
          <w:rFonts w:ascii="Times New Roman" w:eastAsia="Times New Roman" w:hAnsi="Times New Roman" w:cs="Times New Roman"/>
        </w:rPr>
      </w:pPr>
    </w:p>
    <w:p w14:paraId="10D1FDFC" w14:textId="77777777" w:rsidR="008F7970" w:rsidRDefault="00AD4BB2">
      <w:pPr>
        <w:autoSpaceDE w:val="0"/>
        <w:autoSpaceDN w:val="0"/>
        <w:adjustRightInd w:val="0"/>
        <w:ind w:left="0" w:firstLine="0"/>
        <w:rPr>
          <w:rFonts w:ascii="Times New Roman" w:eastAsia="Times New Roman" w:hAnsi="Times New Roman" w:cs="Times New Roman"/>
          <w:iCs/>
        </w:rPr>
      </w:pPr>
      <w:r>
        <w:rPr>
          <w:rFonts w:ascii="Times New Roman" w:eastAsia="Times New Roman" w:hAnsi="Times New Roman" w:cs="Times New Roman"/>
          <w:iCs/>
        </w:rPr>
        <w:lastRenderedPageBreak/>
        <w:t xml:space="preserve">Prieš keičiant gydymą į </w:t>
      </w:r>
      <w:proofErr w:type="spellStart"/>
      <w:r>
        <w:rPr>
          <w:rFonts w:ascii="Times New Roman" w:eastAsia="Times New Roman" w:hAnsi="Times New Roman" w:cs="Times New Roman"/>
          <w:iCs/>
        </w:rPr>
        <w:t>Pitezenib</w:t>
      </w:r>
      <w:proofErr w:type="spellEnd"/>
      <w:r>
        <w:rPr>
          <w:rFonts w:ascii="Times New Roman" w:eastAsia="Times New Roman" w:hAnsi="Times New Roman" w:cs="Times New Roman"/>
          <w:iCs/>
        </w:rPr>
        <w:t xml:space="preserve">, pacientų būklė turi būti kontroliuojama stabiliomis vienu metu vartojamų atskirų derinio veikliųjų medžiagų dozėmis. </w:t>
      </w:r>
      <w:proofErr w:type="spellStart"/>
      <w:r>
        <w:rPr>
          <w:rFonts w:ascii="Times New Roman" w:eastAsia="Times New Roman" w:hAnsi="Times New Roman" w:cs="Times New Roman"/>
          <w:iCs/>
        </w:rPr>
        <w:t>Pitezenib</w:t>
      </w:r>
      <w:proofErr w:type="spellEnd"/>
      <w:r>
        <w:rPr>
          <w:rFonts w:ascii="Times New Roman" w:eastAsia="Times New Roman" w:hAnsi="Times New Roman" w:cs="Times New Roman"/>
          <w:iCs/>
        </w:rPr>
        <w:t xml:space="preserve"> dozė turi būti nustatoma remiantis atskirų derinio veikliųjų medžiagų dozėmis gydymo keitimo metu.</w:t>
      </w:r>
    </w:p>
    <w:p w14:paraId="6309741A" w14:textId="77777777" w:rsidR="008F7970" w:rsidRDefault="008F7970">
      <w:pPr>
        <w:autoSpaceDE w:val="0"/>
        <w:autoSpaceDN w:val="0"/>
        <w:adjustRightInd w:val="0"/>
        <w:ind w:left="0" w:firstLine="0"/>
        <w:rPr>
          <w:rFonts w:ascii="Times New Roman" w:eastAsia="Times New Roman" w:hAnsi="Times New Roman" w:cs="Times New Roman"/>
        </w:rPr>
      </w:pPr>
    </w:p>
    <w:p w14:paraId="7CB7F530"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netinka pradiniam gydymui. Gydymą reikia pradėti arba, jei reikia, koreguoti dozę tik skiriant atskiras derinio veikliąsias medžiagas, o nustačius tinkamas dozes gydymą galima keisti į atitinkamo stiprumo fiksuotos dozės derinį.</w:t>
      </w:r>
    </w:p>
    <w:p w14:paraId="38463A49" w14:textId="77777777" w:rsidR="008F7970" w:rsidRDefault="008F7970">
      <w:pPr>
        <w:autoSpaceDE w:val="0"/>
        <w:autoSpaceDN w:val="0"/>
        <w:adjustRightInd w:val="0"/>
        <w:ind w:left="0" w:firstLine="0"/>
        <w:rPr>
          <w:rFonts w:ascii="Times New Roman" w:eastAsia="Times New Roman" w:hAnsi="Times New Roman" w:cs="Times New Roman"/>
        </w:rPr>
      </w:pPr>
    </w:p>
    <w:p w14:paraId="7936C221" w14:textId="77777777" w:rsidR="008F7970" w:rsidRDefault="00AD4BB2">
      <w:pPr>
        <w:autoSpaceDE w:val="0"/>
        <w:autoSpaceDN w:val="0"/>
        <w:adjustRightInd w:val="0"/>
        <w:ind w:left="0" w:firstLine="0"/>
        <w:rPr>
          <w:rFonts w:ascii="Times New Roman" w:eastAsia="Times New Roman" w:hAnsi="Times New Roman" w:cs="Times New Roman"/>
          <w:i/>
          <w:iCs/>
        </w:rPr>
      </w:pPr>
      <w:r>
        <w:rPr>
          <w:rFonts w:ascii="Times New Roman" w:eastAsia="Times New Roman" w:hAnsi="Times New Roman" w:cs="Times New Roman"/>
          <w:i/>
          <w:iCs/>
        </w:rPr>
        <w:t>Senyviems pacientams</w:t>
      </w:r>
    </w:p>
    <w:p w14:paraId="44C2745C" w14:textId="77777777" w:rsidR="008F7970" w:rsidRDefault="00AD4BB2">
      <w:pPr>
        <w:widowControl w:val="0"/>
        <w:ind w:left="0" w:firstLine="0"/>
        <w:rPr>
          <w:rFonts w:ascii="Times New Roman" w:eastAsia="Times New Roman" w:hAnsi="Times New Roman" w:cs="Times New Roman"/>
          <w:iCs/>
        </w:rPr>
      </w:pPr>
      <w:r>
        <w:rPr>
          <w:rFonts w:ascii="Times New Roman" w:eastAsia="Times New Roman" w:hAnsi="Times New Roman" w:cs="Times New Roman"/>
          <w:iCs/>
        </w:rPr>
        <w:t>Senyviems pacientams dozės koreguoti nereikia (žr. 5.1 ir 5.2 skyrius).</w:t>
      </w:r>
    </w:p>
    <w:p w14:paraId="72F6B760" w14:textId="77777777" w:rsidR="008F7970" w:rsidRDefault="008F7970">
      <w:pPr>
        <w:autoSpaceDE w:val="0"/>
        <w:autoSpaceDN w:val="0"/>
        <w:adjustRightInd w:val="0"/>
        <w:ind w:left="0" w:firstLine="0"/>
        <w:rPr>
          <w:rFonts w:ascii="Times New Roman" w:eastAsia="Times New Roman" w:hAnsi="Times New Roman" w:cs="Times New Roman"/>
        </w:rPr>
      </w:pPr>
    </w:p>
    <w:p w14:paraId="7DE5C26D" w14:textId="77777777" w:rsidR="008F7970" w:rsidRDefault="00AD4BB2">
      <w:pPr>
        <w:autoSpaceDE w:val="0"/>
        <w:autoSpaceDN w:val="0"/>
        <w:adjustRightInd w:val="0"/>
        <w:ind w:left="0" w:firstLine="0"/>
        <w:rPr>
          <w:rFonts w:ascii="Times New Roman" w:eastAsia="Times New Roman" w:hAnsi="Times New Roman" w:cs="Times New Roman"/>
          <w:i/>
          <w:iCs/>
        </w:rPr>
      </w:pPr>
      <w:r>
        <w:rPr>
          <w:rFonts w:ascii="Times New Roman" w:eastAsia="Times New Roman" w:hAnsi="Times New Roman" w:cs="Times New Roman"/>
          <w:i/>
          <w:iCs/>
        </w:rPr>
        <w:t>Pacientams, kurių inkstų funkcija sutrikusi</w:t>
      </w:r>
    </w:p>
    <w:p w14:paraId="7260C6CE"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Esant lengvam inkstų funkcijos sutrikimui,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dozės koreguoti nereikia, tačiau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būtina vartoti atsargiai. Duomenų apie 4 mg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dozės vartojimą esant bet kokio laipsnio inkstų funkcijos sutrikimui yra nedaug. Todėl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4 mg/10 mg dozė turi būti vartojama TIK pacientą atidžiai stebint ir po laipsniško dozės didinimo. Pacientams, kuriems yra sunkus inkstų funkcijos sutrikimas, 4 mg/10 mg 4 mg dozės vartoti nerekomenduojama (žr. 4.4 skyrių ir 5.2 skyrių).</w:t>
      </w:r>
    </w:p>
    <w:p w14:paraId="05B7CCBE" w14:textId="77777777" w:rsidR="008F7970" w:rsidRDefault="008F7970">
      <w:pPr>
        <w:autoSpaceDE w:val="0"/>
        <w:autoSpaceDN w:val="0"/>
        <w:adjustRightInd w:val="0"/>
        <w:ind w:left="0" w:firstLine="0"/>
        <w:rPr>
          <w:rFonts w:ascii="Times New Roman" w:eastAsia="Times New Roman" w:hAnsi="Times New Roman" w:cs="Times New Roman"/>
        </w:rPr>
      </w:pPr>
    </w:p>
    <w:p w14:paraId="77364AE5" w14:textId="77777777" w:rsidR="008F7970" w:rsidRDefault="00AD4BB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iCs/>
        </w:rPr>
        <w:t xml:space="preserve">Pacientams, kurių inkstų funkcija sutrikusi, </w:t>
      </w:r>
      <w:proofErr w:type="spellStart"/>
      <w:r>
        <w:rPr>
          <w:rFonts w:ascii="Times New Roman" w:eastAsia="Times New Roman" w:hAnsi="Times New Roman" w:cs="Times New Roman"/>
          <w:iCs/>
        </w:rPr>
        <w:t>ezetimibo</w:t>
      </w:r>
      <w:proofErr w:type="spellEnd"/>
      <w:r>
        <w:rPr>
          <w:rFonts w:ascii="Times New Roman" w:eastAsia="Times New Roman" w:hAnsi="Times New Roman" w:cs="Times New Roman"/>
          <w:iCs/>
        </w:rPr>
        <w:t xml:space="preserve"> dozės koreguoti nereikia (žr. 5.2 skyrių).</w:t>
      </w:r>
    </w:p>
    <w:p w14:paraId="78E42408" w14:textId="77777777" w:rsidR="008F7970" w:rsidRDefault="008F7970">
      <w:pPr>
        <w:autoSpaceDE w:val="0"/>
        <w:autoSpaceDN w:val="0"/>
        <w:adjustRightInd w:val="0"/>
        <w:ind w:left="0" w:firstLine="0"/>
        <w:rPr>
          <w:rFonts w:ascii="Times New Roman" w:eastAsia="Times New Roman" w:hAnsi="Times New Roman" w:cs="Times New Roman"/>
        </w:rPr>
      </w:pPr>
    </w:p>
    <w:p w14:paraId="63473606" w14:textId="77777777" w:rsidR="008F7970" w:rsidRDefault="00AD4BB2">
      <w:pPr>
        <w:autoSpaceDE w:val="0"/>
        <w:autoSpaceDN w:val="0"/>
        <w:adjustRightInd w:val="0"/>
        <w:ind w:left="0" w:firstLine="0"/>
        <w:rPr>
          <w:rFonts w:ascii="Times New Roman" w:eastAsia="Times New Roman" w:hAnsi="Times New Roman" w:cs="Times New Roman"/>
          <w:i/>
          <w:iCs/>
        </w:rPr>
      </w:pPr>
      <w:r>
        <w:rPr>
          <w:rFonts w:ascii="Times New Roman" w:eastAsia="Times New Roman" w:hAnsi="Times New Roman" w:cs="Times New Roman"/>
          <w:i/>
          <w:iCs/>
        </w:rPr>
        <w:t>Pacientams, kurių kepenų funkcija sutrikusi</w:t>
      </w:r>
    </w:p>
    <w:p w14:paraId="3DF06C68" w14:textId="77777777" w:rsidR="008F7970" w:rsidRDefault="00AD4BB2">
      <w:pPr>
        <w:autoSpaceDE w:val="0"/>
        <w:autoSpaceDN w:val="0"/>
        <w:adjustRightInd w:val="0"/>
        <w:ind w:left="0" w:firstLine="0"/>
        <w:rPr>
          <w:rFonts w:ascii="Times New Roman" w:eastAsia="Times New Roman" w:hAnsi="Times New Roman" w:cs="Times New Roman"/>
          <w:iCs/>
        </w:rPr>
      </w:pPr>
      <w:r>
        <w:rPr>
          <w:rFonts w:ascii="Times New Roman" w:eastAsia="Times New Roman" w:hAnsi="Times New Roman" w:cs="Times New Roman"/>
        </w:rPr>
        <w:t xml:space="preserve">4 mg/10 mg dozės nerekomenduojama vartoti pacientams, kuriems yra lengvas kepenų funkcijos sutrikimas. Didžiausia paros dozė tokiems pacientams yra 2 mg/10 mg ir ją reikia vartoti atidžiai stebint paciento būklę (žr. 4.4 skyrių ir 5.2 skyrių). Pacientų, kuriems yra vidutinio sunkumo kepenų funkcijos sutrikimas,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vartoti nerekomenduojama. Pacientams, kuriems yra sunkus kepenų funkcijos sutrikimas,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vartoti draudžiama (žr. 4.3 skyrių).</w:t>
      </w:r>
    </w:p>
    <w:p w14:paraId="4B7B9EA8" w14:textId="77777777" w:rsidR="008F7970" w:rsidRDefault="008F7970">
      <w:pPr>
        <w:autoSpaceDE w:val="0"/>
        <w:autoSpaceDN w:val="0"/>
        <w:adjustRightInd w:val="0"/>
        <w:ind w:left="0" w:firstLine="0"/>
        <w:rPr>
          <w:rFonts w:ascii="Times New Roman" w:eastAsia="Times New Roman" w:hAnsi="Times New Roman" w:cs="Times New Roman"/>
        </w:rPr>
      </w:pPr>
    </w:p>
    <w:p w14:paraId="60827ACE" w14:textId="77777777" w:rsidR="008F7970" w:rsidRDefault="00AD4BB2">
      <w:pPr>
        <w:autoSpaceDE w:val="0"/>
        <w:autoSpaceDN w:val="0"/>
        <w:adjustRightInd w:val="0"/>
        <w:ind w:left="0" w:firstLine="0"/>
        <w:rPr>
          <w:rFonts w:ascii="Times New Roman" w:eastAsia="Times New Roman" w:hAnsi="Times New Roman" w:cs="Times New Roman"/>
          <w:i/>
          <w:iCs/>
        </w:rPr>
      </w:pPr>
      <w:r>
        <w:rPr>
          <w:rFonts w:ascii="Times New Roman" w:eastAsia="Times New Roman" w:hAnsi="Times New Roman" w:cs="Times New Roman"/>
          <w:i/>
          <w:iCs/>
        </w:rPr>
        <w:t>Vaikų populiacija</w:t>
      </w:r>
    </w:p>
    <w:p w14:paraId="08AE20A2"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saugumas ir veiksmingumas vaikams iki 18 metų neištirti.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nerekomenduojama vartoti jaunesniems kaip 18 metų pacientams. Turimi duomenys pateikiami 4.8, 5.1 ir 5.2 skyriuose, tačiau dozavimo rekomendacijų pateikti negalima.</w:t>
      </w:r>
    </w:p>
    <w:p w14:paraId="1B269AA1" w14:textId="77777777" w:rsidR="008F7970" w:rsidRDefault="008F7970">
      <w:pPr>
        <w:autoSpaceDE w:val="0"/>
        <w:autoSpaceDN w:val="0"/>
        <w:adjustRightInd w:val="0"/>
        <w:ind w:left="0" w:firstLine="0"/>
        <w:rPr>
          <w:rFonts w:ascii="Times New Roman" w:eastAsia="Times New Roman" w:hAnsi="Times New Roman" w:cs="Times New Roman"/>
        </w:rPr>
      </w:pPr>
    </w:p>
    <w:p w14:paraId="3306D9AC" w14:textId="77777777" w:rsidR="008F7970" w:rsidRDefault="00AD4BB2">
      <w:pPr>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28D96464" w14:textId="77777777" w:rsidR="008F7970" w:rsidRDefault="00AD4BB2">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Vaistinis preparatas vartojamas per burną.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galima vartoti bet kuriuo paros metu, valgant arba nevalgius. Tabletę reikia gerti kasdien tuo pačiu laiku, užgeriant stikline vandens. Dėl lipidų apykaitos </w:t>
      </w:r>
      <w:proofErr w:type="spellStart"/>
      <w:r>
        <w:rPr>
          <w:rFonts w:ascii="Times New Roman" w:eastAsia="Times New Roman" w:hAnsi="Times New Roman" w:cs="Times New Roman"/>
        </w:rPr>
        <w:t>cirkadinio</w:t>
      </w:r>
      <w:proofErr w:type="spellEnd"/>
      <w:r>
        <w:rPr>
          <w:rFonts w:ascii="Times New Roman" w:eastAsia="Times New Roman" w:hAnsi="Times New Roman" w:cs="Times New Roman"/>
        </w:rPr>
        <w:t xml:space="preserve"> ritmo gydymas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paprastai yra veiksmingesnis vaistinio preparato vartojant vakare.</w:t>
      </w:r>
    </w:p>
    <w:p w14:paraId="36ED200D" w14:textId="77777777" w:rsidR="008F7970" w:rsidRDefault="008F7970">
      <w:pPr>
        <w:widowControl w:val="0"/>
        <w:ind w:left="0" w:firstLine="0"/>
        <w:rPr>
          <w:rFonts w:ascii="Times New Roman" w:eastAsia="Times New Roman" w:hAnsi="Times New Roman" w:cs="Times New Roman"/>
        </w:rPr>
      </w:pPr>
    </w:p>
    <w:p w14:paraId="41F376C1"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p>
    <w:p w14:paraId="341F9066" w14:textId="77777777" w:rsidR="008F7970" w:rsidRDefault="008F7970">
      <w:pPr>
        <w:widowControl w:val="0"/>
        <w:tabs>
          <w:tab w:val="left" w:pos="567"/>
        </w:tabs>
        <w:ind w:left="0" w:firstLine="0"/>
        <w:rPr>
          <w:rFonts w:ascii="Times New Roman" w:eastAsia="Times New Roman" w:hAnsi="Times New Roman" w:cs="Times New Roman"/>
          <w:snapToGrid w:val="0"/>
        </w:rPr>
      </w:pPr>
    </w:p>
    <w:p w14:paraId="39F35B11"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vartoti draudžiama:</w:t>
      </w:r>
    </w:p>
    <w:p w14:paraId="47F975FD" w14:textId="77777777" w:rsidR="008F7970" w:rsidRDefault="00AD4BB2">
      <w:pPr>
        <w:numPr>
          <w:ilvl w:val="0"/>
          <w:numId w:val="18"/>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pacientams, kuriems yra p</w:t>
      </w:r>
      <w:r>
        <w:rPr>
          <w:rFonts w:ascii="Times New Roman" w:eastAsia="TimesNewRoman" w:hAnsi="Times New Roman" w:cs="Times New Roman"/>
        </w:rPr>
        <w:t xml:space="preserve">adidėjęs jautrumas </w:t>
      </w:r>
      <w:proofErr w:type="spellStart"/>
      <w:r>
        <w:rPr>
          <w:rFonts w:ascii="Times New Roman" w:eastAsia="TimesNewRoman" w:hAnsi="Times New Roman" w:cs="Times New Roman"/>
        </w:rPr>
        <w:t>pitavastatinui</w:t>
      </w:r>
      <w:proofErr w:type="spellEnd"/>
      <w:r>
        <w:rPr>
          <w:rFonts w:ascii="Times New Roman" w:eastAsia="TimesNewRoman" w:hAnsi="Times New Roman" w:cs="Times New Roman"/>
        </w:rPr>
        <w:t xml:space="preserve">, </w:t>
      </w:r>
      <w:proofErr w:type="spellStart"/>
      <w:r>
        <w:rPr>
          <w:rFonts w:ascii="Times New Roman" w:eastAsia="TimesNewRoman" w:hAnsi="Times New Roman" w:cs="Times New Roman"/>
        </w:rPr>
        <w:t>ezetimibui</w:t>
      </w:r>
      <w:proofErr w:type="spellEnd"/>
      <w:r>
        <w:rPr>
          <w:rFonts w:ascii="Times New Roman" w:eastAsia="TimesNewRoman" w:hAnsi="Times New Roman" w:cs="Times New Roman"/>
        </w:rPr>
        <w:t xml:space="preserve"> arba bet kuriai 6.1 skyriuje nurodytai pagalbinei medžiagai, arba kitiems </w:t>
      </w:r>
      <w:proofErr w:type="spellStart"/>
      <w:r>
        <w:rPr>
          <w:rFonts w:ascii="Times New Roman" w:eastAsia="TimesNewRoman" w:hAnsi="Times New Roman" w:cs="Times New Roman"/>
        </w:rPr>
        <w:t>statinams</w:t>
      </w:r>
      <w:proofErr w:type="spellEnd"/>
      <w:r>
        <w:rPr>
          <w:rFonts w:ascii="Times New Roman" w:eastAsia="TimesNewRoman" w:hAnsi="Times New Roman" w:cs="Times New Roman"/>
        </w:rPr>
        <w:t>;</w:t>
      </w:r>
    </w:p>
    <w:p w14:paraId="48304A72" w14:textId="77777777" w:rsidR="008F7970" w:rsidRDefault="00AD4BB2">
      <w:pPr>
        <w:numPr>
          <w:ilvl w:val="0"/>
          <w:numId w:val="18"/>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snapToGrid w:val="0"/>
        </w:rPr>
        <w:t xml:space="preserve">pacientams, kuriems yra sunkus kepenų funkcijos sutrikimas, kurie serga aktyvia kepenų liga arba kuriems yra neaiškių priežasčių sukeltas 3 kartus viršutinę normos ribą (VNR) viršijantis </w:t>
      </w:r>
      <w:proofErr w:type="spellStart"/>
      <w:r>
        <w:rPr>
          <w:rFonts w:ascii="Times New Roman" w:eastAsia="Times New Roman" w:hAnsi="Times New Roman" w:cs="Times New Roman"/>
          <w:snapToGrid w:val="0"/>
        </w:rPr>
        <w:t>transaminazių</w:t>
      </w:r>
      <w:proofErr w:type="spellEnd"/>
      <w:r>
        <w:rPr>
          <w:rFonts w:ascii="Times New Roman" w:eastAsia="Times New Roman" w:hAnsi="Times New Roman" w:cs="Times New Roman"/>
          <w:snapToGrid w:val="0"/>
        </w:rPr>
        <w:t xml:space="preserve"> aktyvumo padidėjimas kraujo serume;</w:t>
      </w:r>
    </w:p>
    <w:p w14:paraId="7FA4C197" w14:textId="77777777" w:rsidR="008F7970" w:rsidRDefault="00AD4BB2">
      <w:pPr>
        <w:numPr>
          <w:ilvl w:val="0"/>
          <w:numId w:val="18"/>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snapToGrid w:val="0"/>
        </w:rPr>
        <w:t xml:space="preserve">pacientams, sergantiems </w:t>
      </w:r>
      <w:proofErr w:type="spellStart"/>
      <w:r>
        <w:rPr>
          <w:rFonts w:ascii="Times New Roman" w:eastAsia="Times New Roman" w:hAnsi="Times New Roman" w:cs="Times New Roman"/>
          <w:snapToGrid w:val="0"/>
        </w:rPr>
        <w:t>miopatija</w:t>
      </w:r>
      <w:proofErr w:type="spellEnd"/>
      <w:r>
        <w:rPr>
          <w:rFonts w:ascii="Times New Roman" w:eastAsia="Times New Roman" w:hAnsi="Times New Roman" w:cs="Times New Roman"/>
          <w:snapToGrid w:val="0"/>
        </w:rPr>
        <w:t>;</w:t>
      </w:r>
    </w:p>
    <w:p w14:paraId="6EA3B750" w14:textId="77777777" w:rsidR="008F7970" w:rsidRDefault="00AD4BB2">
      <w:pPr>
        <w:numPr>
          <w:ilvl w:val="0"/>
          <w:numId w:val="18"/>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snapToGrid w:val="0"/>
        </w:rPr>
        <w:t xml:space="preserve">pacientams, kurie tuo pačiu metu vartoja </w:t>
      </w:r>
      <w:proofErr w:type="spellStart"/>
      <w:r>
        <w:rPr>
          <w:rFonts w:ascii="Times New Roman" w:eastAsia="Times New Roman" w:hAnsi="Times New Roman" w:cs="Times New Roman"/>
          <w:snapToGrid w:val="0"/>
        </w:rPr>
        <w:t>ciklosporino</w:t>
      </w:r>
      <w:proofErr w:type="spellEnd"/>
      <w:r>
        <w:rPr>
          <w:rFonts w:ascii="Times New Roman" w:eastAsia="Times New Roman" w:hAnsi="Times New Roman" w:cs="Times New Roman"/>
        </w:rPr>
        <w:t xml:space="preserve"> (žr. 4.4, 4.5 ir 5.2 skyrius);</w:t>
      </w:r>
    </w:p>
    <w:p w14:paraId="19BC62D7" w14:textId="77777777" w:rsidR="008F7970" w:rsidRDefault="00AD4BB2">
      <w:pPr>
        <w:numPr>
          <w:ilvl w:val="0"/>
          <w:numId w:val="18"/>
        </w:numPr>
        <w:tabs>
          <w:tab w:val="left" w:pos="567"/>
        </w:tabs>
        <w:autoSpaceDE w:val="0"/>
        <w:autoSpaceDN w:val="0"/>
        <w:adjustRightInd w:val="0"/>
        <w:spacing w:line="260" w:lineRule="exact"/>
        <w:rPr>
          <w:rFonts w:ascii="Times New Roman" w:eastAsia="Times New Roman" w:hAnsi="Times New Roman" w:cs="Times New Roman"/>
          <w:snapToGrid w:val="0"/>
        </w:rPr>
      </w:pPr>
      <w:r>
        <w:rPr>
          <w:rFonts w:ascii="Times New Roman" w:eastAsia="Times New Roman" w:hAnsi="Times New Roman" w:cs="Times New Roman"/>
        </w:rPr>
        <w:t>nėštumo ir žindymo laikotarpiu bei vaisingoms moterims, nenaudojančioms tinkamų kontracepcijos priemonių (žr. 4.6 skyrių).</w:t>
      </w:r>
    </w:p>
    <w:p w14:paraId="6B287F6F" w14:textId="77777777" w:rsidR="008F7970" w:rsidRDefault="008F7970">
      <w:pPr>
        <w:widowControl w:val="0"/>
        <w:autoSpaceDE w:val="0"/>
        <w:autoSpaceDN w:val="0"/>
        <w:adjustRightInd w:val="0"/>
        <w:ind w:left="0" w:firstLine="0"/>
        <w:rPr>
          <w:rFonts w:ascii="Times New Roman" w:eastAsia="TimesNewRoman" w:hAnsi="Times New Roman" w:cs="Times New Roman"/>
        </w:rPr>
      </w:pPr>
    </w:p>
    <w:p w14:paraId="0BADC169" w14:textId="77777777" w:rsidR="008F7970" w:rsidRDefault="00AD4BB2">
      <w:pPr>
        <w:widowControl w:val="0"/>
        <w:tabs>
          <w:tab w:val="left" w:pos="567"/>
        </w:tabs>
        <w:outlineLvl w:val="2"/>
        <w:rPr>
          <w:rFonts w:ascii="Times New Roman" w:eastAsia="Times New Roman" w:hAnsi="Times New Roman" w:cs="Times New Roman"/>
          <w:b/>
        </w:rPr>
      </w:pPr>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p>
    <w:p w14:paraId="23E184D4" w14:textId="77777777" w:rsidR="008F7970" w:rsidRDefault="008F7970">
      <w:pPr>
        <w:widowControl w:val="0"/>
        <w:rPr>
          <w:rFonts w:ascii="Times New Roman" w:eastAsia="Times New Roman" w:hAnsi="Times New Roman" w:cs="Times New Roman"/>
          <w:bCs/>
        </w:rPr>
      </w:pPr>
    </w:p>
    <w:p w14:paraId="1DB18EE3" w14:textId="77777777" w:rsidR="008F7970" w:rsidRDefault="00AD4BB2">
      <w:pPr>
        <w:autoSpaceDE w:val="0"/>
        <w:autoSpaceDN w:val="0"/>
        <w:adjustRightInd w:val="0"/>
        <w:ind w:left="0" w:firstLine="0"/>
        <w:rPr>
          <w:rFonts w:ascii="Times New Roman" w:eastAsia="Times New Roman" w:hAnsi="Times New Roman" w:cs="Times New Roman"/>
          <w:bCs/>
          <w:i/>
        </w:rPr>
      </w:pPr>
      <w:r>
        <w:rPr>
          <w:rFonts w:ascii="Times New Roman" w:eastAsia="Times New Roman" w:hAnsi="Times New Roman" w:cs="Times New Roman"/>
          <w:bCs/>
          <w:i/>
        </w:rPr>
        <w:t>Poveikis raumenims</w:t>
      </w:r>
    </w:p>
    <w:p w14:paraId="3FC35416"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Kaip ir vartojant kitų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inhibitorių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gali pasireikšti </w:t>
      </w: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 xml:space="preserve"> ir (retai)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xml:space="preserve">. Pacientams turi būti nurodyta pranešti apie bet kokius su raumenimis susijusius simptomus.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(KK) aktyvumą būtina ištirti bet kuriam pacientui, kuris praneša apie </w:t>
      </w:r>
      <w:r>
        <w:rPr>
          <w:rFonts w:ascii="Times New Roman" w:eastAsia="Times New Roman" w:hAnsi="Times New Roman" w:cs="Times New Roman"/>
        </w:rPr>
        <w:lastRenderedPageBreak/>
        <w:t>raumenų skausmą, raumenų jautrumą ar silpnumą, ypač jei kartu pasireiškia bloga bendra savijauta ar karščiavimas.</w:t>
      </w:r>
    </w:p>
    <w:p w14:paraId="437D9D9E" w14:textId="77777777" w:rsidR="008F7970" w:rsidRDefault="008F7970">
      <w:pPr>
        <w:autoSpaceDE w:val="0"/>
        <w:autoSpaceDN w:val="0"/>
        <w:adjustRightInd w:val="0"/>
        <w:ind w:left="0" w:firstLine="0"/>
        <w:rPr>
          <w:rFonts w:ascii="Times New Roman" w:eastAsia="Times New Roman" w:hAnsi="Times New Roman" w:cs="Times New Roman"/>
        </w:rPr>
      </w:pPr>
    </w:p>
    <w:p w14:paraId="45149722" w14:textId="77777777" w:rsidR="008F7970" w:rsidRDefault="00AD4BB2">
      <w:pPr>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rPr>
        <w:t xml:space="preserve">Po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pateikimo į rinką gauta pranešimų apie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atvejus. Dauguma pacientų, kuriems pasireiškė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vartojo ir </w:t>
      </w:r>
      <w:proofErr w:type="spellStart"/>
      <w:r>
        <w:rPr>
          <w:rFonts w:ascii="Times New Roman" w:eastAsia="Times New Roman" w:hAnsi="Times New Roman" w:cs="Times New Roman"/>
        </w:rPr>
        <w:t>statino</w:t>
      </w:r>
      <w:proofErr w:type="spellEnd"/>
      <w:r>
        <w:rPr>
          <w:rFonts w:ascii="Times New Roman" w:eastAsia="Times New Roman" w:hAnsi="Times New Roman" w:cs="Times New Roman"/>
        </w:rPr>
        <w:t xml:space="preserve">. </w:t>
      </w:r>
      <w:r>
        <w:rPr>
          <w:rFonts w:ascii="Times New Roman" w:eastAsia="Times New Roman" w:hAnsi="Times New Roman" w:cs="Times New Roman"/>
          <w:snapToGrid w:val="0"/>
        </w:rPr>
        <w:t xml:space="preserve">Jei remiantis raumenų simptomais įtariama </w:t>
      </w:r>
      <w:proofErr w:type="spellStart"/>
      <w:r>
        <w:rPr>
          <w:rFonts w:ascii="Times New Roman" w:eastAsia="Times New Roman" w:hAnsi="Times New Roman" w:cs="Times New Roman"/>
          <w:snapToGrid w:val="0"/>
        </w:rPr>
        <w:t>miopatija</w:t>
      </w:r>
      <w:proofErr w:type="spellEnd"/>
      <w:r>
        <w:rPr>
          <w:rFonts w:ascii="Times New Roman" w:eastAsia="Times New Roman" w:hAnsi="Times New Roman" w:cs="Times New Roman"/>
          <w:snapToGrid w:val="0"/>
        </w:rPr>
        <w:t xml:space="preserve"> arba ji patvirtinama </w:t>
      </w:r>
      <w:proofErr w:type="spellStart"/>
      <w:r>
        <w:rPr>
          <w:rFonts w:ascii="Times New Roman" w:eastAsia="Times New Roman" w:hAnsi="Times New Roman" w:cs="Times New Roman"/>
          <w:snapToGrid w:val="0"/>
        </w:rPr>
        <w:t>kreatinfosfokinazės</w:t>
      </w:r>
      <w:proofErr w:type="spellEnd"/>
      <w:r>
        <w:rPr>
          <w:rFonts w:ascii="Times New Roman" w:eastAsia="Times New Roman" w:hAnsi="Times New Roman" w:cs="Times New Roman"/>
          <w:snapToGrid w:val="0"/>
        </w:rPr>
        <w:t xml:space="preserve"> (KFK) aktyvumu, kuris daugiau kaip 10 kartų viršija VNR, gydymas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snapToGrid w:val="0"/>
        </w:rPr>
        <w:t xml:space="preserve"> turi būti nedelsiant nutrauktas. Visiems pacientams, pradedantiems gydymą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snapToGrid w:val="0"/>
        </w:rPr>
        <w:t xml:space="preserve">, reikia paaiškinti </w:t>
      </w:r>
      <w:proofErr w:type="spellStart"/>
      <w:r>
        <w:rPr>
          <w:rFonts w:ascii="Times New Roman" w:eastAsia="Times New Roman" w:hAnsi="Times New Roman" w:cs="Times New Roman"/>
          <w:snapToGrid w:val="0"/>
        </w:rPr>
        <w:t>miopatijos</w:t>
      </w:r>
      <w:proofErr w:type="spellEnd"/>
      <w:r>
        <w:rPr>
          <w:rFonts w:ascii="Times New Roman" w:eastAsia="Times New Roman" w:hAnsi="Times New Roman" w:cs="Times New Roman"/>
          <w:snapToGrid w:val="0"/>
        </w:rPr>
        <w:t xml:space="preserve"> riziką ir nurodyti nedelsiant pranešti apie bet kokį dėl neaiškios priežasties atsiradusį raumenų skausmą, jautrumą ar silpnumą (žr. 4.8 skyrių).</w:t>
      </w:r>
    </w:p>
    <w:p w14:paraId="41F6B9EF" w14:textId="77777777" w:rsidR="008F7970" w:rsidRDefault="008F7970">
      <w:pPr>
        <w:autoSpaceDE w:val="0"/>
        <w:autoSpaceDN w:val="0"/>
        <w:adjustRightInd w:val="0"/>
        <w:ind w:left="0" w:firstLine="0"/>
        <w:rPr>
          <w:rFonts w:ascii="Times New Roman" w:eastAsia="Times New Roman" w:hAnsi="Times New Roman" w:cs="Times New Roman"/>
        </w:rPr>
      </w:pPr>
    </w:p>
    <w:p w14:paraId="3147E3B6"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(KK) aktyvumo negalima tirti po didelio fizinio krūvio arba kai yra kita tikėtina priežastis, dėl kurios gali padidėti KK aktyvumas, nes tai gali apsunkinti tyrimo duomenų vertinimą. Jeigu nustatomas padidėjęs KK aktyvumas (&gt; 5 kartus viršija VNR), per 5</w:t>
      </w:r>
      <w:r>
        <w:rPr>
          <w:rFonts w:ascii="Times New Roman" w:eastAsia="Times New Roman" w:hAnsi="Times New Roman" w:cs="Times New Roman"/>
        </w:rPr>
        <w:noBreakHyphen/>
        <w:t>7 dienas reikia atlikti patvirtinantį tyrimą.</w:t>
      </w:r>
    </w:p>
    <w:p w14:paraId="2DF78773" w14:textId="77777777" w:rsidR="008F7970" w:rsidRDefault="008F7970">
      <w:pPr>
        <w:autoSpaceDE w:val="0"/>
        <w:autoSpaceDN w:val="0"/>
        <w:adjustRightInd w:val="0"/>
        <w:ind w:left="0" w:firstLine="0"/>
        <w:rPr>
          <w:rFonts w:ascii="Times New Roman" w:eastAsia="Times New Roman" w:hAnsi="Times New Roman" w:cs="Times New Roman"/>
        </w:rPr>
      </w:pPr>
    </w:p>
    <w:p w14:paraId="0C140173"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Gauta labai retų pranešimų apie gydymo kai kuriais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metu arba po gydymo pasireiškusią imuninių mechanizmų sukeltą </w:t>
      </w:r>
      <w:proofErr w:type="spellStart"/>
      <w:r>
        <w:rPr>
          <w:rFonts w:ascii="Times New Roman" w:eastAsia="Times New Roman" w:hAnsi="Times New Roman" w:cs="Times New Roman"/>
        </w:rPr>
        <w:t>nekrozinę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(angl.</w:t>
      </w:r>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immune-mediated</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necrotising</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myopathy</w:t>
      </w:r>
      <w:proofErr w:type="spellEnd"/>
      <w:r>
        <w:rPr>
          <w:rFonts w:ascii="Times New Roman" w:eastAsia="Times New Roman" w:hAnsi="Times New Roman" w:cs="Times New Roman"/>
        </w:rPr>
        <w:t xml:space="preserve">, IMNM). IMNM klinikiniai simptomai yra išliekantis proksimalinis raumenų silpnumas ir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aktyvumo kraujo serume padidėjimas, kuris išlieka net ir nutraukus 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w:t>
      </w:r>
    </w:p>
    <w:p w14:paraId="768854DE" w14:textId="77777777" w:rsidR="008F7970" w:rsidRDefault="008F7970">
      <w:pPr>
        <w:autoSpaceDE w:val="0"/>
        <w:autoSpaceDN w:val="0"/>
        <w:adjustRightInd w:val="0"/>
        <w:ind w:left="0" w:firstLine="0"/>
        <w:rPr>
          <w:rFonts w:ascii="Times New Roman" w:eastAsia="Times New Roman" w:hAnsi="Times New Roman" w:cs="Times New Roman"/>
        </w:rPr>
      </w:pPr>
    </w:p>
    <w:p w14:paraId="672CBC69"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negalima vartoti kartu su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vaistiniais preparatais ir 7 dienas po gydymo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nutraukimo. Pacientų, kuriems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preparatų vartojimas būtinas, gydymas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vartojimo laikotarpiu turi būti nutrauktas. Pranešta apie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atvejus (įskaitant kelis mirtinus atvejus) pacientams, kurie kartu vartojo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(žr. 4.5 skyrių). Pacientas turi būti informuojamas, kad nedelsdamas kreiptųsi į medikus, jeigu atsiras bet kokių raumenų silpnumo, skausmo ar jautrumo simptomų.</w:t>
      </w:r>
    </w:p>
    <w:p w14:paraId="3A44FA69" w14:textId="77777777" w:rsidR="008F7970" w:rsidRDefault="008F7970">
      <w:pPr>
        <w:autoSpaceDE w:val="0"/>
        <w:autoSpaceDN w:val="0"/>
        <w:adjustRightInd w:val="0"/>
        <w:ind w:left="0" w:firstLine="0"/>
        <w:rPr>
          <w:rFonts w:ascii="Times New Roman" w:eastAsia="Times New Roman" w:hAnsi="Times New Roman" w:cs="Times New Roman"/>
        </w:rPr>
      </w:pPr>
    </w:p>
    <w:p w14:paraId="03476810"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galima atnaujinti praėjus septynioms dienoms nuo paskutinės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dozės pavartojimo. Išskirtiniais atvejais, kai reikalingas ilgesnis gydymas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vaistiniu preparatu, pvz., gydant sunkias infekcines ligas, jei būtina kartu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reikia apsvarstyti kiekvienu atveju atskirai bei toks gydymas turi būti skiriamas esant atidžiai medicininei priežiūrai.</w:t>
      </w:r>
    </w:p>
    <w:p w14:paraId="656FE016" w14:textId="77777777" w:rsidR="008F7970" w:rsidRDefault="008F7970">
      <w:pPr>
        <w:autoSpaceDE w:val="0"/>
        <w:autoSpaceDN w:val="0"/>
        <w:adjustRightInd w:val="0"/>
        <w:ind w:left="0" w:firstLine="0"/>
        <w:rPr>
          <w:rFonts w:ascii="Times New Roman" w:eastAsia="Times New Roman" w:hAnsi="Times New Roman" w:cs="Times New Roman"/>
        </w:rPr>
      </w:pPr>
    </w:p>
    <w:p w14:paraId="0FF4A7A1"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Gauta keletas pranešimų apie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sukeltą </w:t>
      </w:r>
      <w:r>
        <w:rPr>
          <w:rFonts w:ascii="Times New Roman" w:eastAsia="Times New Roman" w:hAnsi="Times New Roman" w:cs="Times New Roman"/>
          <w:i/>
          <w:iCs/>
        </w:rPr>
        <w:t xml:space="preserve">(de </w:t>
      </w:r>
      <w:proofErr w:type="spellStart"/>
      <w:r>
        <w:rPr>
          <w:rFonts w:ascii="Times New Roman" w:eastAsia="Times New Roman" w:hAnsi="Times New Roman" w:cs="Times New Roman"/>
          <w:i/>
          <w:iCs/>
        </w:rPr>
        <w:t>novo</w:t>
      </w:r>
      <w:proofErr w:type="spellEnd"/>
      <w:r>
        <w:rPr>
          <w:rFonts w:ascii="Times New Roman" w:eastAsia="Times New Roman" w:hAnsi="Times New Roman" w:cs="Times New Roman"/>
          <w:i/>
          <w:iCs/>
        </w:rPr>
        <w:t>)</w:t>
      </w:r>
      <w:r>
        <w:rPr>
          <w:rFonts w:ascii="Times New Roman" w:eastAsia="Times New Roman" w:hAnsi="Times New Roman" w:cs="Times New Roman"/>
        </w:rPr>
        <w:t xml:space="preserve"> anksčiau nediagnozuotą </w:t>
      </w:r>
      <w:proofErr w:type="spellStart"/>
      <w:r>
        <w:rPr>
          <w:rFonts w:ascii="Times New Roman" w:eastAsia="Times New Roman" w:hAnsi="Times New Roman" w:cs="Times New Roman"/>
        </w:rPr>
        <w:t>generalizuotą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miasteniją</w:t>
      </w:r>
      <w:proofErr w:type="spellEnd"/>
      <w:r>
        <w:rPr>
          <w:rFonts w:ascii="Times New Roman" w:eastAsia="Times New Roman" w:hAnsi="Times New Roman" w:cs="Times New Roman"/>
        </w:rPr>
        <w:t xml:space="preserve"> ar akių </w:t>
      </w:r>
      <w:proofErr w:type="spellStart"/>
      <w:r>
        <w:rPr>
          <w:rFonts w:ascii="Times New Roman" w:eastAsia="Times New Roman" w:hAnsi="Times New Roman" w:cs="Times New Roman"/>
        </w:rPr>
        <w:t>miasteniją</w:t>
      </w:r>
      <w:proofErr w:type="spellEnd"/>
      <w:r>
        <w:rPr>
          <w:rFonts w:ascii="Times New Roman" w:eastAsia="Times New Roman" w:hAnsi="Times New Roman" w:cs="Times New Roman"/>
        </w:rPr>
        <w:t xml:space="preserve"> arba šiomis ligomis jau sergančių pacientų būklės pasunkėjimą (žr. 4.8 skyrių). Jeigu ligos simptomai paūmėja,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vartojimą reikia nutraukti. Gauta pranešimų apie atsinaujinusios ligos atvejus, kai buvo (pakartotinai) skirtas tas pats arba kitas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grupės vaistinis preparatas.</w:t>
      </w:r>
    </w:p>
    <w:p w14:paraId="37CF8ABB" w14:textId="77777777" w:rsidR="008F7970" w:rsidRDefault="008F7970">
      <w:pPr>
        <w:autoSpaceDE w:val="0"/>
        <w:autoSpaceDN w:val="0"/>
        <w:adjustRightInd w:val="0"/>
        <w:ind w:left="0" w:firstLine="0"/>
        <w:rPr>
          <w:rFonts w:ascii="Times New Roman" w:eastAsia="Times New Roman" w:hAnsi="Times New Roman" w:cs="Times New Roman"/>
        </w:rPr>
      </w:pPr>
    </w:p>
    <w:p w14:paraId="3009E719" w14:textId="77777777" w:rsidR="008F7970" w:rsidRDefault="00AD4BB2">
      <w:pPr>
        <w:autoSpaceDE w:val="0"/>
        <w:autoSpaceDN w:val="0"/>
        <w:adjustRightInd w:val="0"/>
        <w:ind w:left="0" w:firstLine="0"/>
        <w:rPr>
          <w:rFonts w:ascii="Times New Roman" w:eastAsia="Times New Roman" w:hAnsi="Times New Roman" w:cs="Times New Roman"/>
          <w:u w:val="single"/>
        </w:rPr>
      </w:pPr>
      <w:r>
        <w:rPr>
          <w:rFonts w:ascii="Times New Roman" w:eastAsia="Times New Roman" w:hAnsi="Times New Roman" w:cs="Times New Roman"/>
          <w:u w:val="single"/>
        </w:rPr>
        <w:t>Prieš gydymą</w:t>
      </w:r>
    </w:p>
    <w:p w14:paraId="06F388A5" w14:textId="77777777" w:rsidR="008F7970" w:rsidRDefault="008F7970">
      <w:pPr>
        <w:autoSpaceDE w:val="0"/>
        <w:autoSpaceDN w:val="0"/>
        <w:adjustRightInd w:val="0"/>
        <w:ind w:left="0" w:firstLine="0"/>
        <w:rPr>
          <w:rFonts w:ascii="Times New Roman" w:eastAsia="Times New Roman" w:hAnsi="Times New Roman" w:cs="Times New Roman"/>
          <w:u w:val="single"/>
        </w:rPr>
      </w:pPr>
    </w:p>
    <w:p w14:paraId="47CDDE42"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kaip ir kitų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reikia atsargiai skirti vartoti pacientams, kuriems yra nustatyta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rizikos veiksnių. Būtina ištirti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aktyvumą, kad būtų žinomas pradinis rodmuo, jei yra toliau išvardyta būklė:</w:t>
      </w:r>
    </w:p>
    <w:p w14:paraId="3FD46C48" w14:textId="77777777" w:rsidR="008F7970" w:rsidRDefault="00AD4BB2">
      <w:pPr>
        <w:numPr>
          <w:ilvl w:val="0"/>
          <w:numId w:val="19"/>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inkstų funkcijos sutrikimas;</w:t>
      </w:r>
    </w:p>
    <w:p w14:paraId="534AEBFC" w14:textId="77777777" w:rsidR="008F7970" w:rsidRDefault="00AD4BB2">
      <w:pPr>
        <w:numPr>
          <w:ilvl w:val="0"/>
          <w:numId w:val="19"/>
        </w:numPr>
        <w:tabs>
          <w:tab w:val="left" w:pos="567"/>
        </w:tabs>
        <w:autoSpaceDE w:val="0"/>
        <w:autoSpaceDN w:val="0"/>
        <w:adjustRightInd w:val="0"/>
        <w:spacing w:line="260" w:lineRule="exact"/>
        <w:rPr>
          <w:rFonts w:ascii="Times New Roman" w:eastAsia="Times New Roman" w:hAnsi="Times New Roman" w:cs="Times New Roman"/>
        </w:rPr>
      </w:pPr>
      <w:proofErr w:type="spellStart"/>
      <w:r>
        <w:rPr>
          <w:rFonts w:ascii="Times New Roman" w:eastAsia="Times New Roman" w:hAnsi="Times New Roman" w:cs="Times New Roman"/>
        </w:rPr>
        <w:t>hipotirozė</w:t>
      </w:r>
      <w:proofErr w:type="spellEnd"/>
      <w:r>
        <w:rPr>
          <w:rFonts w:ascii="Times New Roman" w:eastAsia="Times New Roman" w:hAnsi="Times New Roman" w:cs="Times New Roman"/>
        </w:rPr>
        <w:t>;</w:t>
      </w:r>
    </w:p>
    <w:p w14:paraId="7C4BF69D" w14:textId="77777777" w:rsidR="008F7970" w:rsidRDefault="00AD4BB2">
      <w:pPr>
        <w:numPr>
          <w:ilvl w:val="0"/>
          <w:numId w:val="19"/>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paciento arba jo kraujo giminaičiams diagnozuotas paveldimas raumenų sutrikimas;</w:t>
      </w:r>
    </w:p>
    <w:p w14:paraId="0940DD99" w14:textId="77777777" w:rsidR="008F7970" w:rsidRDefault="00AD4BB2">
      <w:pPr>
        <w:numPr>
          <w:ilvl w:val="0"/>
          <w:numId w:val="19"/>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 xml:space="preserve">anksčiau vartojant </w:t>
      </w:r>
      <w:proofErr w:type="spellStart"/>
      <w:r>
        <w:rPr>
          <w:rFonts w:ascii="Times New Roman" w:eastAsia="Times New Roman" w:hAnsi="Times New Roman" w:cs="Times New Roman"/>
        </w:rPr>
        <w:t>fibrato</w:t>
      </w:r>
      <w:proofErr w:type="spellEnd"/>
      <w:r>
        <w:rPr>
          <w:rFonts w:ascii="Times New Roman" w:eastAsia="Times New Roman" w:hAnsi="Times New Roman" w:cs="Times New Roman"/>
        </w:rPr>
        <w:t xml:space="preserve"> arba kito </w:t>
      </w:r>
      <w:proofErr w:type="spellStart"/>
      <w:r>
        <w:rPr>
          <w:rFonts w:ascii="Times New Roman" w:eastAsia="Times New Roman" w:hAnsi="Times New Roman" w:cs="Times New Roman"/>
        </w:rPr>
        <w:t>statino</w:t>
      </w:r>
      <w:proofErr w:type="spellEnd"/>
      <w:r>
        <w:rPr>
          <w:rFonts w:ascii="Times New Roman" w:eastAsia="Times New Roman" w:hAnsi="Times New Roman" w:cs="Times New Roman"/>
        </w:rPr>
        <w:t xml:space="preserve"> pasireiškęs toksinis poveikis raumenims;</w:t>
      </w:r>
    </w:p>
    <w:p w14:paraId="1881F41A" w14:textId="77777777" w:rsidR="008F7970" w:rsidRDefault="00AD4BB2">
      <w:pPr>
        <w:numPr>
          <w:ilvl w:val="0"/>
          <w:numId w:val="19"/>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buvusi kepenų liga arba piktnaudžiavimas alkoholiu;</w:t>
      </w:r>
    </w:p>
    <w:p w14:paraId="4C7E41CA" w14:textId="77777777" w:rsidR="008F7970" w:rsidRDefault="00AD4BB2">
      <w:pPr>
        <w:numPr>
          <w:ilvl w:val="0"/>
          <w:numId w:val="19"/>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 xml:space="preserve">pacientas yra senyvas (vyresnis kaip 70 metų) ir yra kitų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pasireiškimo  riziką didinančių veiksnių.</w:t>
      </w:r>
    </w:p>
    <w:p w14:paraId="22AED301" w14:textId="77777777" w:rsidR="008F7970" w:rsidRDefault="008F7970">
      <w:pPr>
        <w:autoSpaceDE w:val="0"/>
        <w:autoSpaceDN w:val="0"/>
        <w:adjustRightInd w:val="0"/>
        <w:ind w:left="0" w:firstLine="0"/>
        <w:rPr>
          <w:rFonts w:ascii="Times New Roman" w:eastAsia="Times New Roman" w:hAnsi="Times New Roman" w:cs="Times New Roman"/>
        </w:rPr>
      </w:pPr>
    </w:p>
    <w:p w14:paraId="27E18111"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Su gydymu susijusią riziką tokiems pacientams reikia įvertinti atsižvelgiant į galimą naudą, be to, rekomenduojama stebėti klinikinę pacientų būklę. Jeigu KK aktyvumas &gt; 5 kartus viršija VNR, gydymo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pradėti negalima.</w:t>
      </w:r>
    </w:p>
    <w:p w14:paraId="11212964" w14:textId="77777777" w:rsidR="008F7970" w:rsidRDefault="008F7970">
      <w:pPr>
        <w:autoSpaceDE w:val="0"/>
        <w:autoSpaceDN w:val="0"/>
        <w:adjustRightInd w:val="0"/>
        <w:ind w:left="0" w:firstLine="0"/>
        <w:rPr>
          <w:rFonts w:ascii="Times New Roman" w:eastAsia="Times New Roman" w:hAnsi="Times New Roman" w:cs="Times New Roman"/>
        </w:rPr>
      </w:pPr>
    </w:p>
    <w:p w14:paraId="403DAE5B" w14:textId="77777777" w:rsidR="008F7970" w:rsidRDefault="00AD4BB2">
      <w:pPr>
        <w:autoSpaceDE w:val="0"/>
        <w:autoSpaceDN w:val="0"/>
        <w:adjustRightInd w:val="0"/>
        <w:ind w:left="0" w:firstLine="0"/>
        <w:rPr>
          <w:rFonts w:ascii="Times New Roman" w:eastAsia="Times New Roman" w:hAnsi="Times New Roman" w:cs="Times New Roman"/>
          <w:u w:val="single"/>
        </w:rPr>
      </w:pPr>
      <w:r>
        <w:rPr>
          <w:rFonts w:ascii="Times New Roman" w:eastAsia="Times New Roman" w:hAnsi="Times New Roman" w:cs="Times New Roman"/>
          <w:u w:val="single"/>
        </w:rPr>
        <w:t>Gydymo metu</w:t>
      </w:r>
    </w:p>
    <w:p w14:paraId="1956A869" w14:textId="77777777" w:rsidR="008F7970" w:rsidRDefault="008F7970">
      <w:pPr>
        <w:autoSpaceDE w:val="0"/>
        <w:autoSpaceDN w:val="0"/>
        <w:adjustRightInd w:val="0"/>
        <w:ind w:left="0" w:firstLine="0"/>
        <w:rPr>
          <w:rFonts w:ascii="Times New Roman" w:eastAsia="Times New Roman" w:hAnsi="Times New Roman" w:cs="Times New Roman"/>
          <w:u w:val="single"/>
        </w:rPr>
      </w:pPr>
    </w:p>
    <w:p w14:paraId="2C878555"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Pacientams būtina nurodyti, kad nedelsdami praneštų apie atsiradusį raumenų skausmą, silpnumą ar mėšlungį. Reikia nustatyti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aktyvumą ir jeigu KK aktyvumas &gt; 5 kartus viršija VNR, gydymą būtina nutraukti. Gydymo nutraukimą reikia apsvarstyti ir tuo atveju, jei raumenų pažeidimo simptomai yra sunkūs (net kai KK aktyvumas ≤ 5 kartus viršija VNR). Jei simptomai išnyksta ir KK aktyvumas tampa normalus, galima apsvarstyti gydymo </w:t>
      </w:r>
      <w:proofErr w:type="spellStart"/>
      <w:r>
        <w:rPr>
          <w:rFonts w:ascii="Times New Roman" w:eastAsia="Times New Roman" w:hAnsi="Times New Roman" w:cs="Times New Roman"/>
        </w:rPr>
        <w:t>pitavastatinu</w:t>
      </w:r>
      <w:proofErr w:type="spellEnd"/>
      <w:r>
        <w:rPr>
          <w:rFonts w:ascii="Times New Roman" w:eastAsia="Times New Roman" w:hAnsi="Times New Roman" w:cs="Times New Roman"/>
        </w:rPr>
        <w:t xml:space="preserve"> atnaujinimą, skiriant 1 mg dozę ir pacientą atidžiai stebint.</w:t>
      </w:r>
    </w:p>
    <w:p w14:paraId="6612E8C4" w14:textId="77777777" w:rsidR="008F7970" w:rsidRDefault="008F7970">
      <w:pPr>
        <w:autoSpaceDE w:val="0"/>
        <w:autoSpaceDN w:val="0"/>
        <w:adjustRightInd w:val="0"/>
        <w:ind w:left="0" w:firstLine="0"/>
        <w:rPr>
          <w:rFonts w:ascii="Times New Roman" w:eastAsia="Times New Roman" w:hAnsi="Times New Roman" w:cs="Times New Roman"/>
          <w:b/>
          <w:bCs/>
        </w:rPr>
      </w:pPr>
    </w:p>
    <w:p w14:paraId="7E788DB4" w14:textId="77777777" w:rsidR="008F7970" w:rsidRDefault="00AD4BB2">
      <w:pPr>
        <w:autoSpaceDE w:val="0"/>
        <w:autoSpaceDN w:val="0"/>
        <w:adjustRightInd w:val="0"/>
        <w:ind w:left="0" w:firstLine="0"/>
        <w:rPr>
          <w:rFonts w:ascii="Times New Roman" w:eastAsia="Times New Roman" w:hAnsi="Times New Roman" w:cs="Times New Roman"/>
          <w:bCs/>
          <w:i/>
        </w:rPr>
      </w:pPr>
      <w:r>
        <w:rPr>
          <w:rFonts w:ascii="Times New Roman" w:eastAsia="Times New Roman" w:hAnsi="Times New Roman" w:cs="Times New Roman"/>
          <w:bCs/>
          <w:i/>
        </w:rPr>
        <w:t>Poveikis kepenims</w:t>
      </w:r>
    </w:p>
    <w:p w14:paraId="71E11ECF" w14:textId="77777777" w:rsidR="008F7970" w:rsidRDefault="00AD4BB2">
      <w:pPr>
        <w:autoSpaceDE w:val="0"/>
        <w:autoSpaceDN w:val="0"/>
        <w:adjustRightInd w:val="0"/>
        <w:ind w:left="0" w:firstLine="0"/>
        <w:rPr>
          <w:rFonts w:ascii="Times New Roman" w:eastAsia="Times New Roman" w:hAnsi="Times New Roman" w:cs="Times New Roman"/>
          <w:iCs/>
        </w:rPr>
      </w:pPr>
      <w:r>
        <w:rPr>
          <w:rFonts w:ascii="Times New Roman" w:eastAsia="Times New Roman" w:hAnsi="Times New Roman" w:cs="Times New Roman"/>
        </w:rPr>
        <w:t xml:space="preserve">Pacientams, kuriems yra sunkus kepenų funkcijos sutrikimas,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vartoti draudžiama (žr. 4.3 skyrių).</w:t>
      </w:r>
    </w:p>
    <w:p w14:paraId="6467E51B" w14:textId="77777777" w:rsidR="008F7970" w:rsidRDefault="008F7970">
      <w:pPr>
        <w:autoSpaceDE w:val="0"/>
        <w:autoSpaceDN w:val="0"/>
        <w:adjustRightInd w:val="0"/>
        <w:ind w:left="0" w:firstLine="0"/>
        <w:rPr>
          <w:rFonts w:ascii="Times New Roman" w:eastAsia="Times New Roman" w:hAnsi="Times New Roman" w:cs="Times New Roman"/>
        </w:rPr>
      </w:pPr>
    </w:p>
    <w:p w14:paraId="00CD2B08"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Dėl nežinomo padidėjusios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ekspozicijos poveikio pacientams, kuriems yra vidutinio sunkumo kepenų funkcijos sutrikimas,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vartoti nerekomenduojama (žr. 5.2 skyrių).</w:t>
      </w:r>
    </w:p>
    <w:p w14:paraId="59F88CCC" w14:textId="77777777" w:rsidR="008F7970" w:rsidRDefault="008F7970">
      <w:pPr>
        <w:autoSpaceDE w:val="0"/>
        <w:autoSpaceDN w:val="0"/>
        <w:adjustRightInd w:val="0"/>
        <w:ind w:left="0" w:firstLine="0"/>
        <w:rPr>
          <w:rFonts w:ascii="Times New Roman" w:eastAsia="Times New Roman" w:hAnsi="Times New Roman" w:cs="Times New Roman"/>
        </w:rPr>
      </w:pPr>
    </w:p>
    <w:p w14:paraId="2F3E6579" w14:textId="77777777" w:rsidR="008F7970" w:rsidRDefault="00AD4BB2">
      <w:pPr>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bCs/>
          <w:iCs/>
        </w:rPr>
        <w:t>Pitavastatino</w:t>
      </w:r>
      <w:proofErr w:type="spellEnd"/>
      <w:r>
        <w:rPr>
          <w:rFonts w:ascii="Times New Roman" w:eastAsia="Times New Roman" w:hAnsi="Times New Roman" w:cs="Times New Roman"/>
          <w:bCs/>
          <w:iCs/>
        </w:rPr>
        <w:t xml:space="preserve">, kaip ir kitų </w:t>
      </w:r>
      <w:proofErr w:type="spellStart"/>
      <w:r>
        <w:rPr>
          <w:rFonts w:ascii="Times New Roman" w:eastAsia="Times New Roman" w:hAnsi="Times New Roman" w:cs="Times New Roman"/>
          <w:bCs/>
          <w:iCs/>
        </w:rPr>
        <w:t>statinų</w:t>
      </w:r>
      <w:proofErr w:type="spellEnd"/>
      <w:r>
        <w:rPr>
          <w:rFonts w:ascii="Times New Roman" w:eastAsia="Times New Roman" w:hAnsi="Times New Roman" w:cs="Times New Roman"/>
          <w:bCs/>
          <w:iCs/>
        </w:rPr>
        <w:t xml:space="preserve">, reikia atsargiai skirti pacientams, kuriems buvo diagnozuota kepenų liga ar kurie reguliariai gausiai vartoja alkoholio. Kepenų funkcijos tyrimus reikia atlikti prieš pradedant gydymą ir periodiškai jo metu. Gydymą </w:t>
      </w:r>
      <w:proofErr w:type="spellStart"/>
      <w:r>
        <w:rPr>
          <w:rFonts w:ascii="Times New Roman" w:eastAsia="Times New Roman" w:hAnsi="Times New Roman" w:cs="Times New Roman"/>
          <w:bCs/>
          <w:iCs/>
        </w:rPr>
        <w:t>Pitezenib</w:t>
      </w:r>
      <w:proofErr w:type="spellEnd"/>
      <w:r>
        <w:rPr>
          <w:rFonts w:ascii="Times New Roman" w:eastAsia="Times New Roman" w:hAnsi="Times New Roman" w:cs="Times New Roman"/>
          <w:bCs/>
          <w:iCs/>
        </w:rPr>
        <w:t xml:space="preserve"> būtina nutraukti pacientams, kuriems yra daugiau kaip 3 kartus VNR viršijantis išliekantis padidėjęs </w:t>
      </w:r>
      <w:proofErr w:type="spellStart"/>
      <w:r>
        <w:rPr>
          <w:rFonts w:ascii="Times New Roman" w:eastAsia="Times New Roman" w:hAnsi="Times New Roman" w:cs="Times New Roman"/>
          <w:bCs/>
          <w:iCs/>
        </w:rPr>
        <w:t>transaminazių</w:t>
      </w:r>
      <w:proofErr w:type="spellEnd"/>
      <w:r>
        <w:rPr>
          <w:rFonts w:ascii="Times New Roman" w:eastAsia="Times New Roman" w:hAnsi="Times New Roman" w:cs="Times New Roman"/>
          <w:bCs/>
          <w:iCs/>
        </w:rPr>
        <w:t xml:space="preserve"> (ALT ir AST) aktyvumas kraujo serume.</w:t>
      </w:r>
      <w:r>
        <w:rPr>
          <w:rFonts w:ascii="Times New Roman" w:eastAsia="Times New Roman" w:hAnsi="Times New Roman" w:cs="Times New Roman"/>
        </w:rPr>
        <w:t xml:space="preserve"> Kontroliuotų klinikinių tyrimų metu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 xml:space="preserve"> vartojusiems pacientams stebėtas nuoseklus </w:t>
      </w:r>
      <w:proofErr w:type="spellStart"/>
      <w:r>
        <w:rPr>
          <w:rFonts w:ascii="Times New Roman" w:eastAsia="Times New Roman" w:hAnsi="Times New Roman" w:cs="Times New Roman"/>
        </w:rPr>
        <w:t>tramsaminazių</w:t>
      </w:r>
      <w:proofErr w:type="spellEnd"/>
      <w:r>
        <w:rPr>
          <w:rFonts w:ascii="Times New Roman" w:eastAsia="Times New Roman" w:hAnsi="Times New Roman" w:cs="Times New Roman"/>
        </w:rPr>
        <w:t xml:space="preserve"> aktyvumo padidėjimas (≥ 3</w:t>
      </w:r>
      <w:bookmarkStart w:id="2" w:name="_Hlk144882572"/>
      <w:r>
        <w:rPr>
          <w:rFonts w:ascii="Times New Roman" w:eastAsia="Times New Roman" w:hAnsi="Times New Roman" w:cs="Times New Roman"/>
        </w:rPr>
        <w:t> </w:t>
      </w:r>
      <w:bookmarkEnd w:id="2"/>
      <w:r>
        <w:rPr>
          <w:rFonts w:ascii="Times New Roman" w:eastAsia="Times New Roman" w:hAnsi="Times New Roman" w:cs="Times New Roman"/>
        </w:rPr>
        <w:t>kartus viršijantis VNR).</w:t>
      </w:r>
    </w:p>
    <w:p w14:paraId="07C79F76" w14:textId="77777777" w:rsidR="008F7970" w:rsidRDefault="008F7970">
      <w:pPr>
        <w:tabs>
          <w:tab w:val="left" w:pos="567"/>
        </w:tabs>
        <w:ind w:left="0" w:firstLine="0"/>
        <w:rPr>
          <w:rFonts w:ascii="Times New Roman" w:eastAsia="Times New Roman" w:hAnsi="Times New Roman" w:cs="Times New Roman"/>
        </w:rPr>
      </w:pPr>
    </w:p>
    <w:p w14:paraId="103D36CE" w14:textId="77777777" w:rsidR="008F7970" w:rsidRDefault="00AD4BB2">
      <w:pPr>
        <w:autoSpaceDE w:val="0"/>
        <w:autoSpaceDN w:val="0"/>
        <w:adjustRightInd w:val="0"/>
        <w:ind w:left="0" w:firstLine="0"/>
        <w:rPr>
          <w:rFonts w:ascii="Times New Roman" w:eastAsia="Times New Roman" w:hAnsi="Times New Roman" w:cs="Times New Roman"/>
          <w:bCs/>
          <w:i/>
        </w:rPr>
      </w:pPr>
      <w:r>
        <w:rPr>
          <w:rFonts w:ascii="Times New Roman" w:eastAsia="Times New Roman" w:hAnsi="Times New Roman" w:cs="Times New Roman"/>
          <w:bCs/>
          <w:i/>
        </w:rPr>
        <w:t>Poveikis inkstams</w:t>
      </w:r>
    </w:p>
    <w:p w14:paraId="176C3483"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Pacientams, kuriems yra vidutinio sunkumo ar sunkus inkstų funkcijos sutrikimas,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būtina vartoti atsargiai. Dozę galima didinti tik pacientą atidžiai stebint. Jei yra sunkus inkstų funkcijos sutrikimas,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4 mg/10 mg dozės vartoti nerekomenduojama (žr. 4.2 skyrių).</w:t>
      </w:r>
    </w:p>
    <w:p w14:paraId="2D27377E" w14:textId="77777777" w:rsidR="008F7970" w:rsidRDefault="008F7970">
      <w:pPr>
        <w:autoSpaceDE w:val="0"/>
        <w:autoSpaceDN w:val="0"/>
        <w:adjustRightInd w:val="0"/>
        <w:ind w:left="0" w:firstLine="0"/>
        <w:rPr>
          <w:rFonts w:ascii="Times New Roman" w:eastAsia="Times New Roman" w:hAnsi="Times New Roman" w:cs="Times New Roman"/>
        </w:rPr>
      </w:pPr>
    </w:p>
    <w:p w14:paraId="5488B590" w14:textId="77777777" w:rsidR="008F7970" w:rsidRDefault="00AD4BB2">
      <w:pPr>
        <w:autoSpaceDE w:val="0"/>
        <w:autoSpaceDN w:val="0"/>
        <w:adjustRightInd w:val="0"/>
        <w:ind w:left="0" w:firstLine="0"/>
        <w:rPr>
          <w:rFonts w:ascii="Times New Roman" w:eastAsia="Times New Roman" w:hAnsi="Times New Roman" w:cs="Times New Roman"/>
          <w:bCs/>
          <w:i/>
        </w:rPr>
      </w:pPr>
      <w:r>
        <w:rPr>
          <w:rFonts w:ascii="Times New Roman" w:eastAsia="Times New Roman" w:hAnsi="Times New Roman" w:cs="Times New Roman"/>
          <w:bCs/>
          <w:i/>
        </w:rPr>
        <w:t>Cukrinis diabetas</w:t>
      </w:r>
    </w:p>
    <w:p w14:paraId="1BAA3885"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Yra tam tikrų duomenų, kad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(kaip klasė) didina gliukozės koncentraciją kraujyje ir kai kuriems pacientams, turintiems padidėjusią cukrinio diabeto išsivystymo riziką, gali sukelti hiperglikemiją, kurios metu turi būti skiriamas įprastas cukrinio diabeto gydymas. Vis dėlto šią riziką persveria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sukeliamas kraujagyslinės rizikos sumažėjimas ir tai neturi būti gydymo </w:t>
      </w: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 xml:space="preserve"> nutraukimo priežastis. Pacientams, kuriems yra hiperglikemijos išsivystymo rizika (gliukozės koncentracija nevalgius 5,6</w:t>
      </w:r>
      <w:r>
        <w:rPr>
          <w:rFonts w:ascii="Times New Roman" w:eastAsia="Times New Roman" w:hAnsi="Times New Roman" w:cs="Times New Roman"/>
        </w:rPr>
        <w:noBreakHyphen/>
        <w:t>6,9 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kūno masės indeksas (KMI) &gt; 30 kg/m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padidėjusi trigliceridų koncentracija, hipertenzija), turi būti stebima klinikinė būklė ir biocheminiai rodmenys, remiantis nacionalinėmis gairėmis. Vis dėlto patvirtintų signalų apie su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vartojimu susijusią cukrinio diabeto išsivystymo riziką negauta nei saugumo stebėjimo po pateikimo į rinką tyrimų, nei perspektyvinių tyrimų metu (žr. 5.1 skyrių).</w:t>
      </w:r>
    </w:p>
    <w:p w14:paraId="6C470CAC" w14:textId="77777777" w:rsidR="008F7970" w:rsidRDefault="008F7970">
      <w:pPr>
        <w:autoSpaceDE w:val="0"/>
        <w:autoSpaceDN w:val="0"/>
        <w:adjustRightInd w:val="0"/>
        <w:ind w:left="0" w:firstLine="0"/>
        <w:rPr>
          <w:rFonts w:ascii="Times New Roman" w:eastAsia="Times New Roman" w:hAnsi="Times New Roman" w:cs="Times New Roman"/>
        </w:rPr>
      </w:pPr>
    </w:p>
    <w:p w14:paraId="7CBE11D3" w14:textId="77777777" w:rsidR="008F7970" w:rsidRDefault="00AD4BB2">
      <w:pPr>
        <w:autoSpaceDE w:val="0"/>
        <w:autoSpaceDN w:val="0"/>
        <w:adjustRightInd w:val="0"/>
        <w:ind w:left="0" w:firstLine="0"/>
        <w:rPr>
          <w:rFonts w:ascii="Times New Roman" w:eastAsia="Times New Roman" w:hAnsi="Times New Roman" w:cs="Times New Roman"/>
          <w:bCs/>
          <w:i/>
        </w:rPr>
      </w:pPr>
      <w:proofErr w:type="spellStart"/>
      <w:r>
        <w:rPr>
          <w:rFonts w:ascii="Times New Roman" w:eastAsia="Times New Roman" w:hAnsi="Times New Roman" w:cs="Times New Roman"/>
          <w:i/>
          <w:iCs/>
        </w:rPr>
        <w:t>I</w:t>
      </w:r>
      <w:r>
        <w:rPr>
          <w:rFonts w:ascii="Times New Roman" w:eastAsia="Times New Roman" w:hAnsi="Times New Roman" w:cs="Times New Roman"/>
          <w:bCs/>
          <w:i/>
        </w:rPr>
        <w:t>ntersticinė</w:t>
      </w:r>
      <w:proofErr w:type="spellEnd"/>
      <w:r>
        <w:rPr>
          <w:rFonts w:ascii="Times New Roman" w:eastAsia="Times New Roman" w:hAnsi="Times New Roman" w:cs="Times New Roman"/>
          <w:bCs/>
          <w:i/>
        </w:rPr>
        <w:t xml:space="preserve"> plaučių liga</w:t>
      </w:r>
    </w:p>
    <w:p w14:paraId="22BEC8DC"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Vartojant kai kurių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ypač gydant ilgą laiką, išskirtiniais atvejais buvo pranešta apie </w:t>
      </w:r>
      <w:proofErr w:type="spellStart"/>
      <w:r>
        <w:rPr>
          <w:rFonts w:ascii="Times New Roman" w:eastAsia="Times New Roman" w:hAnsi="Times New Roman" w:cs="Times New Roman"/>
        </w:rPr>
        <w:t>intersticinę</w:t>
      </w:r>
      <w:proofErr w:type="spellEnd"/>
      <w:r>
        <w:rPr>
          <w:rFonts w:ascii="Times New Roman" w:eastAsia="Times New Roman" w:hAnsi="Times New Roman" w:cs="Times New Roman"/>
        </w:rPr>
        <w:t xml:space="preserve"> plaučių ligą (žr. 4.8 skyrių). Gali pasireikšti dusulys, neproduktyvus kosulys ir bendros sveikatos būklės pablogėjimas (nuovargis, kūno svorio mažėjimas ir karščiavimas). Jeigu įtariama, kad pacientui pasireiškė </w:t>
      </w:r>
      <w:proofErr w:type="spellStart"/>
      <w:r>
        <w:rPr>
          <w:rFonts w:ascii="Times New Roman" w:eastAsia="Times New Roman" w:hAnsi="Times New Roman" w:cs="Times New Roman"/>
        </w:rPr>
        <w:t>intersticinė</w:t>
      </w:r>
      <w:proofErr w:type="spellEnd"/>
      <w:r>
        <w:rPr>
          <w:rFonts w:ascii="Times New Roman" w:eastAsia="Times New Roman" w:hAnsi="Times New Roman" w:cs="Times New Roman"/>
        </w:rPr>
        <w:t xml:space="preserve"> plaučių liga, gydymą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reikia nutraukti.</w:t>
      </w:r>
    </w:p>
    <w:p w14:paraId="0C2C677B" w14:textId="77777777" w:rsidR="008F7970" w:rsidRDefault="008F7970">
      <w:pPr>
        <w:autoSpaceDE w:val="0"/>
        <w:autoSpaceDN w:val="0"/>
        <w:adjustRightInd w:val="0"/>
        <w:ind w:left="0" w:firstLine="0"/>
        <w:rPr>
          <w:rFonts w:ascii="Times New Roman" w:eastAsia="Times New Roman" w:hAnsi="Times New Roman" w:cs="Times New Roman"/>
          <w:b/>
          <w:bCs/>
        </w:rPr>
      </w:pPr>
    </w:p>
    <w:p w14:paraId="1E8A9F12" w14:textId="77777777" w:rsidR="008F7970" w:rsidRDefault="00AD4BB2">
      <w:pPr>
        <w:autoSpaceDE w:val="0"/>
        <w:autoSpaceDN w:val="0"/>
        <w:adjustRightInd w:val="0"/>
        <w:ind w:left="0" w:firstLine="0"/>
        <w:rPr>
          <w:rFonts w:ascii="Times New Roman" w:eastAsia="Times New Roman" w:hAnsi="Times New Roman" w:cs="Times New Roman"/>
          <w:bCs/>
          <w:i/>
        </w:rPr>
      </w:pPr>
      <w:r>
        <w:rPr>
          <w:rFonts w:ascii="Times New Roman" w:eastAsia="Times New Roman" w:hAnsi="Times New Roman" w:cs="Times New Roman"/>
          <w:bCs/>
          <w:i/>
        </w:rPr>
        <w:t>Kitoks poveikis</w:t>
      </w:r>
    </w:p>
    <w:p w14:paraId="470530A8" w14:textId="77777777" w:rsidR="008F7970" w:rsidRDefault="00AD4BB2">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eritromicinu</w:t>
      </w:r>
      <w:proofErr w:type="spellEnd"/>
      <w:r>
        <w:rPr>
          <w:rFonts w:ascii="Times New Roman" w:eastAsia="Times New Roman" w:hAnsi="Times New Roman" w:cs="Times New Roman"/>
        </w:rPr>
        <w:t xml:space="preserve">, kitais </w:t>
      </w:r>
      <w:proofErr w:type="spellStart"/>
      <w:r>
        <w:rPr>
          <w:rFonts w:ascii="Times New Roman" w:eastAsia="Times New Roman" w:hAnsi="Times New Roman" w:cs="Times New Roman"/>
        </w:rPr>
        <w:t>makrolidų</w:t>
      </w:r>
      <w:proofErr w:type="spellEnd"/>
      <w:r>
        <w:rPr>
          <w:rFonts w:ascii="Times New Roman" w:eastAsia="Times New Roman" w:hAnsi="Times New Roman" w:cs="Times New Roman"/>
        </w:rPr>
        <w:t xml:space="preserve"> grupės antibiotikais ar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laikotarpiu rekomenduojama laikinai sustabdyti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vartojimą (žr. 4.5 skyrių).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reikia atsargiai vartoti pacientams, gydomiems vaistiniais preparatais, kurie sukelia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niacinu</w:t>
      </w:r>
      <w:proofErr w:type="spellEnd"/>
      <w:r>
        <w:rPr>
          <w:rFonts w:ascii="Times New Roman" w:eastAsia="Times New Roman" w:hAnsi="Times New Roman" w:cs="Times New Roman"/>
        </w:rPr>
        <w:t>, žr. 4.5 skyrių).</w:t>
      </w:r>
    </w:p>
    <w:p w14:paraId="2D2882EF" w14:textId="77777777" w:rsidR="008F7970" w:rsidRDefault="008F7970">
      <w:pPr>
        <w:tabs>
          <w:tab w:val="left" w:pos="567"/>
        </w:tabs>
        <w:ind w:left="0" w:firstLine="0"/>
        <w:rPr>
          <w:rFonts w:ascii="Times New Roman" w:eastAsia="Times New Roman" w:hAnsi="Times New Roman" w:cs="Times New Roman"/>
        </w:rPr>
      </w:pPr>
    </w:p>
    <w:p w14:paraId="0633E5DE" w14:textId="77777777" w:rsidR="008F7970" w:rsidRDefault="00AD4BB2">
      <w:pPr>
        <w:tabs>
          <w:tab w:val="left" w:pos="567"/>
        </w:tabs>
        <w:ind w:left="0" w:firstLine="0"/>
        <w:rPr>
          <w:rFonts w:ascii="Times New Roman" w:eastAsia="Times New Roman" w:hAnsi="Times New Roman" w:cs="Times New Roman"/>
          <w:i/>
        </w:rPr>
      </w:pPr>
      <w:proofErr w:type="spellStart"/>
      <w:r>
        <w:rPr>
          <w:rFonts w:ascii="Times New Roman" w:eastAsia="Times New Roman" w:hAnsi="Times New Roman" w:cs="Times New Roman"/>
          <w:i/>
        </w:rPr>
        <w:t>Fibratai</w:t>
      </w:r>
      <w:proofErr w:type="spellEnd"/>
    </w:p>
    <w:p w14:paraId="10061D5D" w14:textId="77777777" w:rsidR="008F7970" w:rsidRDefault="00AD4BB2">
      <w:pPr>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vartojimo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saugumas ir veiksmingumas nenustatyti.</w:t>
      </w:r>
    </w:p>
    <w:p w14:paraId="55A1369A" w14:textId="77777777" w:rsidR="008F7970" w:rsidRDefault="00AD4BB2">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Jei pacientui, vartojančiam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 įtariama tulžies pūslės akmenligė, reikia atlikti tulžies pūslės tyrimus ir nutraukti šį gydymą (žr. 4.5 ir 4.8 skyrius).</w:t>
      </w:r>
    </w:p>
    <w:p w14:paraId="24B8862B" w14:textId="77777777" w:rsidR="008F7970" w:rsidRDefault="008F7970">
      <w:pPr>
        <w:widowControl w:val="0"/>
        <w:tabs>
          <w:tab w:val="left" w:pos="567"/>
        </w:tabs>
        <w:ind w:left="0" w:firstLine="0"/>
        <w:rPr>
          <w:rFonts w:ascii="Times New Roman" w:eastAsia="Times New Roman" w:hAnsi="Times New Roman" w:cs="Times New Roman"/>
          <w:lang w:eastAsia="sl-SI"/>
        </w:rPr>
      </w:pPr>
    </w:p>
    <w:p w14:paraId="55FFD964" w14:textId="77777777" w:rsidR="008F7970" w:rsidRDefault="00AD4BB2">
      <w:pPr>
        <w:widowControl w:val="0"/>
        <w:tabs>
          <w:tab w:val="left" w:pos="567"/>
        </w:tabs>
        <w:ind w:left="0" w:firstLine="0"/>
        <w:rPr>
          <w:rFonts w:ascii="Times New Roman" w:eastAsia="Times New Roman" w:hAnsi="Times New Roman" w:cs="Times New Roman"/>
          <w:i/>
          <w:iCs/>
          <w:lang w:eastAsia="sl-SI"/>
        </w:rPr>
      </w:pPr>
      <w:proofErr w:type="spellStart"/>
      <w:r>
        <w:rPr>
          <w:rFonts w:ascii="Times New Roman" w:eastAsia="Times New Roman" w:hAnsi="Times New Roman" w:cs="Times New Roman"/>
          <w:i/>
          <w:iCs/>
          <w:lang w:eastAsia="sl-SI"/>
        </w:rPr>
        <w:t>Ciklosporinas</w:t>
      </w:r>
      <w:proofErr w:type="spellEnd"/>
    </w:p>
    <w:p w14:paraId="5343ACE4" w14:textId="77777777" w:rsidR="008F7970" w:rsidRDefault="00AD4BB2">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vartojantiems pacientams gydymą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būtina pradėti atsargiai. Būtina stebėti kartu su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vartojamo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koncentraciją (žr. 4.5 skyrių).</w:t>
      </w:r>
    </w:p>
    <w:p w14:paraId="664C7F51" w14:textId="77777777" w:rsidR="008F7970" w:rsidRDefault="008F7970">
      <w:pPr>
        <w:widowControl w:val="0"/>
        <w:tabs>
          <w:tab w:val="left" w:pos="567"/>
        </w:tabs>
        <w:ind w:left="0" w:firstLine="0"/>
        <w:rPr>
          <w:rFonts w:ascii="Times New Roman" w:eastAsia="Times New Roman" w:hAnsi="Times New Roman" w:cs="Times New Roman"/>
          <w:lang w:eastAsia="sl-SI"/>
        </w:rPr>
      </w:pPr>
    </w:p>
    <w:p w14:paraId="1FBD3420" w14:textId="77777777" w:rsidR="008F7970" w:rsidRDefault="00AD4BB2">
      <w:pPr>
        <w:widowControl w:val="0"/>
        <w:tabs>
          <w:tab w:val="left" w:pos="567"/>
        </w:tabs>
        <w:ind w:left="0" w:firstLine="0"/>
        <w:rPr>
          <w:rFonts w:ascii="Times New Roman" w:eastAsia="Times New Roman" w:hAnsi="Times New Roman" w:cs="Times New Roman"/>
          <w:i/>
          <w:iCs/>
          <w:lang w:eastAsia="sl-SI"/>
        </w:rPr>
      </w:pPr>
      <w:r>
        <w:rPr>
          <w:rFonts w:ascii="Times New Roman" w:eastAsia="Times New Roman" w:hAnsi="Times New Roman" w:cs="Times New Roman"/>
          <w:i/>
          <w:iCs/>
          <w:lang w:eastAsia="sl-SI"/>
        </w:rPr>
        <w:t>Antikoaguliantai</w:t>
      </w:r>
    </w:p>
    <w:p w14:paraId="3885601B"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pradedama vartoti kartu su varfarinu, kitu kumarino grupės antikoaguliantu arba </w:t>
      </w:r>
      <w:proofErr w:type="spellStart"/>
      <w:r>
        <w:rPr>
          <w:rFonts w:ascii="Times New Roman" w:eastAsia="Times New Roman" w:hAnsi="Times New Roman" w:cs="Times New Roman"/>
          <w:lang w:eastAsia="sl-SI"/>
        </w:rPr>
        <w:t>fluindionu</w:t>
      </w:r>
      <w:proofErr w:type="spellEnd"/>
      <w:r>
        <w:rPr>
          <w:rFonts w:ascii="Times New Roman" w:eastAsia="Times New Roman" w:hAnsi="Times New Roman" w:cs="Times New Roman"/>
          <w:lang w:eastAsia="sl-SI"/>
        </w:rPr>
        <w:t>, reikia tinkamai stebėti tarptautinį normalizuotą santykį (TNS) (žr. 4.5 skyrių).</w:t>
      </w:r>
    </w:p>
    <w:p w14:paraId="6FC4B34A" w14:textId="77777777" w:rsidR="008F7970" w:rsidRDefault="008F7970">
      <w:pPr>
        <w:widowControl w:val="0"/>
        <w:tabs>
          <w:tab w:val="left" w:pos="567"/>
        </w:tabs>
        <w:ind w:left="0" w:firstLine="0"/>
        <w:rPr>
          <w:rFonts w:ascii="Times New Roman" w:eastAsia="Times New Roman" w:hAnsi="Times New Roman" w:cs="Times New Roman"/>
        </w:rPr>
      </w:pPr>
    </w:p>
    <w:p w14:paraId="681F02A9" w14:textId="77777777" w:rsidR="008F7970" w:rsidRDefault="00AD4BB2">
      <w:pPr>
        <w:widowControl w:val="0"/>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Natris</w:t>
      </w:r>
    </w:p>
    <w:p w14:paraId="08B5F313" w14:textId="77777777" w:rsidR="008F7970" w:rsidRDefault="00AD4BB2">
      <w:pPr>
        <w:widowControl w:val="0"/>
        <w:tabs>
          <w:tab w:val="left" w:pos="567"/>
        </w:tabs>
        <w:ind w:left="0" w:firstLine="0"/>
        <w:jc w:val="both"/>
        <w:rPr>
          <w:rFonts w:ascii="Times New Roman" w:eastAsia="Times New Roman" w:hAnsi="Times New Roman" w:cs="Times New Roman"/>
        </w:rPr>
      </w:pPr>
      <w:r>
        <w:rPr>
          <w:rFonts w:ascii="Times New Roman" w:eastAsia="Times New Roman" w:hAnsi="Times New Roman" w:cs="Times New Roman"/>
        </w:rPr>
        <w:t xml:space="preserve">Šio vaistinio preparato kiekvienoje tabletėje yra </w:t>
      </w:r>
      <w:r>
        <w:rPr>
          <w:rFonts w:ascii="Times New Roman" w:eastAsia="Times New Roman" w:hAnsi="Times New Roman" w:cs="Times New Roman"/>
          <w:snapToGrid w:val="0"/>
          <w:lang w:eastAsia="sl-SI"/>
        </w:rPr>
        <w:t>mažiau kaip 1 </w:t>
      </w:r>
      <w:proofErr w:type="spellStart"/>
      <w:r>
        <w:rPr>
          <w:rFonts w:ascii="Times New Roman" w:eastAsia="Times New Roman" w:hAnsi="Times New Roman" w:cs="Times New Roman"/>
          <w:snapToGrid w:val="0"/>
          <w:lang w:eastAsia="sl-SI"/>
        </w:rPr>
        <w:t>mmol</w:t>
      </w:r>
      <w:proofErr w:type="spellEnd"/>
      <w:r>
        <w:rPr>
          <w:rFonts w:ascii="Times New Roman" w:eastAsia="Times New Roman" w:hAnsi="Times New Roman" w:cs="Times New Roman"/>
          <w:snapToGrid w:val="0"/>
          <w:lang w:eastAsia="sl-SI"/>
        </w:rPr>
        <w:t xml:space="preserve"> (23 mg) natrio, t. y. jis beveik neturi reikšmės</w:t>
      </w:r>
      <w:r>
        <w:rPr>
          <w:rFonts w:ascii="Times New Roman" w:eastAsia="Times New Roman" w:hAnsi="Times New Roman" w:cs="Times New Roman"/>
        </w:rPr>
        <w:t>.</w:t>
      </w:r>
    </w:p>
    <w:p w14:paraId="473AE609" w14:textId="77777777" w:rsidR="008F7970" w:rsidRDefault="008F7970">
      <w:pPr>
        <w:widowControl w:val="0"/>
        <w:tabs>
          <w:tab w:val="left" w:pos="567"/>
        </w:tabs>
        <w:ind w:left="0" w:firstLine="0"/>
        <w:rPr>
          <w:rFonts w:ascii="Times New Roman" w:eastAsia="Times New Roman" w:hAnsi="Times New Roman" w:cs="Times New Roman"/>
        </w:rPr>
      </w:pPr>
    </w:p>
    <w:p w14:paraId="3997C1B5" w14:textId="77777777" w:rsidR="008F7970" w:rsidRDefault="00AD4BB2">
      <w:pPr>
        <w:widowControl w:val="0"/>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Laktozė</w:t>
      </w:r>
    </w:p>
    <w:p w14:paraId="0DEF1FD0" w14:textId="77777777" w:rsidR="008F7970" w:rsidRDefault="00AD4BB2">
      <w:pPr>
        <w:widowControl w:val="0"/>
        <w:tabs>
          <w:tab w:val="left" w:pos="567"/>
        </w:tabs>
        <w:ind w:left="0" w:firstLine="0"/>
        <w:jc w:val="both"/>
        <w:rPr>
          <w:rFonts w:ascii="Times New Roman" w:eastAsia="Times New Roman" w:hAnsi="Times New Roman" w:cs="Times New Roman"/>
        </w:rPr>
      </w:pPr>
      <w:r>
        <w:rPr>
          <w:rFonts w:ascii="Times New Roman" w:eastAsia="Times New Roman" w:hAnsi="Times New Roman" w:cs="Times New Roman"/>
        </w:rPr>
        <w:t xml:space="preserve">Šio vaistinio preparato negalima vartoti pacientams, kuriems nustatytas retas paveldimas sutrikimas –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netoleravimas, visiškas laktazės stygius arba gliukozės ir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malabsorbcija</w:t>
      </w:r>
      <w:proofErr w:type="spellEnd"/>
      <w:r>
        <w:rPr>
          <w:rFonts w:ascii="Times New Roman" w:eastAsia="Times New Roman" w:hAnsi="Times New Roman" w:cs="Times New Roman"/>
        </w:rPr>
        <w:t>.</w:t>
      </w:r>
    </w:p>
    <w:p w14:paraId="29A426FC" w14:textId="77777777" w:rsidR="008F7970" w:rsidRDefault="008F7970">
      <w:pPr>
        <w:widowControl w:val="0"/>
        <w:rPr>
          <w:rFonts w:ascii="Times New Roman" w:eastAsia="Times New Roman" w:hAnsi="Times New Roman" w:cs="Times New Roman"/>
        </w:rPr>
      </w:pPr>
    </w:p>
    <w:p w14:paraId="197862C6"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p>
    <w:p w14:paraId="3A71F583" w14:textId="77777777" w:rsidR="008F7970" w:rsidRDefault="008F7970">
      <w:pPr>
        <w:widowControl w:val="0"/>
        <w:rPr>
          <w:rFonts w:ascii="Times New Roman" w:eastAsia="Times New Roman" w:hAnsi="Times New Roman" w:cs="Times New Roman"/>
          <w:bCs/>
        </w:rPr>
      </w:pPr>
    </w:p>
    <w:p w14:paraId="40E4632E" w14:textId="77777777" w:rsidR="008F7970" w:rsidRDefault="00AD4BB2">
      <w:pPr>
        <w:autoSpaceDE w:val="0"/>
        <w:autoSpaceDN w:val="0"/>
        <w:adjustRightInd w:val="0"/>
        <w:ind w:left="0" w:firstLine="0"/>
        <w:rPr>
          <w:rFonts w:ascii="Times New Roman" w:eastAsia="Times New Roman" w:hAnsi="Times New Roman" w:cs="Times New Roman"/>
          <w:b/>
          <w:bCs/>
          <w:i/>
          <w:iCs/>
        </w:rPr>
      </w:pPr>
      <w:r>
        <w:rPr>
          <w:rFonts w:ascii="Times New Roman" w:eastAsia="Times New Roman" w:hAnsi="Times New Roman" w:cs="Times New Roman"/>
          <w:b/>
          <w:bCs/>
          <w:i/>
          <w:iCs/>
        </w:rPr>
        <w:t xml:space="preserve">Susijusi su </w:t>
      </w:r>
      <w:proofErr w:type="spellStart"/>
      <w:r>
        <w:rPr>
          <w:rFonts w:ascii="Times New Roman" w:eastAsia="Times New Roman" w:hAnsi="Times New Roman" w:cs="Times New Roman"/>
          <w:b/>
          <w:bCs/>
          <w:i/>
          <w:iCs/>
        </w:rPr>
        <w:t>pitavastatinu</w:t>
      </w:r>
      <w:proofErr w:type="spellEnd"/>
    </w:p>
    <w:p w14:paraId="14BDA538" w14:textId="77777777" w:rsidR="008F7970" w:rsidRDefault="008F7970">
      <w:pPr>
        <w:autoSpaceDE w:val="0"/>
        <w:autoSpaceDN w:val="0"/>
        <w:adjustRightInd w:val="0"/>
        <w:ind w:left="0" w:firstLine="0"/>
        <w:rPr>
          <w:rFonts w:ascii="Times New Roman" w:eastAsia="Times New Roman" w:hAnsi="Times New Roman" w:cs="Times New Roman"/>
        </w:rPr>
      </w:pPr>
    </w:p>
    <w:p w14:paraId="4A781016"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yra aktyviai pernešamas į žmogaus </w:t>
      </w:r>
      <w:proofErr w:type="spellStart"/>
      <w:r>
        <w:rPr>
          <w:rFonts w:ascii="Times New Roman" w:eastAsia="Times New Roman" w:hAnsi="Times New Roman" w:cs="Times New Roman"/>
        </w:rPr>
        <w:t>hepatocitus</w:t>
      </w:r>
      <w:proofErr w:type="spellEnd"/>
      <w:r>
        <w:rPr>
          <w:rFonts w:ascii="Times New Roman" w:eastAsia="Times New Roman" w:hAnsi="Times New Roman" w:cs="Times New Roman"/>
        </w:rPr>
        <w:t xml:space="preserve"> dalyvaujant įvairiems kepenų </w:t>
      </w:r>
      <w:proofErr w:type="spellStart"/>
      <w:r>
        <w:rPr>
          <w:rFonts w:ascii="Times New Roman" w:eastAsia="Times New Roman" w:hAnsi="Times New Roman" w:cs="Times New Roman"/>
        </w:rPr>
        <w:t>pernešikliams</w:t>
      </w:r>
      <w:proofErr w:type="spellEnd"/>
      <w:r>
        <w:rPr>
          <w:rFonts w:ascii="Times New Roman" w:eastAsia="Times New Roman" w:hAnsi="Times New Roman" w:cs="Times New Roman"/>
        </w:rPr>
        <w:t xml:space="preserve"> (įskaitant organinį anijonų pernašos </w:t>
      </w:r>
      <w:proofErr w:type="spellStart"/>
      <w:r>
        <w:rPr>
          <w:rFonts w:ascii="Times New Roman" w:eastAsia="Times New Roman" w:hAnsi="Times New Roman" w:cs="Times New Roman"/>
        </w:rPr>
        <w:t>polipeptidą</w:t>
      </w:r>
      <w:proofErr w:type="spellEnd"/>
      <w:r>
        <w:rPr>
          <w:rFonts w:ascii="Times New Roman" w:eastAsia="Times New Roman" w:hAnsi="Times New Roman" w:cs="Times New Roman"/>
        </w:rPr>
        <w:t xml:space="preserve">, angl. </w:t>
      </w:r>
      <w:proofErr w:type="spellStart"/>
      <w:r>
        <w:rPr>
          <w:rFonts w:ascii="Times New Roman" w:eastAsia="Times New Roman" w:hAnsi="Times New Roman" w:cs="Times New Roman"/>
          <w:i/>
          <w:iCs/>
        </w:rPr>
        <w:t>organic</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anion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transporting</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polypeptide</w:t>
      </w:r>
      <w:proofErr w:type="spellEnd"/>
      <w:r>
        <w:rPr>
          <w:rFonts w:ascii="Times New Roman" w:eastAsia="Times New Roman" w:hAnsi="Times New Roman" w:cs="Times New Roman"/>
        </w:rPr>
        <w:t xml:space="preserve">, OATP), kurie gali būti susiję su tam tikra toliau paminėta sąveika. </w:t>
      </w:r>
    </w:p>
    <w:p w14:paraId="7B0E056A" w14:textId="77777777" w:rsidR="008F7970" w:rsidRDefault="008F7970">
      <w:pPr>
        <w:autoSpaceDE w:val="0"/>
        <w:autoSpaceDN w:val="0"/>
        <w:adjustRightInd w:val="0"/>
        <w:ind w:left="0" w:firstLine="0"/>
        <w:rPr>
          <w:rFonts w:ascii="Times New Roman" w:eastAsia="Times New Roman" w:hAnsi="Times New Roman" w:cs="Times New Roman"/>
        </w:rPr>
      </w:pPr>
    </w:p>
    <w:p w14:paraId="63F2A326"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bCs/>
          <w:i/>
        </w:rPr>
        <w:t>Ciklosporinas</w:t>
      </w:r>
      <w:proofErr w:type="spellEnd"/>
      <w:r>
        <w:rPr>
          <w:rFonts w:ascii="Times New Roman" w:eastAsia="Times New Roman" w:hAnsi="Times New Roman" w:cs="Times New Roman"/>
          <w:bCs/>
          <w:i/>
        </w:rPr>
        <w:t>.</w:t>
      </w:r>
      <w:r>
        <w:rPr>
          <w:rFonts w:ascii="Times New Roman" w:eastAsia="Times New Roman" w:hAnsi="Times New Roman" w:cs="Times New Roman"/>
          <w:bCs/>
        </w:rPr>
        <w:t xml:space="preserve">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(vienkartinę dozę) skyrus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vartojantiems pacientams (kai buvo nusistovėjusi </w:t>
      </w:r>
      <w:proofErr w:type="spellStart"/>
      <w:r>
        <w:rPr>
          <w:rFonts w:ascii="Times New Roman" w:eastAsia="Times New Roman" w:hAnsi="Times New Roman" w:cs="Times New Roman"/>
        </w:rPr>
        <w:t>pusiausvyrinė</w:t>
      </w:r>
      <w:proofErr w:type="spellEnd"/>
      <w:r>
        <w:rPr>
          <w:rFonts w:ascii="Times New Roman" w:eastAsia="Times New Roman" w:hAnsi="Times New Roman" w:cs="Times New Roman"/>
        </w:rPr>
        <w:t xml:space="preserve"> apykaita),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AUC padidėjo 4,6 karto. </w:t>
      </w:r>
      <w:proofErr w:type="spellStart"/>
      <w:r>
        <w:rPr>
          <w:rFonts w:ascii="Times New Roman" w:eastAsia="Times New Roman" w:hAnsi="Times New Roman" w:cs="Times New Roman"/>
        </w:rPr>
        <w:t>Pusiausvyrinės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apykaitos poveikis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pusiausvyrinei</w:t>
      </w:r>
      <w:proofErr w:type="spellEnd"/>
      <w:r>
        <w:rPr>
          <w:rFonts w:ascii="Times New Roman" w:eastAsia="Times New Roman" w:hAnsi="Times New Roman" w:cs="Times New Roman"/>
        </w:rPr>
        <w:t xml:space="preserve"> apykaitai nėra žinomas. </w:t>
      </w:r>
      <w:proofErr w:type="spellStart"/>
      <w:r>
        <w:rPr>
          <w:rFonts w:ascii="Times New Roman" w:eastAsia="Times New Roman" w:hAnsi="Times New Roman" w:cs="Times New Roman"/>
        </w:rPr>
        <w:t>Ciklosporinu</w:t>
      </w:r>
      <w:proofErr w:type="spellEnd"/>
      <w:r>
        <w:rPr>
          <w:rFonts w:ascii="Times New Roman" w:eastAsia="Times New Roman" w:hAnsi="Times New Roman" w:cs="Times New Roman"/>
        </w:rPr>
        <w:t xml:space="preserve"> gydomiems pacientams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vartoti draudžiama (žr. 4.3 skyrių).</w:t>
      </w:r>
    </w:p>
    <w:p w14:paraId="6E69DB84" w14:textId="77777777" w:rsidR="008F7970" w:rsidRDefault="008F7970">
      <w:pPr>
        <w:autoSpaceDE w:val="0"/>
        <w:autoSpaceDN w:val="0"/>
        <w:adjustRightInd w:val="0"/>
        <w:ind w:left="0" w:firstLine="0"/>
        <w:rPr>
          <w:rFonts w:ascii="Times New Roman" w:eastAsia="Times New Roman" w:hAnsi="Times New Roman" w:cs="Times New Roman"/>
        </w:rPr>
      </w:pPr>
    </w:p>
    <w:p w14:paraId="6E175AAD"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bCs/>
          <w:i/>
        </w:rPr>
        <w:t>Eritromicinas</w:t>
      </w:r>
      <w:proofErr w:type="spellEnd"/>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eritromicinu</w:t>
      </w:r>
      <w:proofErr w:type="spellEnd"/>
      <w:r>
        <w:rPr>
          <w:rFonts w:ascii="Times New Roman" w:eastAsia="Times New Roman" w:hAnsi="Times New Roman" w:cs="Times New Roman"/>
        </w:rPr>
        <w:t xml:space="preserve"> vartojamo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AUC padidėjo 2,8 karto. Gydymo </w:t>
      </w:r>
      <w:proofErr w:type="spellStart"/>
      <w:r>
        <w:rPr>
          <w:rFonts w:ascii="Times New Roman" w:eastAsia="Times New Roman" w:hAnsi="Times New Roman" w:cs="Times New Roman"/>
        </w:rPr>
        <w:t>eritromicinu</w:t>
      </w:r>
      <w:proofErr w:type="spellEnd"/>
      <w:r>
        <w:rPr>
          <w:rFonts w:ascii="Times New Roman" w:eastAsia="Times New Roman" w:hAnsi="Times New Roman" w:cs="Times New Roman"/>
        </w:rPr>
        <w:t xml:space="preserve"> ar kitais </w:t>
      </w:r>
      <w:proofErr w:type="spellStart"/>
      <w:r>
        <w:rPr>
          <w:rFonts w:ascii="Times New Roman" w:eastAsia="Times New Roman" w:hAnsi="Times New Roman" w:cs="Times New Roman"/>
        </w:rPr>
        <w:t>makrolidų</w:t>
      </w:r>
      <w:proofErr w:type="spellEnd"/>
      <w:r>
        <w:rPr>
          <w:rFonts w:ascii="Times New Roman" w:eastAsia="Times New Roman" w:hAnsi="Times New Roman" w:cs="Times New Roman"/>
        </w:rPr>
        <w:t xml:space="preserve"> grupės antibiotikais metu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vartojimą rekomenduojama laikinai sustabdyti.</w:t>
      </w:r>
    </w:p>
    <w:p w14:paraId="10FE8547" w14:textId="77777777" w:rsidR="008F7970" w:rsidRDefault="008F7970">
      <w:pPr>
        <w:autoSpaceDE w:val="0"/>
        <w:autoSpaceDN w:val="0"/>
        <w:adjustRightInd w:val="0"/>
        <w:ind w:left="0" w:firstLine="0"/>
        <w:rPr>
          <w:rFonts w:ascii="Times New Roman" w:eastAsia="Times New Roman" w:hAnsi="Times New Roman" w:cs="Times New Roman"/>
        </w:rPr>
      </w:pPr>
    </w:p>
    <w:p w14:paraId="0F4BB3F6"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bCs/>
          <w:i/>
        </w:rPr>
        <w:t>Gemfibrozilis</w:t>
      </w:r>
      <w:proofErr w:type="spellEnd"/>
      <w:r>
        <w:rPr>
          <w:rFonts w:ascii="Times New Roman" w:eastAsia="Times New Roman" w:hAnsi="Times New Roman" w:cs="Times New Roman"/>
          <w:bCs/>
          <w:i/>
        </w:rPr>
        <w:t xml:space="preserve"> ir kiti </w:t>
      </w:r>
      <w:proofErr w:type="spellStart"/>
      <w:r>
        <w:rPr>
          <w:rFonts w:ascii="Times New Roman" w:eastAsia="Times New Roman" w:hAnsi="Times New Roman" w:cs="Times New Roman"/>
          <w:bCs/>
          <w:i/>
        </w:rPr>
        <w:t>fibratai</w:t>
      </w:r>
      <w:proofErr w:type="spellEnd"/>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 xml:space="preserve">Vienų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vartojimas kartais būna susijęs su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išsivystymu.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vartojimas kartu su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buvo susijęs su padažnėjusiu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išsivystymu.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būtina vartoti atsargiai (žr. 4.4 skyrių). Farmakokinetikos tyrimų metu kartu vartojant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su </w:t>
      </w:r>
      <w:proofErr w:type="spellStart"/>
      <w:r>
        <w:rPr>
          <w:rFonts w:ascii="Times New Roman" w:eastAsia="Times New Roman" w:hAnsi="Times New Roman" w:cs="Times New Roman"/>
        </w:rPr>
        <w:t>gemfibroziliu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AUC padidėjo 1,4 karto,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 xml:space="preserve"> AUC padidėjo 1,2 karto.</w:t>
      </w:r>
    </w:p>
    <w:p w14:paraId="66439C90" w14:textId="77777777" w:rsidR="008F7970" w:rsidRDefault="008F7970">
      <w:pPr>
        <w:autoSpaceDE w:val="0"/>
        <w:autoSpaceDN w:val="0"/>
        <w:adjustRightInd w:val="0"/>
        <w:ind w:left="0" w:firstLine="0"/>
        <w:rPr>
          <w:rFonts w:ascii="Times New Roman" w:eastAsia="Times New Roman" w:hAnsi="Times New Roman" w:cs="Times New Roman"/>
        </w:rPr>
      </w:pPr>
    </w:p>
    <w:p w14:paraId="4ADA22FE"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bCs/>
          <w:i/>
        </w:rPr>
        <w:t>Niacinas</w:t>
      </w:r>
      <w:proofErr w:type="spellEnd"/>
      <w:r>
        <w:rPr>
          <w:rFonts w:ascii="Times New Roman" w:eastAsia="Times New Roman" w:hAnsi="Times New Roman" w:cs="Times New Roman"/>
          <w:bCs/>
          <w:i/>
        </w:rPr>
        <w:t>.</w:t>
      </w:r>
      <w:r>
        <w:rPr>
          <w:rFonts w:ascii="Times New Roman" w:eastAsia="Times New Roman" w:hAnsi="Times New Roman" w:cs="Times New Roman"/>
          <w:bCs/>
        </w:rPr>
        <w:t xml:space="preserve">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niacino</w:t>
      </w:r>
      <w:proofErr w:type="spellEnd"/>
      <w:r>
        <w:rPr>
          <w:rFonts w:ascii="Times New Roman" w:eastAsia="Times New Roman" w:hAnsi="Times New Roman" w:cs="Times New Roman"/>
        </w:rPr>
        <w:t xml:space="preserve"> sąveikos tyrimų neatlikta. </w:t>
      </w:r>
      <w:proofErr w:type="spellStart"/>
      <w:r>
        <w:rPr>
          <w:rFonts w:ascii="Times New Roman" w:eastAsia="Times New Roman" w:hAnsi="Times New Roman" w:cs="Times New Roman"/>
        </w:rPr>
        <w:t>Niacino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monoterapija</w:t>
      </w:r>
      <w:proofErr w:type="spellEnd"/>
      <w:r>
        <w:rPr>
          <w:rFonts w:ascii="Times New Roman" w:eastAsia="Times New Roman" w:hAnsi="Times New Roman" w:cs="Times New Roman"/>
        </w:rPr>
        <w:t xml:space="preserve"> buvo susijusi su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išsivystymu. Dėl to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niacinu</w:t>
      </w:r>
      <w:proofErr w:type="spellEnd"/>
      <w:r>
        <w:rPr>
          <w:rFonts w:ascii="Times New Roman" w:eastAsia="Times New Roman" w:hAnsi="Times New Roman" w:cs="Times New Roman"/>
        </w:rPr>
        <w:t xml:space="preserve"> būtina vartoti atsargiai.</w:t>
      </w:r>
    </w:p>
    <w:p w14:paraId="2D7D4C95" w14:textId="77777777" w:rsidR="008F7970" w:rsidRDefault="008F7970">
      <w:pPr>
        <w:autoSpaceDE w:val="0"/>
        <w:autoSpaceDN w:val="0"/>
        <w:adjustRightInd w:val="0"/>
        <w:ind w:left="0" w:firstLine="0"/>
        <w:rPr>
          <w:rFonts w:ascii="Times New Roman" w:eastAsia="Times New Roman" w:hAnsi="Times New Roman" w:cs="Times New Roman"/>
          <w:bCs/>
        </w:rPr>
      </w:pPr>
    </w:p>
    <w:p w14:paraId="3AEFAF98"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bCs/>
          <w:i/>
        </w:rPr>
        <w:t>Fuzido</w:t>
      </w:r>
      <w:proofErr w:type="spellEnd"/>
      <w:r>
        <w:rPr>
          <w:rFonts w:ascii="Times New Roman" w:eastAsia="Times New Roman" w:hAnsi="Times New Roman" w:cs="Times New Roman"/>
          <w:bCs/>
          <w:i/>
        </w:rPr>
        <w:t xml:space="preserve"> rūgštis.</w:t>
      </w:r>
      <w:r>
        <w:rPr>
          <w:rFonts w:ascii="Times New Roman" w:eastAsia="Times New Roman" w:hAnsi="Times New Roman" w:cs="Times New Roman"/>
          <w:bCs/>
        </w:rPr>
        <w:t xml:space="preserve"> </w:t>
      </w: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vartojant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rūgštį, gali padidėti </w:t>
      </w:r>
      <w:proofErr w:type="spellStart"/>
      <w:r>
        <w:rPr>
          <w:rFonts w:ascii="Times New Roman" w:eastAsia="Times New Roman" w:hAnsi="Times New Roman" w:cs="Times New Roman"/>
        </w:rPr>
        <w:t>miopatijos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išsivystymo rizika. Šios sąveikos mechanizmas (</w:t>
      </w:r>
      <w:proofErr w:type="spellStart"/>
      <w:r>
        <w:rPr>
          <w:rFonts w:ascii="Times New Roman" w:eastAsia="Times New Roman" w:hAnsi="Times New Roman" w:cs="Times New Roman"/>
        </w:rPr>
        <w:t>farmakodinaminis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farmakokinetinis</w:t>
      </w:r>
      <w:proofErr w:type="spellEnd"/>
      <w:r>
        <w:rPr>
          <w:rFonts w:ascii="Times New Roman" w:eastAsia="Times New Roman" w:hAnsi="Times New Roman" w:cs="Times New Roman"/>
        </w:rPr>
        <w:t xml:space="preserve"> ar abiejų rūšių) kol kas nežinomas. Gauta pranešimų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(įskaitant kai kuriuos mirtinus atvejus) pacientams, vartojusiems šių vaistinių preparatų derinį. Jei gydymas sisteminio poveikio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vaistiniais preparatais yra būtinas,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vartojimą reikia nutraukti visu gydymo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laikotarpiu (žr. 4.4 skyrių).</w:t>
      </w:r>
    </w:p>
    <w:p w14:paraId="18302E4B" w14:textId="77777777" w:rsidR="008F7970" w:rsidRDefault="008F7970">
      <w:pPr>
        <w:autoSpaceDE w:val="0"/>
        <w:autoSpaceDN w:val="0"/>
        <w:adjustRightInd w:val="0"/>
        <w:ind w:left="0" w:firstLine="0"/>
        <w:rPr>
          <w:rFonts w:ascii="Times New Roman" w:eastAsia="Times New Roman" w:hAnsi="Times New Roman" w:cs="Times New Roman"/>
        </w:rPr>
      </w:pPr>
    </w:p>
    <w:p w14:paraId="0B6C9F15"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bCs/>
          <w:i/>
        </w:rPr>
        <w:t>Rifampicinas</w:t>
      </w:r>
      <w:proofErr w:type="spellEnd"/>
      <w:r>
        <w:rPr>
          <w:rFonts w:ascii="Times New Roman" w:eastAsia="Times New Roman" w:hAnsi="Times New Roman" w:cs="Times New Roman"/>
          <w:bCs/>
          <w:i/>
        </w:rPr>
        <w:t>.</w:t>
      </w:r>
      <w:r>
        <w:rPr>
          <w:rFonts w:ascii="Times New Roman" w:eastAsia="Times New Roman" w:hAnsi="Times New Roman" w:cs="Times New Roman"/>
          <w:bCs/>
        </w:rPr>
        <w:t xml:space="preserve"> Kartu su </w:t>
      </w:r>
      <w:proofErr w:type="spellStart"/>
      <w:r>
        <w:rPr>
          <w:rFonts w:ascii="Times New Roman" w:eastAsia="Times New Roman" w:hAnsi="Times New Roman" w:cs="Times New Roman"/>
          <w:bCs/>
        </w:rPr>
        <w:t>r</w:t>
      </w:r>
      <w:r>
        <w:rPr>
          <w:rFonts w:ascii="Times New Roman" w:eastAsia="Times New Roman" w:hAnsi="Times New Roman" w:cs="Times New Roman"/>
        </w:rPr>
        <w:t>ifampicinu</w:t>
      </w:r>
      <w:proofErr w:type="spellEnd"/>
      <w:r>
        <w:rPr>
          <w:rFonts w:ascii="Times New Roman" w:eastAsia="Times New Roman" w:hAnsi="Times New Roman" w:cs="Times New Roman"/>
        </w:rPr>
        <w:t xml:space="preserve"> vartojamo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AUC padidėjo 1,3 karto dėl sumažėjusio įsisavinimo kepenyse.</w:t>
      </w:r>
    </w:p>
    <w:p w14:paraId="611FA612" w14:textId="77777777" w:rsidR="008F7970" w:rsidRDefault="008F7970">
      <w:pPr>
        <w:autoSpaceDE w:val="0"/>
        <w:autoSpaceDN w:val="0"/>
        <w:adjustRightInd w:val="0"/>
        <w:ind w:left="0" w:firstLine="0"/>
        <w:rPr>
          <w:rFonts w:ascii="Times New Roman" w:eastAsia="Times New Roman" w:hAnsi="Times New Roman" w:cs="Times New Roman"/>
          <w:bCs/>
        </w:rPr>
      </w:pPr>
    </w:p>
    <w:p w14:paraId="1632D848"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bCs/>
          <w:i/>
        </w:rPr>
        <w:t xml:space="preserve">Proteazės inhibitoriai ir ne nukleozidiniai atvirkštinės </w:t>
      </w:r>
      <w:proofErr w:type="spellStart"/>
      <w:r>
        <w:rPr>
          <w:rFonts w:ascii="Times New Roman" w:eastAsia="Times New Roman" w:hAnsi="Times New Roman" w:cs="Times New Roman"/>
          <w:bCs/>
          <w:i/>
        </w:rPr>
        <w:t>transferazės</w:t>
      </w:r>
      <w:proofErr w:type="spellEnd"/>
      <w:r>
        <w:rPr>
          <w:rFonts w:ascii="Times New Roman" w:eastAsia="Times New Roman" w:hAnsi="Times New Roman" w:cs="Times New Roman"/>
          <w:bCs/>
          <w:i/>
        </w:rPr>
        <w:t xml:space="preserve"> inhibitoriai. </w:t>
      </w:r>
      <w:r>
        <w:rPr>
          <w:rFonts w:ascii="Times New Roman" w:eastAsia="Times New Roman" w:hAnsi="Times New Roman" w:cs="Times New Roman"/>
          <w:bCs/>
          <w:iCs/>
        </w:rPr>
        <w:t xml:space="preserve">Kartu su </w:t>
      </w:r>
      <w:proofErr w:type="spellStart"/>
      <w:r>
        <w:rPr>
          <w:rFonts w:ascii="Times New Roman" w:eastAsia="Times New Roman" w:hAnsi="Times New Roman" w:cs="Times New Roman"/>
          <w:bCs/>
          <w:iCs/>
        </w:rPr>
        <w:t>pitavastatinu</w:t>
      </w:r>
      <w:proofErr w:type="spellEnd"/>
      <w:r>
        <w:rPr>
          <w:rFonts w:ascii="Times New Roman" w:eastAsia="Times New Roman" w:hAnsi="Times New Roman" w:cs="Times New Roman"/>
          <w:bCs/>
          <w:iCs/>
        </w:rPr>
        <w:t xml:space="preserve"> vartojant lopinaviro / ritonaviro, </w:t>
      </w:r>
      <w:proofErr w:type="spellStart"/>
      <w:r>
        <w:rPr>
          <w:rFonts w:ascii="Times New Roman" w:eastAsia="Times New Roman" w:hAnsi="Times New Roman" w:cs="Times New Roman"/>
          <w:bCs/>
          <w:iCs/>
        </w:rPr>
        <w:t>darunaviro</w:t>
      </w:r>
      <w:proofErr w:type="spellEnd"/>
      <w:r>
        <w:rPr>
          <w:rFonts w:ascii="Times New Roman" w:eastAsia="Times New Roman" w:hAnsi="Times New Roman" w:cs="Times New Roman"/>
          <w:bCs/>
          <w:iCs/>
        </w:rPr>
        <w:t xml:space="preserve"> / ritonaviro, </w:t>
      </w:r>
      <w:proofErr w:type="spellStart"/>
      <w:r>
        <w:rPr>
          <w:rFonts w:ascii="Times New Roman" w:eastAsia="Times New Roman" w:hAnsi="Times New Roman" w:cs="Times New Roman"/>
          <w:bCs/>
          <w:iCs/>
        </w:rPr>
        <w:t>atazanaviro</w:t>
      </w:r>
      <w:proofErr w:type="spellEnd"/>
      <w:r>
        <w:rPr>
          <w:rFonts w:ascii="Times New Roman" w:eastAsia="Times New Roman" w:hAnsi="Times New Roman" w:cs="Times New Roman"/>
          <w:bCs/>
          <w:iCs/>
        </w:rPr>
        <w:t xml:space="preserve"> arba </w:t>
      </w:r>
      <w:proofErr w:type="spellStart"/>
      <w:r>
        <w:rPr>
          <w:rFonts w:ascii="Times New Roman" w:eastAsia="Times New Roman" w:hAnsi="Times New Roman" w:cs="Times New Roman"/>
          <w:bCs/>
          <w:iCs/>
        </w:rPr>
        <w:t>efavirenzo</w:t>
      </w:r>
      <w:proofErr w:type="spellEnd"/>
      <w:r>
        <w:rPr>
          <w:rFonts w:ascii="Times New Roman" w:eastAsia="Times New Roman" w:hAnsi="Times New Roman" w:cs="Times New Roman"/>
          <w:bCs/>
          <w:iCs/>
        </w:rPr>
        <w:t xml:space="preserve">, gali šiek tiek pakisti </w:t>
      </w:r>
      <w:proofErr w:type="spellStart"/>
      <w:r>
        <w:rPr>
          <w:rFonts w:ascii="Times New Roman" w:eastAsia="Times New Roman" w:hAnsi="Times New Roman" w:cs="Times New Roman"/>
          <w:bCs/>
          <w:iCs/>
        </w:rPr>
        <w:t>pitavastatino</w:t>
      </w:r>
      <w:proofErr w:type="spellEnd"/>
      <w:r>
        <w:rPr>
          <w:rFonts w:ascii="Times New Roman" w:eastAsia="Times New Roman" w:hAnsi="Times New Roman" w:cs="Times New Roman"/>
          <w:bCs/>
          <w:iCs/>
        </w:rPr>
        <w:t xml:space="preserve"> AUC.</w:t>
      </w:r>
    </w:p>
    <w:p w14:paraId="37A01088" w14:textId="77777777" w:rsidR="008F7970" w:rsidRDefault="008F7970">
      <w:pPr>
        <w:autoSpaceDE w:val="0"/>
        <w:autoSpaceDN w:val="0"/>
        <w:adjustRightInd w:val="0"/>
        <w:ind w:left="0" w:firstLine="0"/>
        <w:rPr>
          <w:rFonts w:ascii="Times New Roman" w:eastAsia="Times New Roman" w:hAnsi="Times New Roman" w:cs="Times New Roman"/>
          <w:bCs/>
        </w:rPr>
      </w:pPr>
    </w:p>
    <w:p w14:paraId="12A70B19" w14:textId="77777777" w:rsidR="008F7970" w:rsidRDefault="00AD4BB2">
      <w:pPr>
        <w:autoSpaceDE w:val="0"/>
        <w:autoSpaceDN w:val="0"/>
        <w:adjustRightInd w:val="0"/>
        <w:ind w:left="0" w:firstLine="0"/>
        <w:rPr>
          <w:rFonts w:ascii="Times New Roman" w:eastAsia="Times New Roman" w:hAnsi="Times New Roman" w:cs="Times New Roman"/>
          <w:bCs/>
          <w:iCs/>
        </w:rPr>
      </w:pPr>
      <w:proofErr w:type="spellStart"/>
      <w:r>
        <w:rPr>
          <w:rFonts w:ascii="Times New Roman" w:eastAsia="Times New Roman" w:hAnsi="Times New Roman" w:cs="Times New Roman"/>
          <w:bCs/>
          <w:i/>
        </w:rPr>
        <w:lastRenderedPageBreak/>
        <w:t>Ezetimibas</w:t>
      </w:r>
      <w:proofErr w:type="spellEnd"/>
      <w:r>
        <w:rPr>
          <w:rFonts w:ascii="Times New Roman" w:eastAsia="Times New Roman" w:hAnsi="Times New Roman" w:cs="Times New Roman"/>
          <w:bCs/>
          <w:i/>
        </w:rPr>
        <w:t xml:space="preserve"> </w:t>
      </w:r>
      <w:r>
        <w:rPr>
          <w:rFonts w:ascii="Times New Roman" w:eastAsia="Times New Roman" w:hAnsi="Times New Roman" w:cs="Times New Roman"/>
          <w:bCs/>
          <w:iCs/>
        </w:rPr>
        <w:t xml:space="preserve">ir jo </w:t>
      </w:r>
      <w:proofErr w:type="spellStart"/>
      <w:r>
        <w:rPr>
          <w:rFonts w:ascii="Times New Roman" w:eastAsia="Times New Roman" w:hAnsi="Times New Roman" w:cs="Times New Roman"/>
          <w:bCs/>
          <w:iCs/>
        </w:rPr>
        <w:t>gliukuronido</w:t>
      </w:r>
      <w:proofErr w:type="spellEnd"/>
      <w:r>
        <w:rPr>
          <w:rFonts w:ascii="Times New Roman" w:eastAsia="Times New Roman" w:hAnsi="Times New Roman" w:cs="Times New Roman"/>
          <w:bCs/>
          <w:iCs/>
        </w:rPr>
        <w:t xml:space="preserve"> metabolitas slopina su maistu suvartojamo ir su tulžimi išskiriamo cholesterolio absorbciją. Kartu vartojamas </w:t>
      </w:r>
      <w:proofErr w:type="spellStart"/>
      <w:r>
        <w:rPr>
          <w:rFonts w:ascii="Times New Roman" w:eastAsia="Times New Roman" w:hAnsi="Times New Roman" w:cs="Times New Roman"/>
          <w:bCs/>
          <w:iCs/>
        </w:rPr>
        <w:t>pitavastatinas</w:t>
      </w:r>
      <w:proofErr w:type="spellEnd"/>
      <w:r>
        <w:rPr>
          <w:rFonts w:ascii="Times New Roman" w:eastAsia="Times New Roman" w:hAnsi="Times New Roman" w:cs="Times New Roman"/>
          <w:bCs/>
          <w:iCs/>
        </w:rPr>
        <w:t xml:space="preserve"> nedarė įtakos </w:t>
      </w:r>
      <w:proofErr w:type="spellStart"/>
      <w:r>
        <w:rPr>
          <w:rFonts w:ascii="Times New Roman" w:eastAsia="Times New Roman" w:hAnsi="Times New Roman" w:cs="Times New Roman"/>
          <w:bCs/>
          <w:iCs/>
        </w:rPr>
        <w:t>ezetimibo</w:t>
      </w:r>
      <w:proofErr w:type="spellEnd"/>
      <w:r>
        <w:rPr>
          <w:rFonts w:ascii="Times New Roman" w:eastAsia="Times New Roman" w:hAnsi="Times New Roman" w:cs="Times New Roman"/>
          <w:bCs/>
          <w:iCs/>
        </w:rPr>
        <w:t xml:space="preserve"> ar </w:t>
      </w:r>
      <w:proofErr w:type="spellStart"/>
      <w:r>
        <w:rPr>
          <w:rFonts w:ascii="Times New Roman" w:eastAsia="Times New Roman" w:hAnsi="Times New Roman" w:cs="Times New Roman"/>
          <w:bCs/>
          <w:iCs/>
        </w:rPr>
        <w:t>gliukuronido</w:t>
      </w:r>
      <w:proofErr w:type="spellEnd"/>
      <w:r>
        <w:rPr>
          <w:rFonts w:ascii="Times New Roman" w:eastAsia="Times New Roman" w:hAnsi="Times New Roman" w:cs="Times New Roman"/>
          <w:bCs/>
          <w:iCs/>
        </w:rPr>
        <w:t xml:space="preserve"> metabolito koncentracijai kraujo plazmoje, o </w:t>
      </w:r>
      <w:proofErr w:type="spellStart"/>
      <w:r>
        <w:rPr>
          <w:rFonts w:ascii="Times New Roman" w:eastAsia="Times New Roman" w:hAnsi="Times New Roman" w:cs="Times New Roman"/>
          <w:bCs/>
          <w:iCs/>
        </w:rPr>
        <w:t>ezetimibas</w:t>
      </w:r>
      <w:proofErr w:type="spellEnd"/>
      <w:r>
        <w:rPr>
          <w:rFonts w:ascii="Times New Roman" w:eastAsia="Times New Roman" w:hAnsi="Times New Roman" w:cs="Times New Roman"/>
          <w:bCs/>
          <w:iCs/>
        </w:rPr>
        <w:t xml:space="preserve"> nedarė įtakos </w:t>
      </w:r>
      <w:proofErr w:type="spellStart"/>
      <w:r>
        <w:rPr>
          <w:rFonts w:ascii="Times New Roman" w:eastAsia="Times New Roman" w:hAnsi="Times New Roman" w:cs="Times New Roman"/>
          <w:bCs/>
          <w:iCs/>
        </w:rPr>
        <w:t>pitavastatino</w:t>
      </w:r>
      <w:proofErr w:type="spellEnd"/>
      <w:r>
        <w:rPr>
          <w:rFonts w:ascii="Times New Roman" w:eastAsia="Times New Roman" w:hAnsi="Times New Roman" w:cs="Times New Roman"/>
          <w:bCs/>
          <w:iCs/>
        </w:rPr>
        <w:t xml:space="preserve"> koncentracijai kraujo plazmoje.</w:t>
      </w:r>
    </w:p>
    <w:p w14:paraId="2D6181D2" w14:textId="77777777" w:rsidR="008F7970" w:rsidRDefault="008F7970">
      <w:pPr>
        <w:autoSpaceDE w:val="0"/>
        <w:autoSpaceDN w:val="0"/>
        <w:adjustRightInd w:val="0"/>
        <w:ind w:left="0" w:firstLine="0"/>
        <w:rPr>
          <w:rFonts w:ascii="Times New Roman" w:eastAsia="Times New Roman" w:hAnsi="Times New Roman" w:cs="Times New Roman"/>
          <w:bCs/>
        </w:rPr>
      </w:pPr>
    </w:p>
    <w:p w14:paraId="10BE1090"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bCs/>
          <w:i/>
        </w:rPr>
        <w:t>CYP3A4 inhibitoriai.</w:t>
      </w:r>
      <w:r>
        <w:rPr>
          <w:rFonts w:ascii="Times New Roman" w:eastAsia="Times New Roman" w:hAnsi="Times New Roman" w:cs="Times New Roman"/>
          <w:bCs/>
        </w:rPr>
        <w:t xml:space="preserve"> </w:t>
      </w:r>
      <w:r>
        <w:rPr>
          <w:rFonts w:ascii="Times New Roman" w:eastAsia="Times New Roman" w:hAnsi="Times New Roman" w:cs="Times New Roman"/>
        </w:rPr>
        <w:t xml:space="preserve">Sąveikos su </w:t>
      </w:r>
      <w:proofErr w:type="spellStart"/>
      <w:r>
        <w:rPr>
          <w:rFonts w:ascii="Times New Roman" w:eastAsia="Times New Roman" w:hAnsi="Times New Roman" w:cs="Times New Roman"/>
        </w:rPr>
        <w:t>itrakonazolu</w:t>
      </w:r>
      <w:proofErr w:type="spellEnd"/>
      <w:r>
        <w:rPr>
          <w:rFonts w:ascii="Times New Roman" w:eastAsia="Times New Roman" w:hAnsi="Times New Roman" w:cs="Times New Roman"/>
        </w:rPr>
        <w:t xml:space="preserve"> ir greipfrutų sultimis (žinomais CYP3A4 inhibitoriais) tyrimai neparodė kliniškai reikšmingo poveikio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koncentracijai kraujo plazmoje.</w:t>
      </w:r>
    </w:p>
    <w:p w14:paraId="668E0B6C" w14:textId="77777777" w:rsidR="008F7970" w:rsidRDefault="008F7970">
      <w:pPr>
        <w:autoSpaceDE w:val="0"/>
        <w:autoSpaceDN w:val="0"/>
        <w:adjustRightInd w:val="0"/>
        <w:ind w:left="0" w:firstLine="0"/>
        <w:rPr>
          <w:rFonts w:ascii="Times New Roman" w:eastAsia="Times New Roman" w:hAnsi="Times New Roman" w:cs="Times New Roman"/>
          <w:bCs/>
        </w:rPr>
      </w:pPr>
    </w:p>
    <w:p w14:paraId="72592764" w14:textId="77777777" w:rsidR="008F7970" w:rsidRDefault="00AD4BB2">
      <w:pPr>
        <w:autoSpaceDE w:val="0"/>
        <w:autoSpaceDN w:val="0"/>
        <w:adjustRightInd w:val="0"/>
        <w:ind w:left="0" w:firstLine="0"/>
        <w:rPr>
          <w:rFonts w:ascii="Times New Roman" w:eastAsia="Times New Roman" w:hAnsi="Times New Roman" w:cs="Times New Roman"/>
          <w:bCs/>
          <w:iCs/>
        </w:rPr>
      </w:pPr>
      <w:proofErr w:type="spellStart"/>
      <w:r>
        <w:rPr>
          <w:rFonts w:ascii="Times New Roman" w:eastAsia="Times New Roman" w:hAnsi="Times New Roman" w:cs="Times New Roman"/>
          <w:bCs/>
          <w:i/>
        </w:rPr>
        <w:t>Digoksino</w:t>
      </w:r>
      <w:proofErr w:type="spellEnd"/>
      <w:r>
        <w:rPr>
          <w:rFonts w:ascii="Times New Roman" w:eastAsia="Times New Roman" w:hAnsi="Times New Roman" w:cs="Times New Roman"/>
          <w:bCs/>
          <w:i/>
        </w:rPr>
        <w:t xml:space="preserve"> </w:t>
      </w:r>
      <w:r>
        <w:rPr>
          <w:rFonts w:ascii="Times New Roman" w:eastAsia="Times New Roman" w:hAnsi="Times New Roman" w:cs="Times New Roman"/>
          <w:bCs/>
          <w:iCs/>
        </w:rPr>
        <w:t>(žinomas P-</w:t>
      </w:r>
      <w:proofErr w:type="spellStart"/>
      <w:r>
        <w:rPr>
          <w:rFonts w:ascii="Times New Roman" w:eastAsia="Times New Roman" w:hAnsi="Times New Roman" w:cs="Times New Roman"/>
          <w:bCs/>
          <w:iCs/>
        </w:rPr>
        <w:t>gp</w:t>
      </w:r>
      <w:proofErr w:type="spellEnd"/>
      <w:r>
        <w:rPr>
          <w:rFonts w:ascii="Times New Roman" w:eastAsia="Times New Roman" w:hAnsi="Times New Roman" w:cs="Times New Roman"/>
          <w:bCs/>
          <w:iCs/>
        </w:rPr>
        <w:t xml:space="preserve"> substratas) sąveikos su </w:t>
      </w:r>
      <w:proofErr w:type="spellStart"/>
      <w:r>
        <w:rPr>
          <w:rFonts w:ascii="Times New Roman" w:eastAsia="Times New Roman" w:hAnsi="Times New Roman" w:cs="Times New Roman"/>
          <w:bCs/>
          <w:iCs/>
        </w:rPr>
        <w:t>pitavastatinu</w:t>
      </w:r>
      <w:proofErr w:type="spellEnd"/>
      <w:r>
        <w:rPr>
          <w:rFonts w:ascii="Times New Roman" w:eastAsia="Times New Roman" w:hAnsi="Times New Roman" w:cs="Times New Roman"/>
          <w:bCs/>
          <w:iCs/>
        </w:rPr>
        <w:t xml:space="preserve"> nepasireiškė. Vartojant kartu, nei </w:t>
      </w:r>
      <w:proofErr w:type="spellStart"/>
      <w:r>
        <w:rPr>
          <w:rFonts w:ascii="Times New Roman" w:eastAsia="Times New Roman" w:hAnsi="Times New Roman" w:cs="Times New Roman"/>
          <w:bCs/>
          <w:iCs/>
        </w:rPr>
        <w:t>pitavastatino</w:t>
      </w:r>
      <w:proofErr w:type="spellEnd"/>
      <w:r>
        <w:rPr>
          <w:rFonts w:ascii="Times New Roman" w:eastAsia="Times New Roman" w:hAnsi="Times New Roman" w:cs="Times New Roman"/>
          <w:bCs/>
          <w:iCs/>
        </w:rPr>
        <w:t xml:space="preserve">, nei </w:t>
      </w:r>
      <w:proofErr w:type="spellStart"/>
      <w:r>
        <w:rPr>
          <w:rFonts w:ascii="Times New Roman" w:eastAsia="Times New Roman" w:hAnsi="Times New Roman" w:cs="Times New Roman"/>
          <w:bCs/>
          <w:iCs/>
        </w:rPr>
        <w:t>digoksino</w:t>
      </w:r>
      <w:proofErr w:type="spellEnd"/>
      <w:r>
        <w:rPr>
          <w:rFonts w:ascii="Times New Roman" w:eastAsia="Times New Roman" w:hAnsi="Times New Roman" w:cs="Times New Roman"/>
          <w:bCs/>
          <w:iCs/>
        </w:rPr>
        <w:t xml:space="preserve"> koncentracija reikšmingai nepakito.</w:t>
      </w:r>
    </w:p>
    <w:p w14:paraId="61491C84" w14:textId="77777777" w:rsidR="008F7970" w:rsidRDefault="008F7970">
      <w:pPr>
        <w:autoSpaceDE w:val="0"/>
        <w:autoSpaceDN w:val="0"/>
        <w:adjustRightInd w:val="0"/>
        <w:ind w:left="0" w:firstLine="0"/>
        <w:rPr>
          <w:rFonts w:ascii="Times New Roman" w:eastAsia="Times New Roman" w:hAnsi="Times New Roman" w:cs="Times New Roman"/>
          <w:bCs/>
          <w:iCs/>
        </w:rPr>
      </w:pPr>
    </w:p>
    <w:p w14:paraId="4CD7D117"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bCs/>
          <w:i/>
        </w:rPr>
        <w:t>Varfarinas.</w:t>
      </w:r>
      <w:r>
        <w:rPr>
          <w:rFonts w:ascii="Times New Roman" w:eastAsia="Times New Roman" w:hAnsi="Times New Roman" w:cs="Times New Roman"/>
          <w:bCs/>
        </w:rPr>
        <w:t xml:space="preserve"> </w:t>
      </w:r>
      <w:r>
        <w:rPr>
          <w:rFonts w:ascii="Times New Roman" w:eastAsia="Times New Roman" w:hAnsi="Times New Roman" w:cs="Times New Roman"/>
        </w:rPr>
        <w:t xml:space="preserve">Kartu vartojama 4 mg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paros dozė neturėjo įtakos varfarino farmakokinetikai ir farmakodinamikai (TNS ir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laikui (PT)) nusistovėjus </w:t>
      </w:r>
      <w:proofErr w:type="spellStart"/>
      <w:r>
        <w:rPr>
          <w:rFonts w:ascii="Times New Roman" w:eastAsia="Times New Roman" w:hAnsi="Times New Roman" w:cs="Times New Roman"/>
        </w:rPr>
        <w:t>pusiausvyrinei</w:t>
      </w:r>
      <w:proofErr w:type="spellEnd"/>
      <w:r>
        <w:rPr>
          <w:rFonts w:ascii="Times New Roman" w:eastAsia="Times New Roman" w:hAnsi="Times New Roman" w:cs="Times New Roman"/>
        </w:rPr>
        <w:t xml:space="preserve"> apykaitai sveikiems savanoriams. Vis dėlto, kaip ir kitų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vartojimo atvejais, pacientams, vartojantiems varfarino, reikia stebėti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laiką arba TNS, kai jų gydymas papildomas </w:t>
      </w:r>
      <w:proofErr w:type="spellStart"/>
      <w:r>
        <w:rPr>
          <w:rFonts w:ascii="Times New Roman" w:eastAsia="Times New Roman" w:hAnsi="Times New Roman" w:cs="Times New Roman"/>
        </w:rPr>
        <w:t>pitavastatinu</w:t>
      </w:r>
      <w:proofErr w:type="spellEnd"/>
      <w:r>
        <w:rPr>
          <w:rFonts w:ascii="Times New Roman" w:eastAsia="Times New Roman" w:hAnsi="Times New Roman" w:cs="Times New Roman"/>
        </w:rPr>
        <w:t>.</w:t>
      </w:r>
    </w:p>
    <w:p w14:paraId="0E7D30BB" w14:textId="77777777" w:rsidR="008F7970" w:rsidRDefault="008F7970">
      <w:pPr>
        <w:autoSpaceDE w:val="0"/>
        <w:autoSpaceDN w:val="0"/>
        <w:adjustRightInd w:val="0"/>
        <w:ind w:left="0" w:firstLine="0"/>
        <w:rPr>
          <w:rFonts w:ascii="Times New Roman" w:eastAsia="Times New Roman" w:hAnsi="Times New Roman" w:cs="Times New Roman"/>
        </w:rPr>
      </w:pPr>
    </w:p>
    <w:p w14:paraId="73C33372" w14:textId="77777777" w:rsidR="008F7970" w:rsidRDefault="00AD4BB2">
      <w:pPr>
        <w:autoSpaceDE w:val="0"/>
        <w:autoSpaceDN w:val="0"/>
        <w:adjustRightInd w:val="0"/>
        <w:ind w:left="0" w:firstLine="0"/>
        <w:rPr>
          <w:rFonts w:ascii="Times New Roman" w:eastAsia="Times New Roman" w:hAnsi="Times New Roman" w:cs="Times New Roman"/>
          <w:iCs/>
        </w:rPr>
      </w:pPr>
      <w:proofErr w:type="spellStart"/>
      <w:r>
        <w:rPr>
          <w:rFonts w:ascii="Times New Roman" w:eastAsia="Times New Roman" w:hAnsi="Times New Roman" w:cs="Times New Roman"/>
          <w:i/>
        </w:rPr>
        <w:t>Glekapreviras</w:t>
      </w:r>
      <w:proofErr w:type="spellEnd"/>
      <w:r>
        <w:rPr>
          <w:rFonts w:ascii="Times New Roman" w:eastAsia="Times New Roman" w:hAnsi="Times New Roman" w:cs="Times New Roman"/>
          <w:i/>
        </w:rPr>
        <w:t xml:space="preserve"> ir </w:t>
      </w:r>
      <w:proofErr w:type="spellStart"/>
      <w:r>
        <w:rPr>
          <w:rFonts w:ascii="Times New Roman" w:eastAsia="Times New Roman" w:hAnsi="Times New Roman" w:cs="Times New Roman"/>
          <w:i/>
        </w:rPr>
        <w:t>pibrentasviras</w:t>
      </w:r>
      <w:proofErr w:type="spellEnd"/>
      <w:r>
        <w:rPr>
          <w:rFonts w:ascii="Times New Roman" w:eastAsia="Times New Roman" w:hAnsi="Times New Roman" w:cs="Times New Roman"/>
          <w:iCs/>
        </w:rPr>
        <w:t>. Kartu vartojant HMG-</w:t>
      </w:r>
      <w:proofErr w:type="spellStart"/>
      <w:r>
        <w:rPr>
          <w:rFonts w:ascii="Times New Roman" w:eastAsia="Times New Roman" w:hAnsi="Times New Roman" w:cs="Times New Roman"/>
          <w:iCs/>
        </w:rPr>
        <w:t>KoA</w:t>
      </w:r>
      <w:proofErr w:type="spellEnd"/>
      <w:r>
        <w:rPr>
          <w:rFonts w:ascii="Times New Roman" w:eastAsia="Times New Roman" w:hAnsi="Times New Roman" w:cs="Times New Roman"/>
          <w:iCs/>
        </w:rPr>
        <w:t xml:space="preserve"> reduktazės inhibitorių ir </w:t>
      </w:r>
      <w:proofErr w:type="spellStart"/>
      <w:r>
        <w:rPr>
          <w:rFonts w:ascii="Times New Roman" w:eastAsia="Times New Roman" w:hAnsi="Times New Roman" w:cs="Times New Roman"/>
          <w:iCs/>
        </w:rPr>
        <w:t>glekapreviro</w:t>
      </w:r>
      <w:proofErr w:type="spellEnd"/>
      <w:r>
        <w:rPr>
          <w:rFonts w:ascii="Times New Roman" w:eastAsia="Times New Roman" w:hAnsi="Times New Roman" w:cs="Times New Roman"/>
          <w:iCs/>
        </w:rPr>
        <w:t xml:space="preserve"> / </w:t>
      </w:r>
      <w:proofErr w:type="spellStart"/>
      <w:r>
        <w:rPr>
          <w:rFonts w:ascii="Times New Roman" w:eastAsia="Times New Roman" w:hAnsi="Times New Roman" w:cs="Times New Roman"/>
          <w:iCs/>
        </w:rPr>
        <w:t>pibrentasviro</w:t>
      </w:r>
      <w:proofErr w:type="spellEnd"/>
      <w:r>
        <w:rPr>
          <w:rFonts w:ascii="Times New Roman" w:eastAsia="Times New Roman" w:hAnsi="Times New Roman" w:cs="Times New Roman"/>
          <w:iCs/>
        </w:rPr>
        <w:t>, gali padidėti HMG-</w:t>
      </w:r>
      <w:proofErr w:type="spellStart"/>
      <w:r>
        <w:rPr>
          <w:rFonts w:ascii="Times New Roman" w:eastAsia="Times New Roman" w:hAnsi="Times New Roman" w:cs="Times New Roman"/>
          <w:iCs/>
        </w:rPr>
        <w:t>KoA</w:t>
      </w:r>
      <w:proofErr w:type="spellEnd"/>
      <w:r>
        <w:rPr>
          <w:rFonts w:ascii="Times New Roman" w:eastAsia="Times New Roman" w:hAnsi="Times New Roman" w:cs="Times New Roman"/>
          <w:iCs/>
        </w:rPr>
        <w:t xml:space="preserve"> reduktazės inhibitoriaus koncentracija kraujo plazmoje. Tyrimų su </w:t>
      </w:r>
      <w:proofErr w:type="spellStart"/>
      <w:r>
        <w:rPr>
          <w:rFonts w:ascii="Times New Roman" w:eastAsia="Times New Roman" w:hAnsi="Times New Roman" w:cs="Times New Roman"/>
          <w:iCs/>
        </w:rPr>
        <w:t>pitavastatinu</w:t>
      </w:r>
      <w:proofErr w:type="spellEnd"/>
      <w:r>
        <w:rPr>
          <w:rFonts w:ascii="Times New Roman" w:eastAsia="Times New Roman" w:hAnsi="Times New Roman" w:cs="Times New Roman"/>
          <w:iCs/>
        </w:rPr>
        <w:t xml:space="preserve"> nebuvo atlikta, tačiau tikėtina, kad pasireikš tokia pati sąveika. Pradedant gydymą </w:t>
      </w:r>
      <w:proofErr w:type="spellStart"/>
      <w:r>
        <w:rPr>
          <w:rFonts w:ascii="Times New Roman" w:eastAsia="Times New Roman" w:hAnsi="Times New Roman" w:cs="Times New Roman"/>
          <w:iCs/>
        </w:rPr>
        <w:t>glecapreviru</w:t>
      </w:r>
      <w:proofErr w:type="spellEnd"/>
      <w:r>
        <w:rPr>
          <w:rFonts w:ascii="Times New Roman" w:eastAsia="Times New Roman" w:hAnsi="Times New Roman" w:cs="Times New Roman"/>
          <w:iCs/>
        </w:rPr>
        <w:t>/</w:t>
      </w:r>
      <w:proofErr w:type="spellStart"/>
      <w:r>
        <w:rPr>
          <w:rFonts w:ascii="Times New Roman" w:eastAsia="Times New Roman" w:hAnsi="Times New Roman" w:cs="Times New Roman"/>
          <w:iCs/>
        </w:rPr>
        <w:t>pibrentasviru</w:t>
      </w:r>
      <w:proofErr w:type="spellEnd"/>
      <w:r>
        <w:rPr>
          <w:rFonts w:ascii="Times New Roman" w:eastAsia="Times New Roman" w:hAnsi="Times New Roman" w:cs="Times New Roman"/>
          <w:iCs/>
        </w:rPr>
        <w:t xml:space="preserve">, rekomenduojama vartoti mažiausią </w:t>
      </w:r>
      <w:proofErr w:type="spellStart"/>
      <w:r>
        <w:rPr>
          <w:rFonts w:ascii="Times New Roman" w:eastAsia="Times New Roman" w:hAnsi="Times New Roman" w:cs="Times New Roman"/>
          <w:iCs/>
        </w:rPr>
        <w:t>pitavastatino</w:t>
      </w:r>
      <w:proofErr w:type="spellEnd"/>
      <w:r>
        <w:rPr>
          <w:rFonts w:ascii="Times New Roman" w:eastAsia="Times New Roman" w:hAnsi="Times New Roman" w:cs="Times New Roman"/>
          <w:iCs/>
        </w:rPr>
        <w:t xml:space="preserve"> dozę, be to, rekomenduojama šių vaistinių preparatų deriniu gydomų pacientų klinikinė stebėsena.</w:t>
      </w:r>
    </w:p>
    <w:p w14:paraId="2299A17D" w14:textId="77777777" w:rsidR="008F7970" w:rsidRDefault="008F7970">
      <w:pPr>
        <w:autoSpaceDE w:val="0"/>
        <w:autoSpaceDN w:val="0"/>
        <w:adjustRightInd w:val="0"/>
        <w:ind w:left="0" w:firstLine="0"/>
        <w:rPr>
          <w:rFonts w:ascii="Times New Roman" w:eastAsia="Times New Roman" w:hAnsi="Times New Roman" w:cs="Times New Roman"/>
          <w:bCs/>
          <w:iCs/>
        </w:rPr>
      </w:pPr>
    </w:p>
    <w:p w14:paraId="7AD502A9" w14:textId="77777777" w:rsidR="008F7970" w:rsidRDefault="00AD4BB2">
      <w:pPr>
        <w:autoSpaceDE w:val="0"/>
        <w:autoSpaceDN w:val="0"/>
        <w:adjustRightInd w:val="0"/>
        <w:ind w:left="0" w:firstLine="0"/>
        <w:rPr>
          <w:rFonts w:ascii="Times New Roman" w:eastAsia="Times New Roman" w:hAnsi="Times New Roman" w:cs="Times New Roman"/>
          <w:bCs/>
          <w:u w:val="single"/>
        </w:rPr>
      </w:pPr>
      <w:r>
        <w:rPr>
          <w:rFonts w:ascii="Times New Roman" w:eastAsia="Times New Roman" w:hAnsi="Times New Roman" w:cs="Times New Roman"/>
          <w:bCs/>
          <w:u w:val="single"/>
        </w:rPr>
        <w:t>Vaikų populiacija</w:t>
      </w:r>
    </w:p>
    <w:p w14:paraId="58D40DD2"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Sąveikos tyrimai atlikti tik suaugusiesiems. Sąveikos apimtis vaikų populiacijoje nėra žinoma.</w:t>
      </w:r>
    </w:p>
    <w:p w14:paraId="5A231804" w14:textId="77777777" w:rsidR="008F7970" w:rsidRDefault="008F7970">
      <w:pPr>
        <w:autoSpaceDE w:val="0"/>
        <w:autoSpaceDN w:val="0"/>
        <w:adjustRightInd w:val="0"/>
        <w:ind w:left="0" w:firstLine="0"/>
        <w:rPr>
          <w:rFonts w:ascii="Times New Roman" w:eastAsia="Times New Roman" w:hAnsi="Times New Roman" w:cs="Times New Roman"/>
        </w:rPr>
      </w:pPr>
    </w:p>
    <w:p w14:paraId="0F5D2C6B" w14:textId="77777777" w:rsidR="008F7970" w:rsidRDefault="00AD4BB2">
      <w:pPr>
        <w:autoSpaceDE w:val="0"/>
        <w:autoSpaceDN w:val="0"/>
        <w:adjustRightInd w:val="0"/>
        <w:ind w:left="0" w:firstLine="0"/>
        <w:rPr>
          <w:rFonts w:ascii="Times New Roman" w:eastAsia="Times New Roman" w:hAnsi="Times New Roman" w:cs="Times New Roman"/>
          <w:b/>
          <w:bCs/>
          <w:i/>
          <w:iCs/>
        </w:rPr>
      </w:pPr>
      <w:r>
        <w:rPr>
          <w:rFonts w:ascii="Times New Roman" w:eastAsia="Times New Roman" w:hAnsi="Times New Roman" w:cs="Times New Roman"/>
          <w:b/>
          <w:bCs/>
          <w:i/>
          <w:iCs/>
        </w:rPr>
        <w:t xml:space="preserve">Susijusi su </w:t>
      </w:r>
      <w:proofErr w:type="spellStart"/>
      <w:r>
        <w:rPr>
          <w:rFonts w:ascii="Times New Roman" w:eastAsia="Times New Roman" w:hAnsi="Times New Roman" w:cs="Times New Roman"/>
          <w:b/>
          <w:bCs/>
          <w:i/>
          <w:iCs/>
        </w:rPr>
        <w:t>ezetimibu</w:t>
      </w:r>
      <w:proofErr w:type="spellEnd"/>
    </w:p>
    <w:p w14:paraId="047DCBFB" w14:textId="77777777" w:rsidR="008F7970" w:rsidRDefault="008F7970">
      <w:pPr>
        <w:autoSpaceDE w:val="0"/>
        <w:autoSpaceDN w:val="0"/>
        <w:adjustRightInd w:val="0"/>
        <w:ind w:left="0" w:firstLine="0"/>
        <w:rPr>
          <w:rFonts w:ascii="Times New Roman" w:eastAsia="Times New Roman" w:hAnsi="Times New Roman" w:cs="Times New Roman"/>
        </w:rPr>
      </w:pPr>
    </w:p>
    <w:p w14:paraId="69071E1E"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metu nustatyta, kad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nestimuliuoja vaistinių preparatų metabolizme dalyvaujančių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fermentų. Kliniškai reikšmingos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vaistinių preparatų, kurių metabolizme dalyvauja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1A2, 2D6, 2C8, 2C9 ir 3A4 fermentai ar N-</w:t>
      </w:r>
      <w:proofErr w:type="spellStart"/>
      <w:r>
        <w:rPr>
          <w:rFonts w:ascii="Times New Roman" w:eastAsia="Times New Roman" w:hAnsi="Times New Roman" w:cs="Times New Roman"/>
        </w:rPr>
        <w:t>acetiltransferazė</w:t>
      </w:r>
      <w:proofErr w:type="spellEnd"/>
      <w:r>
        <w:rPr>
          <w:rFonts w:ascii="Times New Roman" w:eastAsia="Times New Roman" w:hAnsi="Times New Roman" w:cs="Times New Roman"/>
        </w:rPr>
        <w:t>, sąveikos nepastebėta.</w:t>
      </w:r>
    </w:p>
    <w:p w14:paraId="511B5F1B" w14:textId="77777777" w:rsidR="008F7970" w:rsidRDefault="008F7970">
      <w:pPr>
        <w:widowControl w:val="0"/>
        <w:tabs>
          <w:tab w:val="left" w:pos="567"/>
        </w:tabs>
        <w:ind w:left="0" w:firstLine="0"/>
        <w:rPr>
          <w:rFonts w:ascii="Times New Roman" w:eastAsia="Times New Roman" w:hAnsi="Times New Roman" w:cs="Times New Roman"/>
        </w:rPr>
      </w:pPr>
    </w:p>
    <w:p w14:paraId="221C727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Klinikinių sąveikos tyrimų metu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neveikė kartu vartojamų </w:t>
      </w:r>
      <w:proofErr w:type="spellStart"/>
      <w:r>
        <w:rPr>
          <w:rFonts w:ascii="Times New Roman" w:eastAsia="Times New Roman" w:hAnsi="Times New Roman" w:cs="Times New Roman"/>
        </w:rPr>
        <w:t>dapsono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dekstrometorfano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geriamųjų kontraceptikų (</w:t>
      </w:r>
      <w:proofErr w:type="spellStart"/>
      <w:r>
        <w:rPr>
          <w:rFonts w:ascii="Times New Roman" w:eastAsia="Times New Roman" w:hAnsi="Times New Roman" w:cs="Times New Roman"/>
        </w:rPr>
        <w:t>etinilestradiolio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levonorgestrelio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glipizido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tolbutamido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midazolamo</w:t>
      </w:r>
      <w:proofErr w:type="spellEnd"/>
      <w:r>
        <w:rPr>
          <w:rFonts w:ascii="Times New Roman" w:eastAsia="Times New Roman" w:hAnsi="Times New Roman" w:cs="Times New Roman"/>
        </w:rPr>
        <w:t xml:space="preserve"> farmakokinetikos. </w:t>
      </w:r>
      <w:proofErr w:type="spellStart"/>
      <w:r>
        <w:rPr>
          <w:rFonts w:ascii="Times New Roman" w:eastAsia="Times New Roman" w:hAnsi="Times New Roman" w:cs="Times New Roman"/>
        </w:rPr>
        <w:t>Cimetidinas</w:t>
      </w:r>
      <w:proofErr w:type="spellEnd"/>
      <w:r>
        <w:rPr>
          <w:rFonts w:ascii="Times New Roman" w:eastAsia="Times New Roman" w:hAnsi="Times New Roman" w:cs="Times New Roman"/>
        </w:rPr>
        <w:t xml:space="preserve">, vartojamas kartu su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jo biologinio prieinamumo nekeitė.</w:t>
      </w:r>
    </w:p>
    <w:p w14:paraId="38600909" w14:textId="77777777" w:rsidR="008F7970" w:rsidRDefault="008F7970">
      <w:pPr>
        <w:widowControl w:val="0"/>
        <w:tabs>
          <w:tab w:val="left" w:pos="567"/>
        </w:tabs>
        <w:ind w:left="0" w:firstLine="0"/>
        <w:rPr>
          <w:rFonts w:ascii="Times New Roman" w:eastAsia="Times New Roman" w:hAnsi="Times New Roman" w:cs="Times New Roman"/>
        </w:rPr>
      </w:pPr>
    </w:p>
    <w:p w14:paraId="574774E3"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i/>
        </w:rPr>
        <w:t>Antacidiniai</w:t>
      </w:r>
      <w:proofErr w:type="spellEnd"/>
      <w:r>
        <w:rPr>
          <w:rFonts w:ascii="Times New Roman" w:eastAsia="Times New Roman" w:hAnsi="Times New Roman" w:cs="Times New Roman"/>
          <w:i/>
        </w:rPr>
        <w:t xml:space="preserve"> preparatai</w:t>
      </w:r>
    </w:p>
    <w:p w14:paraId="6B5C016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Kartu vartojami </w:t>
      </w:r>
      <w:proofErr w:type="spellStart"/>
      <w:r>
        <w:rPr>
          <w:rFonts w:ascii="Times New Roman" w:eastAsia="Times New Roman" w:hAnsi="Times New Roman" w:cs="Times New Roman"/>
        </w:rPr>
        <w:t>antacidiniai</w:t>
      </w:r>
      <w:proofErr w:type="spellEnd"/>
      <w:r>
        <w:rPr>
          <w:rFonts w:ascii="Times New Roman" w:eastAsia="Times New Roman" w:hAnsi="Times New Roman" w:cs="Times New Roman"/>
        </w:rPr>
        <w:t xml:space="preserve"> vaistiniai preparatai mažina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absorbcijos greitį, tačiau biologinio prieinamumo neveikia. Laikoma, kad absorbcija sulėtėja kliniškai nereikšmingai.</w:t>
      </w:r>
    </w:p>
    <w:p w14:paraId="43AEBD8F" w14:textId="77777777" w:rsidR="008F7970" w:rsidRDefault="008F7970">
      <w:pPr>
        <w:widowControl w:val="0"/>
        <w:tabs>
          <w:tab w:val="left" w:pos="567"/>
        </w:tabs>
        <w:ind w:left="0" w:firstLine="0"/>
        <w:rPr>
          <w:rFonts w:ascii="Times New Roman" w:eastAsia="Times New Roman" w:hAnsi="Times New Roman" w:cs="Times New Roman"/>
        </w:rPr>
      </w:pPr>
    </w:p>
    <w:p w14:paraId="21AAFB95"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i/>
        </w:rPr>
        <w:t>Kolestiraminas</w:t>
      </w:r>
      <w:proofErr w:type="spellEnd"/>
    </w:p>
    <w:p w14:paraId="3782346F"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Kolestiraminas</w:t>
      </w:r>
      <w:proofErr w:type="spellEnd"/>
      <w:r>
        <w:rPr>
          <w:rFonts w:ascii="Times New Roman" w:eastAsia="Times New Roman" w:hAnsi="Times New Roman" w:cs="Times New Roman"/>
        </w:rPr>
        <w:t xml:space="preserve"> kartu vartojamo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vidutinį bendrąjį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gliukuronido</w:t>
      </w:r>
      <w:proofErr w:type="spellEnd"/>
      <w:r>
        <w:rPr>
          <w:rFonts w:ascii="Times New Roman" w:eastAsia="Times New Roman" w:hAnsi="Times New Roman" w:cs="Times New Roman"/>
        </w:rPr>
        <w:t>) plotą po koncentracijos ir laiko kreive (AUC) sumažino maždaug 55</w:t>
      </w:r>
      <w:r>
        <w:rPr>
          <w:rFonts w:ascii="Times New Roman" w:eastAsia="Times New Roman" w:hAnsi="Times New Roman" w:cs="Times New Roman"/>
          <w:lang w:eastAsia="lt-LT"/>
        </w:rPr>
        <w:t> %</w:t>
      </w:r>
      <w:r>
        <w:rPr>
          <w:rFonts w:ascii="Times New Roman" w:eastAsia="Times New Roman" w:hAnsi="Times New Roman" w:cs="Times New Roman"/>
        </w:rPr>
        <w:t xml:space="preserve">. Dėl šios sąveikos, kartu su </w:t>
      </w:r>
      <w:proofErr w:type="spellStart"/>
      <w:r>
        <w:rPr>
          <w:rFonts w:ascii="Times New Roman" w:eastAsia="Times New Roman" w:hAnsi="Times New Roman" w:cs="Times New Roman"/>
        </w:rPr>
        <w:t>kolestiraminu</w:t>
      </w:r>
      <w:proofErr w:type="spellEnd"/>
      <w:r>
        <w:rPr>
          <w:rFonts w:ascii="Times New Roman" w:eastAsia="Times New Roman" w:hAnsi="Times New Roman" w:cs="Times New Roman"/>
        </w:rPr>
        <w:t xml:space="preserve"> pradėjus vartoti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rPr>
        <w:t>, gali sulėtėti mažo tankio lipoproteinų cholesterolio (MTL-C) koncentracijos mažėjimas (žr. 4.2</w:t>
      </w:r>
      <w:r>
        <w:rPr>
          <w:rFonts w:ascii="Times New Roman" w:eastAsia="Times New Roman" w:hAnsi="Times New Roman" w:cs="Times New Roman"/>
          <w:lang w:eastAsia="lt-LT"/>
        </w:rPr>
        <w:t> </w:t>
      </w:r>
      <w:r>
        <w:rPr>
          <w:rFonts w:ascii="Times New Roman" w:eastAsia="Times New Roman" w:hAnsi="Times New Roman" w:cs="Times New Roman"/>
        </w:rPr>
        <w:t>skyrių).</w:t>
      </w:r>
    </w:p>
    <w:p w14:paraId="19224DBC" w14:textId="77777777" w:rsidR="008F7970" w:rsidRDefault="008F7970">
      <w:pPr>
        <w:widowControl w:val="0"/>
        <w:tabs>
          <w:tab w:val="left" w:pos="567"/>
        </w:tabs>
        <w:ind w:left="0" w:firstLine="0"/>
        <w:rPr>
          <w:rFonts w:ascii="Times New Roman" w:eastAsia="Times New Roman" w:hAnsi="Times New Roman" w:cs="Times New Roman"/>
        </w:rPr>
      </w:pPr>
    </w:p>
    <w:p w14:paraId="540CDCBE"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i/>
        </w:rPr>
        <w:t>Fibratai</w:t>
      </w:r>
      <w:proofErr w:type="spellEnd"/>
    </w:p>
    <w:p w14:paraId="0C7D4EC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Jei pacientas vartoja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rPr>
        <w:t>, gydytojai turi žinoti apie galimą tulžies akmenligės ir tulžies pūslės ligos pasireiškimo riziką (žr. 4.4 ir 4.8</w:t>
      </w:r>
      <w:r>
        <w:rPr>
          <w:rFonts w:ascii="Times New Roman" w:eastAsia="Times New Roman" w:hAnsi="Times New Roman" w:cs="Times New Roman"/>
          <w:lang w:eastAsia="lt-LT"/>
        </w:rPr>
        <w:t> </w:t>
      </w:r>
      <w:r>
        <w:rPr>
          <w:rFonts w:ascii="Times New Roman" w:eastAsia="Times New Roman" w:hAnsi="Times New Roman" w:cs="Times New Roman"/>
        </w:rPr>
        <w:t>skyrius).</w:t>
      </w:r>
    </w:p>
    <w:p w14:paraId="3E42DA8A"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Jeigu įtariama, kad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 xml:space="preserve"> vartojančiam pacientui yra tulžies akmenligė, reikia ištirti tulžies pūslę ir minėtą gydymą nutraukti (žr. 4.8</w:t>
      </w:r>
      <w:r>
        <w:rPr>
          <w:rFonts w:ascii="Times New Roman" w:eastAsia="Times New Roman" w:hAnsi="Times New Roman" w:cs="Times New Roman"/>
          <w:lang w:eastAsia="lt-LT"/>
        </w:rPr>
        <w:t> </w:t>
      </w:r>
      <w:r>
        <w:rPr>
          <w:rFonts w:ascii="Times New Roman" w:eastAsia="Times New Roman" w:hAnsi="Times New Roman" w:cs="Times New Roman"/>
        </w:rPr>
        <w:t>skyrius).</w:t>
      </w:r>
    </w:p>
    <w:p w14:paraId="25C6C23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vartojamas </w:t>
      </w:r>
      <w:proofErr w:type="spellStart"/>
      <w:r>
        <w:rPr>
          <w:rFonts w:ascii="Times New Roman" w:eastAsia="Times New Roman" w:hAnsi="Times New Roman" w:cs="Times New Roman"/>
        </w:rPr>
        <w:t>fenofibratas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gemfibrozilis</w:t>
      </w:r>
      <w:proofErr w:type="spellEnd"/>
      <w:r>
        <w:rPr>
          <w:rFonts w:ascii="Times New Roman" w:eastAsia="Times New Roman" w:hAnsi="Times New Roman" w:cs="Times New Roman"/>
        </w:rPr>
        <w:t xml:space="preserve"> šiek tiek didina bendrąją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koncentraciją (atitinkamai maždaug 1,5 ir 1,7 karto).</w:t>
      </w:r>
    </w:p>
    <w:p w14:paraId="551588E7"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rPr>
        <w:t xml:space="preserve"> vartojimas su kitokiais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netirtas.</w:t>
      </w:r>
    </w:p>
    <w:p w14:paraId="3631E65A"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Fibratai</w:t>
      </w:r>
      <w:proofErr w:type="spellEnd"/>
      <w:r>
        <w:rPr>
          <w:rFonts w:ascii="Times New Roman" w:eastAsia="Times New Roman" w:hAnsi="Times New Roman" w:cs="Times New Roman"/>
        </w:rPr>
        <w:t xml:space="preserve"> gali skatinti cholesterolio išsiskyrimą į tulžį, todėl gali pasireikšti tulžies akmenligė. Tyrimų su gyvūnais metu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kartais didino cholesterolio kiekį tulžies pūslės tulžyje, tačiau ne visų </w:t>
      </w:r>
      <w:r>
        <w:rPr>
          <w:rFonts w:ascii="Times New Roman" w:eastAsia="Times New Roman" w:hAnsi="Times New Roman" w:cs="Times New Roman"/>
        </w:rPr>
        <w:lastRenderedPageBreak/>
        <w:t>rūšių gyvūnams (žr. 5.3</w:t>
      </w:r>
      <w:r>
        <w:rPr>
          <w:rFonts w:ascii="Times New Roman" w:eastAsia="Times New Roman" w:hAnsi="Times New Roman" w:cs="Times New Roman"/>
          <w:lang w:eastAsia="lt-LT"/>
        </w:rPr>
        <w:t> </w:t>
      </w:r>
      <w:r>
        <w:rPr>
          <w:rFonts w:ascii="Times New Roman" w:eastAsia="Times New Roman" w:hAnsi="Times New Roman" w:cs="Times New Roman"/>
        </w:rPr>
        <w:t xml:space="preserve">skyrių). Negalima atmesti su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rPr>
        <w:t xml:space="preserve"> vartojimu susijusios akmenų atsiradimo rizikos.</w:t>
      </w:r>
    </w:p>
    <w:p w14:paraId="335EDBC5" w14:textId="77777777" w:rsidR="008F7970" w:rsidRDefault="008F7970">
      <w:pPr>
        <w:widowControl w:val="0"/>
        <w:tabs>
          <w:tab w:val="left" w:pos="567"/>
        </w:tabs>
        <w:ind w:left="0" w:firstLine="0"/>
        <w:rPr>
          <w:rFonts w:ascii="Times New Roman" w:eastAsia="Times New Roman" w:hAnsi="Times New Roman" w:cs="Times New Roman"/>
        </w:rPr>
      </w:pPr>
    </w:p>
    <w:p w14:paraId="5921DC92"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i/>
        </w:rPr>
        <w:t>Statinai</w:t>
      </w:r>
      <w:proofErr w:type="spellEnd"/>
    </w:p>
    <w:p w14:paraId="0317BC3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Kliniškai reikšmingos </w:t>
      </w:r>
      <w:proofErr w:type="spellStart"/>
      <w:r>
        <w:rPr>
          <w:rFonts w:ascii="Times New Roman" w:eastAsia="Times New Roman" w:hAnsi="Times New Roman" w:cs="Times New Roman"/>
        </w:rPr>
        <w:t>farmakokinetinės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kartu vartojamo </w:t>
      </w:r>
      <w:proofErr w:type="spellStart"/>
      <w:r>
        <w:rPr>
          <w:rFonts w:ascii="Times New Roman" w:eastAsia="Times New Roman" w:hAnsi="Times New Roman" w:cs="Times New Roman"/>
        </w:rPr>
        <w:t>atorvastatino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fluvastatino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sąveikos nepastebėta.</w:t>
      </w:r>
    </w:p>
    <w:p w14:paraId="409D128D" w14:textId="77777777" w:rsidR="008F7970" w:rsidRDefault="008F7970">
      <w:pPr>
        <w:widowControl w:val="0"/>
        <w:tabs>
          <w:tab w:val="left" w:pos="567"/>
        </w:tabs>
        <w:ind w:left="0" w:firstLine="0"/>
        <w:rPr>
          <w:rFonts w:ascii="Times New Roman" w:eastAsia="Times New Roman" w:hAnsi="Times New Roman" w:cs="Times New Roman"/>
        </w:rPr>
      </w:pPr>
    </w:p>
    <w:p w14:paraId="64DD9360" w14:textId="77777777" w:rsidR="008F7970" w:rsidRDefault="00AD4BB2">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i/>
        </w:rPr>
        <w:t>Ciklosporinas</w:t>
      </w:r>
      <w:proofErr w:type="spellEnd"/>
    </w:p>
    <w:p w14:paraId="236BA6CA"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Tyrimo, kuriame dalyvavę aštuoni pacientai, kuriems persodintas inkstas ir kurių kreatinino klirensas &gt;</w:t>
      </w:r>
      <w:r>
        <w:rPr>
          <w:rFonts w:ascii="Times New Roman" w:eastAsia="Times New Roman" w:hAnsi="Times New Roman" w:cs="Times New Roman"/>
          <w:lang w:eastAsia="lt-LT"/>
        </w:rPr>
        <w:t> </w:t>
      </w:r>
      <w:r>
        <w:rPr>
          <w:rFonts w:ascii="Times New Roman" w:eastAsia="Times New Roman" w:hAnsi="Times New Roman" w:cs="Times New Roman"/>
        </w:rPr>
        <w:t xml:space="preserve">50 ml/min., vartojo stabilią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dozę, metu vienkartinė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dozė 3,4 (ribos 2,3-7,9) karto padidino vidutinį bendrąjį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AUC (duomenys lyginti su kito tyrimo, kurio metu sveiki kontrolinės grupės tiriamieji (n = 17) vartojo vien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duomenimis). Kito tyrimo metu pacientui (jam buvo persodintas inkstas), kuriam buvo sunkus inkstų funkcijos sutrikimas ir kuris vartojo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ir daug kitokių vaistinių preparatų, bendroji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ekspozicija padidėjo 12 kartų, palyginti su kontrolinės grupės pacientais, kurie vartojo tik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Dviejų periodų kryžminiame tyrime, kuriame dalyvavo 12 sveikų asmenų, pacientams, vartojusiesiems 20</w:t>
      </w:r>
      <w:r>
        <w:rPr>
          <w:rFonts w:ascii="Times New Roman" w:eastAsia="Times New Roman" w:hAnsi="Times New Roman" w:cs="Times New Roman"/>
          <w:lang w:eastAsia="lt-LT"/>
        </w:rPr>
        <w:t> mg</w:t>
      </w:r>
      <w:r>
        <w:rPr>
          <w:rFonts w:ascii="Times New Roman" w:eastAsia="Times New Roman" w:hAnsi="Times New Roman" w:cs="Times New Roman"/>
        </w:rPr>
        <w:t xml:space="preserve">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8 dienas kartu su vienkartine 100</w:t>
      </w:r>
      <w:r>
        <w:rPr>
          <w:rFonts w:ascii="Times New Roman" w:eastAsia="Times New Roman" w:hAnsi="Times New Roman" w:cs="Times New Roman"/>
          <w:lang w:eastAsia="lt-LT"/>
        </w:rPr>
        <w:t> mg</w:t>
      </w:r>
      <w:r>
        <w:rPr>
          <w:rFonts w:ascii="Times New Roman" w:eastAsia="Times New Roman" w:hAnsi="Times New Roman" w:cs="Times New Roman"/>
        </w:rPr>
        <w:t xml:space="preserve">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doze septintąją dieną,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AUC vidutiniškai padidėjo 15</w:t>
      </w:r>
      <w:r>
        <w:rPr>
          <w:rFonts w:ascii="Times New Roman" w:eastAsia="Times New Roman" w:hAnsi="Times New Roman" w:cs="Times New Roman"/>
          <w:lang w:eastAsia="lt-LT"/>
        </w:rPr>
        <w:t> %</w:t>
      </w:r>
      <w:r>
        <w:rPr>
          <w:rFonts w:ascii="Times New Roman" w:eastAsia="Times New Roman" w:hAnsi="Times New Roman" w:cs="Times New Roman"/>
        </w:rPr>
        <w:t xml:space="preserve"> (ribos nuo sumažėjimo 10</w:t>
      </w:r>
      <w:r>
        <w:rPr>
          <w:rFonts w:ascii="Times New Roman" w:eastAsia="Times New Roman" w:hAnsi="Times New Roman" w:cs="Times New Roman"/>
          <w:lang w:eastAsia="lt-LT"/>
        </w:rPr>
        <w:t> %</w:t>
      </w:r>
      <w:r>
        <w:rPr>
          <w:rFonts w:ascii="Times New Roman" w:eastAsia="Times New Roman" w:hAnsi="Times New Roman" w:cs="Times New Roman"/>
        </w:rPr>
        <w:t xml:space="preserve"> iki padidėjimo 51</w:t>
      </w:r>
      <w:r>
        <w:rPr>
          <w:rFonts w:ascii="Times New Roman" w:eastAsia="Times New Roman" w:hAnsi="Times New Roman" w:cs="Times New Roman"/>
          <w:lang w:eastAsia="lt-LT"/>
        </w:rPr>
        <w:t> %</w:t>
      </w:r>
      <w:r>
        <w:rPr>
          <w:rFonts w:ascii="Times New Roman" w:eastAsia="Times New Roman" w:hAnsi="Times New Roman" w:cs="Times New Roman"/>
        </w:rPr>
        <w:t xml:space="preserve">), palyginti su vartojusiaisiais vien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vienkartinę 100</w:t>
      </w:r>
      <w:r>
        <w:rPr>
          <w:rFonts w:ascii="Times New Roman" w:eastAsia="Times New Roman" w:hAnsi="Times New Roman" w:cs="Times New Roman"/>
          <w:lang w:eastAsia="lt-LT"/>
        </w:rPr>
        <w:t> mg</w:t>
      </w:r>
      <w:r>
        <w:rPr>
          <w:rFonts w:ascii="Times New Roman" w:eastAsia="Times New Roman" w:hAnsi="Times New Roman" w:cs="Times New Roman"/>
        </w:rPr>
        <w:t xml:space="preserve"> dozę. Kontroliuoto tyrimo, siekiant įvertinti kartu vartojamo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poveikį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ekspozicijai pacientams, kuriems persodintas inkstas, neatlikta.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vartojantį pacientą pradėti gydyti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rPr>
        <w:t xml:space="preserve">reikia atsargiai. Jei pacientas vartoja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rPr>
        <w:t xml:space="preserve">ir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reikia stebėti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koncentraciją (žr. 4.4</w:t>
      </w:r>
      <w:r>
        <w:rPr>
          <w:rFonts w:ascii="Times New Roman" w:eastAsia="Times New Roman" w:hAnsi="Times New Roman" w:cs="Times New Roman"/>
          <w:lang w:eastAsia="lt-LT"/>
        </w:rPr>
        <w:t> </w:t>
      </w:r>
      <w:r>
        <w:rPr>
          <w:rFonts w:ascii="Times New Roman" w:eastAsia="Times New Roman" w:hAnsi="Times New Roman" w:cs="Times New Roman"/>
        </w:rPr>
        <w:t>skyrių).</w:t>
      </w:r>
    </w:p>
    <w:p w14:paraId="73EA4FD9" w14:textId="77777777" w:rsidR="008F7970" w:rsidRDefault="008F7970">
      <w:pPr>
        <w:widowControl w:val="0"/>
        <w:tabs>
          <w:tab w:val="left" w:pos="567"/>
        </w:tabs>
        <w:ind w:left="0" w:firstLine="0"/>
        <w:rPr>
          <w:rFonts w:ascii="Times New Roman" w:eastAsia="Times New Roman" w:hAnsi="Times New Roman" w:cs="Times New Roman"/>
        </w:rPr>
      </w:pPr>
    </w:p>
    <w:p w14:paraId="7F06281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i/>
        </w:rPr>
        <w:t>Antikoaguliantai</w:t>
      </w:r>
    </w:p>
    <w:p w14:paraId="2A3C3EA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Tyrimo, kuriame dalyvavo dvylika sveikų suaugusių vyrų, metu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(10 mg dozė, vartota vieną kartą per parą) kartu vartojamo varfarino biologinio prieinamumo ir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laiko reikšmingai neveikė. Vis dėlto po vaistinio preparato pateikimo į rinką gauta pranešimų apie padidėjusį tarptautinį normalizuotą santykį (TNS) pacientams, kurie gydymą varfarinu ar </w:t>
      </w:r>
      <w:proofErr w:type="spellStart"/>
      <w:r>
        <w:rPr>
          <w:rFonts w:ascii="Times New Roman" w:eastAsia="Times New Roman" w:hAnsi="Times New Roman" w:cs="Times New Roman"/>
        </w:rPr>
        <w:t>fluindionu</w:t>
      </w:r>
      <w:proofErr w:type="spellEnd"/>
      <w:r>
        <w:rPr>
          <w:rFonts w:ascii="Times New Roman" w:eastAsia="Times New Roman" w:hAnsi="Times New Roman" w:cs="Times New Roman"/>
        </w:rPr>
        <w:t xml:space="preserve"> papildė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Jei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rPr>
        <w:t xml:space="preserve">pradedamas vartoti gydant varfarinu, kitu kumarino grupės antikoaguliantu ar </w:t>
      </w:r>
      <w:proofErr w:type="spellStart"/>
      <w:r>
        <w:rPr>
          <w:rFonts w:ascii="Times New Roman" w:eastAsia="Times New Roman" w:hAnsi="Times New Roman" w:cs="Times New Roman"/>
        </w:rPr>
        <w:t>fluindionu</w:t>
      </w:r>
      <w:proofErr w:type="spellEnd"/>
      <w:r>
        <w:rPr>
          <w:rFonts w:ascii="Times New Roman" w:eastAsia="Times New Roman" w:hAnsi="Times New Roman" w:cs="Times New Roman"/>
        </w:rPr>
        <w:t>, reikia tinkamai stebėti TNS (žr. 4.4</w:t>
      </w:r>
      <w:r>
        <w:rPr>
          <w:rFonts w:ascii="Times New Roman" w:eastAsia="Times New Roman" w:hAnsi="Times New Roman" w:cs="Times New Roman"/>
          <w:lang w:eastAsia="lt-LT"/>
        </w:rPr>
        <w:t> </w:t>
      </w:r>
      <w:r>
        <w:rPr>
          <w:rFonts w:ascii="Times New Roman" w:eastAsia="Times New Roman" w:hAnsi="Times New Roman" w:cs="Times New Roman"/>
        </w:rPr>
        <w:t>skyrių).</w:t>
      </w:r>
    </w:p>
    <w:p w14:paraId="643BD60B" w14:textId="77777777" w:rsidR="008F7970" w:rsidRDefault="008F7970">
      <w:pPr>
        <w:widowControl w:val="0"/>
        <w:tabs>
          <w:tab w:val="left" w:pos="567"/>
        </w:tabs>
        <w:ind w:left="0" w:firstLine="0"/>
        <w:rPr>
          <w:rFonts w:ascii="Times New Roman" w:eastAsia="Times New Roman" w:hAnsi="Times New Roman" w:cs="Times New Roman"/>
        </w:rPr>
      </w:pPr>
    </w:p>
    <w:p w14:paraId="668F543D" w14:textId="77777777" w:rsidR="008F7970" w:rsidRDefault="00AD4BB2">
      <w:pPr>
        <w:widowControl w:val="0"/>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Vaikų populiacija</w:t>
      </w:r>
    </w:p>
    <w:p w14:paraId="239F85BF"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Sąveikos tyrimai atlikti tik suaugusiesiems.</w:t>
      </w:r>
    </w:p>
    <w:p w14:paraId="39DAC535" w14:textId="77777777" w:rsidR="008F7970" w:rsidRDefault="008F7970">
      <w:pPr>
        <w:widowControl w:val="0"/>
        <w:ind w:left="0" w:right="97" w:firstLine="0"/>
        <w:rPr>
          <w:rFonts w:ascii="Times New Roman" w:eastAsia="Times New Roman" w:hAnsi="Times New Roman" w:cs="Times New Roman"/>
          <w:lang w:eastAsia="sl-SI"/>
        </w:rPr>
      </w:pPr>
    </w:p>
    <w:p w14:paraId="18CC4D69" w14:textId="77777777" w:rsidR="008F7970" w:rsidRDefault="00AD4BB2">
      <w:pPr>
        <w:widowControl w:val="0"/>
        <w:tabs>
          <w:tab w:val="left" w:pos="567"/>
        </w:tabs>
        <w:outlineLvl w:val="2"/>
        <w:rPr>
          <w:rFonts w:ascii="Times New Roman" w:eastAsia="Times New Roman" w:hAnsi="Times New Roman" w:cs="Times New Roman"/>
          <w:b/>
        </w:rPr>
      </w:pPr>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p>
    <w:p w14:paraId="70C26FBC" w14:textId="77777777" w:rsidR="008F7970" w:rsidRDefault="008F7970">
      <w:pPr>
        <w:widowControl w:val="0"/>
        <w:ind w:left="0" w:firstLine="0"/>
        <w:rPr>
          <w:rFonts w:ascii="Times New Roman" w:eastAsia="Times New Roman" w:hAnsi="Times New Roman" w:cs="Times New Roman"/>
          <w:iCs/>
        </w:rPr>
      </w:pPr>
    </w:p>
    <w:p w14:paraId="6E458125" w14:textId="77777777" w:rsidR="008F7970" w:rsidRDefault="00AD4BB2">
      <w:pPr>
        <w:autoSpaceDE w:val="0"/>
        <w:autoSpaceDN w:val="0"/>
        <w:adjustRightInd w:val="0"/>
        <w:ind w:left="0" w:firstLine="0"/>
        <w:rPr>
          <w:rFonts w:ascii="Times New Roman" w:eastAsia="Times New Roman" w:hAnsi="Times New Roman" w:cs="Times New Roman"/>
          <w:bCs/>
        </w:rPr>
      </w:pPr>
      <w:proofErr w:type="spellStart"/>
      <w:r>
        <w:rPr>
          <w:rFonts w:ascii="Times New Roman" w:eastAsia="Times New Roman" w:hAnsi="Times New Roman" w:cs="Times New Roman"/>
          <w:bCs/>
        </w:rPr>
        <w:t>Pitezenib</w:t>
      </w:r>
      <w:proofErr w:type="spellEnd"/>
      <w:r>
        <w:rPr>
          <w:rFonts w:ascii="Times New Roman" w:eastAsia="Times New Roman" w:hAnsi="Times New Roman" w:cs="Times New Roman"/>
          <w:bCs/>
        </w:rPr>
        <w:t xml:space="preserve"> nėštumo ir žindymo laikotarpiu vartoti draudžiama (žr. 4.3 skyrių).</w:t>
      </w:r>
    </w:p>
    <w:p w14:paraId="7B786066" w14:textId="77777777" w:rsidR="008F7970" w:rsidRDefault="008F7970">
      <w:pPr>
        <w:autoSpaceDE w:val="0"/>
        <w:autoSpaceDN w:val="0"/>
        <w:adjustRightInd w:val="0"/>
        <w:ind w:left="0" w:firstLine="0"/>
        <w:rPr>
          <w:rFonts w:ascii="Times New Roman" w:eastAsia="Times New Roman" w:hAnsi="Times New Roman" w:cs="Times New Roman"/>
          <w:bCs/>
          <w:u w:val="single"/>
        </w:rPr>
      </w:pPr>
    </w:p>
    <w:p w14:paraId="541721EA" w14:textId="77777777" w:rsidR="008F7970" w:rsidRDefault="00AD4BB2">
      <w:pPr>
        <w:autoSpaceDE w:val="0"/>
        <w:autoSpaceDN w:val="0"/>
        <w:adjustRightInd w:val="0"/>
        <w:ind w:left="0" w:firstLine="0"/>
        <w:rPr>
          <w:rFonts w:ascii="Times New Roman" w:eastAsia="Times New Roman" w:hAnsi="Times New Roman" w:cs="Times New Roman"/>
          <w:bCs/>
          <w:u w:val="single"/>
        </w:rPr>
      </w:pPr>
      <w:r>
        <w:rPr>
          <w:rFonts w:ascii="Times New Roman" w:eastAsia="Times New Roman" w:hAnsi="Times New Roman" w:cs="Times New Roman"/>
          <w:bCs/>
          <w:u w:val="single"/>
        </w:rPr>
        <w:t>Nėštumas</w:t>
      </w:r>
    </w:p>
    <w:p w14:paraId="167CE766"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metu vaisingos moterys turi naudoti tinkamas kontracepcijos priemones. Kadangi cholesterolis ir kiti cholesterolio </w:t>
      </w:r>
      <w:proofErr w:type="spellStart"/>
      <w:r>
        <w:rPr>
          <w:rFonts w:ascii="Times New Roman" w:eastAsia="Times New Roman" w:hAnsi="Times New Roman" w:cs="Times New Roman"/>
        </w:rPr>
        <w:t>biosintezės</w:t>
      </w:r>
      <w:proofErr w:type="spellEnd"/>
      <w:r>
        <w:rPr>
          <w:rFonts w:ascii="Times New Roman" w:eastAsia="Times New Roman" w:hAnsi="Times New Roman" w:cs="Times New Roman"/>
        </w:rPr>
        <w:t xml:space="preserve"> produktai yra būtini vaisiaus vystymuisi, galima HMG-</w:t>
      </w:r>
      <w:proofErr w:type="spellStart"/>
      <w:r>
        <w:rPr>
          <w:rFonts w:ascii="Times New Roman" w:eastAsia="Times New Roman" w:hAnsi="Times New Roman" w:cs="Times New Roman"/>
        </w:rPr>
        <w:t>KoA</w:t>
      </w:r>
      <w:proofErr w:type="spellEnd"/>
      <w:r>
        <w:rPr>
          <w:rFonts w:ascii="Times New Roman" w:eastAsia="Times New Roman" w:hAnsi="Times New Roman" w:cs="Times New Roman"/>
        </w:rPr>
        <w:t xml:space="preserve"> reduktazės slopinimo rizika nusveria gydymo nėštumo laikotarpiu naudą. Su gyvūnais atlikti tyrimai parodė toksinį poveikį reprodukcijai, tačiau galimo </w:t>
      </w:r>
      <w:proofErr w:type="spellStart"/>
      <w:r>
        <w:rPr>
          <w:rFonts w:ascii="Times New Roman" w:eastAsia="Times New Roman" w:hAnsi="Times New Roman" w:cs="Times New Roman"/>
        </w:rPr>
        <w:t>teratogeninio</w:t>
      </w:r>
      <w:proofErr w:type="spellEnd"/>
      <w:r>
        <w:rPr>
          <w:rFonts w:ascii="Times New Roman" w:eastAsia="Times New Roman" w:hAnsi="Times New Roman" w:cs="Times New Roman"/>
        </w:rPr>
        <w:t xml:space="preserve"> poveikio nenustatyta (žr. 5.3 skyrių). Jei pacientė planuoja nėštumą, gydymą reikia nutraukti likus ne mažiau kaip vienam mėnesiui iki pastojimo. Jei pacientė pastoja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vartojimo metu, gydymą reikia nedelsiant nutraukti.</w:t>
      </w:r>
    </w:p>
    <w:p w14:paraId="50C60247" w14:textId="77777777" w:rsidR="008F7970" w:rsidRDefault="008F7970">
      <w:pPr>
        <w:autoSpaceDE w:val="0"/>
        <w:autoSpaceDN w:val="0"/>
        <w:adjustRightInd w:val="0"/>
        <w:ind w:left="0" w:firstLine="0"/>
        <w:rPr>
          <w:rFonts w:ascii="Times New Roman" w:eastAsia="Times New Roman" w:hAnsi="Times New Roman" w:cs="Times New Roman"/>
        </w:rPr>
      </w:pPr>
    </w:p>
    <w:p w14:paraId="57524FE8" w14:textId="77777777" w:rsidR="008F7970" w:rsidRDefault="00AD4BB2">
      <w:pPr>
        <w:autoSpaceDE w:val="0"/>
        <w:autoSpaceDN w:val="0"/>
        <w:adjustRightInd w:val="0"/>
        <w:ind w:left="0" w:firstLine="0"/>
        <w:rPr>
          <w:rFonts w:ascii="Times New Roman" w:eastAsia="Times New Roman" w:hAnsi="Times New Roman" w:cs="Times New Roman"/>
          <w:bCs/>
          <w:u w:val="single"/>
        </w:rPr>
      </w:pPr>
      <w:r>
        <w:rPr>
          <w:rFonts w:ascii="Times New Roman" w:eastAsia="Times New Roman" w:hAnsi="Times New Roman" w:cs="Times New Roman"/>
          <w:bCs/>
          <w:u w:val="single"/>
        </w:rPr>
        <w:t>Žindymas</w:t>
      </w:r>
    </w:p>
    <w:p w14:paraId="0BD069A0" w14:textId="77777777" w:rsidR="008F7970" w:rsidRDefault="00AD4BB2">
      <w:pPr>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išsiskiria į žiurkių pieną. Nežinoma, ar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išsiskiria į gydytų moterų pieną.</w:t>
      </w:r>
      <w:r>
        <w:rPr>
          <w:rFonts w:ascii="Times New Roman" w:eastAsia="Times New Roman" w:hAnsi="Times New Roman" w:cs="Times New Roman"/>
          <w:snapToGrid w:val="0"/>
        </w:rPr>
        <w:t xml:space="preserve"> </w:t>
      </w:r>
      <w:r>
        <w:rPr>
          <w:rFonts w:ascii="Times New Roman" w:eastAsia="Times New Roman" w:hAnsi="Times New Roman" w:cs="Times New Roman"/>
        </w:rPr>
        <w:t xml:space="preserve">Tyrimų su žiurkėmis metu nustatyta, kad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išsiskiria į patelių pieną. Nežinoma, ar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išisiskiria</w:t>
      </w:r>
      <w:proofErr w:type="spellEnd"/>
      <w:r>
        <w:rPr>
          <w:rFonts w:ascii="Times New Roman" w:eastAsia="Times New Roman" w:hAnsi="Times New Roman" w:cs="Times New Roman"/>
        </w:rPr>
        <w:t xml:space="preserve"> į gydytų moterų pieną.</w:t>
      </w:r>
    </w:p>
    <w:p w14:paraId="5570D9A5" w14:textId="77777777" w:rsidR="008F7970" w:rsidRDefault="008F7970">
      <w:pPr>
        <w:autoSpaceDE w:val="0"/>
        <w:autoSpaceDN w:val="0"/>
        <w:adjustRightInd w:val="0"/>
        <w:ind w:left="0" w:firstLine="0"/>
        <w:rPr>
          <w:rFonts w:ascii="Times New Roman" w:eastAsia="Times New Roman" w:hAnsi="Times New Roman" w:cs="Times New Roman"/>
        </w:rPr>
      </w:pPr>
    </w:p>
    <w:p w14:paraId="655A6375" w14:textId="77777777" w:rsidR="008F7970" w:rsidRDefault="00AD4BB2">
      <w:pPr>
        <w:autoSpaceDE w:val="0"/>
        <w:autoSpaceDN w:val="0"/>
        <w:adjustRightInd w:val="0"/>
        <w:ind w:left="0" w:firstLine="0"/>
        <w:rPr>
          <w:rFonts w:ascii="Times New Roman" w:eastAsia="Times New Roman" w:hAnsi="Times New Roman" w:cs="Times New Roman"/>
          <w:bCs/>
          <w:u w:val="single"/>
        </w:rPr>
      </w:pPr>
      <w:r>
        <w:rPr>
          <w:rFonts w:ascii="Times New Roman" w:eastAsia="Times New Roman" w:hAnsi="Times New Roman" w:cs="Times New Roman"/>
          <w:bCs/>
          <w:u w:val="single"/>
        </w:rPr>
        <w:t>Vaisingumas</w:t>
      </w:r>
    </w:p>
    <w:p w14:paraId="57A67B8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Šiuo metu duomenų apie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poveikį žmonių vaisingumui nėra.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metu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poveikio vaisingumui ar reprodukcinei funkcijai nesukėlė.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žiurkių patinų ir patelių vaisingumo neveikė (žr. 5.3 skyrių).</w:t>
      </w:r>
    </w:p>
    <w:p w14:paraId="28DD1BAB" w14:textId="77777777" w:rsidR="008F7970" w:rsidRDefault="008F7970">
      <w:pPr>
        <w:widowControl w:val="0"/>
        <w:rPr>
          <w:rFonts w:ascii="Times New Roman" w:eastAsia="Times New Roman" w:hAnsi="Times New Roman" w:cs="Times New Roman"/>
        </w:rPr>
      </w:pPr>
    </w:p>
    <w:p w14:paraId="457B491C"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lastRenderedPageBreak/>
        <w:t>4.7</w:t>
      </w:r>
      <w:r>
        <w:rPr>
          <w:rFonts w:ascii="Times New Roman" w:eastAsia="Times New Roman" w:hAnsi="Times New Roman" w:cs="Times New Roman"/>
          <w:b/>
          <w:kern w:val="28"/>
        </w:rPr>
        <w:tab/>
        <w:t>Poveikis gebėjimui vairuoti ir valdyti mechanizmus</w:t>
      </w:r>
    </w:p>
    <w:p w14:paraId="25B096C8" w14:textId="77777777" w:rsidR="008F7970" w:rsidRDefault="008F7970">
      <w:pPr>
        <w:widowControl w:val="0"/>
        <w:rPr>
          <w:rFonts w:ascii="Times New Roman" w:eastAsia="Times New Roman" w:hAnsi="Times New Roman" w:cs="Times New Roman"/>
        </w:rPr>
      </w:pPr>
    </w:p>
    <w:p w14:paraId="029547CF" w14:textId="77777777" w:rsidR="008F7970" w:rsidRDefault="00AD4BB2">
      <w:pPr>
        <w:widowControl w:val="0"/>
        <w:autoSpaceDE w:val="0"/>
        <w:autoSpaceDN w:val="0"/>
        <w:adjustRightInd w:val="0"/>
        <w:ind w:left="0" w:firstLine="0"/>
        <w:rPr>
          <w:rFonts w:ascii="Times New Roman" w:eastAsia="TimesNewRoman" w:hAnsi="Times New Roman" w:cs="Times New Roman"/>
        </w:rPr>
      </w:pPr>
      <w:r>
        <w:rPr>
          <w:rFonts w:ascii="Times New Roman" w:eastAsia="TimesNewRoman" w:hAnsi="Times New Roman" w:cs="Times New Roman"/>
        </w:rPr>
        <w:t xml:space="preserve">Nėra nepageidaujamų reiškinių, kurie rodytų, kad </w:t>
      </w:r>
      <w:proofErr w:type="spellStart"/>
      <w:r>
        <w:rPr>
          <w:rFonts w:ascii="Times New Roman" w:eastAsia="TimesNewRoman" w:hAnsi="Times New Roman" w:cs="Times New Roman"/>
        </w:rPr>
        <w:t>pitavastatino</w:t>
      </w:r>
      <w:proofErr w:type="spellEnd"/>
      <w:r>
        <w:rPr>
          <w:rFonts w:ascii="Times New Roman" w:eastAsia="TimesNewRoman" w:hAnsi="Times New Roman" w:cs="Times New Roman"/>
        </w:rPr>
        <w:t xml:space="preserve"> vartojantiems pacientams veikiamas gebėjimas vairuoti ir valdyti pavojingus mechanizmus, tačiau reikia atsižvelgti į tai, kad gydymo </w:t>
      </w:r>
      <w:proofErr w:type="spellStart"/>
      <w:r>
        <w:rPr>
          <w:rFonts w:ascii="Times New Roman" w:eastAsia="TimesNewRoman" w:hAnsi="Times New Roman" w:cs="Times New Roman"/>
        </w:rPr>
        <w:t>pitavastatinu</w:t>
      </w:r>
      <w:proofErr w:type="spellEnd"/>
      <w:r>
        <w:rPr>
          <w:rFonts w:ascii="Times New Roman" w:eastAsia="TimesNewRoman" w:hAnsi="Times New Roman" w:cs="Times New Roman"/>
        </w:rPr>
        <w:t xml:space="preserve"> ir </w:t>
      </w:r>
      <w:proofErr w:type="spellStart"/>
      <w:r>
        <w:rPr>
          <w:rFonts w:ascii="Times New Roman" w:eastAsia="TimesNewRoman" w:hAnsi="Times New Roman" w:cs="Times New Roman"/>
        </w:rPr>
        <w:t>ezetimibu</w:t>
      </w:r>
      <w:proofErr w:type="spellEnd"/>
      <w:r>
        <w:rPr>
          <w:rFonts w:ascii="Times New Roman" w:eastAsia="TimesNewRoman" w:hAnsi="Times New Roman" w:cs="Times New Roman"/>
        </w:rPr>
        <w:t xml:space="preserve"> metu buvo gauta pranešimų apie svaigulį ir mieguistumą (</w:t>
      </w:r>
      <w:proofErr w:type="spellStart"/>
      <w:r>
        <w:rPr>
          <w:rFonts w:ascii="Times New Roman" w:eastAsia="TimesNewRoman" w:hAnsi="Times New Roman" w:cs="Times New Roman"/>
        </w:rPr>
        <w:t>somnolenciją</w:t>
      </w:r>
      <w:proofErr w:type="spellEnd"/>
      <w:r>
        <w:rPr>
          <w:rFonts w:ascii="Times New Roman" w:eastAsia="TimesNewRoman" w:hAnsi="Times New Roman" w:cs="Times New Roman"/>
        </w:rPr>
        <w:t xml:space="preserve">), o gydymo vien </w:t>
      </w:r>
      <w:proofErr w:type="spellStart"/>
      <w:r>
        <w:rPr>
          <w:rFonts w:ascii="Times New Roman" w:eastAsia="TimesNewRoman" w:hAnsi="Times New Roman" w:cs="Times New Roman"/>
        </w:rPr>
        <w:t>pitavastatinu</w:t>
      </w:r>
      <w:proofErr w:type="spellEnd"/>
      <w:r>
        <w:rPr>
          <w:rFonts w:ascii="Times New Roman" w:eastAsia="TimesNewRoman" w:hAnsi="Times New Roman" w:cs="Times New Roman"/>
        </w:rPr>
        <w:t xml:space="preserve"> metu – apie mieguistumą (</w:t>
      </w:r>
      <w:proofErr w:type="spellStart"/>
      <w:r>
        <w:rPr>
          <w:rFonts w:ascii="Times New Roman" w:eastAsia="TimesNewRoman" w:hAnsi="Times New Roman" w:cs="Times New Roman"/>
        </w:rPr>
        <w:t>somnolenciją</w:t>
      </w:r>
      <w:proofErr w:type="spellEnd"/>
      <w:r>
        <w:rPr>
          <w:rFonts w:ascii="Times New Roman" w:eastAsia="TimesNewRoman" w:hAnsi="Times New Roman" w:cs="Times New Roman"/>
        </w:rPr>
        <w:t>).</w:t>
      </w:r>
    </w:p>
    <w:p w14:paraId="33F078D0" w14:textId="77777777" w:rsidR="008F7970" w:rsidRDefault="008F7970">
      <w:pPr>
        <w:widowControl w:val="0"/>
        <w:autoSpaceDE w:val="0"/>
        <w:autoSpaceDN w:val="0"/>
        <w:adjustRightInd w:val="0"/>
        <w:ind w:left="0" w:firstLine="0"/>
        <w:rPr>
          <w:rFonts w:ascii="Times New Roman" w:eastAsia="TimesNewRoman" w:hAnsi="Times New Roman" w:cs="Times New Roman"/>
        </w:rPr>
      </w:pPr>
    </w:p>
    <w:p w14:paraId="2B578847"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4.8</w:t>
      </w:r>
      <w:r>
        <w:rPr>
          <w:rFonts w:ascii="Times New Roman" w:eastAsia="Times New Roman" w:hAnsi="Times New Roman" w:cs="Times New Roman"/>
          <w:b/>
          <w:kern w:val="28"/>
        </w:rPr>
        <w:tab/>
        <w:t>Nepageidaujamas poveikis</w:t>
      </w:r>
    </w:p>
    <w:p w14:paraId="5813C590" w14:textId="77777777" w:rsidR="008F7970" w:rsidRDefault="008F7970">
      <w:pPr>
        <w:widowControl w:val="0"/>
        <w:tabs>
          <w:tab w:val="left" w:pos="567"/>
        </w:tabs>
        <w:ind w:left="0" w:firstLine="0"/>
        <w:rPr>
          <w:rFonts w:ascii="Times New Roman" w:eastAsia="Times New Roman" w:hAnsi="Times New Roman" w:cs="Times New Roman"/>
          <w:iCs/>
        </w:rPr>
      </w:pPr>
    </w:p>
    <w:p w14:paraId="098F00E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iCs/>
        </w:rPr>
        <w:t xml:space="preserve">Nepageidaujamo poveikio dažnis apibūdinamas taip: </w:t>
      </w:r>
      <w:r>
        <w:rPr>
          <w:rFonts w:ascii="Times New Roman" w:eastAsia="Times New Roman" w:hAnsi="Times New Roman" w:cs="Times New Roman"/>
        </w:rPr>
        <w:t>labai dažnas (≥ 1/10), dažnas (nuo ≥ 1/100 iki &lt; 1/10), nedažnas (nuo ≥ 1/1 000 iki &lt; 1/100), retas (nuo ≥ 1/10 000 iki &lt; 1/1 000), labai retas (&lt; 1/10 000) ir nežinomas (negali būti apskaičiuotas pagal turimus duomenis).</w:t>
      </w:r>
    </w:p>
    <w:p w14:paraId="4E2169DD" w14:textId="77777777" w:rsidR="008F7970" w:rsidRDefault="008F7970">
      <w:pPr>
        <w:widowControl w:val="0"/>
        <w:tabs>
          <w:tab w:val="left" w:pos="567"/>
        </w:tabs>
        <w:ind w:left="0" w:firstLine="0"/>
        <w:rPr>
          <w:rFonts w:ascii="Times New Roman" w:eastAsia="Times New Roman" w:hAnsi="Times New Roman" w:cs="Times New Roman"/>
        </w:rPr>
      </w:pPr>
    </w:p>
    <w:p w14:paraId="72E730FA" w14:textId="77777777" w:rsidR="008F7970" w:rsidRDefault="00AD4BB2">
      <w:pPr>
        <w:autoSpaceDE w:val="0"/>
        <w:autoSpaceDN w:val="0"/>
        <w:adjustRightInd w:val="0"/>
        <w:ind w:left="0" w:firstLine="0"/>
        <w:rPr>
          <w:rFonts w:ascii="Times New Roman" w:eastAsia="Times New Roman" w:hAnsi="Times New Roman" w:cs="Times New Roman"/>
          <w:u w:val="single"/>
        </w:rPr>
      </w:pPr>
      <w:r>
        <w:rPr>
          <w:rFonts w:ascii="Times New Roman" w:eastAsia="Times New Roman" w:hAnsi="Times New Roman" w:cs="Times New Roman"/>
          <w:u w:val="single"/>
        </w:rPr>
        <w:t>Saugumo duomenų santrauka</w:t>
      </w:r>
    </w:p>
    <w:p w14:paraId="2A4EE407"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Kontroliuojamų klinikinių tyrimų metu, vartojant rekomenduojamas dozes, dėl nepageidaujamų reiškinių gydymą nutraukė mažiau nei 4 % pacientų, kuriems buvo skirtas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Kontroliuojamų klinikinių tyrimų metu dažniausiai pranešta su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vartojimu susijusi nepageidaujama reakcija buvo </w:t>
      </w: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w:t>
      </w:r>
    </w:p>
    <w:p w14:paraId="2F8EA81A" w14:textId="77777777" w:rsidR="008F7970" w:rsidRDefault="008F7970">
      <w:pPr>
        <w:autoSpaceDE w:val="0"/>
        <w:autoSpaceDN w:val="0"/>
        <w:adjustRightInd w:val="0"/>
        <w:ind w:left="0" w:firstLine="0"/>
        <w:rPr>
          <w:rFonts w:ascii="Times New Roman" w:eastAsia="Times New Roman" w:hAnsi="Times New Roman" w:cs="Times New Roman"/>
        </w:rPr>
      </w:pPr>
    </w:p>
    <w:p w14:paraId="0ED3B2D5"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Iki 112 savaičių trukmės klinikinių tyrimų metu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paros dozę 2 396 pacientai vartojo </w:t>
      </w:r>
      <w:proofErr w:type="spellStart"/>
      <w:r>
        <w:rPr>
          <w:rFonts w:ascii="Times New Roman" w:eastAsia="Times New Roman" w:hAnsi="Times New Roman" w:cs="Times New Roman"/>
        </w:rPr>
        <w:t>monoterapijai</w:t>
      </w:r>
      <w:proofErr w:type="spellEnd"/>
      <w:r>
        <w:rPr>
          <w:rFonts w:ascii="Times New Roman" w:eastAsia="Times New Roman" w:hAnsi="Times New Roman" w:cs="Times New Roman"/>
        </w:rPr>
        <w:t xml:space="preserve">, 11 308 − kartu su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185 – kartu su </w:t>
      </w:r>
      <w:proofErr w:type="spellStart"/>
      <w:r>
        <w:rPr>
          <w:rFonts w:ascii="Times New Roman" w:eastAsia="Times New Roman" w:hAnsi="Times New Roman" w:cs="Times New Roman"/>
        </w:rPr>
        <w:t>fenofibratu</w:t>
      </w:r>
      <w:proofErr w:type="spellEnd"/>
      <w:r>
        <w:rPr>
          <w:rFonts w:ascii="Times New Roman" w:eastAsia="Times New Roman" w:hAnsi="Times New Roman" w:cs="Times New Roman"/>
        </w:rPr>
        <w:t xml:space="preserve">. Nepageidaujamos reakcijos dažniausiai būdavo nesunkios ir laikinos. Bendrasis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placebo nepageidaujamo poveikio dažnis buvo panašus. Dėl nepageidaujamų reiškinių vartojimą nutraukė panašus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placebo vartojusių tiriamųjų skaičius.</w:t>
      </w:r>
    </w:p>
    <w:p w14:paraId="6A80507F" w14:textId="77777777" w:rsidR="008F7970" w:rsidRDefault="008F7970">
      <w:pPr>
        <w:autoSpaceDE w:val="0"/>
        <w:autoSpaceDN w:val="0"/>
        <w:adjustRightInd w:val="0"/>
        <w:ind w:left="0" w:firstLine="0"/>
        <w:rPr>
          <w:rFonts w:ascii="Times New Roman" w:eastAsia="Times New Roman" w:hAnsi="Times New Roman" w:cs="Times New Roman"/>
        </w:rPr>
      </w:pPr>
    </w:p>
    <w:p w14:paraId="579CFE0A" w14:textId="77777777" w:rsidR="008F7970" w:rsidRDefault="00AD4BB2">
      <w:pPr>
        <w:widowControl w:val="0"/>
        <w:tabs>
          <w:tab w:val="left" w:pos="567"/>
        </w:tabs>
        <w:ind w:left="0" w:firstLine="0"/>
        <w:rPr>
          <w:rFonts w:ascii="Times New Roman" w:eastAsia="Times New Roman" w:hAnsi="Times New Roman" w:cs="Times New Roman"/>
          <w:iCs/>
          <w:u w:val="single"/>
        </w:rPr>
      </w:pPr>
      <w:r>
        <w:rPr>
          <w:rFonts w:ascii="Times New Roman" w:eastAsia="Times New Roman" w:hAnsi="Times New Roman" w:cs="Times New Roman"/>
          <w:iCs/>
          <w:u w:val="single"/>
        </w:rPr>
        <w:t>Nepageidaujamų reakcijų santrauka lentelėje</w:t>
      </w:r>
    </w:p>
    <w:p w14:paraId="3CCAA0AC" w14:textId="77777777" w:rsidR="008F7970" w:rsidRDefault="008F7970">
      <w:pPr>
        <w:autoSpaceDE w:val="0"/>
        <w:autoSpaceDN w:val="0"/>
        <w:adjustRightInd w:val="0"/>
        <w:ind w:left="0" w:firstLine="0"/>
        <w:rPr>
          <w:rFonts w:ascii="Times New Roman" w:eastAsia="Times New Roman" w:hAnsi="Times New Roman" w:cs="Times New Roma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3951"/>
        <w:gridCol w:w="1536"/>
        <w:gridCol w:w="1437"/>
      </w:tblGrid>
      <w:tr w:rsidR="008F7970" w14:paraId="15B0A288" w14:textId="77777777">
        <w:tc>
          <w:tcPr>
            <w:tcW w:w="2376" w:type="dxa"/>
            <w:vMerge w:val="restart"/>
          </w:tcPr>
          <w:p w14:paraId="4482B48F" w14:textId="77777777" w:rsidR="008F7970" w:rsidRDefault="00AD4BB2">
            <w:pPr>
              <w:widowControl w:val="0"/>
              <w:tabs>
                <w:tab w:val="left" w:pos="567"/>
              </w:tabs>
              <w:ind w:left="0" w:firstLine="0"/>
              <w:rPr>
                <w:rFonts w:ascii="Times New Roman" w:eastAsia="Times New Roman" w:hAnsi="Times New Roman" w:cs="Times New Roman"/>
                <w:b/>
              </w:rPr>
            </w:pPr>
            <w:proofErr w:type="spellStart"/>
            <w:r>
              <w:rPr>
                <w:rFonts w:ascii="Times New Roman" w:eastAsia="Times New Roman" w:hAnsi="Times New Roman" w:cs="Times New Roman"/>
                <w:b/>
              </w:rPr>
              <w:t>MedDRA</w:t>
            </w:r>
            <w:proofErr w:type="spellEnd"/>
          </w:p>
          <w:p w14:paraId="6555B620" w14:textId="77777777" w:rsidR="008F7970" w:rsidRDefault="00AD4BB2">
            <w:pPr>
              <w:widowControl w:val="0"/>
              <w:tabs>
                <w:tab w:val="left" w:pos="567"/>
              </w:tabs>
              <w:ind w:left="0" w:firstLine="0"/>
              <w:rPr>
                <w:rFonts w:ascii="Times New Roman" w:eastAsia="Times New Roman" w:hAnsi="Times New Roman" w:cs="Times New Roman"/>
                <w:b/>
              </w:rPr>
            </w:pPr>
            <w:r>
              <w:rPr>
                <w:rFonts w:ascii="Times New Roman" w:eastAsia="Times New Roman" w:hAnsi="Times New Roman" w:cs="Times New Roman"/>
                <w:b/>
              </w:rPr>
              <w:t>Organų sistemų klasė</w:t>
            </w:r>
          </w:p>
        </w:tc>
        <w:tc>
          <w:tcPr>
            <w:tcW w:w="3969" w:type="dxa"/>
            <w:vMerge w:val="restart"/>
            <w:vAlign w:val="center"/>
          </w:tcPr>
          <w:p w14:paraId="2438E436" w14:textId="77777777" w:rsidR="008F7970" w:rsidRDefault="00AD4BB2">
            <w:pPr>
              <w:widowControl w:val="0"/>
              <w:tabs>
                <w:tab w:val="left" w:pos="567"/>
              </w:tabs>
              <w:ind w:left="0" w:firstLine="0"/>
              <w:rPr>
                <w:rFonts w:ascii="Times New Roman" w:eastAsia="Times New Roman" w:hAnsi="Times New Roman" w:cs="Times New Roman"/>
                <w:b/>
              </w:rPr>
            </w:pPr>
            <w:r>
              <w:rPr>
                <w:rFonts w:ascii="Times New Roman" w:eastAsia="Times New Roman" w:hAnsi="Times New Roman" w:cs="Times New Roman"/>
                <w:b/>
              </w:rPr>
              <w:t>Nepageidaujamas poveikis</w:t>
            </w:r>
          </w:p>
        </w:tc>
        <w:tc>
          <w:tcPr>
            <w:tcW w:w="2942" w:type="dxa"/>
            <w:gridSpan w:val="2"/>
            <w:vAlign w:val="center"/>
          </w:tcPr>
          <w:p w14:paraId="3597A563" w14:textId="77777777" w:rsidR="008F7970" w:rsidRDefault="00AD4BB2">
            <w:pPr>
              <w:widowControl w:val="0"/>
              <w:tabs>
                <w:tab w:val="left" w:pos="567"/>
              </w:tabs>
              <w:ind w:left="0" w:firstLine="0"/>
              <w:rPr>
                <w:rFonts w:ascii="Times New Roman" w:eastAsia="Times New Roman" w:hAnsi="Times New Roman" w:cs="Times New Roman"/>
                <w:b/>
              </w:rPr>
            </w:pPr>
            <w:r>
              <w:rPr>
                <w:rFonts w:ascii="Times New Roman" w:eastAsia="Times New Roman" w:hAnsi="Times New Roman" w:cs="Times New Roman"/>
                <w:b/>
              </w:rPr>
              <w:t>Dažnis</w:t>
            </w:r>
          </w:p>
        </w:tc>
      </w:tr>
      <w:tr w:rsidR="008F7970" w14:paraId="432C1E90" w14:textId="77777777">
        <w:tc>
          <w:tcPr>
            <w:tcW w:w="2376" w:type="dxa"/>
            <w:vMerge/>
          </w:tcPr>
          <w:p w14:paraId="3457ED89" w14:textId="77777777" w:rsidR="008F7970" w:rsidRDefault="008F7970">
            <w:pPr>
              <w:widowControl w:val="0"/>
              <w:tabs>
                <w:tab w:val="left" w:pos="567"/>
              </w:tabs>
              <w:ind w:left="0" w:firstLine="0"/>
              <w:rPr>
                <w:rFonts w:ascii="Times New Roman" w:eastAsia="Times New Roman" w:hAnsi="Times New Roman" w:cs="Times New Roman"/>
                <w:b/>
              </w:rPr>
            </w:pPr>
          </w:p>
        </w:tc>
        <w:tc>
          <w:tcPr>
            <w:tcW w:w="3969" w:type="dxa"/>
            <w:vMerge/>
            <w:vAlign w:val="center"/>
          </w:tcPr>
          <w:p w14:paraId="2C40681A" w14:textId="77777777" w:rsidR="008F7970" w:rsidRDefault="008F7970">
            <w:pPr>
              <w:widowControl w:val="0"/>
              <w:tabs>
                <w:tab w:val="left" w:pos="567"/>
              </w:tabs>
              <w:ind w:left="0" w:firstLine="0"/>
              <w:rPr>
                <w:rFonts w:ascii="Times New Roman" w:eastAsia="Times New Roman" w:hAnsi="Times New Roman" w:cs="Times New Roman"/>
                <w:b/>
              </w:rPr>
            </w:pPr>
          </w:p>
        </w:tc>
        <w:tc>
          <w:tcPr>
            <w:tcW w:w="1503" w:type="dxa"/>
            <w:vAlign w:val="center"/>
          </w:tcPr>
          <w:p w14:paraId="3DE6844A" w14:textId="77777777" w:rsidR="008F7970" w:rsidRDefault="00AD4BB2">
            <w:pPr>
              <w:widowControl w:val="0"/>
              <w:tabs>
                <w:tab w:val="left" w:pos="567"/>
              </w:tabs>
              <w:ind w:left="0" w:firstLine="0"/>
              <w:rPr>
                <w:rFonts w:ascii="Times New Roman" w:eastAsia="Times New Roman" w:hAnsi="Times New Roman" w:cs="Times New Roman"/>
                <w:b/>
              </w:rPr>
            </w:pPr>
            <w:proofErr w:type="spellStart"/>
            <w:r>
              <w:rPr>
                <w:rFonts w:ascii="Times New Roman" w:eastAsia="Times New Roman" w:hAnsi="Times New Roman" w:cs="Times New Roman"/>
                <w:b/>
              </w:rPr>
              <w:t>Pitavastatinas</w:t>
            </w:r>
            <w:proofErr w:type="spellEnd"/>
          </w:p>
        </w:tc>
        <w:tc>
          <w:tcPr>
            <w:tcW w:w="1439" w:type="dxa"/>
            <w:vAlign w:val="center"/>
          </w:tcPr>
          <w:p w14:paraId="4F6DD25D" w14:textId="77777777" w:rsidR="008F7970" w:rsidRDefault="00AD4BB2">
            <w:pPr>
              <w:widowControl w:val="0"/>
              <w:tabs>
                <w:tab w:val="left" w:pos="567"/>
              </w:tabs>
              <w:ind w:left="0" w:firstLine="0"/>
              <w:rPr>
                <w:rFonts w:ascii="Times New Roman" w:eastAsia="Times New Roman" w:hAnsi="Times New Roman" w:cs="Times New Roman"/>
                <w:b/>
              </w:rPr>
            </w:pPr>
            <w:proofErr w:type="spellStart"/>
            <w:r>
              <w:rPr>
                <w:rFonts w:ascii="Times New Roman" w:eastAsia="Times New Roman" w:hAnsi="Times New Roman" w:cs="Times New Roman"/>
                <w:b/>
              </w:rPr>
              <w:t>Ezetimibas</w:t>
            </w:r>
            <w:proofErr w:type="spellEnd"/>
          </w:p>
        </w:tc>
      </w:tr>
      <w:tr w:rsidR="008F7970" w14:paraId="2CA5C879" w14:textId="77777777">
        <w:tc>
          <w:tcPr>
            <w:tcW w:w="2376" w:type="dxa"/>
            <w:vMerge w:val="restart"/>
          </w:tcPr>
          <w:p w14:paraId="0E9D5FEB"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Kraujo ir limfinės sistemos sutrikimai</w:t>
            </w:r>
          </w:p>
        </w:tc>
        <w:tc>
          <w:tcPr>
            <w:tcW w:w="3969" w:type="dxa"/>
            <w:vAlign w:val="center"/>
          </w:tcPr>
          <w:p w14:paraId="46757989"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Anemija</w:t>
            </w:r>
          </w:p>
        </w:tc>
        <w:tc>
          <w:tcPr>
            <w:tcW w:w="1503" w:type="dxa"/>
            <w:vAlign w:val="center"/>
          </w:tcPr>
          <w:p w14:paraId="23C45B55"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3EF0883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7F2DCE49" w14:textId="77777777">
        <w:tc>
          <w:tcPr>
            <w:tcW w:w="2376" w:type="dxa"/>
            <w:vMerge/>
          </w:tcPr>
          <w:p w14:paraId="6F08896B"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358CC84E"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Trombocitopenija</w:t>
            </w:r>
            <w:proofErr w:type="spellEnd"/>
          </w:p>
        </w:tc>
        <w:tc>
          <w:tcPr>
            <w:tcW w:w="1503" w:type="dxa"/>
            <w:vAlign w:val="center"/>
          </w:tcPr>
          <w:p w14:paraId="74ED2AA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498B46F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34A6C802" w14:textId="77777777">
        <w:tc>
          <w:tcPr>
            <w:tcW w:w="2376" w:type="dxa"/>
          </w:tcPr>
          <w:p w14:paraId="1B4FC9F2"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Imuninės sistemos sutrikimas</w:t>
            </w:r>
          </w:p>
        </w:tc>
        <w:tc>
          <w:tcPr>
            <w:tcW w:w="3969" w:type="dxa"/>
            <w:vAlign w:val="center"/>
          </w:tcPr>
          <w:p w14:paraId="5F031377"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 xml:space="preserve">Padidėjęs jautrumas, </w:t>
            </w:r>
            <w:proofErr w:type="spellStart"/>
            <w:r>
              <w:rPr>
                <w:rFonts w:ascii="Times New Roman" w:eastAsia="Times New Roman" w:hAnsi="Times New Roman" w:cs="Times New Roman"/>
              </w:rPr>
              <w:t>anafilaksija</w:t>
            </w:r>
            <w:proofErr w:type="spellEnd"/>
          </w:p>
        </w:tc>
        <w:tc>
          <w:tcPr>
            <w:tcW w:w="1503" w:type="dxa"/>
            <w:vAlign w:val="center"/>
          </w:tcPr>
          <w:p w14:paraId="140EB22C"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12D5F1B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3AF52CD4" w14:textId="77777777">
        <w:tc>
          <w:tcPr>
            <w:tcW w:w="2376" w:type="dxa"/>
            <w:vMerge w:val="restart"/>
          </w:tcPr>
          <w:p w14:paraId="7D53B5FC" w14:textId="77777777" w:rsidR="008F7970" w:rsidRDefault="00AD4BB2">
            <w:pPr>
              <w:widowControl w:val="0"/>
              <w:tabs>
                <w:tab w:val="left" w:pos="567"/>
              </w:tabs>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Metabolizmo ir mitybos sutrikimai</w:t>
            </w:r>
          </w:p>
        </w:tc>
        <w:tc>
          <w:tcPr>
            <w:tcW w:w="3969" w:type="dxa"/>
            <w:vAlign w:val="center"/>
          </w:tcPr>
          <w:p w14:paraId="0F798CC5" w14:textId="77777777" w:rsidR="008F7970" w:rsidRDefault="00AD4BB2">
            <w:pPr>
              <w:widowControl w:val="0"/>
              <w:tabs>
                <w:tab w:val="left" w:pos="1315"/>
              </w:tabs>
              <w:ind w:left="0" w:firstLine="0"/>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t>Anoreksija</w:t>
            </w:r>
          </w:p>
        </w:tc>
        <w:tc>
          <w:tcPr>
            <w:tcW w:w="1503" w:type="dxa"/>
            <w:vAlign w:val="center"/>
          </w:tcPr>
          <w:p w14:paraId="451A1DBC"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c>
          <w:tcPr>
            <w:tcW w:w="1439" w:type="dxa"/>
            <w:vAlign w:val="center"/>
          </w:tcPr>
          <w:p w14:paraId="15F389AB"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w:t>
            </w:r>
          </w:p>
        </w:tc>
      </w:tr>
      <w:tr w:rsidR="008F7970" w14:paraId="4B731147" w14:textId="77777777">
        <w:tc>
          <w:tcPr>
            <w:tcW w:w="2376" w:type="dxa"/>
            <w:vMerge/>
          </w:tcPr>
          <w:p w14:paraId="6AC59455" w14:textId="77777777" w:rsidR="008F7970" w:rsidRDefault="008F7970">
            <w:pPr>
              <w:widowControl w:val="0"/>
              <w:tabs>
                <w:tab w:val="left" w:pos="567"/>
              </w:tabs>
              <w:ind w:left="0" w:firstLine="0"/>
              <w:rPr>
                <w:rFonts w:ascii="Times New Roman" w:eastAsia="Times New Roman" w:hAnsi="Times New Roman" w:cs="Times New Roman"/>
                <w:i/>
                <w:lang w:eastAsia="sl-SI"/>
              </w:rPr>
            </w:pPr>
          </w:p>
        </w:tc>
        <w:tc>
          <w:tcPr>
            <w:tcW w:w="3969" w:type="dxa"/>
            <w:vAlign w:val="center"/>
          </w:tcPr>
          <w:p w14:paraId="38D8807C" w14:textId="77777777" w:rsidR="008F7970" w:rsidRDefault="00AD4BB2">
            <w:pPr>
              <w:widowControl w:val="0"/>
              <w:tabs>
                <w:tab w:val="left" w:pos="1315"/>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Sumažėjęs apetitas</w:t>
            </w:r>
          </w:p>
        </w:tc>
        <w:tc>
          <w:tcPr>
            <w:tcW w:w="1503" w:type="dxa"/>
            <w:vAlign w:val="center"/>
          </w:tcPr>
          <w:p w14:paraId="64C5D569"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9" w:type="dxa"/>
            <w:vAlign w:val="center"/>
          </w:tcPr>
          <w:p w14:paraId="1498F81C"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r>
      <w:tr w:rsidR="008F7970" w14:paraId="4E93292C" w14:textId="77777777">
        <w:tc>
          <w:tcPr>
            <w:tcW w:w="2376" w:type="dxa"/>
            <w:vMerge w:val="restart"/>
          </w:tcPr>
          <w:p w14:paraId="186AB919"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Psichikos sutrikimai</w:t>
            </w:r>
          </w:p>
        </w:tc>
        <w:tc>
          <w:tcPr>
            <w:tcW w:w="3969" w:type="dxa"/>
            <w:vAlign w:val="center"/>
          </w:tcPr>
          <w:p w14:paraId="514BA190"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Nemiga</w:t>
            </w:r>
          </w:p>
        </w:tc>
        <w:tc>
          <w:tcPr>
            <w:tcW w:w="1503" w:type="dxa"/>
            <w:vAlign w:val="center"/>
          </w:tcPr>
          <w:p w14:paraId="5D81F4F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5D9F97E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353BD150" w14:textId="77777777">
        <w:tc>
          <w:tcPr>
            <w:tcW w:w="2376" w:type="dxa"/>
            <w:vMerge/>
          </w:tcPr>
          <w:p w14:paraId="7E9F55EC"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41B02FE0"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Depresija</w:t>
            </w:r>
          </w:p>
        </w:tc>
        <w:tc>
          <w:tcPr>
            <w:tcW w:w="1503" w:type="dxa"/>
            <w:vAlign w:val="center"/>
          </w:tcPr>
          <w:p w14:paraId="1F29890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1779C30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599BC5D8" w14:textId="77777777">
        <w:tc>
          <w:tcPr>
            <w:tcW w:w="2376" w:type="dxa"/>
            <w:vMerge w:val="restart"/>
          </w:tcPr>
          <w:p w14:paraId="52D9C7DF"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Nervų sistemos sutrikimai</w:t>
            </w:r>
          </w:p>
        </w:tc>
        <w:tc>
          <w:tcPr>
            <w:tcW w:w="3969" w:type="dxa"/>
            <w:vAlign w:val="center"/>
          </w:tcPr>
          <w:p w14:paraId="07D59FBD"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tc>
        <w:tc>
          <w:tcPr>
            <w:tcW w:w="1503" w:type="dxa"/>
            <w:vAlign w:val="center"/>
          </w:tcPr>
          <w:p w14:paraId="295DD47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c>
          <w:tcPr>
            <w:tcW w:w="1439" w:type="dxa"/>
            <w:vAlign w:val="center"/>
          </w:tcPr>
          <w:p w14:paraId="0FAC21D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227279AB" w14:textId="77777777">
        <w:tc>
          <w:tcPr>
            <w:tcW w:w="2376" w:type="dxa"/>
            <w:vMerge/>
          </w:tcPr>
          <w:p w14:paraId="4801CFE7"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891A1FE"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Parestezija</w:t>
            </w:r>
            <w:proofErr w:type="spellEnd"/>
          </w:p>
        </w:tc>
        <w:tc>
          <w:tcPr>
            <w:tcW w:w="1503" w:type="dxa"/>
            <w:vAlign w:val="center"/>
          </w:tcPr>
          <w:p w14:paraId="5600554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65D473FC"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72B7DDB2" w14:textId="77777777">
        <w:tc>
          <w:tcPr>
            <w:tcW w:w="2376" w:type="dxa"/>
            <w:vMerge/>
          </w:tcPr>
          <w:p w14:paraId="1CB256E9"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0BCEE8F"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tc>
        <w:tc>
          <w:tcPr>
            <w:tcW w:w="1503" w:type="dxa"/>
            <w:vAlign w:val="center"/>
          </w:tcPr>
          <w:p w14:paraId="6B18831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266B055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4581B0AF" w14:textId="77777777">
        <w:tc>
          <w:tcPr>
            <w:tcW w:w="2376" w:type="dxa"/>
            <w:vMerge/>
          </w:tcPr>
          <w:p w14:paraId="12C0FDBD"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10D2E9BF"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Skonio pojūčio sutrikimas, mieguistumas (</w:t>
            </w:r>
            <w:proofErr w:type="spellStart"/>
            <w:r>
              <w:rPr>
                <w:rFonts w:ascii="Times New Roman" w:eastAsia="Times New Roman" w:hAnsi="Times New Roman" w:cs="Times New Roman"/>
                <w:lang w:eastAsia="sl-SI"/>
              </w:rPr>
              <w:t>somnolencija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hipestezija</w:t>
            </w:r>
            <w:proofErr w:type="spellEnd"/>
          </w:p>
        </w:tc>
        <w:tc>
          <w:tcPr>
            <w:tcW w:w="1503" w:type="dxa"/>
            <w:vAlign w:val="center"/>
          </w:tcPr>
          <w:p w14:paraId="065DECB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5C4E5E3A"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02830FFF" w14:textId="77777777">
        <w:tc>
          <w:tcPr>
            <w:tcW w:w="2376" w:type="dxa"/>
            <w:vMerge/>
          </w:tcPr>
          <w:p w14:paraId="1B640CB5"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68483B24" w14:textId="77777777" w:rsidR="008F7970" w:rsidRDefault="00AD4BB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rPr>
              <w:t>Generalizuota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miastenija</w:t>
            </w:r>
            <w:proofErr w:type="spellEnd"/>
          </w:p>
        </w:tc>
        <w:tc>
          <w:tcPr>
            <w:tcW w:w="1503" w:type="dxa"/>
            <w:vAlign w:val="center"/>
          </w:tcPr>
          <w:p w14:paraId="3611C78B"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c>
          <w:tcPr>
            <w:tcW w:w="1439" w:type="dxa"/>
            <w:vAlign w:val="center"/>
          </w:tcPr>
          <w:p w14:paraId="6320F5D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5BF3D6B0" w14:textId="77777777">
        <w:tc>
          <w:tcPr>
            <w:tcW w:w="2376" w:type="dxa"/>
            <w:vMerge w:val="restart"/>
          </w:tcPr>
          <w:p w14:paraId="79095E88"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Akių sutrikimai</w:t>
            </w:r>
          </w:p>
        </w:tc>
        <w:tc>
          <w:tcPr>
            <w:tcW w:w="3969" w:type="dxa"/>
            <w:vAlign w:val="center"/>
          </w:tcPr>
          <w:p w14:paraId="777C90C0"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Regos aštrumo sumažėjimas</w:t>
            </w:r>
          </w:p>
        </w:tc>
        <w:tc>
          <w:tcPr>
            <w:tcW w:w="1503" w:type="dxa"/>
            <w:vAlign w:val="center"/>
          </w:tcPr>
          <w:p w14:paraId="00CA049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611E216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404B07DF" w14:textId="77777777">
        <w:tc>
          <w:tcPr>
            <w:tcW w:w="2376" w:type="dxa"/>
            <w:vMerge/>
          </w:tcPr>
          <w:p w14:paraId="34800FAE"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2FE655B6"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Akių </w:t>
            </w:r>
            <w:proofErr w:type="spellStart"/>
            <w:r>
              <w:rPr>
                <w:rFonts w:ascii="Times New Roman" w:eastAsia="Times New Roman" w:hAnsi="Times New Roman" w:cs="Times New Roman"/>
                <w:lang w:eastAsia="sl-SI"/>
              </w:rPr>
              <w:t>miastenija</w:t>
            </w:r>
            <w:proofErr w:type="spellEnd"/>
          </w:p>
        </w:tc>
        <w:tc>
          <w:tcPr>
            <w:tcW w:w="1503" w:type="dxa"/>
            <w:vAlign w:val="center"/>
          </w:tcPr>
          <w:p w14:paraId="3272F63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c>
          <w:tcPr>
            <w:tcW w:w="1439" w:type="dxa"/>
            <w:vAlign w:val="center"/>
          </w:tcPr>
          <w:p w14:paraId="7F5D7B2A"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51ADD31C" w14:textId="77777777">
        <w:tc>
          <w:tcPr>
            <w:tcW w:w="2376" w:type="dxa"/>
          </w:tcPr>
          <w:p w14:paraId="1979DB8B"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Ausų ir labirintų sutrikimai</w:t>
            </w:r>
          </w:p>
        </w:tc>
        <w:tc>
          <w:tcPr>
            <w:tcW w:w="3969" w:type="dxa"/>
            <w:vAlign w:val="center"/>
          </w:tcPr>
          <w:p w14:paraId="72E81BB1"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napToGrid w:val="0"/>
              </w:rPr>
              <w:t>Ūžesys (</w:t>
            </w:r>
            <w:proofErr w:type="spellStart"/>
            <w:r>
              <w:rPr>
                <w:rFonts w:ascii="Times New Roman" w:eastAsia="Times New Roman" w:hAnsi="Times New Roman" w:cs="Times New Roman"/>
                <w:i/>
                <w:iCs/>
                <w:snapToGrid w:val="0"/>
              </w:rPr>
              <w:t>tinnitus</w:t>
            </w:r>
            <w:proofErr w:type="spellEnd"/>
            <w:r>
              <w:rPr>
                <w:rFonts w:ascii="Times New Roman" w:eastAsia="Times New Roman" w:hAnsi="Times New Roman" w:cs="Times New Roman"/>
                <w:snapToGrid w:val="0"/>
              </w:rPr>
              <w:t>)</w:t>
            </w:r>
          </w:p>
        </w:tc>
        <w:tc>
          <w:tcPr>
            <w:tcW w:w="1503" w:type="dxa"/>
            <w:vAlign w:val="center"/>
          </w:tcPr>
          <w:p w14:paraId="4D7B37FB"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0B1F7A9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22E59C71" w14:textId="77777777">
        <w:trPr>
          <w:trHeight w:val="275"/>
        </w:trPr>
        <w:tc>
          <w:tcPr>
            <w:tcW w:w="2376" w:type="dxa"/>
          </w:tcPr>
          <w:p w14:paraId="1488A920" w14:textId="77777777" w:rsidR="008F7970" w:rsidRDefault="00AD4BB2">
            <w:pPr>
              <w:widowControl w:val="0"/>
              <w:tabs>
                <w:tab w:val="left" w:pos="567"/>
              </w:tabs>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Kraujagyslių sutrikimai</w:t>
            </w:r>
          </w:p>
        </w:tc>
        <w:tc>
          <w:tcPr>
            <w:tcW w:w="3969" w:type="dxa"/>
            <w:vAlign w:val="center"/>
          </w:tcPr>
          <w:p w14:paraId="59CCDCD5"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napToGrid w:val="0"/>
              </w:rPr>
              <w:t>Karščio pylimas</w:t>
            </w:r>
            <w:r>
              <w:rPr>
                <w:rFonts w:ascii="Times New Roman" w:eastAsia="Times New Roman" w:hAnsi="Times New Roman" w:cs="Times New Roman"/>
                <w:lang w:eastAsia="sl-SI"/>
              </w:rPr>
              <w:t>, hipertenzija</w:t>
            </w:r>
          </w:p>
        </w:tc>
        <w:tc>
          <w:tcPr>
            <w:tcW w:w="1503" w:type="dxa"/>
            <w:vAlign w:val="center"/>
          </w:tcPr>
          <w:p w14:paraId="2340B7AA"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rPr>
              <w:t>–</w:t>
            </w:r>
          </w:p>
        </w:tc>
        <w:tc>
          <w:tcPr>
            <w:tcW w:w="1439" w:type="dxa"/>
            <w:vAlign w:val="center"/>
          </w:tcPr>
          <w:p w14:paraId="04D2B7E6"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rPr>
              <w:t>Nedažnas</w:t>
            </w:r>
          </w:p>
        </w:tc>
      </w:tr>
      <w:tr w:rsidR="008F7970" w14:paraId="00331664" w14:textId="77777777">
        <w:trPr>
          <w:trHeight w:val="275"/>
        </w:trPr>
        <w:tc>
          <w:tcPr>
            <w:tcW w:w="2376" w:type="dxa"/>
            <w:vMerge w:val="restart"/>
          </w:tcPr>
          <w:p w14:paraId="5DAF6321"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Kvėpavimo sistemos; krūtinės ląstos ir tarpuplaučio sutrikimai</w:t>
            </w:r>
          </w:p>
        </w:tc>
        <w:tc>
          <w:tcPr>
            <w:tcW w:w="3969" w:type="dxa"/>
            <w:vAlign w:val="center"/>
          </w:tcPr>
          <w:p w14:paraId="2C7ADF27"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Kosulys</w:t>
            </w:r>
          </w:p>
        </w:tc>
        <w:tc>
          <w:tcPr>
            <w:tcW w:w="1503" w:type="dxa"/>
            <w:vAlign w:val="center"/>
          </w:tcPr>
          <w:p w14:paraId="00CF9FC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3832640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07719DCD" w14:textId="77777777">
        <w:tc>
          <w:tcPr>
            <w:tcW w:w="2376" w:type="dxa"/>
            <w:vMerge/>
          </w:tcPr>
          <w:p w14:paraId="42EEB6B8"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5AE49A1E"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Dusulys</w:t>
            </w:r>
          </w:p>
        </w:tc>
        <w:tc>
          <w:tcPr>
            <w:tcW w:w="1503" w:type="dxa"/>
            <w:vAlign w:val="center"/>
          </w:tcPr>
          <w:p w14:paraId="0EF960FF"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100ABFE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3B234012" w14:textId="77777777">
        <w:tc>
          <w:tcPr>
            <w:tcW w:w="2376" w:type="dxa"/>
            <w:vMerge w:val="restart"/>
          </w:tcPr>
          <w:p w14:paraId="2CBF6584"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Virškinimo trakto sutrikimai</w:t>
            </w:r>
          </w:p>
        </w:tc>
        <w:tc>
          <w:tcPr>
            <w:tcW w:w="3969" w:type="dxa"/>
            <w:vAlign w:val="center"/>
          </w:tcPr>
          <w:p w14:paraId="45A63A97"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Viduriavimas</w:t>
            </w:r>
          </w:p>
        </w:tc>
        <w:tc>
          <w:tcPr>
            <w:tcW w:w="1503" w:type="dxa"/>
            <w:vAlign w:val="center"/>
          </w:tcPr>
          <w:p w14:paraId="1522913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c>
          <w:tcPr>
            <w:tcW w:w="1439" w:type="dxa"/>
            <w:vAlign w:val="center"/>
          </w:tcPr>
          <w:p w14:paraId="6A28D29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31E2ED23" w14:textId="77777777">
        <w:tc>
          <w:tcPr>
            <w:tcW w:w="2376" w:type="dxa"/>
            <w:vMerge/>
          </w:tcPr>
          <w:p w14:paraId="525DD73E"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75174428"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Pilvo pūtimas</w:t>
            </w:r>
          </w:p>
        </w:tc>
        <w:tc>
          <w:tcPr>
            <w:tcW w:w="1503" w:type="dxa"/>
            <w:vAlign w:val="center"/>
          </w:tcPr>
          <w:p w14:paraId="189E9C2F"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17DA6F0C"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06D80949" w14:textId="77777777">
        <w:tc>
          <w:tcPr>
            <w:tcW w:w="2376" w:type="dxa"/>
            <w:vMerge/>
          </w:tcPr>
          <w:p w14:paraId="69B02005"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24C94486"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Pilvo skausmas</w:t>
            </w:r>
          </w:p>
        </w:tc>
        <w:tc>
          <w:tcPr>
            <w:tcW w:w="1503" w:type="dxa"/>
            <w:vAlign w:val="center"/>
          </w:tcPr>
          <w:p w14:paraId="585680F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099DD3E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0943EFC5" w14:textId="77777777">
        <w:tc>
          <w:tcPr>
            <w:tcW w:w="2376" w:type="dxa"/>
            <w:vMerge/>
          </w:tcPr>
          <w:p w14:paraId="28E8F55C"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C199AF9"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Dispepsija, pykinimas</w:t>
            </w:r>
          </w:p>
        </w:tc>
        <w:tc>
          <w:tcPr>
            <w:tcW w:w="1503" w:type="dxa"/>
            <w:vAlign w:val="center"/>
          </w:tcPr>
          <w:p w14:paraId="4D5B000C"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c>
          <w:tcPr>
            <w:tcW w:w="1439" w:type="dxa"/>
            <w:vAlign w:val="center"/>
          </w:tcPr>
          <w:p w14:paraId="371DB20A"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18122B81" w14:textId="77777777">
        <w:tc>
          <w:tcPr>
            <w:tcW w:w="2376" w:type="dxa"/>
            <w:vMerge/>
          </w:tcPr>
          <w:p w14:paraId="0E520CA5"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7CBBD2A1"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lang w:eastAsia="sl-SI"/>
              </w:rPr>
              <w:t>Gastroezofaginio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liga, gastritas</w:t>
            </w:r>
          </w:p>
        </w:tc>
        <w:tc>
          <w:tcPr>
            <w:tcW w:w="1503" w:type="dxa"/>
            <w:vAlign w:val="center"/>
          </w:tcPr>
          <w:p w14:paraId="4C8C6FA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42A3918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7D00E201" w14:textId="77777777">
        <w:tc>
          <w:tcPr>
            <w:tcW w:w="2376" w:type="dxa"/>
            <w:vMerge/>
          </w:tcPr>
          <w:p w14:paraId="0C1BB055"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1D4876C3"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Vidurių užkietėjimas</w:t>
            </w:r>
          </w:p>
        </w:tc>
        <w:tc>
          <w:tcPr>
            <w:tcW w:w="1503" w:type="dxa"/>
            <w:vAlign w:val="center"/>
          </w:tcPr>
          <w:p w14:paraId="0000CE1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c>
          <w:tcPr>
            <w:tcW w:w="1439" w:type="dxa"/>
            <w:vAlign w:val="center"/>
          </w:tcPr>
          <w:p w14:paraId="39EE10A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2D32F795" w14:textId="77777777">
        <w:tc>
          <w:tcPr>
            <w:tcW w:w="2376" w:type="dxa"/>
            <w:vMerge/>
          </w:tcPr>
          <w:p w14:paraId="25EB2F1C"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4A7B0AA1"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lang w:eastAsia="sl-SI"/>
              </w:rPr>
              <w:t>Sausa burna</w:t>
            </w:r>
          </w:p>
        </w:tc>
        <w:tc>
          <w:tcPr>
            <w:tcW w:w="1503" w:type="dxa"/>
            <w:vAlign w:val="center"/>
          </w:tcPr>
          <w:p w14:paraId="6D53AAF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3DD19AF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3260E736" w14:textId="77777777">
        <w:tc>
          <w:tcPr>
            <w:tcW w:w="2376" w:type="dxa"/>
            <w:vMerge/>
          </w:tcPr>
          <w:p w14:paraId="1750E0A7"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14C73220"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Vėmimas</w:t>
            </w:r>
          </w:p>
        </w:tc>
        <w:tc>
          <w:tcPr>
            <w:tcW w:w="1503" w:type="dxa"/>
            <w:vAlign w:val="center"/>
          </w:tcPr>
          <w:p w14:paraId="38DAA5BB"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3714C1F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03508CE0" w14:textId="77777777">
        <w:tc>
          <w:tcPr>
            <w:tcW w:w="2376" w:type="dxa"/>
            <w:vMerge/>
          </w:tcPr>
          <w:p w14:paraId="4A92BFFC"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7ADBF751"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Glosodinija</w:t>
            </w:r>
            <w:proofErr w:type="spellEnd"/>
            <w:r>
              <w:rPr>
                <w:rFonts w:ascii="Times New Roman" w:eastAsia="Times New Roman" w:hAnsi="Times New Roman" w:cs="Times New Roman"/>
              </w:rPr>
              <w:t>, nemalonus pojūtis pilve</w:t>
            </w:r>
          </w:p>
        </w:tc>
        <w:tc>
          <w:tcPr>
            <w:tcW w:w="1503" w:type="dxa"/>
            <w:vAlign w:val="center"/>
          </w:tcPr>
          <w:p w14:paraId="63ABD749"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526EE4E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27C2A9BD" w14:textId="77777777">
        <w:tc>
          <w:tcPr>
            <w:tcW w:w="2376" w:type="dxa"/>
            <w:vMerge/>
          </w:tcPr>
          <w:p w14:paraId="443912C4"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5C91B52E"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Pankreatitas</w:t>
            </w:r>
          </w:p>
        </w:tc>
        <w:tc>
          <w:tcPr>
            <w:tcW w:w="1503" w:type="dxa"/>
            <w:vAlign w:val="center"/>
          </w:tcPr>
          <w:p w14:paraId="5CE09D9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300AC209"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2EC50523" w14:textId="77777777">
        <w:tc>
          <w:tcPr>
            <w:tcW w:w="2376" w:type="dxa"/>
            <w:vMerge w:val="restart"/>
          </w:tcPr>
          <w:p w14:paraId="71F682A9"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Kepenų, tulžies pūslės ir latakų sutrikimai</w:t>
            </w:r>
          </w:p>
        </w:tc>
        <w:tc>
          <w:tcPr>
            <w:tcW w:w="3969" w:type="dxa"/>
            <w:vAlign w:val="center"/>
          </w:tcPr>
          <w:p w14:paraId="18FF86C8"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aspartato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aminotransferazės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alanino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aminotransferazės</w:t>
            </w:r>
            <w:proofErr w:type="spellEnd"/>
            <w:r>
              <w:rPr>
                <w:rFonts w:ascii="Times New Roman" w:eastAsia="Times New Roman" w:hAnsi="Times New Roman" w:cs="Times New Roman"/>
              </w:rPr>
              <w:t>) aktyvumo padidėjimas</w:t>
            </w:r>
          </w:p>
        </w:tc>
        <w:tc>
          <w:tcPr>
            <w:tcW w:w="1503" w:type="dxa"/>
            <w:vAlign w:val="center"/>
          </w:tcPr>
          <w:p w14:paraId="1DE2640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11240AF5"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5E673A1E" w14:textId="77777777">
        <w:trPr>
          <w:trHeight w:val="112"/>
        </w:trPr>
        <w:tc>
          <w:tcPr>
            <w:tcW w:w="2376" w:type="dxa"/>
            <w:vMerge/>
          </w:tcPr>
          <w:p w14:paraId="5762E907"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8929F2B" w14:textId="77777777" w:rsidR="008F7970" w:rsidRDefault="00AD4BB2">
            <w:pPr>
              <w:widowControl w:val="0"/>
              <w:ind w:left="0" w:firstLine="0"/>
              <w:rPr>
                <w:rFonts w:ascii="Times New Roman" w:eastAsia="Times New Roman" w:hAnsi="Times New Roman" w:cs="Times New Roman"/>
              </w:rPr>
            </w:pPr>
            <w:proofErr w:type="spellStart"/>
            <w:r>
              <w:rPr>
                <w:rFonts w:ascii="Times New Roman" w:eastAsia="Times New Roman" w:hAnsi="Times New Roman" w:cs="Times New Roman"/>
              </w:rPr>
              <w:t>Cholestazinė</w:t>
            </w:r>
            <w:proofErr w:type="spellEnd"/>
            <w:r>
              <w:rPr>
                <w:rFonts w:ascii="Times New Roman" w:eastAsia="Times New Roman" w:hAnsi="Times New Roman" w:cs="Times New Roman"/>
              </w:rPr>
              <w:t xml:space="preserve"> gelta, sutrikusi </w:t>
            </w:r>
            <w:r>
              <w:rPr>
                <w:rFonts w:ascii="Times New Roman" w:eastAsia="Times New Roman" w:hAnsi="Times New Roman" w:cs="Times New Roman"/>
                <w:lang w:eastAsia="sl-SI"/>
              </w:rPr>
              <w:t>kepenų funkcija, kepenų sutrikimas</w:t>
            </w:r>
          </w:p>
        </w:tc>
        <w:tc>
          <w:tcPr>
            <w:tcW w:w="1503" w:type="dxa"/>
            <w:vAlign w:val="center"/>
          </w:tcPr>
          <w:p w14:paraId="7BF0DE2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628689F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33145A97" w14:textId="77777777">
        <w:tc>
          <w:tcPr>
            <w:tcW w:w="2376" w:type="dxa"/>
            <w:vMerge/>
          </w:tcPr>
          <w:p w14:paraId="392D80FE"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21BA5FED"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Hepatitas, tulžies pūslės akmenligė; cholecistitas</w:t>
            </w:r>
          </w:p>
        </w:tc>
        <w:tc>
          <w:tcPr>
            <w:tcW w:w="1503" w:type="dxa"/>
            <w:vAlign w:val="center"/>
          </w:tcPr>
          <w:p w14:paraId="05FEBDC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18C4058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638AFB29" w14:textId="77777777">
        <w:tc>
          <w:tcPr>
            <w:tcW w:w="2376" w:type="dxa"/>
            <w:vMerge w:val="restart"/>
          </w:tcPr>
          <w:p w14:paraId="2EE43131"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Odos ir poodinio audinio sutrikimai</w:t>
            </w:r>
          </w:p>
        </w:tc>
        <w:tc>
          <w:tcPr>
            <w:tcW w:w="3969" w:type="dxa"/>
            <w:vAlign w:val="center"/>
          </w:tcPr>
          <w:p w14:paraId="033FF295"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Niežėjimas, bėrimas</w:t>
            </w:r>
          </w:p>
        </w:tc>
        <w:tc>
          <w:tcPr>
            <w:tcW w:w="1503" w:type="dxa"/>
            <w:vAlign w:val="center"/>
          </w:tcPr>
          <w:p w14:paraId="4749E01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7825F73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689FAF21" w14:textId="77777777">
        <w:tc>
          <w:tcPr>
            <w:tcW w:w="2376" w:type="dxa"/>
            <w:vMerge/>
          </w:tcPr>
          <w:p w14:paraId="65D234A0"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4C39CB12"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Dilgėlinė</w:t>
            </w:r>
          </w:p>
        </w:tc>
        <w:tc>
          <w:tcPr>
            <w:tcW w:w="1503" w:type="dxa"/>
            <w:vAlign w:val="center"/>
          </w:tcPr>
          <w:p w14:paraId="60304F6C"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3863D2E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33F7C536" w14:textId="77777777">
        <w:tc>
          <w:tcPr>
            <w:tcW w:w="2376" w:type="dxa"/>
            <w:vMerge/>
          </w:tcPr>
          <w:p w14:paraId="510E6771"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30A34DD1"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Daugiaformė </w:t>
            </w:r>
            <w:proofErr w:type="spellStart"/>
            <w:r>
              <w:rPr>
                <w:rFonts w:ascii="Times New Roman" w:eastAsia="Times New Roman" w:hAnsi="Times New Roman" w:cs="Times New Roman"/>
                <w:lang w:eastAsia="sl-SI"/>
              </w:rPr>
              <w:t>eritema</w:t>
            </w:r>
            <w:proofErr w:type="spellEnd"/>
          </w:p>
        </w:tc>
        <w:tc>
          <w:tcPr>
            <w:tcW w:w="1503" w:type="dxa"/>
            <w:vAlign w:val="center"/>
          </w:tcPr>
          <w:p w14:paraId="03ED16C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398EBD0F"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4C495CDD" w14:textId="77777777">
        <w:tc>
          <w:tcPr>
            <w:tcW w:w="2376" w:type="dxa"/>
            <w:vMerge/>
          </w:tcPr>
          <w:p w14:paraId="43557D83"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41BCDCB6"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Eritema</w:t>
            </w:r>
            <w:proofErr w:type="spellEnd"/>
          </w:p>
        </w:tc>
        <w:tc>
          <w:tcPr>
            <w:tcW w:w="1503" w:type="dxa"/>
            <w:vAlign w:val="center"/>
          </w:tcPr>
          <w:p w14:paraId="056C0EF5"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1D86828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1570D3E5" w14:textId="77777777">
        <w:tc>
          <w:tcPr>
            <w:tcW w:w="2376" w:type="dxa"/>
            <w:vMerge/>
          </w:tcPr>
          <w:p w14:paraId="357C677F"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09B4B7B"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w:t>
            </w:r>
          </w:p>
        </w:tc>
        <w:tc>
          <w:tcPr>
            <w:tcW w:w="1503" w:type="dxa"/>
            <w:vAlign w:val="center"/>
          </w:tcPr>
          <w:p w14:paraId="60AB671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c>
          <w:tcPr>
            <w:tcW w:w="1439" w:type="dxa"/>
            <w:vAlign w:val="center"/>
          </w:tcPr>
          <w:p w14:paraId="2A9E495A"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3F6F2674" w14:textId="77777777">
        <w:tc>
          <w:tcPr>
            <w:tcW w:w="2376" w:type="dxa"/>
            <w:vMerge w:val="restart"/>
          </w:tcPr>
          <w:p w14:paraId="247DB5A2"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Skeleto, raumenų ir jungiamojo audinio sutrikimai</w:t>
            </w:r>
          </w:p>
        </w:tc>
        <w:tc>
          <w:tcPr>
            <w:tcW w:w="3969" w:type="dxa"/>
            <w:vAlign w:val="center"/>
          </w:tcPr>
          <w:p w14:paraId="05ADDF99"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Mialgija</w:t>
            </w:r>
            <w:proofErr w:type="spellEnd"/>
          </w:p>
        </w:tc>
        <w:tc>
          <w:tcPr>
            <w:tcW w:w="1503" w:type="dxa"/>
            <w:vAlign w:val="center"/>
          </w:tcPr>
          <w:p w14:paraId="7A679897"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c>
          <w:tcPr>
            <w:tcW w:w="1439" w:type="dxa"/>
            <w:vAlign w:val="center"/>
          </w:tcPr>
          <w:p w14:paraId="7355D8E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413A04AD" w14:textId="77777777">
        <w:tc>
          <w:tcPr>
            <w:tcW w:w="2376" w:type="dxa"/>
            <w:vMerge/>
          </w:tcPr>
          <w:p w14:paraId="262318D1"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2B7BDA40"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lang w:eastAsia="sl-SI"/>
              </w:rPr>
              <w:t>Artralgija</w:t>
            </w:r>
            <w:proofErr w:type="spellEnd"/>
          </w:p>
        </w:tc>
        <w:tc>
          <w:tcPr>
            <w:tcW w:w="1503" w:type="dxa"/>
            <w:vAlign w:val="center"/>
          </w:tcPr>
          <w:p w14:paraId="4970984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c>
          <w:tcPr>
            <w:tcW w:w="1439" w:type="dxa"/>
            <w:vAlign w:val="center"/>
          </w:tcPr>
          <w:p w14:paraId="7F8F8DA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2AD139E3" w14:textId="77777777">
        <w:tc>
          <w:tcPr>
            <w:tcW w:w="2376" w:type="dxa"/>
            <w:vMerge/>
          </w:tcPr>
          <w:p w14:paraId="69D245EC"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42D17036"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Raumenų spazmai</w:t>
            </w:r>
          </w:p>
        </w:tc>
        <w:tc>
          <w:tcPr>
            <w:tcW w:w="1503" w:type="dxa"/>
            <w:vAlign w:val="center"/>
          </w:tcPr>
          <w:p w14:paraId="77CA9CA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32E8DF7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79C3D1CF" w14:textId="77777777">
        <w:tc>
          <w:tcPr>
            <w:tcW w:w="2376" w:type="dxa"/>
            <w:vMerge/>
          </w:tcPr>
          <w:p w14:paraId="37A67DA7"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92F2E63"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Kaklo skausmas, nugaros skausmas, raumenų silpnumas, galūnių skausmas</w:t>
            </w:r>
          </w:p>
        </w:tc>
        <w:tc>
          <w:tcPr>
            <w:tcW w:w="1503" w:type="dxa"/>
            <w:vAlign w:val="center"/>
          </w:tcPr>
          <w:p w14:paraId="721340B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67A6818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42A19FAE" w14:textId="77777777">
        <w:tc>
          <w:tcPr>
            <w:tcW w:w="2376" w:type="dxa"/>
            <w:vMerge/>
          </w:tcPr>
          <w:p w14:paraId="6854F41F"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1E264844"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xml:space="preserve"> (žr. 4.4 skyrių)</w:t>
            </w:r>
          </w:p>
        </w:tc>
        <w:tc>
          <w:tcPr>
            <w:tcW w:w="1503" w:type="dxa"/>
            <w:vAlign w:val="center"/>
          </w:tcPr>
          <w:p w14:paraId="3DAF2DF9"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0483781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r>
      <w:tr w:rsidR="008F7970" w14:paraId="1FAC0380" w14:textId="77777777">
        <w:tc>
          <w:tcPr>
            <w:tcW w:w="2376" w:type="dxa"/>
            <w:vMerge/>
          </w:tcPr>
          <w:p w14:paraId="4D77B3F2"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043F2DAC"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 xml:space="preserve">Imuninių mechanizmų sukelta </w:t>
            </w:r>
            <w:proofErr w:type="spellStart"/>
            <w:r>
              <w:rPr>
                <w:rFonts w:ascii="Times New Roman" w:eastAsia="Times New Roman" w:hAnsi="Times New Roman" w:cs="Times New Roman"/>
              </w:rPr>
              <w:t>nekrozinė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miopatija</w:t>
            </w:r>
            <w:proofErr w:type="spellEnd"/>
            <w:r>
              <w:rPr>
                <w:rFonts w:ascii="Times New Roman" w:eastAsia="Times New Roman" w:hAnsi="Times New Roman" w:cs="Times New Roman"/>
              </w:rPr>
              <w:t xml:space="preserve"> (žr. 4.4 skyrių), į vilkligę panašus sindromas</w:t>
            </w:r>
          </w:p>
        </w:tc>
        <w:tc>
          <w:tcPr>
            <w:tcW w:w="1503" w:type="dxa"/>
            <w:vAlign w:val="center"/>
          </w:tcPr>
          <w:p w14:paraId="06C7E26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Nežinomas</w:t>
            </w:r>
          </w:p>
        </w:tc>
        <w:tc>
          <w:tcPr>
            <w:tcW w:w="1439" w:type="dxa"/>
            <w:vAlign w:val="center"/>
          </w:tcPr>
          <w:p w14:paraId="3D451E6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5A0B8BD2" w14:textId="77777777">
        <w:tc>
          <w:tcPr>
            <w:tcW w:w="2376" w:type="dxa"/>
          </w:tcPr>
          <w:p w14:paraId="250F142D"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Inkstų ir šlapimo takų sutrikimai</w:t>
            </w:r>
          </w:p>
        </w:tc>
        <w:tc>
          <w:tcPr>
            <w:tcW w:w="3969" w:type="dxa"/>
            <w:vAlign w:val="center"/>
          </w:tcPr>
          <w:p w14:paraId="4E85D18C"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Polakiurija</w:t>
            </w:r>
            <w:proofErr w:type="spellEnd"/>
          </w:p>
        </w:tc>
        <w:tc>
          <w:tcPr>
            <w:tcW w:w="1503" w:type="dxa"/>
            <w:vAlign w:val="center"/>
          </w:tcPr>
          <w:p w14:paraId="7EC4C17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5D3F2216"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63918A4D" w14:textId="77777777">
        <w:tc>
          <w:tcPr>
            <w:tcW w:w="2376" w:type="dxa"/>
          </w:tcPr>
          <w:p w14:paraId="07FFCB5D"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Lytinės sistemos ir krūties sutrikimai</w:t>
            </w:r>
          </w:p>
        </w:tc>
        <w:tc>
          <w:tcPr>
            <w:tcW w:w="3969" w:type="dxa"/>
            <w:vAlign w:val="center"/>
          </w:tcPr>
          <w:p w14:paraId="7B295A9D"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Ginekomastija</w:t>
            </w:r>
            <w:proofErr w:type="spellEnd"/>
          </w:p>
        </w:tc>
        <w:tc>
          <w:tcPr>
            <w:tcW w:w="1503" w:type="dxa"/>
            <w:vAlign w:val="center"/>
          </w:tcPr>
          <w:p w14:paraId="7C86433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Retas</w:t>
            </w:r>
          </w:p>
        </w:tc>
        <w:tc>
          <w:tcPr>
            <w:tcW w:w="1439" w:type="dxa"/>
            <w:vAlign w:val="center"/>
          </w:tcPr>
          <w:p w14:paraId="45CCF9A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27A7CC17" w14:textId="77777777">
        <w:tc>
          <w:tcPr>
            <w:tcW w:w="2376" w:type="dxa"/>
            <w:vMerge w:val="restart"/>
          </w:tcPr>
          <w:p w14:paraId="61738CA1"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Bendrieji sutrikimai ir vartojimo vietos pažeidimai</w:t>
            </w:r>
          </w:p>
        </w:tc>
        <w:tc>
          <w:tcPr>
            <w:tcW w:w="3969" w:type="dxa"/>
            <w:vAlign w:val="center"/>
          </w:tcPr>
          <w:p w14:paraId="28E6E278"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Astenija</w:t>
            </w:r>
            <w:proofErr w:type="spellEnd"/>
            <w:r>
              <w:rPr>
                <w:rFonts w:ascii="Times New Roman" w:eastAsia="Times New Roman" w:hAnsi="Times New Roman" w:cs="Times New Roman"/>
              </w:rPr>
              <w:t>, periferinė edema</w:t>
            </w:r>
          </w:p>
        </w:tc>
        <w:tc>
          <w:tcPr>
            <w:tcW w:w="1503" w:type="dxa"/>
            <w:vAlign w:val="center"/>
          </w:tcPr>
          <w:p w14:paraId="3C8AD13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3489DB1E"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060BDA81" w14:textId="77777777">
        <w:tc>
          <w:tcPr>
            <w:tcW w:w="2376" w:type="dxa"/>
            <w:vMerge/>
          </w:tcPr>
          <w:p w14:paraId="6B4D5F0D"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vAlign w:val="center"/>
          </w:tcPr>
          <w:p w14:paraId="1244679E"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Bendrasis negalavimas</w:t>
            </w:r>
          </w:p>
        </w:tc>
        <w:tc>
          <w:tcPr>
            <w:tcW w:w="1503" w:type="dxa"/>
            <w:vAlign w:val="center"/>
          </w:tcPr>
          <w:p w14:paraId="6547CF7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0EEF1BD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r>
      <w:tr w:rsidR="008F7970" w14:paraId="33AE7317" w14:textId="77777777">
        <w:tc>
          <w:tcPr>
            <w:tcW w:w="2376" w:type="dxa"/>
            <w:vMerge/>
          </w:tcPr>
          <w:p w14:paraId="0FCA40B6" w14:textId="77777777" w:rsidR="008F7970" w:rsidRDefault="008F7970">
            <w:pPr>
              <w:widowControl w:val="0"/>
              <w:tabs>
                <w:tab w:val="left" w:pos="567"/>
              </w:tabs>
              <w:ind w:left="0" w:firstLine="0"/>
              <w:rPr>
                <w:rFonts w:ascii="Times New Roman" w:eastAsia="Times New Roman" w:hAnsi="Times New Roman" w:cs="Times New Roman"/>
              </w:rPr>
            </w:pPr>
          </w:p>
        </w:tc>
        <w:tc>
          <w:tcPr>
            <w:tcW w:w="3969" w:type="dxa"/>
            <w:vAlign w:val="center"/>
          </w:tcPr>
          <w:p w14:paraId="5D214248"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Nuovargis</w:t>
            </w:r>
          </w:p>
        </w:tc>
        <w:tc>
          <w:tcPr>
            <w:tcW w:w="1503" w:type="dxa"/>
            <w:vAlign w:val="center"/>
          </w:tcPr>
          <w:p w14:paraId="5FF8BEE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c>
          <w:tcPr>
            <w:tcW w:w="1439" w:type="dxa"/>
            <w:vAlign w:val="center"/>
          </w:tcPr>
          <w:p w14:paraId="64BFF88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00785D92" w14:textId="77777777">
        <w:tc>
          <w:tcPr>
            <w:tcW w:w="2376" w:type="dxa"/>
            <w:vMerge/>
          </w:tcPr>
          <w:p w14:paraId="46821298" w14:textId="77777777" w:rsidR="008F7970" w:rsidRDefault="008F7970">
            <w:pPr>
              <w:widowControl w:val="0"/>
              <w:tabs>
                <w:tab w:val="left" w:pos="567"/>
              </w:tabs>
              <w:ind w:left="0" w:firstLine="0"/>
              <w:rPr>
                <w:rFonts w:ascii="Times New Roman" w:eastAsia="Times New Roman" w:hAnsi="Times New Roman" w:cs="Times New Roman"/>
              </w:rPr>
            </w:pPr>
          </w:p>
        </w:tc>
        <w:tc>
          <w:tcPr>
            <w:tcW w:w="3969" w:type="dxa"/>
            <w:vAlign w:val="center"/>
          </w:tcPr>
          <w:p w14:paraId="071037E0" w14:textId="77777777" w:rsidR="008F7970" w:rsidRDefault="00AD4BB2">
            <w:pPr>
              <w:widowControl w:val="0"/>
              <w:tabs>
                <w:tab w:val="left" w:pos="1315"/>
              </w:tabs>
              <w:ind w:left="0" w:firstLine="0"/>
              <w:rPr>
                <w:rFonts w:ascii="Times New Roman" w:eastAsia="Times New Roman" w:hAnsi="Times New Roman" w:cs="Times New Roman"/>
              </w:rPr>
            </w:pPr>
            <w:r>
              <w:rPr>
                <w:rFonts w:ascii="Times New Roman" w:eastAsia="Times New Roman" w:hAnsi="Times New Roman" w:cs="Times New Roman"/>
              </w:rPr>
              <w:t>Krūtinės skausmas, skausmas</w:t>
            </w:r>
          </w:p>
        </w:tc>
        <w:tc>
          <w:tcPr>
            <w:tcW w:w="1503" w:type="dxa"/>
            <w:vAlign w:val="center"/>
          </w:tcPr>
          <w:p w14:paraId="143C3A02"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vAlign w:val="center"/>
          </w:tcPr>
          <w:p w14:paraId="658A29F4"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Nedažnas</w:t>
            </w:r>
          </w:p>
        </w:tc>
      </w:tr>
      <w:tr w:rsidR="008F7970" w14:paraId="32060E92" w14:textId="77777777">
        <w:tc>
          <w:tcPr>
            <w:tcW w:w="2376" w:type="dxa"/>
            <w:vMerge w:val="restart"/>
          </w:tcPr>
          <w:p w14:paraId="24AA5B0B"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Tyrimai</w:t>
            </w:r>
          </w:p>
        </w:tc>
        <w:tc>
          <w:tcPr>
            <w:tcW w:w="3969" w:type="dxa"/>
            <w:tcBorders>
              <w:bottom w:val="single" w:sz="4" w:space="0" w:color="auto"/>
            </w:tcBorders>
            <w:vAlign w:val="center"/>
          </w:tcPr>
          <w:p w14:paraId="367386E5" w14:textId="77777777" w:rsidR="008F7970" w:rsidRDefault="00AD4BB2">
            <w:pPr>
              <w:widowControl w:val="0"/>
              <w:tabs>
                <w:tab w:val="left" w:pos="1315"/>
              </w:tabs>
              <w:ind w:left="0" w:firstLine="0"/>
              <w:rPr>
                <w:rFonts w:ascii="Times New Roman" w:eastAsia="Times New Roman" w:hAnsi="Times New Roman" w:cs="Times New Roman"/>
              </w:rPr>
            </w:pPr>
            <w:proofErr w:type="spellStart"/>
            <w:r>
              <w:rPr>
                <w:rFonts w:ascii="Times New Roman" w:eastAsia="Times New Roman" w:hAnsi="Times New Roman" w:cs="Times New Roman"/>
              </w:rPr>
              <w:t>Alaninaminotrasferazės</w:t>
            </w:r>
            <w:proofErr w:type="spellEnd"/>
            <w:r>
              <w:rPr>
                <w:rFonts w:ascii="Times New Roman" w:eastAsia="Times New Roman" w:hAnsi="Times New Roman" w:cs="Times New Roman"/>
              </w:rPr>
              <w:t xml:space="preserve"> (ALT) ir (arba) aspartataminotransferazės (AST) aktyvumo padidėjimas</w:t>
            </w:r>
          </w:p>
        </w:tc>
        <w:tc>
          <w:tcPr>
            <w:tcW w:w="1503" w:type="dxa"/>
            <w:tcBorders>
              <w:bottom w:val="single" w:sz="4" w:space="0" w:color="auto"/>
            </w:tcBorders>
            <w:vAlign w:val="center"/>
          </w:tcPr>
          <w:p w14:paraId="090AD2A1"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w:t>
            </w:r>
          </w:p>
        </w:tc>
        <w:tc>
          <w:tcPr>
            <w:tcW w:w="1439" w:type="dxa"/>
            <w:tcBorders>
              <w:bottom w:val="single" w:sz="4" w:space="0" w:color="auto"/>
            </w:tcBorders>
            <w:vAlign w:val="center"/>
          </w:tcPr>
          <w:p w14:paraId="7F3F149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Dažnas</w:t>
            </w:r>
          </w:p>
        </w:tc>
      </w:tr>
      <w:tr w:rsidR="008F7970" w14:paraId="3427A994" w14:textId="77777777">
        <w:tc>
          <w:tcPr>
            <w:tcW w:w="2376" w:type="dxa"/>
            <w:vMerge/>
            <w:tcBorders>
              <w:bottom w:val="single" w:sz="4" w:space="0" w:color="auto"/>
            </w:tcBorders>
          </w:tcPr>
          <w:p w14:paraId="2D69BA8D" w14:textId="77777777" w:rsidR="008F7970" w:rsidRDefault="008F7970">
            <w:pPr>
              <w:widowControl w:val="0"/>
              <w:tabs>
                <w:tab w:val="left" w:pos="567"/>
              </w:tabs>
              <w:ind w:left="0" w:firstLine="0"/>
              <w:rPr>
                <w:rFonts w:ascii="Times New Roman" w:eastAsia="Times New Roman" w:hAnsi="Times New Roman" w:cs="Times New Roman"/>
                <w:i/>
              </w:rPr>
            </w:pPr>
          </w:p>
        </w:tc>
        <w:tc>
          <w:tcPr>
            <w:tcW w:w="3969" w:type="dxa"/>
            <w:tcBorders>
              <w:bottom w:val="single" w:sz="4" w:space="0" w:color="auto"/>
            </w:tcBorders>
            <w:vAlign w:val="center"/>
          </w:tcPr>
          <w:p w14:paraId="4C267FF3" w14:textId="77777777" w:rsidR="008F7970" w:rsidRDefault="00AD4BB2">
            <w:pPr>
              <w:widowControl w:val="0"/>
              <w:tabs>
                <w:tab w:val="left" w:pos="1315"/>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snapToGrid w:val="0"/>
              </w:rPr>
              <w:t>K</w:t>
            </w:r>
            <w:r>
              <w:rPr>
                <w:rFonts w:ascii="Times New Roman" w:eastAsia="Times New Roman" w:hAnsi="Times New Roman" w:cs="Times New Roman"/>
                <w:lang w:eastAsia="sl-SI"/>
              </w:rPr>
              <w:t>reatinfosfokinazės</w:t>
            </w:r>
            <w:proofErr w:type="spellEnd"/>
            <w:r>
              <w:rPr>
                <w:rFonts w:ascii="Times New Roman" w:eastAsia="Times New Roman" w:hAnsi="Times New Roman" w:cs="Times New Roman"/>
                <w:lang w:eastAsia="sl-SI"/>
              </w:rPr>
              <w:t xml:space="preserve"> (KFK) aktyvumo kraujyje padidėjimas, </w:t>
            </w:r>
            <w:proofErr w:type="spellStart"/>
            <w:r>
              <w:rPr>
                <w:rFonts w:ascii="Times New Roman" w:eastAsia="Times New Roman" w:hAnsi="Times New Roman" w:cs="Times New Roman"/>
                <w:lang w:eastAsia="sl-SI"/>
              </w:rPr>
              <w:t>gamagliutamiltransferazės</w:t>
            </w:r>
            <w:proofErr w:type="spellEnd"/>
            <w:r>
              <w:rPr>
                <w:rFonts w:ascii="Times New Roman" w:eastAsia="Times New Roman" w:hAnsi="Times New Roman" w:cs="Times New Roman"/>
                <w:lang w:eastAsia="sl-SI"/>
              </w:rPr>
              <w:t xml:space="preserve"> aktyvumo padidėjimas, nenormalūs kepenų funkcijos tyrimų rodmenys</w:t>
            </w:r>
          </w:p>
        </w:tc>
        <w:tc>
          <w:tcPr>
            <w:tcW w:w="1503" w:type="dxa"/>
            <w:tcBorders>
              <w:bottom w:val="single" w:sz="4" w:space="0" w:color="auto"/>
            </w:tcBorders>
            <w:vAlign w:val="center"/>
          </w:tcPr>
          <w:p w14:paraId="7C07671D"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w:t>
            </w:r>
          </w:p>
        </w:tc>
        <w:tc>
          <w:tcPr>
            <w:tcW w:w="1439" w:type="dxa"/>
            <w:tcBorders>
              <w:bottom w:val="single" w:sz="4" w:space="0" w:color="auto"/>
            </w:tcBorders>
            <w:vAlign w:val="center"/>
          </w:tcPr>
          <w:p w14:paraId="430BBB92"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rPr>
              <w:t>Nedažnas</w:t>
            </w:r>
          </w:p>
        </w:tc>
      </w:tr>
    </w:tbl>
    <w:p w14:paraId="70A16EED" w14:textId="77777777" w:rsidR="008F7970" w:rsidRDefault="008F7970">
      <w:pPr>
        <w:autoSpaceDE w:val="0"/>
        <w:autoSpaceDN w:val="0"/>
        <w:adjustRightInd w:val="0"/>
        <w:ind w:left="0" w:firstLine="0"/>
        <w:rPr>
          <w:rFonts w:ascii="Times New Roman" w:eastAsia="Times New Roman" w:hAnsi="Times New Roman" w:cs="Times New Roman"/>
        </w:rPr>
      </w:pPr>
    </w:p>
    <w:p w14:paraId="7C2963F8" w14:textId="77777777" w:rsidR="008F7970" w:rsidRDefault="00AD4BB2">
      <w:pPr>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Laboratoriniai rodmenys</w:t>
      </w:r>
    </w:p>
    <w:p w14:paraId="5AED1442" w14:textId="77777777" w:rsidR="008F7970" w:rsidRDefault="008F7970">
      <w:pPr>
        <w:autoSpaceDE w:val="0"/>
        <w:autoSpaceDN w:val="0"/>
        <w:adjustRightInd w:val="0"/>
        <w:ind w:left="0" w:firstLine="0"/>
        <w:rPr>
          <w:rFonts w:ascii="Times New Roman" w:eastAsia="Times New Roman" w:hAnsi="Times New Roman" w:cs="Times New Roman"/>
        </w:rPr>
      </w:pPr>
    </w:p>
    <w:p w14:paraId="542F08DC" w14:textId="77777777" w:rsidR="008F7970" w:rsidRDefault="00AD4BB2">
      <w:pPr>
        <w:tabs>
          <w:tab w:val="left" w:pos="567"/>
        </w:tabs>
        <w:autoSpaceDE w:val="0"/>
        <w:autoSpaceDN w:val="0"/>
        <w:adjustRightInd w:val="0"/>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aktyvumo kraujyje padidėjimas, &gt;</w:t>
      </w:r>
      <w:r>
        <w:rPr>
          <w:rFonts w:ascii="Times New Roman" w:eastAsia="Times New Roman" w:hAnsi="Times New Roman" w:cs="Times New Roman"/>
          <w:snapToGrid w:val="0"/>
          <w:szCs w:val="20"/>
        </w:rPr>
        <w:t> </w:t>
      </w:r>
      <w:r>
        <w:rPr>
          <w:rFonts w:ascii="Times New Roman" w:eastAsia="Times New Roman" w:hAnsi="Times New Roman" w:cs="Times New Roman"/>
        </w:rPr>
        <w:t xml:space="preserve">3 kartus viršijantis viršutinę normos ribą (VNR), pasireiškė 49 iš 2 800 (1,8 %) pacientų, kurie kontroliuojamų klinikinių tyrimų metu vartojo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 10 kartų VNR viršijantis aktyvumo padidėjimas kartu pasireiškiant su raumenims susijusiems simptomams pasireiškė retai ir stebėtas tik vienam iš 2 406 pacientų, gydytų 4 mg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doze (0,04  %) klinikinių tyrimų programos metu.</w:t>
      </w:r>
    </w:p>
    <w:p w14:paraId="2B73B471" w14:textId="77777777" w:rsidR="008F7970" w:rsidRDefault="008F7970">
      <w:pPr>
        <w:autoSpaceDE w:val="0"/>
        <w:autoSpaceDN w:val="0"/>
        <w:adjustRightInd w:val="0"/>
        <w:ind w:left="0" w:firstLine="0"/>
        <w:rPr>
          <w:rFonts w:ascii="Times New Roman" w:eastAsia="Times New Roman" w:hAnsi="Times New Roman" w:cs="Times New Roman"/>
        </w:rPr>
      </w:pPr>
    </w:p>
    <w:p w14:paraId="10DE28B2" w14:textId="77777777" w:rsidR="008F7970" w:rsidRDefault="00AD4BB2">
      <w:pPr>
        <w:widowControl w:val="0"/>
        <w:tabs>
          <w:tab w:val="left" w:pos="567"/>
        </w:tabs>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Kontroliuotų klinikinių </w:t>
      </w:r>
      <w:proofErr w:type="spellStart"/>
      <w:r>
        <w:rPr>
          <w:rFonts w:ascii="Times New Roman" w:eastAsia="Times New Roman" w:hAnsi="Times New Roman" w:cs="Times New Roman"/>
          <w:lang w:eastAsia="lt-LT"/>
        </w:rPr>
        <w:t>monoterapijos</w:t>
      </w:r>
      <w:proofErr w:type="spellEnd"/>
      <w:r>
        <w:rPr>
          <w:rFonts w:ascii="Times New Roman" w:eastAsia="Times New Roman" w:hAnsi="Times New Roman" w:cs="Times New Roman"/>
          <w:lang w:eastAsia="lt-LT"/>
        </w:rPr>
        <w:t xml:space="preserve"> tyrimų metu kliniškai svarbus kraujo serumo </w:t>
      </w:r>
      <w:proofErr w:type="spellStart"/>
      <w:r>
        <w:rPr>
          <w:rFonts w:ascii="Times New Roman" w:eastAsia="Times New Roman" w:hAnsi="Times New Roman" w:cs="Times New Roman"/>
          <w:lang w:eastAsia="lt-LT"/>
        </w:rPr>
        <w:t>transaminazių</w:t>
      </w:r>
      <w:proofErr w:type="spellEnd"/>
      <w:r>
        <w:rPr>
          <w:rFonts w:ascii="Times New Roman" w:eastAsia="Times New Roman" w:hAnsi="Times New Roman" w:cs="Times New Roman"/>
          <w:lang w:eastAsia="lt-LT"/>
        </w:rPr>
        <w:t xml:space="preserve"> aktyvumo padidėjimas (ALT ir (arba) AST </w:t>
      </w:r>
      <w:r>
        <w:rPr>
          <w:rFonts w:ascii="Times New Roman" w:eastAsia="Times New Roman" w:hAnsi="Times New Roman" w:cs="Times New Roman"/>
          <w:lang w:eastAsia="lt-LT"/>
        </w:rPr>
        <w:sym w:font="Symbol" w:char="F0B3"/>
      </w:r>
      <w:r>
        <w:rPr>
          <w:rFonts w:ascii="Times New Roman" w:eastAsia="Times New Roman" w:hAnsi="Times New Roman" w:cs="Times New Roman"/>
          <w:lang w:eastAsia="lt-LT"/>
        </w:rPr>
        <w:t xml:space="preserve"> 3 kartus didesnis už VNR, nuoseklus) buvo panašus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lang w:eastAsia="lt-LT"/>
        </w:rPr>
        <w:t xml:space="preserve"> (0,5 %) ir placebo (0,3 %) vartojusiems pacientams. Tyrimų, kai kartu buvo vartojami keli vaistiniai preparatai, metu šių reiškinių dažnis buvo toks: 1,3 %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lang w:eastAsia="lt-LT"/>
        </w:rPr>
        <w:t xml:space="preserve"> vartojant su </w:t>
      </w:r>
      <w:proofErr w:type="spellStart"/>
      <w:r>
        <w:rPr>
          <w:rFonts w:ascii="Times New Roman" w:eastAsia="Times New Roman" w:hAnsi="Times New Roman" w:cs="Times New Roman"/>
          <w:lang w:eastAsia="lt-LT"/>
        </w:rPr>
        <w:t>statinu</w:t>
      </w:r>
      <w:proofErr w:type="spellEnd"/>
      <w:r>
        <w:rPr>
          <w:rFonts w:ascii="Times New Roman" w:eastAsia="Times New Roman" w:hAnsi="Times New Roman" w:cs="Times New Roman"/>
          <w:lang w:eastAsia="lt-LT"/>
        </w:rPr>
        <w:t xml:space="preserve"> ir 0,4 % vartojant vien </w:t>
      </w:r>
      <w:proofErr w:type="spellStart"/>
      <w:r>
        <w:rPr>
          <w:rFonts w:ascii="Times New Roman" w:eastAsia="Times New Roman" w:hAnsi="Times New Roman" w:cs="Times New Roman"/>
          <w:lang w:eastAsia="lt-LT"/>
        </w:rPr>
        <w:t>statino</w:t>
      </w:r>
      <w:proofErr w:type="spellEnd"/>
      <w:r>
        <w:rPr>
          <w:rFonts w:ascii="Times New Roman" w:eastAsia="Times New Roman" w:hAnsi="Times New Roman" w:cs="Times New Roman"/>
          <w:lang w:eastAsia="lt-LT"/>
        </w:rPr>
        <w:t xml:space="preserve">. Toks padidėjimas paprastai buvo </w:t>
      </w:r>
      <w:proofErr w:type="spellStart"/>
      <w:r>
        <w:rPr>
          <w:rFonts w:ascii="Times New Roman" w:eastAsia="Times New Roman" w:hAnsi="Times New Roman" w:cs="Times New Roman"/>
          <w:lang w:eastAsia="lt-LT"/>
        </w:rPr>
        <w:t>besimptomis</w:t>
      </w:r>
      <w:proofErr w:type="spellEnd"/>
      <w:r>
        <w:rPr>
          <w:rFonts w:ascii="Times New Roman" w:eastAsia="Times New Roman" w:hAnsi="Times New Roman" w:cs="Times New Roman"/>
          <w:lang w:eastAsia="lt-LT"/>
        </w:rPr>
        <w:t xml:space="preserve">, nesusijęs su </w:t>
      </w:r>
      <w:proofErr w:type="spellStart"/>
      <w:r>
        <w:rPr>
          <w:rFonts w:ascii="Times New Roman" w:eastAsia="Times New Roman" w:hAnsi="Times New Roman" w:cs="Times New Roman"/>
          <w:lang w:eastAsia="lt-LT"/>
        </w:rPr>
        <w:t>cholestaze</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lastRenderedPageBreak/>
        <w:t>rodmenys nutraukus gydymą ar toliau gydant tapo tokie, kokie buvo tyrimo pradžioje (žr. 4.4 skyrių).</w:t>
      </w:r>
    </w:p>
    <w:p w14:paraId="35CBFFBE" w14:textId="77777777" w:rsidR="008F7970" w:rsidRDefault="008F7970">
      <w:pPr>
        <w:widowControl w:val="0"/>
        <w:tabs>
          <w:tab w:val="left" w:pos="567"/>
        </w:tabs>
        <w:ind w:left="0" w:firstLine="0"/>
        <w:rPr>
          <w:rFonts w:ascii="Times New Roman" w:eastAsia="Times New Roman" w:hAnsi="Times New Roman" w:cs="Times New Roman"/>
          <w:lang w:eastAsia="lt-LT"/>
        </w:rPr>
      </w:pPr>
    </w:p>
    <w:p w14:paraId="6E1EF603" w14:textId="77777777" w:rsidR="008F7970" w:rsidRDefault="00AD4BB2">
      <w:pPr>
        <w:widowControl w:val="0"/>
        <w:tabs>
          <w:tab w:val="left" w:pos="567"/>
        </w:tabs>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Klinikiniuose tyrimuose KFK aktyvumo padidėjimas daugiau kaip 10 kartų viršijant VNR pasireiškė 4 iš 1 674 pacientų (0,2 %), vartojusių vien </w:t>
      </w:r>
      <w:proofErr w:type="spellStart"/>
      <w:r>
        <w:rPr>
          <w:rFonts w:ascii="Times New Roman" w:eastAsia="Times New Roman" w:hAnsi="Times New Roman" w:cs="Times New Roman"/>
          <w:lang w:eastAsia="lt-LT"/>
        </w:rPr>
        <w:t>ezetimibo</w:t>
      </w:r>
      <w:proofErr w:type="spellEnd"/>
      <w:r>
        <w:rPr>
          <w:rFonts w:ascii="Times New Roman" w:eastAsia="Times New Roman" w:hAnsi="Times New Roman" w:cs="Times New Roman"/>
          <w:lang w:eastAsia="lt-LT"/>
        </w:rPr>
        <w:t xml:space="preserve">, palyginti su 1 iš 786 pacientų (0,1 %), vartojusių placebo ir 1 iš 917 pacientų (0,1 %), vartojusių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statino</w:t>
      </w:r>
      <w:proofErr w:type="spellEnd"/>
      <w:r>
        <w:rPr>
          <w:rFonts w:ascii="Times New Roman" w:eastAsia="Times New Roman" w:hAnsi="Times New Roman" w:cs="Times New Roman"/>
          <w:lang w:eastAsia="lt-LT"/>
        </w:rPr>
        <w:t xml:space="preserve">, palyginti su 4 iš 929 pacientų (0,4 %), vartojusių vieną </w:t>
      </w:r>
      <w:proofErr w:type="spellStart"/>
      <w:r>
        <w:rPr>
          <w:rFonts w:ascii="Times New Roman" w:eastAsia="Times New Roman" w:hAnsi="Times New Roman" w:cs="Times New Roman"/>
          <w:lang w:eastAsia="lt-LT"/>
        </w:rPr>
        <w:t>statino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Miopatija</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rabdomiolizė</w:t>
      </w:r>
      <w:proofErr w:type="spellEnd"/>
      <w:r>
        <w:rPr>
          <w:rFonts w:ascii="Times New Roman" w:eastAsia="Times New Roman" w:hAnsi="Times New Roman" w:cs="Times New Roman"/>
          <w:lang w:eastAsia="lt-LT"/>
        </w:rPr>
        <w:t>, susijusi su</w:t>
      </w:r>
      <w:r>
        <w:rPr>
          <w:rFonts w:ascii="Times New Roman" w:eastAsia="Times New Roman" w:hAnsi="Times New Roman" w:cs="Times New Roman"/>
        </w:rPr>
        <w:t xml:space="preserve">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lang w:eastAsia="lt-LT"/>
        </w:rPr>
        <w:t xml:space="preserve">, nepasireiškė dažniau negu susijusiose kontrolinėse grupėse (placebo arba vien </w:t>
      </w:r>
      <w:proofErr w:type="spellStart"/>
      <w:r>
        <w:rPr>
          <w:rFonts w:ascii="Times New Roman" w:eastAsia="Times New Roman" w:hAnsi="Times New Roman" w:cs="Times New Roman"/>
          <w:lang w:eastAsia="lt-LT"/>
        </w:rPr>
        <w:t>statino</w:t>
      </w:r>
      <w:proofErr w:type="spellEnd"/>
      <w:r>
        <w:rPr>
          <w:rFonts w:ascii="Times New Roman" w:eastAsia="Times New Roman" w:hAnsi="Times New Roman" w:cs="Times New Roman"/>
          <w:lang w:eastAsia="lt-LT"/>
        </w:rPr>
        <w:t>) (žr. 4.4 skyrių).</w:t>
      </w:r>
    </w:p>
    <w:p w14:paraId="34D0B0B3" w14:textId="77777777" w:rsidR="008F7970" w:rsidRDefault="008F7970">
      <w:pPr>
        <w:tabs>
          <w:tab w:val="left" w:pos="567"/>
        </w:tabs>
        <w:ind w:left="0" w:firstLine="0"/>
        <w:rPr>
          <w:rFonts w:ascii="Times New Roman" w:eastAsia="Times New Roman" w:hAnsi="Times New Roman" w:cs="Times New Roman"/>
        </w:rPr>
      </w:pPr>
    </w:p>
    <w:p w14:paraId="4517942D" w14:textId="77777777" w:rsidR="008F7970" w:rsidRDefault="00AD4BB2">
      <w:pPr>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Vaikų populiacija</w:t>
      </w:r>
    </w:p>
    <w:p w14:paraId="349C5153"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 xml:space="preserve">Klinikinio saugumo duomenų bazėje pateikiami 142 pacientų vaikų, kuriems buvo skirtas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saugumo duomenys, iš jų 87 pacientai buvo 6</w:t>
      </w:r>
      <w:r>
        <w:rPr>
          <w:rFonts w:ascii="Times New Roman" w:eastAsia="Times New Roman" w:hAnsi="Times New Roman" w:cs="Times New Roman"/>
        </w:rPr>
        <w:noBreakHyphen/>
        <w:t>11 metų, o 55 pacientai buvo 12</w:t>
      </w:r>
      <w:r>
        <w:rPr>
          <w:rFonts w:ascii="Times New Roman" w:eastAsia="Times New Roman" w:hAnsi="Times New Roman" w:cs="Times New Roman"/>
        </w:rPr>
        <w:noBreakHyphen/>
        <w:t xml:space="preserve">17 metų. Iš viso 91 pacientas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vartojo 1 metus, 12 pacientų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vartojo 2,5 metų, o 2 pacientai – 3 metus. Dėl nepageidaujamų reiškinių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vartojimas buvo nutrauktas mažiau nei 3 % gydytų pacientų. Dažniausiai praneštos su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vartojimu susijusios nepageidaujamos reakcijos klinikinės programos metu buvo galvos skausmas (4,9 %), </w:t>
      </w: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 xml:space="preserve"> (2,1 %) ir pilvo skausmas (4,9 %). Remiantis turimais duomenimis, manoma, kad nepageidaujamų reakcijų dažnis, tipas ir sunkumas vaikams ir paaugliams yra panašus į nustatytus suaugusiesiems.</w:t>
      </w:r>
    </w:p>
    <w:p w14:paraId="6BE8A1DC" w14:textId="77777777" w:rsidR="008F7970" w:rsidRDefault="008F7970">
      <w:pPr>
        <w:tabs>
          <w:tab w:val="left" w:pos="567"/>
        </w:tabs>
        <w:ind w:left="0" w:firstLine="0"/>
        <w:rPr>
          <w:rFonts w:ascii="Times New Roman" w:eastAsia="Times New Roman" w:hAnsi="Times New Roman" w:cs="Times New Roman"/>
        </w:rPr>
      </w:pPr>
    </w:p>
    <w:p w14:paraId="5696646A" w14:textId="77777777" w:rsidR="008F7970" w:rsidRDefault="00AD4BB2">
      <w:pPr>
        <w:widowControl w:val="0"/>
        <w:tabs>
          <w:tab w:val="left" w:pos="0"/>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snapToGrid w:val="0"/>
          <w:szCs w:val="20"/>
          <w:lang w:eastAsia="sl-SI"/>
        </w:rPr>
        <w:t xml:space="preserve">Klinikiniame tyrime, kuriame dalyvavo </w:t>
      </w:r>
      <w:proofErr w:type="spellStart"/>
      <w:r>
        <w:rPr>
          <w:rFonts w:ascii="Times New Roman" w:eastAsia="Times New Roman" w:hAnsi="Times New Roman" w:cs="Times New Roman"/>
          <w:snapToGrid w:val="0"/>
          <w:szCs w:val="20"/>
          <w:lang w:eastAsia="sl-SI"/>
        </w:rPr>
        <w:t>heterozigotine</w:t>
      </w:r>
      <w:proofErr w:type="spellEnd"/>
      <w:r>
        <w:rPr>
          <w:rFonts w:ascii="Times New Roman" w:eastAsia="Times New Roman" w:hAnsi="Times New Roman" w:cs="Times New Roman"/>
          <w:snapToGrid w:val="0"/>
          <w:szCs w:val="20"/>
          <w:lang w:eastAsia="sl-SI"/>
        </w:rPr>
        <w:t xml:space="preserve"> šeimine ar nešeimine </w:t>
      </w:r>
      <w:proofErr w:type="spellStart"/>
      <w:r>
        <w:rPr>
          <w:rFonts w:ascii="Times New Roman" w:eastAsia="Times New Roman" w:hAnsi="Times New Roman" w:cs="Times New Roman"/>
          <w:snapToGrid w:val="0"/>
          <w:szCs w:val="20"/>
          <w:lang w:eastAsia="sl-SI"/>
        </w:rPr>
        <w:t>hipercholesterolemija</w:t>
      </w:r>
      <w:proofErr w:type="spellEnd"/>
      <w:r>
        <w:rPr>
          <w:rFonts w:ascii="Times New Roman" w:eastAsia="Times New Roman" w:hAnsi="Times New Roman" w:cs="Times New Roman"/>
          <w:snapToGrid w:val="0"/>
          <w:szCs w:val="20"/>
          <w:lang w:eastAsia="sl-SI"/>
        </w:rPr>
        <w:t xml:space="preserve"> sirgę 6</w:t>
      </w:r>
      <w:r>
        <w:rPr>
          <w:rFonts w:ascii="Times New Roman" w:eastAsia="Times New Roman" w:hAnsi="Times New Roman" w:cs="Times New Roman"/>
          <w:snapToGrid w:val="0"/>
          <w:szCs w:val="20"/>
          <w:lang w:eastAsia="sl-SI"/>
        </w:rPr>
        <w:noBreakHyphen/>
        <w:t>10 metų vaikai (n = 138), ALT ir (arba) AST aktyvumo padidėjimas (</w:t>
      </w:r>
      <w:r>
        <w:rPr>
          <w:rFonts w:ascii="Times New Roman" w:eastAsia="Times New Roman" w:hAnsi="Times New Roman" w:cs="Times New Roman"/>
        </w:rPr>
        <w:t>≥ </w:t>
      </w:r>
      <w:r>
        <w:rPr>
          <w:rFonts w:ascii="Times New Roman" w:eastAsia="Times New Roman" w:hAnsi="Times New Roman" w:cs="Times New Roman"/>
          <w:snapToGrid w:val="0"/>
          <w:szCs w:val="20"/>
          <w:lang w:eastAsia="sl-SI"/>
        </w:rPr>
        <w:t>3 kartus viršijantis VNR, nuoseklus) buvo stebėtas 1,1 %</w:t>
      </w:r>
      <w:r>
        <w:rPr>
          <w:rFonts w:ascii="Times New Roman" w:eastAsia="Times New Roman" w:hAnsi="Times New Roman" w:cs="Times New Roman"/>
          <w:bCs/>
          <w:iCs/>
          <w:snapToGrid w:val="0"/>
          <w:szCs w:val="20"/>
          <w:lang w:eastAsia="sl-SI"/>
        </w:rPr>
        <w:t xml:space="preserve"> (1 pacientui) </w:t>
      </w:r>
      <w:proofErr w:type="spellStart"/>
      <w:r>
        <w:rPr>
          <w:rFonts w:ascii="Times New Roman" w:eastAsia="Times New Roman" w:hAnsi="Times New Roman" w:cs="Times New Roman"/>
          <w:bCs/>
          <w:iCs/>
          <w:snapToGrid w:val="0"/>
          <w:szCs w:val="20"/>
          <w:lang w:eastAsia="sl-SI"/>
        </w:rPr>
        <w:t>ezetimibo</w:t>
      </w:r>
      <w:proofErr w:type="spellEnd"/>
      <w:r>
        <w:rPr>
          <w:rFonts w:ascii="Times New Roman" w:eastAsia="Times New Roman" w:hAnsi="Times New Roman" w:cs="Times New Roman"/>
          <w:bCs/>
          <w:iCs/>
          <w:snapToGrid w:val="0"/>
          <w:szCs w:val="20"/>
          <w:lang w:eastAsia="sl-SI"/>
        </w:rPr>
        <w:t xml:space="preserve"> grupės pacientų, palyginti su 0 % placebo grupėje. KFK aktyvumo padidėjimo </w:t>
      </w:r>
      <w:r>
        <w:rPr>
          <w:rFonts w:ascii="Times New Roman" w:eastAsia="Times New Roman" w:hAnsi="Times New Roman" w:cs="Times New Roman"/>
          <w:snapToGrid w:val="0"/>
          <w:szCs w:val="20"/>
          <w:lang w:eastAsia="sl-SI"/>
        </w:rPr>
        <w:t>(≥ 10 kartų viršijančio VNR) atvejų nebuvo</w:t>
      </w:r>
      <w:r>
        <w:rPr>
          <w:rFonts w:ascii="Times New Roman" w:eastAsia="Times New Roman" w:hAnsi="Times New Roman" w:cs="Times New Roman"/>
          <w:bCs/>
          <w:iCs/>
          <w:snapToGrid w:val="0"/>
          <w:szCs w:val="20"/>
          <w:lang w:eastAsia="sl-SI"/>
        </w:rPr>
        <w:t xml:space="preserve">. </w:t>
      </w:r>
      <w:proofErr w:type="spellStart"/>
      <w:r>
        <w:rPr>
          <w:rFonts w:ascii="Times New Roman" w:eastAsia="Times New Roman" w:hAnsi="Times New Roman" w:cs="Times New Roman"/>
          <w:bCs/>
          <w:iCs/>
          <w:snapToGrid w:val="0"/>
          <w:szCs w:val="20"/>
          <w:lang w:eastAsia="sl-SI"/>
        </w:rPr>
        <w:t>Mi</w:t>
      </w:r>
      <w:r>
        <w:rPr>
          <w:rFonts w:ascii="Times New Roman" w:eastAsia="Times New Roman" w:hAnsi="Times New Roman" w:cs="Times New Roman"/>
          <w:snapToGrid w:val="0"/>
          <w:szCs w:val="20"/>
          <w:lang w:eastAsia="sl-SI"/>
        </w:rPr>
        <w:t>opatijos</w:t>
      </w:r>
      <w:proofErr w:type="spellEnd"/>
      <w:r>
        <w:rPr>
          <w:rFonts w:ascii="Times New Roman" w:eastAsia="Times New Roman" w:hAnsi="Times New Roman" w:cs="Times New Roman"/>
          <w:snapToGrid w:val="0"/>
          <w:szCs w:val="20"/>
          <w:lang w:eastAsia="sl-SI"/>
        </w:rPr>
        <w:t xml:space="preserve"> atvejų nepranešta.</w:t>
      </w:r>
      <w:r>
        <w:rPr>
          <w:rFonts w:ascii="Times New Roman" w:eastAsia="Times New Roman" w:hAnsi="Times New Roman" w:cs="Times New Roman"/>
        </w:rPr>
        <w:t xml:space="preserve"> Kitame klinikiniame tyrime, kuriame dalyvavo </w:t>
      </w:r>
      <w:proofErr w:type="spellStart"/>
      <w:r>
        <w:rPr>
          <w:rFonts w:ascii="Times New Roman" w:eastAsia="Times New Roman" w:hAnsi="Times New Roman" w:cs="Times New Roman"/>
        </w:rPr>
        <w:t>heterozigotine</w:t>
      </w:r>
      <w:proofErr w:type="spellEnd"/>
      <w:r>
        <w:rPr>
          <w:rFonts w:ascii="Times New Roman" w:eastAsia="Times New Roman" w:hAnsi="Times New Roman" w:cs="Times New Roman"/>
        </w:rPr>
        <w:t xml:space="preserve"> šeimine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sirgę nuo 10 iki 17 metų paaugliai (n = 248), ALT ir (arba) AST aktyvumo padidėjimas (≥ </w:t>
      </w:r>
      <w:r>
        <w:rPr>
          <w:rFonts w:ascii="Times New Roman" w:eastAsia="Times New Roman" w:hAnsi="Times New Roman" w:cs="Times New Roman"/>
          <w:snapToGrid w:val="0"/>
          <w:szCs w:val="20"/>
          <w:lang w:eastAsia="sl-SI"/>
        </w:rPr>
        <w:t>3 kartus viršijantis VNR, nuoseklus</w:t>
      </w:r>
      <w:r>
        <w:rPr>
          <w:rFonts w:ascii="Times New Roman" w:eastAsia="Times New Roman" w:hAnsi="Times New Roman" w:cs="Times New Roman"/>
        </w:rPr>
        <w:t xml:space="preserve">) buvo stebėtas </w:t>
      </w:r>
      <w:r>
        <w:rPr>
          <w:rFonts w:ascii="Times New Roman" w:eastAsia="Times New Roman" w:hAnsi="Times New Roman" w:cs="Times New Roman"/>
          <w:bCs/>
          <w:iCs/>
        </w:rPr>
        <w:t>3</w:t>
      </w:r>
      <w:r>
        <w:rPr>
          <w:rFonts w:ascii="Times New Roman" w:eastAsia="Times New Roman" w:hAnsi="Times New Roman" w:cs="Times New Roman"/>
          <w:lang w:eastAsia="lt-LT"/>
        </w:rPr>
        <w:t> %</w:t>
      </w:r>
      <w:r>
        <w:rPr>
          <w:rFonts w:ascii="Times New Roman" w:eastAsia="Times New Roman" w:hAnsi="Times New Roman" w:cs="Times New Roman"/>
          <w:bCs/>
          <w:iCs/>
        </w:rPr>
        <w:t xml:space="preserve"> (4 pacientams) </w:t>
      </w:r>
      <w:proofErr w:type="spellStart"/>
      <w:r>
        <w:rPr>
          <w:rFonts w:ascii="Times New Roman" w:eastAsia="Times New Roman" w:hAnsi="Times New Roman" w:cs="Times New Roman"/>
          <w:bCs/>
          <w:iCs/>
        </w:rPr>
        <w:t>ezetimibu</w:t>
      </w:r>
      <w:proofErr w:type="spellEnd"/>
      <w:r>
        <w:rPr>
          <w:rFonts w:ascii="Times New Roman" w:eastAsia="Times New Roman" w:hAnsi="Times New Roman" w:cs="Times New Roman"/>
          <w:bCs/>
          <w:iCs/>
        </w:rPr>
        <w:t xml:space="preserve"> ir </w:t>
      </w:r>
      <w:proofErr w:type="spellStart"/>
      <w:r>
        <w:rPr>
          <w:rFonts w:ascii="Times New Roman" w:eastAsia="Times New Roman" w:hAnsi="Times New Roman" w:cs="Times New Roman"/>
          <w:bCs/>
          <w:iCs/>
        </w:rPr>
        <w:t>simvastatinu</w:t>
      </w:r>
      <w:proofErr w:type="spellEnd"/>
      <w:r>
        <w:rPr>
          <w:rFonts w:ascii="Times New Roman" w:eastAsia="Times New Roman" w:hAnsi="Times New Roman" w:cs="Times New Roman"/>
          <w:bCs/>
          <w:iCs/>
        </w:rPr>
        <w:t xml:space="preserve"> gydytų pacientų grupėje, palyginti su 2</w:t>
      </w:r>
      <w:r>
        <w:rPr>
          <w:rFonts w:ascii="Times New Roman" w:eastAsia="Times New Roman" w:hAnsi="Times New Roman" w:cs="Times New Roman"/>
          <w:lang w:eastAsia="lt-LT"/>
        </w:rPr>
        <w:t> %</w:t>
      </w:r>
      <w:r>
        <w:rPr>
          <w:rFonts w:ascii="Times New Roman" w:eastAsia="Times New Roman" w:hAnsi="Times New Roman" w:cs="Times New Roman"/>
          <w:bCs/>
          <w:iCs/>
        </w:rPr>
        <w:t xml:space="preserve"> (2 pacientais) </w:t>
      </w:r>
      <w:proofErr w:type="spellStart"/>
      <w:r>
        <w:rPr>
          <w:rFonts w:ascii="Times New Roman" w:eastAsia="Times New Roman" w:hAnsi="Times New Roman" w:cs="Times New Roman"/>
          <w:bCs/>
          <w:iCs/>
        </w:rPr>
        <w:t>simvastatino</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monoterapijos</w:t>
      </w:r>
      <w:proofErr w:type="spellEnd"/>
      <w:r>
        <w:rPr>
          <w:rFonts w:ascii="Times New Roman" w:eastAsia="Times New Roman" w:hAnsi="Times New Roman" w:cs="Times New Roman"/>
          <w:bCs/>
          <w:iCs/>
        </w:rPr>
        <w:t xml:space="preserve"> grupėje; KFK aktyvumo padidėjimas </w:t>
      </w:r>
      <w:r>
        <w:rPr>
          <w:rFonts w:ascii="Times New Roman" w:eastAsia="Times New Roman" w:hAnsi="Times New Roman" w:cs="Times New Roman"/>
        </w:rPr>
        <w:t>(≥ 10</w:t>
      </w:r>
      <w:r>
        <w:rPr>
          <w:rFonts w:ascii="Times New Roman" w:eastAsia="Times New Roman" w:hAnsi="Times New Roman" w:cs="Times New Roman"/>
          <w:snapToGrid w:val="0"/>
          <w:szCs w:val="20"/>
          <w:lang w:eastAsia="sl-SI"/>
        </w:rPr>
        <w:t> kartų viršijantis VNR</w:t>
      </w:r>
      <w:r>
        <w:rPr>
          <w:rFonts w:ascii="Times New Roman" w:eastAsia="Times New Roman" w:hAnsi="Times New Roman" w:cs="Times New Roman"/>
        </w:rPr>
        <w:t xml:space="preserve">) </w:t>
      </w:r>
      <w:r>
        <w:rPr>
          <w:rFonts w:ascii="Times New Roman" w:eastAsia="Times New Roman" w:hAnsi="Times New Roman" w:cs="Times New Roman"/>
          <w:bCs/>
          <w:iCs/>
        </w:rPr>
        <w:t>stebėtas atitinkamai 2</w:t>
      </w:r>
      <w:r>
        <w:rPr>
          <w:rFonts w:ascii="Times New Roman" w:eastAsia="Times New Roman" w:hAnsi="Times New Roman" w:cs="Times New Roman"/>
          <w:lang w:eastAsia="lt-LT"/>
        </w:rPr>
        <w:t> %</w:t>
      </w:r>
      <w:r>
        <w:rPr>
          <w:rFonts w:ascii="Times New Roman" w:eastAsia="Times New Roman" w:hAnsi="Times New Roman" w:cs="Times New Roman"/>
          <w:bCs/>
          <w:iCs/>
        </w:rPr>
        <w:t xml:space="preserve"> (2 pacientams) ir 0</w:t>
      </w:r>
      <w:r>
        <w:rPr>
          <w:rFonts w:ascii="Times New Roman" w:eastAsia="Times New Roman" w:hAnsi="Times New Roman" w:cs="Times New Roman"/>
          <w:lang w:eastAsia="lt-LT"/>
        </w:rPr>
        <w:t> %</w:t>
      </w:r>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Mi</w:t>
      </w:r>
      <w:r>
        <w:rPr>
          <w:rFonts w:ascii="Times New Roman" w:eastAsia="Times New Roman" w:hAnsi="Times New Roman" w:cs="Times New Roman"/>
        </w:rPr>
        <w:t>opatijos</w:t>
      </w:r>
      <w:proofErr w:type="spellEnd"/>
      <w:r>
        <w:rPr>
          <w:rFonts w:ascii="Times New Roman" w:eastAsia="Times New Roman" w:hAnsi="Times New Roman" w:cs="Times New Roman"/>
        </w:rPr>
        <w:t xml:space="preserve"> atvejų nepranešta. Šie tyrimai netiko retų nepageidaujamų reakcijų palyginimui.</w:t>
      </w:r>
    </w:p>
    <w:p w14:paraId="62971B22" w14:textId="77777777" w:rsidR="008F7970" w:rsidRDefault="008F7970">
      <w:pPr>
        <w:tabs>
          <w:tab w:val="left" w:pos="567"/>
        </w:tabs>
        <w:ind w:left="0" w:firstLine="0"/>
        <w:rPr>
          <w:rFonts w:ascii="Times New Roman" w:eastAsia="Times New Roman" w:hAnsi="Times New Roman" w:cs="Times New Roman"/>
        </w:rPr>
      </w:pPr>
    </w:p>
    <w:p w14:paraId="59F8E561" w14:textId="77777777" w:rsidR="008F7970" w:rsidRDefault="00AD4BB2">
      <w:pPr>
        <w:autoSpaceDE w:val="0"/>
        <w:autoSpaceDN w:val="0"/>
        <w:adjustRightInd w:val="0"/>
        <w:ind w:left="0" w:firstLine="0"/>
        <w:rPr>
          <w:rFonts w:ascii="Times New Roman" w:eastAsia="Times New Roman" w:hAnsi="Times New Roman" w:cs="Times New Roman"/>
          <w:bCs/>
          <w:u w:val="single"/>
        </w:rPr>
      </w:pPr>
      <w:r>
        <w:rPr>
          <w:rFonts w:ascii="Times New Roman" w:eastAsia="Times New Roman" w:hAnsi="Times New Roman" w:cs="Times New Roman"/>
          <w:bCs/>
          <w:u w:val="single"/>
        </w:rPr>
        <w:t>Patirtis po vaistinio preparato pateikimo į rinką</w:t>
      </w:r>
    </w:p>
    <w:p w14:paraId="3C84A802" w14:textId="77777777" w:rsidR="008F7970" w:rsidRDefault="00AD4BB2">
      <w:pPr>
        <w:tabs>
          <w:tab w:val="left" w:pos="567"/>
        </w:tabs>
        <w:autoSpaceDE w:val="0"/>
        <w:autoSpaceDN w:val="0"/>
        <w:adjustRightInd w:val="0"/>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Dvejų metų perspektyvinis stebėjimo po pateikimo į rinką tyrimas buvo atliktas su beveik 20 000 pacientų Japonijoje. Didžioji dauguma iš 20 000 tyrime dalyvavusių pacientų buvo gydomi 1 mg arba 2 mg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doze, o ne 4 mg doze. 10,4 % pacientų pranešė apie nepageidaujamus reiškinius, kurių priežastinio ryšio su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vartojimu nebuvo galima atmesti, o 7,4 % pacientų dėl nepageidaujamų reiškinių nutraukė gydymą. </w:t>
      </w:r>
      <w:proofErr w:type="spellStart"/>
      <w:r>
        <w:rPr>
          <w:rFonts w:ascii="Times New Roman" w:eastAsia="Times New Roman" w:hAnsi="Times New Roman" w:cs="Times New Roman"/>
        </w:rPr>
        <w:t>Mialgijos</w:t>
      </w:r>
      <w:proofErr w:type="spellEnd"/>
      <w:r>
        <w:rPr>
          <w:rFonts w:ascii="Times New Roman" w:eastAsia="Times New Roman" w:hAnsi="Times New Roman" w:cs="Times New Roman"/>
        </w:rPr>
        <w:t xml:space="preserve"> dažnis buvo 1,08 %. Dauguma nepageidaujamų reiškinių buvo lengvi. Nepageidaujamų reiškinių dažnis 2 metų laikotarpiu buvo didesnis pacientams, kuriems anksčiau buvo nustatyta alergija vaistiniams preparatams (20,4 %) arba kepenų ar inkstų liga (13,5 %).</w:t>
      </w:r>
    </w:p>
    <w:p w14:paraId="482E3289" w14:textId="77777777" w:rsidR="008F7970" w:rsidRDefault="008F7970">
      <w:pPr>
        <w:tabs>
          <w:tab w:val="left" w:pos="567"/>
        </w:tabs>
        <w:autoSpaceDE w:val="0"/>
        <w:autoSpaceDN w:val="0"/>
        <w:adjustRightInd w:val="0"/>
        <w:spacing w:line="260" w:lineRule="exact"/>
        <w:ind w:left="0" w:firstLine="0"/>
        <w:rPr>
          <w:rFonts w:ascii="Times New Roman" w:eastAsia="Times New Roman" w:hAnsi="Times New Roman" w:cs="Times New Roman"/>
        </w:rPr>
      </w:pPr>
    </w:p>
    <w:p w14:paraId="2F559B7F" w14:textId="77777777" w:rsidR="008F7970" w:rsidRDefault="00AD4BB2">
      <w:pPr>
        <w:tabs>
          <w:tab w:val="left" w:pos="567"/>
        </w:tabs>
        <w:autoSpaceDE w:val="0"/>
        <w:autoSpaceDN w:val="0"/>
        <w:adjustRightInd w:val="0"/>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Po pateikimo į rinką atlikto stebėjimo tyrimo metu buvo gauti du pranešimai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dėl kurios pacientai turėjo būti hospitalizuoti (0,01 % pacientų).</w:t>
      </w:r>
    </w:p>
    <w:p w14:paraId="023B15EE" w14:textId="77777777" w:rsidR="008F7970" w:rsidRDefault="008F7970">
      <w:pPr>
        <w:tabs>
          <w:tab w:val="left" w:pos="567"/>
        </w:tabs>
        <w:autoSpaceDE w:val="0"/>
        <w:autoSpaceDN w:val="0"/>
        <w:adjustRightInd w:val="0"/>
        <w:spacing w:line="260" w:lineRule="exact"/>
        <w:ind w:left="0" w:firstLine="0"/>
        <w:rPr>
          <w:rFonts w:ascii="Times New Roman" w:eastAsia="Times New Roman" w:hAnsi="Times New Roman" w:cs="Times New Roman"/>
        </w:rPr>
      </w:pPr>
    </w:p>
    <w:p w14:paraId="2FC5072E" w14:textId="77777777" w:rsidR="008F7970" w:rsidRDefault="00AD4BB2">
      <w:pPr>
        <w:tabs>
          <w:tab w:val="left" w:pos="567"/>
        </w:tabs>
        <w:autoSpaceDE w:val="0"/>
        <w:autoSpaceDN w:val="0"/>
        <w:adjustRightInd w:val="0"/>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Be to, gauta savanoriškų pranešimų apie poveikį skeleto raumenims, įskaitant </w:t>
      </w:r>
      <w:proofErr w:type="spellStart"/>
      <w:r>
        <w:rPr>
          <w:rFonts w:ascii="Times New Roman" w:eastAsia="Times New Roman" w:hAnsi="Times New Roman" w:cs="Times New Roman"/>
        </w:rPr>
        <w:t>mialgiją</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miopatiją</w:t>
      </w:r>
      <w:proofErr w:type="spellEnd"/>
      <w:r>
        <w:rPr>
          <w:rFonts w:ascii="Times New Roman" w:eastAsia="Times New Roman" w:hAnsi="Times New Roman" w:cs="Times New Roman"/>
        </w:rPr>
        <w:t xml:space="preserve">, pacientams, gydytiems </w:t>
      </w:r>
      <w:proofErr w:type="spellStart"/>
      <w:r>
        <w:rPr>
          <w:rFonts w:ascii="Times New Roman" w:eastAsia="Times New Roman" w:hAnsi="Times New Roman" w:cs="Times New Roman"/>
        </w:rPr>
        <w:t>pitavastatinu</w:t>
      </w:r>
      <w:proofErr w:type="spellEnd"/>
      <w:r>
        <w:rPr>
          <w:rFonts w:ascii="Times New Roman" w:eastAsia="Times New Roman" w:hAnsi="Times New Roman" w:cs="Times New Roman"/>
        </w:rPr>
        <w:t xml:space="preserve"> visomis rekomenduojamomis dozėmis. Taip pat gauta pranešimų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su ūminiu inkstų nepakankamumu ir be jo, įskaitant mirtiną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w:t>
      </w:r>
    </w:p>
    <w:p w14:paraId="34B140A3" w14:textId="77777777" w:rsidR="008F7970" w:rsidRDefault="008F7970">
      <w:pPr>
        <w:autoSpaceDE w:val="0"/>
        <w:autoSpaceDN w:val="0"/>
        <w:adjustRightInd w:val="0"/>
        <w:ind w:left="0" w:firstLine="0"/>
        <w:rPr>
          <w:rFonts w:ascii="Times New Roman" w:eastAsia="Times New Roman" w:hAnsi="Times New Roman" w:cs="Times New Roman"/>
        </w:rPr>
      </w:pPr>
    </w:p>
    <w:p w14:paraId="0F097E4A"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snapToGrid w:val="0"/>
          <w:lang w:eastAsia="lt-LT"/>
        </w:rPr>
        <w:t xml:space="preserve">Duomenys apie po vaistinio preparato pateikimo į rinką nustatytas nepageidaujamas reakcijas gauti iš pranešimų apie vien </w:t>
      </w:r>
      <w:proofErr w:type="spellStart"/>
      <w:r>
        <w:rPr>
          <w:rFonts w:ascii="Times New Roman" w:eastAsia="Times New Roman" w:hAnsi="Times New Roman" w:cs="Times New Roman"/>
          <w:snapToGrid w:val="0"/>
          <w:lang w:eastAsia="lt-LT"/>
        </w:rPr>
        <w:t>ezetimibo</w:t>
      </w:r>
      <w:proofErr w:type="spellEnd"/>
      <w:r>
        <w:rPr>
          <w:rFonts w:ascii="Times New Roman" w:eastAsia="Times New Roman" w:hAnsi="Times New Roman" w:cs="Times New Roman"/>
          <w:snapToGrid w:val="0"/>
          <w:lang w:eastAsia="lt-LT"/>
        </w:rPr>
        <w:t xml:space="preserve"> arba jo ir </w:t>
      </w:r>
      <w:proofErr w:type="spellStart"/>
      <w:r>
        <w:rPr>
          <w:rFonts w:ascii="Times New Roman" w:eastAsia="Times New Roman" w:hAnsi="Times New Roman" w:cs="Times New Roman"/>
          <w:snapToGrid w:val="0"/>
          <w:lang w:eastAsia="lt-LT"/>
        </w:rPr>
        <w:t>statino</w:t>
      </w:r>
      <w:proofErr w:type="spellEnd"/>
      <w:r>
        <w:rPr>
          <w:rFonts w:ascii="Times New Roman" w:eastAsia="Times New Roman" w:hAnsi="Times New Roman" w:cs="Times New Roman"/>
          <w:snapToGrid w:val="0"/>
          <w:lang w:eastAsia="lt-LT"/>
        </w:rPr>
        <w:t xml:space="preserve"> vartojimą. Pirmiau esančioje lentelėje paminėtos </w:t>
      </w:r>
      <w:proofErr w:type="spellStart"/>
      <w:r>
        <w:rPr>
          <w:rFonts w:ascii="Times New Roman" w:eastAsia="Times New Roman" w:hAnsi="Times New Roman" w:cs="Times New Roman"/>
          <w:snapToGrid w:val="0"/>
          <w:lang w:eastAsia="lt-LT"/>
        </w:rPr>
        <w:t>ezetimibo</w:t>
      </w:r>
      <w:proofErr w:type="spellEnd"/>
      <w:r>
        <w:rPr>
          <w:rFonts w:ascii="Times New Roman" w:eastAsia="Times New Roman" w:hAnsi="Times New Roman" w:cs="Times New Roman"/>
          <w:snapToGrid w:val="0"/>
          <w:lang w:eastAsia="lt-LT"/>
        </w:rPr>
        <w:t xml:space="preserve"> nepageidaujamos reakcijos, kurios pacientams, vartojusiems vien </w:t>
      </w:r>
      <w:proofErr w:type="spellStart"/>
      <w:r>
        <w:rPr>
          <w:rFonts w:ascii="Times New Roman" w:eastAsia="Times New Roman" w:hAnsi="Times New Roman" w:cs="Times New Roman"/>
          <w:snapToGrid w:val="0"/>
        </w:rPr>
        <w:t>ezetimibo</w:t>
      </w:r>
      <w:proofErr w:type="spellEnd"/>
      <w:r>
        <w:rPr>
          <w:rFonts w:ascii="Times New Roman" w:eastAsia="Times New Roman" w:hAnsi="Times New Roman" w:cs="Times New Roman"/>
          <w:snapToGrid w:val="0"/>
          <w:lang w:eastAsia="lt-LT"/>
        </w:rPr>
        <w:t xml:space="preserve"> (n =2 396), pasireiškė dažniau, negu vartojusiems placebo (n = 1 159) bei kurios pacientams, vartojusiems </w:t>
      </w:r>
      <w:proofErr w:type="spellStart"/>
      <w:r>
        <w:rPr>
          <w:rFonts w:ascii="Times New Roman" w:eastAsia="Times New Roman" w:hAnsi="Times New Roman" w:cs="Times New Roman"/>
          <w:snapToGrid w:val="0"/>
        </w:rPr>
        <w:t>ezetimibo</w:t>
      </w:r>
      <w:proofErr w:type="spellEnd"/>
      <w:r>
        <w:rPr>
          <w:rFonts w:ascii="Times New Roman" w:eastAsia="Times New Roman" w:hAnsi="Times New Roman" w:cs="Times New Roman"/>
          <w:snapToGrid w:val="0"/>
          <w:lang w:eastAsia="lt-LT"/>
        </w:rPr>
        <w:t xml:space="preserve"> kartu su </w:t>
      </w:r>
      <w:proofErr w:type="spellStart"/>
      <w:r>
        <w:rPr>
          <w:rFonts w:ascii="Times New Roman" w:eastAsia="Times New Roman" w:hAnsi="Times New Roman" w:cs="Times New Roman"/>
          <w:snapToGrid w:val="0"/>
          <w:lang w:eastAsia="lt-LT"/>
        </w:rPr>
        <w:t>statinu</w:t>
      </w:r>
      <w:proofErr w:type="spellEnd"/>
      <w:r>
        <w:rPr>
          <w:rFonts w:ascii="Times New Roman" w:eastAsia="Times New Roman" w:hAnsi="Times New Roman" w:cs="Times New Roman"/>
          <w:snapToGrid w:val="0"/>
          <w:lang w:eastAsia="lt-LT"/>
        </w:rPr>
        <w:t xml:space="preserve"> (n = 11 308), pasireiškė dažniau, negu vartojusiems vien tik </w:t>
      </w:r>
      <w:proofErr w:type="spellStart"/>
      <w:r>
        <w:rPr>
          <w:rFonts w:ascii="Times New Roman" w:eastAsia="Times New Roman" w:hAnsi="Times New Roman" w:cs="Times New Roman"/>
          <w:snapToGrid w:val="0"/>
          <w:lang w:eastAsia="lt-LT"/>
        </w:rPr>
        <w:t>statino</w:t>
      </w:r>
      <w:proofErr w:type="spellEnd"/>
      <w:r>
        <w:rPr>
          <w:rFonts w:ascii="Times New Roman" w:eastAsia="Times New Roman" w:hAnsi="Times New Roman" w:cs="Times New Roman"/>
          <w:snapToGrid w:val="0"/>
          <w:lang w:eastAsia="lt-LT"/>
        </w:rPr>
        <w:t xml:space="preserve"> (n = 9 361).</w:t>
      </w:r>
    </w:p>
    <w:p w14:paraId="7A3EA4E3" w14:textId="77777777" w:rsidR="008F7970" w:rsidRDefault="008F7970">
      <w:pPr>
        <w:autoSpaceDE w:val="0"/>
        <w:autoSpaceDN w:val="0"/>
        <w:adjustRightInd w:val="0"/>
        <w:ind w:left="0" w:firstLine="0"/>
        <w:rPr>
          <w:rFonts w:ascii="Times New Roman" w:eastAsia="Times New Roman" w:hAnsi="Times New Roman" w:cs="Times New Roman"/>
          <w:b/>
          <w:bCs/>
        </w:rPr>
      </w:pPr>
    </w:p>
    <w:p w14:paraId="504887A8" w14:textId="77777777" w:rsidR="008F7970" w:rsidRDefault="00AD4BB2">
      <w:pPr>
        <w:autoSpaceDE w:val="0"/>
        <w:autoSpaceDN w:val="0"/>
        <w:adjustRightInd w:val="0"/>
        <w:ind w:left="0" w:firstLine="0"/>
        <w:rPr>
          <w:rFonts w:ascii="Times New Roman" w:eastAsia="Times New Roman" w:hAnsi="Times New Roman" w:cs="Times New Roman"/>
          <w:b/>
          <w:bCs/>
        </w:rPr>
      </w:pPr>
      <w:proofErr w:type="spellStart"/>
      <w:r>
        <w:rPr>
          <w:rFonts w:ascii="Times New Roman" w:eastAsia="Times New Roman" w:hAnsi="Times New Roman" w:cs="Times New Roman"/>
          <w:b/>
          <w:bCs/>
        </w:rPr>
        <w:t>Statinų</w:t>
      </w:r>
      <w:proofErr w:type="spellEnd"/>
      <w:r>
        <w:rPr>
          <w:rFonts w:ascii="Times New Roman" w:eastAsia="Times New Roman" w:hAnsi="Times New Roman" w:cs="Times New Roman"/>
          <w:b/>
          <w:bCs/>
        </w:rPr>
        <w:t xml:space="preserve"> klasei būdingas poveikis</w:t>
      </w:r>
    </w:p>
    <w:p w14:paraId="09892727"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lastRenderedPageBreak/>
        <w:t xml:space="preserve">Apie toliau išvardytus reiškinius buvo pranešta vartojant kai kuriuos </w:t>
      </w:r>
      <w:proofErr w:type="spellStart"/>
      <w:r>
        <w:rPr>
          <w:rFonts w:ascii="Times New Roman" w:eastAsia="Times New Roman" w:hAnsi="Times New Roman" w:cs="Times New Roman"/>
        </w:rPr>
        <w:t>statinus</w:t>
      </w:r>
      <w:proofErr w:type="spellEnd"/>
      <w:r>
        <w:rPr>
          <w:rFonts w:ascii="Times New Roman" w:eastAsia="Times New Roman" w:hAnsi="Times New Roman" w:cs="Times New Roman"/>
        </w:rPr>
        <w:t>.</w:t>
      </w:r>
    </w:p>
    <w:p w14:paraId="6DAFC4F4" w14:textId="77777777" w:rsidR="008F7970" w:rsidRDefault="00AD4BB2">
      <w:pPr>
        <w:numPr>
          <w:ilvl w:val="0"/>
          <w:numId w:val="20"/>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Miego sutrikimai, įskaitant košmariškus sapnus</w:t>
      </w:r>
    </w:p>
    <w:p w14:paraId="0B23B0EA" w14:textId="77777777" w:rsidR="008F7970" w:rsidRDefault="00AD4BB2">
      <w:pPr>
        <w:numPr>
          <w:ilvl w:val="0"/>
          <w:numId w:val="20"/>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Atminties praradimas</w:t>
      </w:r>
    </w:p>
    <w:p w14:paraId="7346C69D" w14:textId="77777777" w:rsidR="008F7970" w:rsidRDefault="00AD4BB2">
      <w:pPr>
        <w:numPr>
          <w:ilvl w:val="0"/>
          <w:numId w:val="20"/>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Lytinės funkcijos sutrikimas</w:t>
      </w:r>
    </w:p>
    <w:p w14:paraId="7D3E6B6B" w14:textId="77777777" w:rsidR="008F7970" w:rsidRDefault="00AD4BB2">
      <w:pPr>
        <w:numPr>
          <w:ilvl w:val="0"/>
          <w:numId w:val="20"/>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Depresija</w:t>
      </w:r>
    </w:p>
    <w:p w14:paraId="5EABE7C6" w14:textId="77777777" w:rsidR="008F7970" w:rsidRDefault="00AD4BB2">
      <w:pPr>
        <w:numPr>
          <w:ilvl w:val="0"/>
          <w:numId w:val="20"/>
        </w:numPr>
        <w:tabs>
          <w:tab w:val="left" w:pos="567"/>
        </w:tabs>
        <w:autoSpaceDE w:val="0"/>
        <w:autoSpaceDN w:val="0"/>
        <w:adjustRightInd w:val="0"/>
        <w:spacing w:line="260" w:lineRule="exact"/>
        <w:rPr>
          <w:rFonts w:ascii="Times New Roman" w:eastAsia="Times New Roman" w:hAnsi="Times New Roman" w:cs="Times New Roman"/>
        </w:rPr>
      </w:pPr>
      <w:r>
        <w:rPr>
          <w:rFonts w:ascii="Times New Roman" w:eastAsia="Times New Roman" w:hAnsi="Times New Roman" w:cs="Times New Roman"/>
        </w:rPr>
        <w:t xml:space="preserve">Išimtiniai </w:t>
      </w:r>
      <w:proofErr w:type="spellStart"/>
      <w:r>
        <w:rPr>
          <w:rFonts w:ascii="Times New Roman" w:eastAsia="Times New Roman" w:hAnsi="Times New Roman" w:cs="Times New Roman"/>
        </w:rPr>
        <w:t>intersticinės</w:t>
      </w:r>
      <w:proofErr w:type="spellEnd"/>
      <w:r>
        <w:rPr>
          <w:rFonts w:ascii="Times New Roman" w:eastAsia="Times New Roman" w:hAnsi="Times New Roman" w:cs="Times New Roman"/>
        </w:rPr>
        <w:t xml:space="preserve"> plaučių ligos atvejai, ypač taikant ilgalaikį gydymą (žr. 4.4 skyrių)</w:t>
      </w:r>
    </w:p>
    <w:p w14:paraId="03E7732C" w14:textId="77777777" w:rsidR="008F7970" w:rsidRDefault="00AD4BB2">
      <w:pPr>
        <w:numPr>
          <w:ilvl w:val="0"/>
          <w:numId w:val="20"/>
        </w:numPr>
        <w:tabs>
          <w:tab w:val="left" w:pos="567"/>
        </w:tabs>
        <w:autoSpaceDE w:val="0"/>
        <w:autoSpaceDN w:val="0"/>
        <w:adjustRightInd w:val="0"/>
        <w:spacing w:line="260" w:lineRule="exact"/>
        <w:rPr>
          <w:rFonts w:ascii="Times New Roman" w:eastAsia="Times New Roman" w:hAnsi="Times New Roman" w:cs="Times New Roman"/>
          <w:u w:val="single"/>
        </w:rPr>
      </w:pPr>
      <w:r>
        <w:rPr>
          <w:rFonts w:ascii="Times New Roman" w:eastAsia="Times New Roman" w:hAnsi="Times New Roman" w:cs="Times New Roman"/>
        </w:rPr>
        <w:t>Cukrinis diabetas: dažnis priklauso nuo to, ar yra rizikos veiksnių (gliukozės koncentracija kraujyje nevalgius 5,6</w:t>
      </w:r>
      <w:r>
        <w:rPr>
          <w:rFonts w:ascii="Times New Roman" w:eastAsia="Times New Roman" w:hAnsi="Times New Roman" w:cs="Times New Roman"/>
        </w:rPr>
        <w:noBreakHyphen/>
        <w:t>6,9 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KMI &gt; 30 kg/m</w:t>
      </w:r>
      <w:r>
        <w:rPr>
          <w:rFonts w:ascii="Times New Roman" w:eastAsia="Times New Roman" w:hAnsi="Times New Roman" w:cs="Times New Roman"/>
          <w:vertAlign w:val="superscript"/>
        </w:rPr>
        <w:t>2</w:t>
      </w:r>
      <w:r>
        <w:rPr>
          <w:rFonts w:ascii="Times New Roman" w:eastAsia="Times New Roman" w:hAnsi="Times New Roman" w:cs="Times New Roman"/>
        </w:rPr>
        <w:t>, padidėjusi trigliceridų koncentracija, hipertenzija)</w:t>
      </w:r>
    </w:p>
    <w:p w14:paraId="613A0319" w14:textId="77777777" w:rsidR="008F7970" w:rsidRDefault="008F7970">
      <w:pPr>
        <w:widowControl w:val="0"/>
        <w:tabs>
          <w:tab w:val="left" w:pos="567"/>
        </w:tabs>
        <w:ind w:left="0" w:firstLine="0"/>
        <w:jc w:val="both"/>
        <w:rPr>
          <w:rFonts w:ascii="Times New Roman" w:eastAsia="Times New Roman" w:hAnsi="Times New Roman" w:cs="Times New Roman"/>
          <w:bCs/>
        </w:rPr>
      </w:pPr>
    </w:p>
    <w:p w14:paraId="0995C50E" w14:textId="77777777" w:rsidR="008F7970" w:rsidRDefault="00AD4BB2">
      <w:pPr>
        <w:widowControl w:val="0"/>
        <w:tabs>
          <w:tab w:val="left" w:pos="567"/>
        </w:tabs>
        <w:ind w:left="0" w:firstLine="0"/>
        <w:jc w:val="both"/>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51B55DF0" w14:textId="77777777" w:rsidR="008F7970" w:rsidRDefault="00AD4BB2">
      <w:pPr>
        <w:widowControl w:val="0"/>
        <w:autoSpaceDE w:val="0"/>
        <w:autoSpaceDN w:val="0"/>
        <w:adjustRightInd w:val="0"/>
        <w:ind w:left="0" w:firstLine="0"/>
        <w:jc w:val="both"/>
        <w:rPr>
          <w:rFonts w:ascii="Times New Roman" w:eastAsia="Times New Roman" w:hAnsi="Times New Roman" w:cs="Times New Roman"/>
          <w:bCs/>
          <w:u w:val="single"/>
        </w:rPr>
      </w:pPr>
      <w:r>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w:t>
      </w:r>
    </w:p>
    <w:p w14:paraId="35E18E57" w14:textId="77777777" w:rsidR="008F7970" w:rsidRDefault="008F7970">
      <w:pPr>
        <w:widowControl w:val="0"/>
        <w:tabs>
          <w:tab w:val="left" w:pos="567"/>
        </w:tabs>
        <w:outlineLvl w:val="2"/>
        <w:rPr>
          <w:rFonts w:ascii="Times New Roman" w:eastAsia="Times New Roman" w:hAnsi="Times New Roman" w:cs="Times New Roman"/>
          <w:b/>
          <w:kern w:val="28"/>
        </w:rPr>
      </w:pPr>
    </w:p>
    <w:p w14:paraId="291E6464" w14:textId="77777777" w:rsidR="008F7970" w:rsidRDefault="008F7970">
      <w:pPr>
        <w:widowControl w:val="0"/>
        <w:tabs>
          <w:tab w:val="left" w:pos="567"/>
        </w:tabs>
        <w:outlineLvl w:val="2"/>
        <w:rPr>
          <w:rFonts w:ascii="Times New Roman" w:eastAsia="Times New Roman" w:hAnsi="Times New Roman" w:cs="Times New Roman"/>
          <w:b/>
          <w:kern w:val="28"/>
        </w:rPr>
      </w:pPr>
    </w:p>
    <w:p w14:paraId="0DFE206E" w14:textId="77777777" w:rsidR="008F7970" w:rsidRDefault="008F7970">
      <w:pPr>
        <w:widowControl w:val="0"/>
        <w:tabs>
          <w:tab w:val="left" w:pos="567"/>
        </w:tabs>
        <w:outlineLvl w:val="2"/>
        <w:rPr>
          <w:rFonts w:ascii="Times New Roman" w:eastAsia="Times New Roman" w:hAnsi="Times New Roman" w:cs="Times New Roman"/>
          <w:b/>
          <w:kern w:val="28"/>
        </w:rPr>
      </w:pPr>
    </w:p>
    <w:p w14:paraId="692ED61A"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p>
    <w:p w14:paraId="44D8A1D9" w14:textId="77777777" w:rsidR="008F7970" w:rsidRDefault="008F7970">
      <w:pPr>
        <w:widowControl w:val="0"/>
        <w:tabs>
          <w:tab w:val="left" w:pos="540"/>
        </w:tabs>
        <w:autoSpaceDE w:val="0"/>
        <w:autoSpaceDN w:val="0"/>
        <w:adjustRightInd w:val="0"/>
        <w:ind w:left="0" w:firstLine="0"/>
        <w:rPr>
          <w:rFonts w:ascii="Times New Roman" w:eastAsia="Times New Roman" w:hAnsi="Times New Roman" w:cs="Times New Roman"/>
          <w:u w:val="single"/>
          <w:lang w:eastAsia="sl-SI"/>
        </w:rPr>
      </w:pPr>
    </w:p>
    <w:p w14:paraId="45C5EC15"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iCs/>
        </w:rPr>
        <w:t>Perdozavus būtina taikyti simptomines ir palaikomąsias priemones.</w:t>
      </w:r>
    </w:p>
    <w:p w14:paraId="54FEAAD5" w14:textId="77777777" w:rsidR="008F7970" w:rsidRDefault="008F7970">
      <w:pPr>
        <w:autoSpaceDE w:val="0"/>
        <w:autoSpaceDN w:val="0"/>
        <w:adjustRightInd w:val="0"/>
        <w:ind w:left="0" w:firstLine="0"/>
        <w:rPr>
          <w:rFonts w:ascii="Times New Roman" w:eastAsia="Times New Roman" w:hAnsi="Times New Roman" w:cs="Times New Roman"/>
        </w:rPr>
      </w:pPr>
    </w:p>
    <w:p w14:paraId="48EC98FA" w14:textId="77777777" w:rsidR="008F7970" w:rsidRDefault="00AD4BB2">
      <w:pPr>
        <w:autoSpaceDE w:val="0"/>
        <w:autoSpaceDN w:val="0"/>
        <w:adjustRightInd w:val="0"/>
        <w:ind w:left="0" w:firstLine="0"/>
        <w:rPr>
          <w:rFonts w:ascii="Times New Roman" w:eastAsia="Times New Roman" w:hAnsi="Times New Roman" w:cs="Times New Roman"/>
          <w:b/>
          <w:bCs/>
          <w:i/>
          <w:iCs/>
        </w:rPr>
      </w:pPr>
      <w:r>
        <w:rPr>
          <w:rFonts w:ascii="Times New Roman" w:eastAsia="Times New Roman" w:hAnsi="Times New Roman" w:cs="Times New Roman"/>
          <w:b/>
          <w:bCs/>
          <w:i/>
          <w:iCs/>
        </w:rPr>
        <w:t xml:space="preserve">Informacija, susijusi su </w:t>
      </w:r>
      <w:proofErr w:type="spellStart"/>
      <w:r>
        <w:rPr>
          <w:rFonts w:ascii="Times New Roman" w:eastAsia="Times New Roman" w:hAnsi="Times New Roman" w:cs="Times New Roman"/>
          <w:b/>
          <w:bCs/>
          <w:i/>
          <w:iCs/>
        </w:rPr>
        <w:t>pitavastatinu</w:t>
      </w:r>
      <w:proofErr w:type="spellEnd"/>
    </w:p>
    <w:p w14:paraId="37B5825E" w14:textId="77777777" w:rsidR="008F7970" w:rsidRDefault="008F7970">
      <w:pPr>
        <w:autoSpaceDE w:val="0"/>
        <w:autoSpaceDN w:val="0"/>
        <w:adjustRightInd w:val="0"/>
        <w:ind w:left="0" w:firstLine="0"/>
        <w:rPr>
          <w:rFonts w:ascii="Times New Roman" w:eastAsia="Times New Roman" w:hAnsi="Times New Roman" w:cs="Times New Roman"/>
        </w:rPr>
      </w:pPr>
    </w:p>
    <w:p w14:paraId="495717EE" w14:textId="77777777" w:rsidR="008F7970" w:rsidRDefault="00AD4BB2">
      <w:pPr>
        <w:autoSpaceDE w:val="0"/>
        <w:autoSpaceDN w:val="0"/>
        <w:adjustRightInd w:val="0"/>
        <w:ind w:left="0" w:firstLine="0"/>
        <w:rPr>
          <w:rFonts w:ascii="Times New Roman" w:eastAsia="Times New Roman" w:hAnsi="Times New Roman" w:cs="Times New Roman"/>
        </w:rPr>
      </w:pPr>
      <w:r>
        <w:rPr>
          <w:rFonts w:ascii="Times New Roman" w:eastAsia="Times New Roman" w:hAnsi="Times New Roman" w:cs="Times New Roman"/>
        </w:rPr>
        <w:t>Perdozavimo atveju specifinio gydymo nėra. Pacientą reikia gydyti simptomiškai ir prireikus taikyti palaikomąsias priemones. Reikia stebėti kepenų funkciją ir KK aktyvumą. Teigiamas hemodializės poveikis nėra tikėtinas.</w:t>
      </w:r>
    </w:p>
    <w:p w14:paraId="2D3DDFC0" w14:textId="77777777" w:rsidR="008F7970" w:rsidRDefault="008F7970">
      <w:pPr>
        <w:autoSpaceDE w:val="0"/>
        <w:autoSpaceDN w:val="0"/>
        <w:adjustRightInd w:val="0"/>
        <w:ind w:left="0" w:firstLine="0"/>
        <w:rPr>
          <w:rFonts w:ascii="Times New Roman" w:eastAsia="Times New Roman" w:hAnsi="Times New Roman" w:cs="Times New Roman"/>
        </w:rPr>
      </w:pPr>
    </w:p>
    <w:p w14:paraId="39BD9DDF" w14:textId="77777777" w:rsidR="008F7970" w:rsidRDefault="00AD4BB2">
      <w:pPr>
        <w:autoSpaceDE w:val="0"/>
        <w:autoSpaceDN w:val="0"/>
        <w:adjustRightInd w:val="0"/>
        <w:ind w:left="0" w:firstLine="0"/>
        <w:rPr>
          <w:rFonts w:ascii="Times New Roman" w:eastAsia="Times New Roman" w:hAnsi="Times New Roman" w:cs="Times New Roman"/>
          <w:b/>
          <w:bCs/>
          <w:i/>
          <w:iCs/>
        </w:rPr>
      </w:pPr>
      <w:r>
        <w:rPr>
          <w:rFonts w:ascii="Times New Roman" w:eastAsia="Times New Roman" w:hAnsi="Times New Roman" w:cs="Times New Roman"/>
          <w:b/>
          <w:bCs/>
          <w:i/>
          <w:iCs/>
        </w:rPr>
        <w:t xml:space="preserve">Informacija, susijusi su </w:t>
      </w:r>
      <w:proofErr w:type="spellStart"/>
      <w:r>
        <w:rPr>
          <w:rFonts w:ascii="Times New Roman" w:eastAsia="Times New Roman" w:hAnsi="Times New Roman" w:cs="Times New Roman"/>
          <w:b/>
          <w:bCs/>
          <w:i/>
          <w:iCs/>
        </w:rPr>
        <w:t>ezetimibu</w:t>
      </w:r>
      <w:proofErr w:type="spellEnd"/>
    </w:p>
    <w:p w14:paraId="3A5E34AD" w14:textId="77777777" w:rsidR="008F7970" w:rsidRDefault="008F7970">
      <w:pPr>
        <w:autoSpaceDE w:val="0"/>
        <w:autoSpaceDN w:val="0"/>
        <w:adjustRightInd w:val="0"/>
        <w:ind w:left="0" w:firstLine="0"/>
        <w:rPr>
          <w:rFonts w:ascii="Times New Roman" w:eastAsia="Times New Roman" w:hAnsi="Times New Roman" w:cs="Times New Roman"/>
        </w:rPr>
      </w:pPr>
    </w:p>
    <w:p w14:paraId="4B17A152"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Klinikinių tyrimų metu 15 sveikų asmenų gerai toleravo ne daugiau kaip 14 dienų vartotą 50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paros dozę, 18 pirmine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sirgusių pacientų – ne ilgiau kaip 56 dienas vartotą 40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paros dozę. Toksinio poveikio žiurkėms bei pelėms nesukėlė vienkartinė sugirdyta 5 000 mg/kg kūno svorio, o šunims – 3 000 mg/kg kūno svorio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dozė.</w:t>
      </w:r>
    </w:p>
    <w:p w14:paraId="6494A3C6"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355BCCBB"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Gauta pranešimų apie kelis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perdozavimo atvejus, dažniausiai nepageidaujamų reiškinių neatsirasdavo, o atsiradę būdavo nesunkūs. Perdozavimo atveju būtinas simptominis ir palaikomasis gydymas.</w:t>
      </w:r>
    </w:p>
    <w:p w14:paraId="1DC9E7B2" w14:textId="77777777" w:rsidR="008F7970" w:rsidRDefault="008F7970">
      <w:pPr>
        <w:widowControl w:val="0"/>
        <w:rPr>
          <w:rFonts w:ascii="Times New Roman" w:eastAsia="Times New Roman" w:hAnsi="Times New Roman" w:cs="Times New Roman"/>
        </w:rPr>
      </w:pPr>
    </w:p>
    <w:p w14:paraId="65CA4F42" w14:textId="77777777" w:rsidR="008F7970" w:rsidRDefault="008F7970">
      <w:pPr>
        <w:widowControl w:val="0"/>
        <w:rPr>
          <w:rFonts w:ascii="Times New Roman" w:eastAsia="Times New Roman" w:hAnsi="Times New Roman" w:cs="Times New Roman"/>
        </w:rPr>
      </w:pPr>
    </w:p>
    <w:p w14:paraId="1D4F8EA4" w14:textId="77777777" w:rsidR="008F7970" w:rsidRDefault="00AD4BB2">
      <w:pPr>
        <w:widowControl w:val="0"/>
        <w:tabs>
          <w:tab w:val="left" w:pos="567"/>
        </w:tabs>
        <w:outlineLvl w:val="1"/>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FARMAKOLOGINĖS SAVYBĖS</w:t>
      </w:r>
    </w:p>
    <w:p w14:paraId="101FE021" w14:textId="77777777" w:rsidR="008F7970" w:rsidRDefault="008F7970">
      <w:pPr>
        <w:widowControl w:val="0"/>
        <w:rPr>
          <w:rFonts w:ascii="Times New Roman" w:eastAsia="Times New Roman" w:hAnsi="Times New Roman" w:cs="Times New Roman"/>
        </w:rPr>
      </w:pPr>
    </w:p>
    <w:p w14:paraId="31E60E75"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5.1</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Farmakodinaminės</w:t>
      </w:r>
      <w:proofErr w:type="spellEnd"/>
      <w:r>
        <w:rPr>
          <w:rFonts w:ascii="Times New Roman" w:eastAsia="Times New Roman" w:hAnsi="Times New Roman" w:cs="Times New Roman"/>
          <w:b/>
          <w:kern w:val="28"/>
        </w:rPr>
        <w:t xml:space="preserve"> savybės</w:t>
      </w:r>
    </w:p>
    <w:p w14:paraId="61C56862" w14:textId="77777777" w:rsidR="008F7970" w:rsidRDefault="008F7970">
      <w:pPr>
        <w:widowControl w:val="0"/>
        <w:rPr>
          <w:rFonts w:ascii="Times New Roman" w:eastAsia="Times New Roman" w:hAnsi="Times New Roman" w:cs="Times New Roman"/>
        </w:rPr>
      </w:pPr>
    </w:p>
    <w:p w14:paraId="6D42552F" w14:textId="77777777" w:rsidR="008F7970" w:rsidRDefault="00AD4BB2">
      <w:pPr>
        <w:widowControl w:val="0"/>
        <w:autoSpaceDE w:val="0"/>
        <w:autoSpaceDN w:val="0"/>
        <w:adjustRightIn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w:t>
      </w:r>
      <w:bookmarkStart w:id="3" w:name="_Hlk176620782"/>
      <w:r>
        <w:rPr>
          <w:rFonts w:ascii="Times New Roman" w:eastAsia="Times New Roman" w:hAnsi="Times New Roman" w:cs="Times New Roman"/>
        </w:rPr>
        <w:t>–</w:t>
      </w:r>
      <w:bookmarkEnd w:id="3"/>
      <w:r>
        <w:rPr>
          <w:rFonts w:ascii="Times New Roman" w:eastAsia="Times New Roman" w:hAnsi="Times New Roman" w:cs="Times New Roman"/>
        </w:rPr>
        <w:t xml:space="preserve"> lipidų koncentraciją modifikuojantys vaistiniai preparatai, įvairių lipidų koncentraciją modifikuojančių vaistinių preparatų deriniai, ATC kodas – C10BA13.</w:t>
      </w:r>
    </w:p>
    <w:p w14:paraId="24CAE742" w14:textId="77777777" w:rsidR="008F7970" w:rsidRDefault="008F7970">
      <w:pPr>
        <w:widowControl w:val="0"/>
        <w:ind w:left="0" w:firstLine="0"/>
        <w:rPr>
          <w:rFonts w:ascii="Times New Roman" w:eastAsia="Times New Roman" w:hAnsi="Times New Roman" w:cs="Times New Roman"/>
        </w:rPr>
      </w:pPr>
    </w:p>
    <w:p w14:paraId="17169A22"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Veikimo mechanizmas</w:t>
      </w:r>
    </w:p>
    <w:p w14:paraId="5923C4F2"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u w:val="single"/>
          <w:lang w:eastAsia="sl-SI"/>
        </w:rPr>
      </w:pPr>
    </w:p>
    <w:p w14:paraId="4C475367"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Pitavastatinas</w:t>
      </w:r>
      <w:proofErr w:type="spellEnd"/>
      <w:r>
        <w:rPr>
          <w:rFonts w:ascii="Times New Roman" w:eastAsia="Times New Roman" w:hAnsi="Times New Roman" w:cs="Times New Roman"/>
          <w:color w:val="000000"/>
          <w:lang w:eastAsia="sl-SI"/>
        </w:rPr>
        <w:t xml:space="preserve"> konkurenciniu būdu slopina HMG-</w:t>
      </w:r>
      <w:proofErr w:type="spellStart"/>
      <w:r>
        <w:rPr>
          <w:rFonts w:ascii="Times New Roman" w:eastAsia="Times New Roman" w:hAnsi="Times New Roman" w:cs="Times New Roman"/>
          <w:color w:val="000000"/>
          <w:lang w:eastAsia="sl-SI"/>
        </w:rPr>
        <w:t>KoA</w:t>
      </w:r>
      <w:proofErr w:type="spellEnd"/>
      <w:r>
        <w:rPr>
          <w:rFonts w:ascii="Times New Roman" w:eastAsia="Times New Roman" w:hAnsi="Times New Roman" w:cs="Times New Roman"/>
          <w:color w:val="000000"/>
          <w:lang w:eastAsia="sl-SI"/>
        </w:rPr>
        <w:t xml:space="preserve"> reduktazę (cholesterolio </w:t>
      </w:r>
      <w:proofErr w:type="spellStart"/>
      <w:r>
        <w:rPr>
          <w:rFonts w:ascii="Times New Roman" w:eastAsia="Times New Roman" w:hAnsi="Times New Roman" w:cs="Times New Roman"/>
          <w:color w:val="000000"/>
          <w:lang w:eastAsia="sl-SI"/>
        </w:rPr>
        <w:t>biosintezės</w:t>
      </w:r>
      <w:proofErr w:type="spellEnd"/>
      <w:r>
        <w:rPr>
          <w:rFonts w:ascii="Times New Roman" w:eastAsia="Times New Roman" w:hAnsi="Times New Roman" w:cs="Times New Roman"/>
          <w:color w:val="000000"/>
          <w:lang w:eastAsia="sl-SI"/>
        </w:rPr>
        <w:t xml:space="preserve"> greitį ribojantį fermentą) ir slopina cholesterolio sintezę kepenyse. Dėl to padidėja MTL receptorių raiška kepenyse, skatinamas kraujyje esančio MTL įsisavinimas ir mažėja bendrojo cholesterolio (BC) ir MTL-cholesterolio (MTL-C) koncentracija kraujyje. Išliekantis cholesterolio sintezės kepenyse slopinimas mažina labai mažo tankio lipoproteinų (LMTL) sekreciją į kraują ir mažina trigliceridų (TG) koncentraciją kraujo plazmoje.</w:t>
      </w:r>
    </w:p>
    <w:p w14:paraId="675767F0"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1F3B5402"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lastRenderedPageBreak/>
        <w:t>Ezetimibas</w:t>
      </w:r>
      <w:proofErr w:type="spellEnd"/>
      <w:r>
        <w:rPr>
          <w:rFonts w:ascii="Times New Roman" w:eastAsia="Times New Roman" w:hAnsi="Times New Roman" w:cs="Times New Roman"/>
        </w:rPr>
        <w:t xml:space="preserve"> yra naujos klasės riebalų kiekį kraujyje mažinanti medžiaga, selektyviai slopinanti cholesterolio ir susijusių augalinių </w:t>
      </w:r>
      <w:proofErr w:type="spellStart"/>
      <w:r>
        <w:rPr>
          <w:rFonts w:ascii="Times New Roman" w:eastAsia="Times New Roman" w:hAnsi="Times New Roman" w:cs="Times New Roman"/>
        </w:rPr>
        <w:t>sterolių</w:t>
      </w:r>
      <w:proofErr w:type="spellEnd"/>
      <w:r>
        <w:rPr>
          <w:rFonts w:ascii="Times New Roman" w:eastAsia="Times New Roman" w:hAnsi="Times New Roman" w:cs="Times New Roman"/>
        </w:rPr>
        <w:t xml:space="preserve"> absorbciją žarnyne.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veiksmingas pavartotas per burną, jo veikimo mechanizmas skiriasi nuo kitų cholesterolio koncentraciją mažinančių medžiagų (pvz.,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tulžies rūgštis surišančių </w:t>
      </w:r>
      <w:proofErr w:type="spellStart"/>
      <w:r>
        <w:rPr>
          <w:rFonts w:ascii="Times New Roman" w:eastAsia="Times New Roman" w:hAnsi="Times New Roman" w:cs="Times New Roman"/>
        </w:rPr>
        <w:t>sekvestrantų</w:t>
      </w:r>
      <w:proofErr w:type="spellEnd"/>
      <w:r>
        <w:rPr>
          <w:rFonts w:ascii="Times New Roman" w:eastAsia="Times New Roman" w:hAnsi="Times New Roman" w:cs="Times New Roman"/>
        </w:rPr>
        <w:t xml:space="preserve"> (dervų), </w:t>
      </w:r>
      <w:proofErr w:type="spellStart"/>
      <w:r>
        <w:rPr>
          <w:rFonts w:ascii="Times New Roman" w:eastAsia="Times New Roman" w:hAnsi="Times New Roman" w:cs="Times New Roman"/>
        </w:rPr>
        <w:t>fibro</w:t>
      </w:r>
      <w:proofErr w:type="spellEnd"/>
      <w:r>
        <w:rPr>
          <w:rFonts w:ascii="Times New Roman" w:eastAsia="Times New Roman" w:hAnsi="Times New Roman" w:cs="Times New Roman"/>
        </w:rPr>
        <w:t xml:space="preserve"> rūgšties darinių ir augalų </w:t>
      </w:r>
      <w:proofErr w:type="spellStart"/>
      <w:r>
        <w:rPr>
          <w:rFonts w:ascii="Times New Roman" w:eastAsia="Times New Roman" w:hAnsi="Times New Roman" w:cs="Times New Roman"/>
        </w:rPr>
        <w:t>stanolių</w:t>
      </w:r>
      <w:proofErr w:type="spellEnd"/>
      <w:r>
        <w:rPr>
          <w:rFonts w:ascii="Times New Roman" w:eastAsia="Times New Roman" w:hAnsi="Times New Roman" w:cs="Times New Roman"/>
        </w:rPr>
        <w:t xml:space="preserve">). Molekulinis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taikinys yra </w:t>
      </w:r>
      <w:proofErr w:type="spellStart"/>
      <w:r>
        <w:rPr>
          <w:rFonts w:ascii="Times New Roman" w:eastAsia="Times New Roman" w:hAnsi="Times New Roman" w:cs="Times New Roman"/>
        </w:rPr>
        <w:t>sterolių</w:t>
      </w:r>
      <w:proofErr w:type="spellEnd"/>
      <w:r>
        <w:rPr>
          <w:rFonts w:ascii="Times New Roman" w:eastAsia="Times New Roman" w:hAnsi="Times New Roman" w:cs="Times New Roman"/>
        </w:rPr>
        <w:t xml:space="preserve"> nešiklis </w:t>
      </w:r>
      <w:proofErr w:type="spellStart"/>
      <w:r>
        <w:rPr>
          <w:rFonts w:ascii="Times New Roman" w:eastAsia="Times New Roman" w:hAnsi="Times New Roman" w:cs="Times New Roman"/>
          <w:i/>
        </w:rPr>
        <w:t>Niemann-Pick</w:t>
      </w:r>
      <w:proofErr w:type="spellEnd"/>
      <w:r>
        <w:rPr>
          <w:rFonts w:ascii="Times New Roman" w:eastAsia="Times New Roman" w:hAnsi="Times New Roman" w:cs="Times New Roman"/>
          <w:i/>
        </w:rPr>
        <w:t xml:space="preserve"> C1-Like 1</w:t>
      </w:r>
      <w:r>
        <w:rPr>
          <w:rFonts w:ascii="Times New Roman" w:eastAsia="Times New Roman" w:hAnsi="Times New Roman" w:cs="Times New Roman"/>
        </w:rPr>
        <w:t xml:space="preserve"> (NPC1L1), kuris lemia cholesterolio ir </w:t>
      </w:r>
      <w:proofErr w:type="spellStart"/>
      <w:r>
        <w:rPr>
          <w:rFonts w:ascii="Times New Roman" w:eastAsia="Times New Roman" w:hAnsi="Times New Roman" w:cs="Times New Roman"/>
        </w:rPr>
        <w:t>fitosterolių</w:t>
      </w:r>
      <w:proofErr w:type="spellEnd"/>
      <w:r>
        <w:rPr>
          <w:rFonts w:ascii="Times New Roman" w:eastAsia="Times New Roman" w:hAnsi="Times New Roman" w:cs="Times New Roman"/>
        </w:rPr>
        <w:t xml:space="preserve"> absorbciją žarnyne.</w:t>
      </w:r>
    </w:p>
    <w:p w14:paraId="421280D5"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5AE53661"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kaupiasi ant plonosios žarnos </w:t>
      </w:r>
      <w:proofErr w:type="spellStart"/>
      <w:r>
        <w:rPr>
          <w:rFonts w:ascii="Times New Roman" w:eastAsia="Times New Roman" w:hAnsi="Times New Roman" w:cs="Times New Roman"/>
        </w:rPr>
        <w:t>gaurelių</w:t>
      </w:r>
      <w:proofErr w:type="spellEnd"/>
      <w:r>
        <w:rPr>
          <w:rFonts w:ascii="Times New Roman" w:eastAsia="Times New Roman" w:hAnsi="Times New Roman" w:cs="Times New Roman"/>
        </w:rPr>
        <w:t xml:space="preserve"> ir slopina cholesterolio absorbciją, todėl į kepenis patenka mažiau cholesterolio iš žarnyno;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slopina cholesterolio sintezę kepenyse ir kartu abu šie mechanizmai užtikrina papildomą cholesterolio koncentracijos sumažėjimą. 2 savaičių klinikinio tyrimo metu 18 pacientų, kuriems buvo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cholesterolio absorbciją žarnyne mažino 54 % daugiau negu placebas.</w:t>
      </w:r>
    </w:p>
    <w:p w14:paraId="266420A0"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highlight w:val="yellow"/>
          <w:u w:val="single"/>
          <w:lang w:eastAsia="sl-SI"/>
        </w:rPr>
      </w:pPr>
    </w:p>
    <w:p w14:paraId="6A44577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u w:val="single"/>
          <w:lang w:eastAsia="sl-SI"/>
        </w:rPr>
      </w:pPr>
      <w:proofErr w:type="spellStart"/>
      <w:r>
        <w:rPr>
          <w:rFonts w:ascii="Times New Roman" w:eastAsia="Times New Roman" w:hAnsi="Times New Roman" w:cs="Times New Roman"/>
          <w:color w:val="000000"/>
          <w:u w:val="single"/>
          <w:lang w:eastAsia="sl-SI"/>
        </w:rPr>
        <w:t>Farmakodinaminis</w:t>
      </w:r>
      <w:proofErr w:type="spellEnd"/>
      <w:r>
        <w:rPr>
          <w:rFonts w:ascii="Times New Roman" w:eastAsia="Times New Roman" w:hAnsi="Times New Roman" w:cs="Times New Roman"/>
          <w:color w:val="000000"/>
          <w:u w:val="single"/>
          <w:lang w:eastAsia="sl-SI"/>
        </w:rPr>
        <w:t xml:space="preserve"> poveikis</w:t>
      </w:r>
    </w:p>
    <w:p w14:paraId="5ADD4D8B"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76F4C65A"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Pitavastatinas</w:t>
      </w:r>
      <w:proofErr w:type="spellEnd"/>
      <w:r>
        <w:rPr>
          <w:rFonts w:ascii="Times New Roman" w:eastAsia="Times New Roman" w:hAnsi="Times New Roman" w:cs="Times New Roman"/>
          <w:color w:val="000000"/>
          <w:lang w:eastAsia="sl-SI"/>
        </w:rPr>
        <w:t xml:space="preserve"> mažina padidėjusią MTL-C, bendrojo cholesterolio ir trigliceridų koncentraciją bei didina DTL cholesterolio (DTL-C) koncentraciją. Jis mažina </w:t>
      </w:r>
      <w:proofErr w:type="spellStart"/>
      <w:r>
        <w:rPr>
          <w:rFonts w:ascii="Times New Roman" w:eastAsia="Times New Roman" w:hAnsi="Times New Roman" w:cs="Times New Roman"/>
          <w:color w:val="000000"/>
          <w:lang w:eastAsia="sl-SI"/>
        </w:rPr>
        <w:t>Apo</w:t>
      </w:r>
      <w:proofErr w:type="spellEnd"/>
      <w:r>
        <w:rPr>
          <w:rFonts w:ascii="Times New Roman" w:eastAsia="Times New Roman" w:hAnsi="Times New Roman" w:cs="Times New Roman"/>
          <w:color w:val="000000"/>
          <w:lang w:eastAsia="sl-SI"/>
        </w:rPr>
        <w:t xml:space="preserve">-B koncentraciją ir sukelia kintamą Apo-A1 koncentracijos padidėjimą (žr. 1 lentelę). Jis taip pat mažina ne-DTL-C koncentraciją ir padidėjusį BC/DTL-C bei </w:t>
      </w:r>
      <w:proofErr w:type="spellStart"/>
      <w:r>
        <w:rPr>
          <w:rFonts w:ascii="Times New Roman" w:eastAsia="Times New Roman" w:hAnsi="Times New Roman" w:cs="Times New Roman"/>
          <w:color w:val="000000"/>
          <w:lang w:eastAsia="sl-SI"/>
        </w:rPr>
        <w:t>Apo</w:t>
      </w:r>
      <w:proofErr w:type="spellEnd"/>
      <w:r>
        <w:rPr>
          <w:rFonts w:ascii="Times New Roman" w:eastAsia="Times New Roman" w:hAnsi="Times New Roman" w:cs="Times New Roman"/>
          <w:color w:val="000000"/>
          <w:lang w:eastAsia="sl-SI"/>
        </w:rPr>
        <w:t>-B/Apo-A1 santykį.</w:t>
      </w:r>
    </w:p>
    <w:p w14:paraId="276A6A60"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387FAC22"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1 lentelė. Pirmine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sergančių pacientų atsakas į dozę (koreguotas vidutinis procentinis pokytis nuo pradinio rodmens per 12 savaičių)</w:t>
      </w:r>
    </w:p>
    <w:p w14:paraId="14FB643A"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118"/>
        <w:gridCol w:w="1137"/>
        <w:gridCol w:w="1129"/>
        <w:gridCol w:w="1135"/>
        <w:gridCol w:w="1128"/>
        <w:gridCol w:w="1132"/>
        <w:gridCol w:w="1132"/>
      </w:tblGrid>
      <w:tr w:rsidR="008F7970" w14:paraId="62464F93" w14:textId="77777777">
        <w:tc>
          <w:tcPr>
            <w:tcW w:w="1160" w:type="dxa"/>
            <w:tcBorders>
              <w:top w:val="single" w:sz="4" w:space="0" w:color="auto"/>
              <w:left w:val="single" w:sz="4" w:space="0" w:color="auto"/>
              <w:bottom w:val="single" w:sz="4" w:space="0" w:color="auto"/>
              <w:right w:val="single" w:sz="4" w:space="0" w:color="auto"/>
            </w:tcBorders>
            <w:hideMark/>
          </w:tcPr>
          <w:p w14:paraId="0B40D0A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Dozė</w:t>
            </w:r>
          </w:p>
        </w:tc>
        <w:tc>
          <w:tcPr>
            <w:tcW w:w="1161" w:type="dxa"/>
            <w:tcBorders>
              <w:top w:val="single" w:sz="4" w:space="0" w:color="auto"/>
              <w:left w:val="single" w:sz="4" w:space="0" w:color="auto"/>
              <w:bottom w:val="single" w:sz="4" w:space="0" w:color="auto"/>
              <w:right w:val="single" w:sz="4" w:space="0" w:color="auto"/>
            </w:tcBorders>
            <w:hideMark/>
          </w:tcPr>
          <w:p w14:paraId="50923AE3"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w:t>
            </w:r>
          </w:p>
        </w:tc>
        <w:tc>
          <w:tcPr>
            <w:tcW w:w="1161" w:type="dxa"/>
            <w:tcBorders>
              <w:top w:val="single" w:sz="4" w:space="0" w:color="auto"/>
              <w:left w:val="single" w:sz="4" w:space="0" w:color="auto"/>
              <w:bottom w:val="single" w:sz="4" w:space="0" w:color="auto"/>
              <w:right w:val="single" w:sz="4" w:space="0" w:color="auto"/>
            </w:tcBorders>
            <w:hideMark/>
          </w:tcPr>
          <w:p w14:paraId="14E9FF98"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MTL-C</w:t>
            </w:r>
          </w:p>
        </w:tc>
        <w:tc>
          <w:tcPr>
            <w:tcW w:w="1161" w:type="dxa"/>
            <w:tcBorders>
              <w:top w:val="single" w:sz="4" w:space="0" w:color="auto"/>
              <w:left w:val="single" w:sz="4" w:space="0" w:color="auto"/>
              <w:bottom w:val="single" w:sz="4" w:space="0" w:color="auto"/>
              <w:right w:val="single" w:sz="4" w:space="0" w:color="auto"/>
            </w:tcBorders>
            <w:hideMark/>
          </w:tcPr>
          <w:p w14:paraId="6FFF179F"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BC*</w:t>
            </w:r>
          </w:p>
        </w:tc>
        <w:tc>
          <w:tcPr>
            <w:tcW w:w="1161" w:type="dxa"/>
            <w:tcBorders>
              <w:top w:val="single" w:sz="4" w:space="0" w:color="auto"/>
              <w:left w:val="single" w:sz="4" w:space="0" w:color="auto"/>
              <w:bottom w:val="single" w:sz="4" w:space="0" w:color="auto"/>
              <w:right w:val="single" w:sz="4" w:space="0" w:color="auto"/>
            </w:tcBorders>
            <w:hideMark/>
          </w:tcPr>
          <w:p w14:paraId="283A31D0"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DTL-C</w:t>
            </w:r>
          </w:p>
        </w:tc>
        <w:tc>
          <w:tcPr>
            <w:tcW w:w="1161" w:type="dxa"/>
            <w:tcBorders>
              <w:top w:val="single" w:sz="4" w:space="0" w:color="auto"/>
              <w:left w:val="single" w:sz="4" w:space="0" w:color="auto"/>
              <w:bottom w:val="single" w:sz="4" w:space="0" w:color="auto"/>
              <w:right w:val="single" w:sz="4" w:space="0" w:color="auto"/>
            </w:tcBorders>
            <w:hideMark/>
          </w:tcPr>
          <w:p w14:paraId="5B95C690"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TG</w:t>
            </w:r>
          </w:p>
        </w:tc>
        <w:tc>
          <w:tcPr>
            <w:tcW w:w="1161" w:type="dxa"/>
            <w:tcBorders>
              <w:top w:val="single" w:sz="4" w:space="0" w:color="auto"/>
              <w:left w:val="single" w:sz="4" w:space="0" w:color="auto"/>
              <w:bottom w:val="single" w:sz="4" w:space="0" w:color="auto"/>
              <w:right w:val="single" w:sz="4" w:space="0" w:color="auto"/>
            </w:tcBorders>
            <w:hideMark/>
          </w:tcPr>
          <w:p w14:paraId="1BEF5F87"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Apo</w:t>
            </w:r>
            <w:proofErr w:type="spellEnd"/>
            <w:r>
              <w:rPr>
                <w:rFonts w:ascii="Times New Roman" w:eastAsia="Times New Roman" w:hAnsi="Times New Roman" w:cs="Times New Roman"/>
                <w:color w:val="000000"/>
                <w:lang w:eastAsia="sl-SI"/>
              </w:rPr>
              <w:t>-B</w:t>
            </w:r>
          </w:p>
        </w:tc>
        <w:tc>
          <w:tcPr>
            <w:tcW w:w="1161" w:type="dxa"/>
            <w:tcBorders>
              <w:top w:val="single" w:sz="4" w:space="0" w:color="auto"/>
              <w:left w:val="single" w:sz="4" w:space="0" w:color="auto"/>
              <w:bottom w:val="single" w:sz="4" w:space="0" w:color="auto"/>
              <w:right w:val="single" w:sz="4" w:space="0" w:color="auto"/>
            </w:tcBorders>
            <w:hideMark/>
          </w:tcPr>
          <w:p w14:paraId="49307005"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Apo-A1</w:t>
            </w:r>
          </w:p>
        </w:tc>
      </w:tr>
      <w:tr w:rsidR="008F7970" w14:paraId="4A8483D7" w14:textId="77777777">
        <w:tc>
          <w:tcPr>
            <w:tcW w:w="1160" w:type="dxa"/>
            <w:tcBorders>
              <w:top w:val="single" w:sz="4" w:space="0" w:color="auto"/>
              <w:left w:val="single" w:sz="4" w:space="0" w:color="auto"/>
              <w:bottom w:val="single" w:sz="4" w:space="0" w:color="auto"/>
              <w:right w:val="single" w:sz="4" w:space="0" w:color="auto"/>
            </w:tcBorders>
            <w:hideMark/>
          </w:tcPr>
          <w:p w14:paraId="3E67997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Placebas</w:t>
            </w:r>
          </w:p>
        </w:tc>
        <w:tc>
          <w:tcPr>
            <w:tcW w:w="1161" w:type="dxa"/>
            <w:tcBorders>
              <w:top w:val="single" w:sz="4" w:space="0" w:color="auto"/>
              <w:left w:val="single" w:sz="4" w:space="0" w:color="auto"/>
              <w:bottom w:val="single" w:sz="4" w:space="0" w:color="auto"/>
              <w:right w:val="single" w:sz="4" w:space="0" w:color="auto"/>
            </w:tcBorders>
            <w:hideMark/>
          </w:tcPr>
          <w:p w14:paraId="27781725"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51</w:t>
            </w:r>
          </w:p>
        </w:tc>
        <w:tc>
          <w:tcPr>
            <w:tcW w:w="1161" w:type="dxa"/>
            <w:tcBorders>
              <w:top w:val="single" w:sz="4" w:space="0" w:color="auto"/>
              <w:left w:val="single" w:sz="4" w:space="0" w:color="auto"/>
              <w:bottom w:val="single" w:sz="4" w:space="0" w:color="auto"/>
              <w:right w:val="single" w:sz="4" w:space="0" w:color="auto"/>
            </w:tcBorders>
            <w:hideMark/>
          </w:tcPr>
          <w:p w14:paraId="451CABE6"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-4,0</w:t>
            </w:r>
          </w:p>
        </w:tc>
        <w:tc>
          <w:tcPr>
            <w:tcW w:w="1161" w:type="dxa"/>
            <w:tcBorders>
              <w:top w:val="single" w:sz="4" w:space="0" w:color="auto"/>
              <w:left w:val="single" w:sz="4" w:space="0" w:color="auto"/>
              <w:bottom w:val="single" w:sz="4" w:space="0" w:color="auto"/>
              <w:right w:val="single" w:sz="4" w:space="0" w:color="auto"/>
            </w:tcBorders>
            <w:hideMark/>
          </w:tcPr>
          <w:p w14:paraId="77FB7F00"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-1,3</w:t>
            </w:r>
          </w:p>
        </w:tc>
        <w:tc>
          <w:tcPr>
            <w:tcW w:w="1161" w:type="dxa"/>
            <w:tcBorders>
              <w:top w:val="single" w:sz="4" w:space="0" w:color="auto"/>
              <w:left w:val="single" w:sz="4" w:space="0" w:color="auto"/>
              <w:bottom w:val="single" w:sz="4" w:space="0" w:color="auto"/>
              <w:right w:val="single" w:sz="4" w:space="0" w:color="auto"/>
            </w:tcBorders>
            <w:hideMark/>
          </w:tcPr>
          <w:p w14:paraId="06442B26"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2,5</w:t>
            </w:r>
          </w:p>
        </w:tc>
        <w:tc>
          <w:tcPr>
            <w:tcW w:w="1161" w:type="dxa"/>
            <w:tcBorders>
              <w:top w:val="single" w:sz="4" w:space="0" w:color="auto"/>
              <w:left w:val="single" w:sz="4" w:space="0" w:color="auto"/>
              <w:bottom w:val="single" w:sz="4" w:space="0" w:color="auto"/>
              <w:right w:val="single" w:sz="4" w:space="0" w:color="auto"/>
            </w:tcBorders>
            <w:hideMark/>
          </w:tcPr>
          <w:p w14:paraId="003805EF"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-2,1</w:t>
            </w:r>
          </w:p>
        </w:tc>
        <w:tc>
          <w:tcPr>
            <w:tcW w:w="1161" w:type="dxa"/>
            <w:tcBorders>
              <w:top w:val="single" w:sz="4" w:space="0" w:color="auto"/>
              <w:left w:val="single" w:sz="4" w:space="0" w:color="auto"/>
              <w:bottom w:val="single" w:sz="4" w:space="0" w:color="auto"/>
              <w:right w:val="single" w:sz="4" w:space="0" w:color="auto"/>
            </w:tcBorders>
            <w:hideMark/>
          </w:tcPr>
          <w:p w14:paraId="00484CF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0,3</w:t>
            </w:r>
          </w:p>
        </w:tc>
        <w:tc>
          <w:tcPr>
            <w:tcW w:w="1161" w:type="dxa"/>
            <w:tcBorders>
              <w:top w:val="single" w:sz="4" w:space="0" w:color="auto"/>
              <w:left w:val="single" w:sz="4" w:space="0" w:color="auto"/>
              <w:bottom w:val="single" w:sz="4" w:space="0" w:color="auto"/>
              <w:right w:val="single" w:sz="4" w:space="0" w:color="auto"/>
            </w:tcBorders>
            <w:hideMark/>
          </w:tcPr>
          <w:p w14:paraId="70BE2B00"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3,2</w:t>
            </w:r>
          </w:p>
        </w:tc>
      </w:tr>
      <w:tr w:rsidR="008F7970" w14:paraId="07742D7A" w14:textId="77777777">
        <w:tc>
          <w:tcPr>
            <w:tcW w:w="1160" w:type="dxa"/>
            <w:tcBorders>
              <w:top w:val="single" w:sz="4" w:space="0" w:color="auto"/>
              <w:left w:val="single" w:sz="4" w:space="0" w:color="auto"/>
              <w:bottom w:val="single" w:sz="4" w:space="0" w:color="auto"/>
              <w:right w:val="single" w:sz="4" w:space="0" w:color="auto"/>
            </w:tcBorders>
            <w:hideMark/>
          </w:tcPr>
          <w:p w14:paraId="58C2B621"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1 mg </w:t>
            </w:r>
          </w:p>
        </w:tc>
        <w:tc>
          <w:tcPr>
            <w:tcW w:w="1161" w:type="dxa"/>
            <w:tcBorders>
              <w:top w:val="single" w:sz="4" w:space="0" w:color="auto"/>
              <w:left w:val="single" w:sz="4" w:space="0" w:color="auto"/>
              <w:bottom w:val="single" w:sz="4" w:space="0" w:color="auto"/>
              <w:right w:val="single" w:sz="4" w:space="0" w:color="auto"/>
            </w:tcBorders>
            <w:hideMark/>
          </w:tcPr>
          <w:p w14:paraId="40D206D3"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52</w:t>
            </w:r>
          </w:p>
        </w:tc>
        <w:tc>
          <w:tcPr>
            <w:tcW w:w="1161" w:type="dxa"/>
            <w:tcBorders>
              <w:top w:val="single" w:sz="4" w:space="0" w:color="auto"/>
              <w:left w:val="single" w:sz="4" w:space="0" w:color="auto"/>
              <w:bottom w:val="single" w:sz="4" w:space="0" w:color="auto"/>
              <w:right w:val="single" w:sz="4" w:space="0" w:color="auto"/>
            </w:tcBorders>
            <w:hideMark/>
          </w:tcPr>
          <w:p w14:paraId="545CA9A3"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-33,0</w:t>
            </w:r>
          </w:p>
        </w:tc>
        <w:tc>
          <w:tcPr>
            <w:tcW w:w="1161" w:type="dxa"/>
            <w:tcBorders>
              <w:top w:val="single" w:sz="4" w:space="0" w:color="auto"/>
              <w:left w:val="single" w:sz="4" w:space="0" w:color="auto"/>
              <w:bottom w:val="single" w:sz="4" w:space="0" w:color="auto"/>
              <w:right w:val="single" w:sz="4" w:space="0" w:color="auto"/>
            </w:tcBorders>
            <w:hideMark/>
          </w:tcPr>
          <w:p w14:paraId="01E4BC05"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-22,8</w:t>
            </w:r>
          </w:p>
        </w:tc>
        <w:tc>
          <w:tcPr>
            <w:tcW w:w="1161" w:type="dxa"/>
            <w:tcBorders>
              <w:top w:val="single" w:sz="4" w:space="0" w:color="auto"/>
              <w:left w:val="single" w:sz="4" w:space="0" w:color="auto"/>
              <w:bottom w:val="single" w:sz="4" w:space="0" w:color="auto"/>
              <w:right w:val="single" w:sz="4" w:space="0" w:color="auto"/>
            </w:tcBorders>
            <w:hideMark/>
          </w:tcPr>
          <w:p w14:paraId="3F0DAB36"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9,4</w:t>
            </w:r>
          </w:p>
        </w:tc>
        <w:tc>
          <w:tcPr>
            <w:tcW w:w="1161" w:type="dxa"/>
            <w:tcBorders>
              <w:top w:val="single" w:sz="4" w:space="0" w:color="auto"/>
              <w:left w:val="single" w:sz="4" w:space="0" w:color="auto"/>
              <w:bottom w:val="single" w:sz="4" w:space="0" w:color="auto"/>
              <w:right w:val="single" w:sz="4" w:space="0" w:color="auto"/>
            </w:tcBorders>
            <w:hideMark/>
          </w:tcPr>
          <w:p w14:paraId="0A6E1495"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-14,8</w:t>
            </w:r>
          </w:p>
        </w:tc>
        <w:tc>
          <w:tcPr>
            <w:tcW w:w="1161" w:type="dxa"/>
            <w:tcBorders>
              <w:top w:val="single" w:sz="4" w:space="0" w:color="auto"/>
              <w:left w:val="single" w:sz="4" w:space="0" w:color="auto"/>
              <w:bottom w:val="single" w:sz="4" w:space="0" w:color="auto"/>
              <w:right w:val="single" w:sz="4" w:space="0" w:color="auto"/>
            </w:tcBorders>
            <w:hideMark/>
          </w:tcPr>
          <w:p w14:paraId="3C185A11"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-24,1</w:t>
            </w:r>
          </w:p>
        </w:tc>
        <w:tc>
          <w:tcPr>
            <w:tcW w:w="1161" w:type="dxa"/>
            <w:tcBorders>
              <w:top w:val="single" w:sz="4" w:space="0" w:color="auto"/>
              <w:left w:val="single" w:sz="4" w:space="0" w:color="auto"/>
              <w:bottom w:val="single" w:sz="4" w:space="0" w:color="auto"/>
              <w:right w:val="single" w:sz="4" w:space="0" w:color="auto"/>
            </w:tcBorders>
            <w:hideMark/>
          </w:tcPr>
          <w:p w14:paraId="0D441206"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8,5</w:t>
            </w:r>
          </w:p>
        </w:tc>
      </w:tr>
      <w:tr w:rsidR="008F7970" w14:paraId="4EB12023" w14:textId="77777777">
        <w:tc>
          <w:tcPr>
            <w:tcW w:w="1160" w:type="dxa"/>
            <w:tcBorders>
              <w:top w:val="single" w:sz="4" w:space="0" w:color="auto"/>
              <w:left w:val="single" w:sz="4" w:space="0" w:color="auto"/>
              <w:bottom w:val="single" w:sz="4" w:space="0" w:color="auto"/>
              <w:right w:val="single" w:sz="4" w:space="0" w:color="auto"/>
            </w:tcBorders>
            <w:hideMark/>
          </w:tcPr>
          <w:p w14:paraId="0F0144C4"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 mg</w:t>
            </w:r>
          </w:p>
        </w:tc>
        <w:tc>
          <w:tcPr>
            <w:tcW w:w="1161" w:type="dxa"/>
            <w:tcBorders>
              <w:top w:val="single" w:sz="4" w:space="0" w:color="auto"/>
              <w:left w:val="single" w:sz="4" w:space="0" w:color="auto"/>
              <w:bottom w:val="single" w:sz="4" w:space="0" w:color="auto"/>
              <w:right w:val="single" w:sz="4" w:space="0" w:color="auto"/>
            </w:tcBorders>
            <w:hideMark/>
          </w:tcPr>
          <w:p w14:paraId="3EB7C375"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49</w:t>
            </w:r>
          </w:p>
        </w:tc>
        <w:tc>
          <w:tcPr>
            <w:tcW w:w="1161" w:type="dxa"/>
            <w:tcBorders>
              <w:top w:val="single" w:sz="4" w:space="0" w:color="auto"/>
              <w:left w:val="single" w:sz="4" w:space="0" w:color="auto"/>
              <w:bottom w:val="single" w:sz="4" w:space="0" w:color="auto"/>
              <w:right w:val="single" w:sz="4" w:space="0" w:color="auto"/>
            </w:tcBorders>
            <w:hideMark/>
          </w:tcPr>
          <w:p w14:paraId="2AD23872"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-38,2</w:t>
            </w:r>
          </w:p>
        </w:tc>
        <w:tc>
          <w:tcPr>
            <w:tcW w:w="1161" w:type="dxa"/>
            <w:tcBorders>
              <w:top w:val="single" w:sz="4" w:space="0" w:color="auto"/>
              <w:left w:val="single" w:sz="4" w:space="0" w:color="auto"/>
              <w:bottom w:val="single" w:sz="4" w:space="0" w:color="auto"/>
              <w:right w:val="single" w:sz="4" w:space="0" w:color="auto"/>
            </w:tcBorders>
            <w:hideMark/>
          </w:tcPr>
          <w:p w14:paraId="5DCC3831"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-26,1</w:t>
            </w:r>
          </w:p>
        </w:tc>
        <w:tc>
          <w:tcPr>
            <w:tcW w:w="1161" w:type="dxa"/>
            <w:tcBorders>
              <w:top w:val="single" w:sz="4" w:space="0" w:color="auto"/>
              <w:left w:val="single" w:sz="4" w:space="0" w:color="auto"/>
              <w:bottom w:val="single" w:sz="4" w:space="0" w:color="auto"/>
              <w:right w:val="single" w:sz="4" w:space="0" w:color="auto"/>
            </w:tcBorders>
            <w:hideMark/>
          </w:tcPr>
          <w:p w14:paraId="7E949447"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9,0</w:t>
            </w:r>
          </w:p>
        </w:tc>
        <w:tc>
          <w:tcPr>
            <w:tcW w:w="1161" w:type="dxa"/>
            <w:tcBorders>
              <w:top w:val="single" w:sz="4" w:space="0" w:color="auto"/>
              <w:left w:val="single" w:sz="4" w:space="0" w:color="auto"/>
              <w:bottom w:val="single" w:sz="4" w:space="0" w:color="auto"/>
              <w:right w:val="single" w:sz="4" w:space="0" w:color="auto"/>
            </w:tcBorders>
            <w:hideMark/>
          </w:tcPr>
          <w:p w14:paraId="250957E3"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-17,4</w:t>
            </w:r>
          </w:p>
        </w:tc>
        <w:tc>
          <w:tcPr>
            <w:tcW w:w="1161" w:type="dxa"/>
            <w:tcBorders>
              <w:top w:val="single" w:sz="4" w:space="0" w:color="auto"/>
              <w:left w:val="single" w:sz="4" w:space="0" w:color="auto"/>
              <w:bottom w:val="single" w:sz="4" w:space="0" w:color="auto"/>
              <w:right w:val="single" w:sz="4" w:space="0" w:color="auto"/>
            </w:tcBorders>
            <w:hideMark/>
          </w:tcPr>
          <w:p w14:paraId="727D6F1C"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-30,4</w:t>
            </w:r>
          </w:p>
        </w:tc>
        <w:tc>
          <w:tcPr>
            <w:tcW w:w="1161" w:type="dxa"/>
            <w:tcBorders>
              <w:top w:val="single" w:sz="4" w:space="0" w:color="auto"/>
              <w:left w:val="single" w:sz="4" w:space="0" w:color="auto"/>
              <w:bottom w:val="single" w:sz="4" w:space="0" w:color="auto"/>
              <w:right w:val="single" w:sz="4" w:space="0" w:color="auto"/>
            </w:tcBorders>
            <w:hideMark/>
          </w:tcPr>
          <w:p w14:paraId="511C8898"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5,6</w:t>
            </w:r>
          </w:p>
        </w:tc>
      </w:tr>
      <w:tr w:rsidR="008F7970" w14:paraId="5D5F4B73" w14:textId="77777777">
        <w:tc>
          <w:tcPr>
            <w:tcW w:w="1160" w:type="dxa"/>
            <w:tcBorders>
              <w:top w:val="single" w:sz="4" w:space="0" w:color="auto"/>
              <w:left w:val="single" w:sz="4" w:space="0" w:color="auto"/>
              <w:bottom w:val="single" w:sz="4" w:space="0" w:color="auto"/>
              <w:right w:val="single" w:sz="4" w:space="0" w:color="auto"/>
            </w:tcBorders>
            <w:hideMark/>
          </w:tcPr>
          <w:p w14:paraId="7C2AAE49"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4 mg</w:t>
            </w:r>
          </w:p>
        </w:tc>
        <w:tc>
          <w:tcPr>
            <w:tcW w:w="1161" w:type="dxa"/>
            <w:tcBorders>
              <w:top w:val="single" w:sz="4" w:space="0" w:color="auto"/>
              <w:left w:val="single" w:sz="4" w:space="0" w:color="auto"/>
              <w:bottom w:val="single" w:sz="4" w:space="0" w:color="auto"/>
              <w:right w:val="single" w:sz="4" w:space="0" w:color="auto"/>
            </w:tcBorders>
            <w:hideMark/>
          </w:tcPr>
          <w:p w14:paraId="0C6D22FB"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50</w:t>
            </w:r>
          </w:p>
        </w:tc>
        <w:tc>
          <w:tcPr>
            <w:tcW w:w="1161" w:type="dxa"/>
            <w:tcBorders>
              <w:top w:val="single" w:sz="4" w:space="0" w:color="auto"/>
              <w:left w:val="single" w:sz="4" w:space="0" w:color="auto"/>
              <w:bottom w:val="single" w:sz="4" w:space="0" w:color="auto"/>
              <w:right w:val="single" w:sz="4" w:space="0" w:color="auto"/>
            </w:tcBorders>
            <w:hideMark/>
          </w:tcPr>
          <w:p w14:paraId="51E39F6B"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-46,5</w:t>
            </w:r>
          </w:p>
        </w:tc>
        <w:tc>
          <w:tcPr>
            <w:tcW w:w="1161" w:type="dxa"/>
            <w:tcBorders>
              <w:top w:val="single" w:sz="4" w:space="0" w:color="auto"/>
              <w:left w:val="single" w:sz="4" w:space="0" w:color="auto"/>
              <w:bottom w:val="single" w:sz="4" w:space="0" w:color="auto"/>
              <w:right w:val="single" w:sz="4" w:space="0" w:color="auto"/>
            </w:tcBorders>
            <w:hideMark/>
          </w:tcPr>
          <w:p w14:paraId="2467BA78"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-32,5</w:t>
            </w:r>
          </w:p>
        </w:tc>
        <w:tc>
          <w:tcPr>
            <w:tcW w:w="1161" w:type="dxa"/>
            <w:tcBorders>
              <w:top w:val="single" w:sz="4" w:space="0" w:color="auto"/>
              <w:left w:val="single" w:sz="4" w:space="0" w:color="auto"/>
              <w:bottom w:val="single" w:sz="4" w:space="0" w:color="auto"/>
              <w:right w:val="single" w:sz="4" w:space="0" w:color="auto"/>
            </w:tcBorders>
            <w:hideMark/>
          </w:tcPr>
          <w:p w14:paraId="3A6944F7"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8,3</w:t>
            </w:r>
          </w:p>
        </w:tc>
        <w:tc>
          <w:tcPr>
            <w:tcW w:w="1161" w:type="dxa"/>
            <w:tcBorders>
              <w:top w:val="single" w:sz="4" w:space="0" w:color="auto"/>
              <w:left w:val="single" w:sz="4" w:space="0" w:color="auto"/>
              <w:bottom w:val="single" w:sz="4" w:space="0" w:color="auto"/>
              <w:right w:val="single" w:sz="4" w:space="0" w:color="auto"/>
            </w:tcBorders>
            <w:hideMark/>
          </w:tcPr>
          <w:p w14:paraId="73879A7C"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-21,2</w:t>
            </w:r>
          </w:p>
        </w:tc>
        <w:tc>
          <w:tcPr>
            <w:tcW w:w="1161" w:type="dxa"/>
            <w:tcBorders>
              <w:top w:val="single" w:sz="4" w:space="0" w:color="auto"/>
              <w:left w:val="single" w:sz="4" w:space="0" w:color="auto"/>
              <w:bottom w:val="single" w:sz="4" w:space="0" w:color="auto"/>
              <w:right w:val="single" w:sz="4" w:space="0" w:color="auto"/>
            </w:tcBorders>
            <w:hideMark/>
          </w:tcPr>
          <w:p w14:paraId="343E7052"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-36,1</w:t>
            </w:r>
          </w:p>
        </w:tc>
        <w:tc>
          <w:tcPr>
            <w:tcW w:w="1161" w:type="dxa"/>
            <w:tcBorders>
              <w:top w:val="single" w:sz="4" w:space="0" w:color="auto"/>
              <w:left w:val="single" w:sz="4" w:space="0" w:color="auto"/>
              <w:bottom w:val="single" w:sz="4" w:space="0" w:color="auto"/>
              <w:right w:val="single" w:sz="4" w:space="0" w:color="auto"/>
            </w:tcBorders>
            <w:hideMark/>
          </w:tcPr>
          <w:p w14:paraId="5A67DB92"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4,7</w:t>
            </w:r>
          </w:p>
        </w:tc>
      </w:tr>
    </w:tbl>
    <w:p w14:paraId="2BDE6BB2"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highlight w:val="yellow"/>
          <w:lang w:eastAsia="sl-SI"/>
        </w:rPr>
      </w:pPr>
      <w:r>
        <w:rPr>
          <w:rFonts w:ascii="Times New Roman" w:eastAsia="Times New Roman" w:hAnsi="Times New Roman" w:cs="Times New Roman"/>
          <w:color w:val="000000"/>
          <w:lang w:eastAsia="sl-SI"/>
        </w:rPr>
        <w:t>*nekoreguota</w:t>
      </w:r>
    </w:p>
    <w:p w14:paraId="0ED65B3E"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highlight w:val="yellow"/>
          <w:u w:val="single"/>
          <w:lang w:eastAsia="sl-SI"/>
        </w:rPr>
      </w:pPr>
    </w:p>
    <w:p w14:paraId="50770941"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Buvo atlikta keletas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cholesterolio absorbciją slopinančio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poveikio selektyvumui nustatyti.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slopino [14</w:t>
      </w:r>
      <w:r>
        <w:rPr>
          <w:rFonts w:ascii="Times New Roman" w:eastAsia="Times New Roman" w:hAnsi="Times New Roman" w:cs="Times New Roman"/>
          <w:vertAlign w:val="superscript"/>
        </w:rPr>
        <w:t>C</w:t>
      </w:r>
      <w:r>
        <w:rPr>
          <w:rFonts w:ascii="Times New Roman" w:eastAsia="Times New Roman" w:hAnsi="Times New Roman" w:cs="Times New Roman"/>
        </w:rPr>
        <w:t xml:space="preserve">]-cholesterolio absorbciją, bet neveikė trigliceridų, riebalų rūgščių, tulžies rūgščių, progesterono, </w:t>
      </w:r>
      <w:proofErr w:type="spellStart"/>
      <w:r>
        <w:rPr>
          <w:rFonts w:ascii="Times New Roman" w:eastAsia="Times New Roman" w:hAnsi="Times New Roman" w:cs="Times New Roman"/>
        </w:rPr>
        <w:t>etinilestradiolio</w:t>
      </w:r>
      <w:proofErr w:type="spellEnd"/>
      <w:r>
        <w:rPr>
          <w:rFonts w:ascii="Times New Roman" w:eastAsia="Times New Roman" w:hAnsi="Times New Roman" w:cs="Times New Roman"/>
        </w:rPr>
        <w:t xml:space="preserve"> ar riebaluose tirpių vitaminų A ir D absorbcijos.</w:t>
      </w:r>
    </w:p>
    <w:p w14:paraId="01AAD124"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11261358"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Epidemiologinių tyrimų metu nustatyta, kad sergamumas širdies ir kraujagyslių ligomis bei mirštamumas nuo jų tiesiogiai proporcingi BC bei MTL-C ir atvirkščiai proporcingi DTL-C koncentracijai.</w:t>
      </w:r>
    </w:p>
    <w:p w14:paraId="7CC0D276"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0C56F241"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lang w:bidi="bo-CN"/>
        </w:rPr>
        <w:t>Koronarine širdies liga sirgusių ir ūminį koronarinį sindromą (ŪKS) jau patyrusių</w:t>
      </w:r>
      <w:r>
        <w:rPr>
          <w:rFonts w:ascii="Times New Roman" w:eastAsia="Times New Roman" w:hAnsi="Times New Roman" w:cs="Times New Roman"/>
        </w:rPr>
        <w:t xml:space="preserve"> pacientų gydymas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statino</w:t>
      </w:r>
      <w:proofErr w:type="spellEnd"/>
      <w:r>
        <w:rPr>
          <w:rFonts w:ascii="Times New Roman" w:eastAsia="Times New Roman" w:hAnsi="Times New Roman" w:cs="Times New Roman"/>
        </w:rPr>
        <w:t xml:space="preserve"> deriniu yra veiksmingas mažinant širdies ir kraujagyslių sistemos reiškinių riziką.</w:t>
      </w:r>
    </w:p>
    <w:p w14:paraId="7E9864FA"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highlight w:val="yellow"/>
          <w:u w:val="single"/>
          <w:lang w:eastAsia="sl-SI"/>
        </w:rPr>
      </w:pPr>
    </w:p>
    <w:p w14:paraId="3766C1F5"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Klinikinis veiksmingumas ir saugumas</w:t>
      </w:r>
    </w:p>
    <w:p w14:paraId="7C2BA6A5"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u w:val="single"/>
          <w:lang w:eastAsia="sl-SI"/>
        </w:rPr>
      </w:pPr>
    </w:p>
    <w:p w14:paraId="31A5158F" w14:textId="77777777" w:rsidR="008F7970" w:rsidRDefault="00AD4BB2">
      <w:pPr>
        <w:widowControl w:val="0"/>
        <w:autoSpaceDE w:val="0"/>
        <w:autoSpaceDN w:val="0"/>
        <w:adjustRightInd w:val="0"/>
        <w:ind w:left="0" w:firstLine="0"/>
        <w:rPr>
          <w:rFonts w:ascii="Times New Roman" w:eastAsia="Times New Roman" w:hAnsi="Times New Roman" w:cs="Times New Roman"/>
          <w:b/>
          <w:bCs/>
          <w:i/>
          <w:iCs/>
          <w:color w:val="000000"/>
          <w:lang w:eastAsia="sl-SI"/>
        </w:rPr>
      </w:pPr>
      <w:r>
        <w:rPr>
          <w:rFonts w:ascii="Times New Roman" w:eastAsia="Times New Roman" w:hAnsi="Times New Roman" w:cs="Times New Roman"/>
          <w:b/>
          <w:bCs/>
          <w:i/>
          <w:iCs/>
          <w:color w:val="000000"/>
          <w:lang w:eastAsia="sl-SI"/>
        </w:rPr>
        <w:t xml:space="preserve">Informacija, susijusi su </w:t>
      </w:r>
      <w:proofErr w:type="spellStart"/>
      <w:r>
        <w:rPr>
          <w:rFonts w:ascii="Times New Roman" w:eastAsia="Times New Roman" w:hAnsi="Times New Roman" w:cs="Times New Roman"/>
          <w:b/>
          <w:bCs/>
          <w:i/>
          <w:iCs/>
          <w:color w:val="000000"/>
          <w:lang w:eastAsia="sl-SI"/>
        </w:rPr>
        <w:t>pitavastatinu</w:t>
      </w:r>
      <w:proofErr w:type="spellEnd"/>
      <w:r>
        <w:rPr>
          <w:rFonts w:ascii="Times New Roman" w:eastAsia="Times New Roman" w:hAnsi="Times New Roman" w:cs="Times New Roman"/>
          <w:b/>
          <w:bCs/>
          <w:i/>
          <w:iCs/>
          <w:color w:val="000000"/>
          <w:lang w:eastAsia="sl-SI"/>
        </w:rPr>
        <w:t>/</w:t>
      </w:r>
      <w:proofErr w:type="spellStart"/>
      <w:r>
        <w:rPr>
          <w:rFonts w:ascii="Times New Roman" w:eastAsia="Times New Roman" w:hAnsi="Times New Roman" w:cs="Times New Roman"/>
          <w:b/>
          <w:bCs/>
          <w:i/>
          <w:iCs/>
          <w:color w:val="000000"/>
          <w:lang w:eastAsia="sl-SI"/>
        </w:rPr>
        <w:t>ezetimibu</w:t>
      </w:r>
      <w:proofErr w:type="spellEnd"/>
    </w:p>
    <w:p w14:paraId="2538CE1E"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Daugiacentrio</w:t>
      </w:r>
      <w:proofErr w:type="spellEnd"/>
      <w:r>
        <w:rPr>
          <w:rFonts w:ascii="Times New Roman" w:eastAsia="Times New Roman" w:hAnsi="Times New Roman" w:cs="Times New Roman"/>
          <w:color w:val="000000"/>
          <w:lang w:eastAsia="sl-SI"/>
        </w:rPr>
        <w:t xml:space="preserve">, atsitiktinių imčių, dvigubai koduoto tyrimo metu buvo vertinamas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derinio veiksmingumas ir saugumas, palyginti su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monoterapija</w:t>
      </w:r>
      <w:proofErr w:type="spellEnd"/>
      <w:r>
        <w:rPr>
          <w:rFonts w:ascii="Times New Roman" w:eastAsia="Times New Roman" w:hAnsi="Times New Roman" w:cs="Times New Roman"/>
          <w:color w:val="000000"/>
          <w:lang w:eastAsia="sl-SI"/>
        </w:rPr>
        <w:t xml:space="preserve"> pacientams, sergantiems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Iš viso 293 pacientai buvo atsitiktinai paskirstyti į grupes ir jiems 12 savaičių buvo skirta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/10 mg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arba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/10 mg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Kombinuotasis gydymas lėmė reikšmingai didesnį MTL-C, bendrojo cholesterolio ir ne-DTL cholesterolio koncentracijos sumažėjimą, palyginti su vien </w:t>
      </w:r>
      <w:proofErr w:type="spellStart"/>
      <w:r>
        <w:rPr>
          <w:rFonts w:ascii="Times New Roman" w:eastAsia="Times New Roman" w:hAnsi="Times New Roman" w:cs="Times New Roman"/>
          <w:color w:val="000000"/>
          <w:lang w:eastAsia="sl-SI"/>
        </w:rPr>
        <w:t>pitavastatio</w:t>
      </w:r>
      <w:proofErr w:type="spellEnd"/>
      <w:r>
        <w:rPr>
          <w:rFonts w:ascii="Times New Roman" w:eastAsia="Times New Roman" w:hAnsi="Times New Roman" w:cs="Times New Roman"/>
          <w:color w:val="000000"/>
          <w:lang w:eastAsia="sl-SI"/>
        </w:rPr>
        <w:t xml:space="preserve"> poveikiu: LMT-C koncentracijos sumažėjimas buvo 51,4 %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2 mg/</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10 mg ir 57,8 %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4 mg/</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10 mg grupėse, palyginti su 39,5 % ir 45,2 % vartojant atitinkamai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ir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Nepageidaujamų reiškinių dažnis abiejose grupėse buvo panašus, o su kepenų funkcija ir </w:t>
      </w:r>
      <w:proofErr w:type="spellStart"/>
      <w:r>
        <w:rPr>
          <w:rFonts w:ascii="Times New Roman" w:eastAsia="Times New Roman" w:hAnsi="Times New Roman" w:cs="Times New Roman"/>
          <w:color w:val="000000"/>
          <w:lang w:eastAsia="sl-SI"/>
        </w:rPr>
        <w:t>miopatija</w:t>
      </w:r>
      <w:proofErr w:type="spellEnd"/>
      <w:r>
        <w:rPr>
          <w:rFonts w:ascii="Times New Roman" w:eastAsia="Times New Roman" w:hAnsi="Times New Roman" w:cs="Times New Roman"/>
          <w:color w:val="000000"/>
          <w:lang w:eastAsia="sl-SI"/>
        </w:rPr>
        <w:t xml:space="preserve"> susiję laboratoriniai žymenys išliko normos ribose.</w:t>
      </w:r>
    </w:p>
    <w:p w14:paraId="0F480D19"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5A2B3466"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Atsitiktinių imčių, dvigubai koduoto tyrimo metu buvo vertinamas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(2 mg arba 4 mg) ir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(10 mg) derinio veiksmingumas ir saugumas, palyginti su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monoterapija</w:t>
      </w:r>
      <w:proofErr w:type="spellEnd"/>
      <w:r>
        <w:rPr>
          <w:rFonts w:ascii="Times New Roman" w:eastAsia="Times New Roman" w:hAnsi="Times New Roman" w:cs="Times New Roman"/>
          <w:color w:val="000000"/>
          <w:lang w:eastAsia="sl-SI"/>
        </w:rPr>
        <w:t xml:space="preserve"> (2 mg arba 4 mg), 283 pacientams, sergantiems pirmine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Atrankos laikotarpį sudarė 4 savaičių išplovimo laikotarpis ir placebo vartojimo įtraukimo laikotarpis (4–8 savaitės), po kurio tinkami pacientai buvo atsitiktinai suskirstyti į gydymo grupes. Po 8 savaičių dvigubai koduoto gydymo laikotarpio MTL-C koncentracija sumažėjo 52,8 % kombinuotojo gydymo grupėje, palyginti su 37,1 % </w:t>
      </w:r>
      <w:proofErr w:type="spellStart"/>
      <w:r>
        <w:rPr>
          <w:rFonts w:ascii="Times New Roman" w:eastAsia="Times New Roman" w:hAnsi="Times New Roman" w:cs="Times New Roman"/>
          <w:color w:val="000000"/>
          <w:lang w:eastAsia="sl-SI"/>
        </w:rPr>
        <w:t>monoterapijos</w:t>
      </w:r>
      <w:proofErr w:type="spellEnd"/>
      <w:r>
        <w:rPr>
          <w:rFonts w:ascii="Times New Roman" w:eastAsia="Times New Roman" w:hAnsi="Times New Roman" w:cs="Times New Roman"/>
          <w:color w:val="000000"/>
          <w:lang w:eastAsia="sl-SI"/>
        </w:rPr>
        <w:t xml:space="preserve"> grupėje (P &lt; 0,001), atitinkamai 94,2 % tiriamųjų pasiekė savo tikslinę MTL-C koncentraciją, palyginti su 69,1 %. Nepageidaujami reiškiniai abiejose grupėse buvo panašūs.</w:t>
      </w:r>
    </w:p>
    <w:p w14:paraId="46860F5C"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20082240" w14:textId="77777777" w:rsidR="008F7970" w:rsidRDefault="00AD4BB2">
      <w:pPr>
        <w:widowControl w:val="0"/>
        <w:tabs>
          <w:tab w:val="left" w:pos="567"/>
        </w:tabs>
        <w:autoSpaceDE w:val="0"/>
        <w:autoSpaceDN w:val="0"/>
        <w:adjustRightInd w:val="0"/>
        <w:spacing w:line="260" w:lineRule="exact"/>
        <w:ind w:left="0" w:firstLine="0"/>
        <w:rPr>
          <w:rFonts w:ascii="Times New Roman" w:eastAsia="Times New Roman" w:hAnsi="Times New Roman" w:cs="Times New Roman"/>
          <w:snapToGrid w:val="0"/>
          <w:color w:val="000000"/>
          <w:lang w:eastAsia="sl-SI"/>
        </w:rPr>
      </w:pPr>
      <w:proofErr w:type="spellStart"/>
      <w:r>
        <w:rPr>
          <w:rFonts w:ascii="Times New Roman" w:eastAsia="Times New Roman" w:hAnsi="Times New Roman" w:cs="Times New Roman"/>
          <w:color w:val="000000"/>
          <w:lang w:eastAsia="sl-SI"/>
        </w:rPr>
        <w:t>Daugiacentrio</w:t>
      </w:r>
      <w:proofErr w:type="spellEnd"/>
      <w:r>
        <w:rPr>
          <w:rFonts w:ascii="Times New Roman" w:eastAsia="Times New Roman" w:hAnsi="Times New Roman" w:cs="Times New Roman"/>
          <w:color w:val="000000"/>
          <w:lang w:eastAsia="sl-SI"/>
        </w:rPr>
        <w:t xml:space="preserve">, atsitiktinių imčių, dvigubai koduoto tyrimo metu buvo lyginamas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ir 10 mg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derinio veiksmingumas ir saugumas, palyginti su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monoterapija</w:t>
      </w:r>
      <w:proofErr w:type="spellEnd"/>
      <w:r>
        <w:rPr>
          <w:rFonts w:ascii="Times New Roman" w:eastAsia="Times New Roman" w:hAnsi="Times New Roman" w:cs="Times New Roman"/>
          <w:color w:val="000000"/>
          <w:lang w:eastAsia="sl-SI"/>
        </w:rPr>
        <w:t xml:space="preserve"> ir 10 mg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monoterapija</w:t>
      </w:r>
      <w:proofErr w:type="spellEnd"/>
      <w:r>
        <w:rPr>
          <w:rFonts w:ascii="Times New Roman" w:eastAsia="Times New Roman" w:hAnsi="Times New Roman" w:cs="Times New Roman"/>
          <w:color w:val="000000"/>
          <w:lang w:eastAsia="sl-SI"/>
        </w:rPr>
        <w:t xml:space="preserve"> pacientams, sergantiems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ar mišria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color w:val="000000"/>
          <w:lang w:eastAsia="sl-SI"/>
        </w:rPr>
        <w:t xml:space="preserve">Iš viso 388 pacientai buvo atsitiktinai suskirstyti į grupes ir gydomi kasdien 12 savaičių. Kombinuotojo gydymo grupėje MTL-C koncentracija sumažėjo reikšmingai labiau (-50,5 %), palyginti su </w:t>
      </w:r>
      <w:proofErr w:type="spellStart"/>
      <w:r>
        <w:rPr>
          <w:rFonts w:ascii="Times New Roman" w:eastAsia="Times New Roman" w:hAnsi="Times New Roman" w:cs="Times New Roman"/>
          <w:snapToGrid w:val="0"/>
          <w:color w:val="000000"/>
          <w:lang w:eastAsia="sl-SI"/>
        </w:rPr>
        <w:t>pitavastatino</w:t>
      </w:r>
      <w:proofErr w:type="spellEnd"/>
      <w:r>
        <w:rPr>
          <w:rFonts w:ascii="Times New Roman" w:eastAsia="Times New Roman" w:hAnsi="Times New Roman" w:cs="Times New Roman"/>
          <w:snapToGrid w:val="0"/>
          <w:color w:val="000000"/>
          <w:lang w:eastAsia="sl-SI"/>
        </w:rPr>
        <w:t xml:space="preserve"> (-36,1 %) ir </w:t>
      </w:r>
      <w:proofErr w:type="spellStart"/>
      <w:r>
        <w:rPr>
          <w:rFonts w:ascii="Times New Roman" w:eastAsia="Times New Roman" w:hAnsi="Times New Roman" w:cs="Times New Roman"/>
          <w:snapToGrid w:val="0"/>
          <w:color w:val="000000"/>
          <w:lang w:eastAsia="sl-SI"/>
        </w:rPr>
        <w:t>ezetimibo</w:t>
      </w:r>
      <w:proofErr w:type="spellEnd"/>
      <w:r>
        <w:rPr>
          <w:rFonts w:ascii="Times New Roman" w:eastAsia="Times New Roman" w:hAnsi="Times New Roman" w:cs="Times New Roman"/>
          <w:snapToGrid w:val="0"/>
          <w:color w:val="000000"/>
          <w:lang w:eastAsia="sl-SI"/>
        </w:rPr>
        <w:t xml:space="preserve"> (-19,9 %) grupėmis (P &lt; 0,001). Be to, gydymas 2 mg </w:t>
      </w:r>
      <w:proofErr w:type="spellStart"/>
      <w:r>
        <w:rPr>
          <w:rFonts w:ascii="Times New Roman" w:eastAsia="Times New Roman" w:hAnsi="Times New Roman" w:cs="Times New Roman"/>
          <w:snapToGrid w:val="0"/>
          <w:color w:val="000000"/>
          <w:lang w:eastAsia="sl-SI"/>
        </w:rPr>
        <w:t>pitavastatino</w:t>
      </w:r>
      <w:proofErr w:type="spellEnd"/>
      <w:r>
        <w:rPr>
          <w:rFonts w:ascii="Times New Roman" w:eastAsia="Times New Roman" w:hAnsi="Times New Roman" w:cs="Times New Roman"/>
          <w:snapToGrid w:val="0"/>
          <w:color w:val="000000"/>
          <w:lang w:eastAsia="sl-SI"/>
        </w:rPr>
        <w:t xml:space="preserve"> ir 10 mg </w:t>
      </w:r>
      <w:proofErr w:type="spellStart"/>
      <w:r>
        <w:rPr>
          <w:rFonts w:ascii="Times New Roman" w:eastAsia="Times New Roman" w:hAnsi="Times New Roman" w:cs="Times New Roman"/>
          <w:snapToGrid w:val="0"/>
          <w:color w:val="000000"/>
          <w:lang w:eastAsia="sl-SI"/>
        </w:rPr>
        <w:t>ezetimibo</w:t>
      </w:r>
      <w:proofErr w:type="spellEnd"/>
      <w:r>
        <w:rPr>
          <w:rFonts w:ascii="Times New Roman" w:eastAsia="Times New Roman" w:hAnsi="Times New Roman" w:cs="Times New Roman"/>
          <w:snapToGrid w:val="0"/>
          <w:color w:val="000000"/>
          <w:lang w:eastAsia="sl-SI"/>
        </w:rPr>
        <w:t xml:space="preserve"> deriniu lėmė reikšmingą bendrojo cholesterolio, ne-DTL-C ir </w:t>
      </w:r>
      <w:proofErr w:type="spellStart"/>
      <w:r>
        <w:rPr>
          <w:rFonts w:ascii="Times New Roman" w:eastAsia="Times New Roman" w:hAnsi="Times New Roman" w:cs="Times New Roman"/>
          <w:snapToGrid w:val="0"/>
          <w:color w:val="000000"/>
          <w:lang w:eastAsia="sl-SI"/>
        </w:rPr>
        <w:t>apolipoproteino</w:t>
      </w:r>
      <w:proofErr w:type="spellEnd"/>
      <w:r>
        <w:rPr>
          <w:rFonts w:ascii="Times New Roman" w:eastAsia="Times New Roman" w:hAnsi="Times New Roman" w:cs="Times New Roman"/>
          <w:snapToGrid w:val="0"/>
          <w:color w:val="000000"/>
          <w:lang w:eastAsia="sl-SI"/>
        </w:rPr>
        <w:t xml:space="preserve"> B koncentracijos pagerėjimą. Palyginti su abiem </w:t>
      </w:r>
      <w:proofErr w:type="spellStart"/>
      <w:r>
        <w:rPr>
          <w:rFonts w:ascii="Times New Roman" w:eastAsia="Times New Roman" w:hAnsi="Times New Roman" w:cs="Times New Roman"/>
          <w:snapToGrid w:val="0"/>
          <w:color w:val="000000"/>
          <w:lang w:eastAsia="sl-SI"/>
        </w:rPr>
        <w:t>monoterapijos</w:t>
      </w:r>
      <w:proofErr w:type="spellEnd"/>
      <w:r>
        <w:rPr>
          <w:rFonts w:ascii="Times New Roman" w:eastAsia="Times New Roman" w:hAnsi="Times New Roman" w:cs="Times New Roman"/>
          <w:snapToGrid w:val="0"/>
          <w:color w:val="000000"/>
          <w:lang w:eastAsia="sl-SI"/>
        </w:rPr>
        <w:t xml:space="preserve"> grupėmis, didesnė procentinė dalis pacientų, gydytų deriniu, pasiekė tikslinę MTL-C koncentraciją &lt; 100 mg/dl (P &lt; 0,001). Nepageidaujamų reiškinių dažnis grupėse nesiskyrė, o tai rodo, kad saugumo savybės yra panašios.</w:t>
      </w:r>
    </w:p>
    <w:p w14:paraId="7316C551" w14:textId="77777777" w:rsidR="008F7970" w:rsidRDefault="008F7970">
      <w:pPr>
        <w:widowControl w:val="0"/>
        <w:autoSpaceDE w:val="0"/>
        <w:autoSpaceDN w:val="0"/>
        <w:adjustRightInd w:val="0"/>
        <w:ind w:left="0" w:firstLine="0"/>
        <w:rPr>
          <w:rFonts w:ascii="Times New Roman" w:eastAsia="Times New Roman" w:hAnsi="Times New Roman" w:cs="Times New Roman"/>
          <w:b/>
          <w:bCs/>
          <w:i/>
          <w:iCs/>
          <w:color w:val="000000"/>
          <w:lang w:eastAsia="sl-SI"/>
        </w:rPr>
      </w:pPr>
    </w:p>
    <w:p w14:paraId="4B9CACFC" w14:textId="77777777" w:rsidR="008F7970" w:rsidRDefault="00AD4BB2">
      <w:pPr>
        <w:widowControl w:val="0"/>
        <w:autoSpaceDE w:val="0"/>
        <w:autoSpaceDN w:val="0"/>
        <w:adjustRightInd w:val="0"/>
        <w:ind w:left="0" w:firstLine="0"/>
        <w:rPr>
          <w:rFonts w:ascii="Times New Roman" w:eastAsia="Times New Roman" w:hAnsi="Times New Roman" w:cs="Times New Roman"/>
          <w:b/>
          <w:bCs/>
          <w:i/>
          <w:iCs/>
          <w:color w:val="000000"/>
          <w:lang w:eastAsia="sl-SI"/>
        </w:rPr>
      </w:pPr>
      <w:r>
        <w:rPr>
          <w:rFonts w:ascii="Times New Roman" w:eastAsia="Times New Roman" w:hAnsi="Times New Roman" w:cs="Times New Roman"/>
          <w:b/>
          <w:bCs/>
          <w:i/>
          <w:iCs/>
          <w:color w:val="000000"/>
          <w:lang w:eastAsia="sl-SI"/>
        </w:rPr>
        <w:t xml:space="preserve">Informacija, susijusi su </w:t>
      </w:r>
      <w:proofErr w:type="spellStart"/>
      <w:r>
        <w:rPr>
          <w:rFonts w:ascii="Times New Roman" w:eastAsia="Times New Roman" w:hAnsi="Times New Roman" w:cs="Times New Roman"/>
          <w:b/>
          <w:bCs/>
          <w:i/>
          <w:iCs/>
          <w:color w:val="000000"/>
          <w:lang w:eastAsia="sl-SI"/>
        </w:rPr>
        <w:t>pitavastatinu</w:t>
      </w:r>
      <w:proofErr w:type="spellEnd"/>
    </w:p>
    <w:p w14:paraId="54A5236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Kontroliuotuose klinikiniuose tyrimuose, kuriuose dalyvavo 1 687 pacientai, sergantys pirmine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ir mišria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įskaitant 1 239 pacientus, kuriems buvo skiriamos gydomosios dozės (vidutinė pradinė MTL-C koncentracija buvo maždaug 4,8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 xml:space="preserve">/l), </w:t>
      </w:r>
      <w:proofErr w:type="spellStart"/>
      <w:r>
        <w:rPr>
          <w:rFonts w:ascii="Times New Roman" w:eastAsia="Times New Roman" w:hAnsi="Times New Roman" w:cs="Times New Roman"/>
          <w:color w:val="000000"/>
          <w:lang w:eastAsia="sl-SI"/>
        </w:rPr>
        <w:t>pitavastatinas</w:t>
      </w:r>
      <w:proofErr w:type="spellEnd"/>
      <w:r>
        <w:rPr>
          <w:rFonts w:ascii="Times New Roman" w:eastAsia="Times New Roman" w:hAnsi="Times New Roman" w:cs="Times New Roman"/>
          <w:color w:val="000000"/>
          <w:lang w:eastAsia="sl-SI"/>
        </w:rPr>
        <w:t xml:space="preserve"> stabiliai mažino MTL-C, BC, ne MTL-C, TG ir </w:t>
      </w:r>
      <w:proofErr w:type="spellStart"/>
      <w:r>
        <w:rPr>
          <w:rFonts w:ascii="Times New Roman" w:eastAsia="Times New Roman" w:hAnsi="Times New Roman" w:cs="Times New Roman"/>
          <w:color w:val="000000"/>
          <w:lang w:eastAsia="sl-SI"/>
        </w:rPr>
        <w:t>Apo</w:t>
      </w:r>
      <w:proofErr w:type="spellEnd"/>
      <w:r>
        <w:rPr>
          <w:rFonts w:ascii="Times New Roman" w:eastAsia="Times New Roman" w:hAnsi="Times New Roman" w:cs="Times New Roman"/>
          <w:color w:val="000000"/>
          <w:lang w:eastAsia="sl-SI"/>
        </w:rPr>
        <w:t xml:space="preserve">-B koncentraciją bei didino DTL-C ir Apo-A1 koncentraciją. Sumažėjo BC/DTL-C ir </w:t>
      </w:r>
      <w:proofErr w:type="spellStart"/>
      <w:r>
        <w:rPr>
          <w:rFonts w:ascii="Times New Roman" w:eastAsia="Times New Roman" w:hAnsi="Times New Roman" w:cs="Times New Roman"/>
          <w:color w:val="000000"/>
          <w:lang w:eastAsia="sl-SI"/>
        </w:rPr>
        <w:t>Apo</w:t>
      </w:r>
      <w:proofErr w:type="spellEnd"/>
      <w:r>
        <w:rPr>
          <w:rFonts w:ascii="Times New Roman" w:eastAsia="Times New Roman" w:hAnsi="Times New Roman" w:cs="Times New Roman"/>
          <w:color w:val="000000"/>
          <w:lang w:eastAsia="sl-SI"/>
        </w:rPr>
        <w:t>-B/Apo-A1 santykis. MTL-C koncentracija sumažėjo 38</w:t>
      </w:r>
      <w:r>
        <w:rPr>
          <w:rFonts w:ascii="Times New Roman" w:eastAsia="Times New Roman" w:hAnsi="Times New Roman" w:cs="Times New Roman"/>
          <w:color w:val="000000"/>
          <w:lang w:eastAsia="sl-SI"/>
        </w:rPr>
        <w:noBreakHyphen/>
        <w:t xml:space="preserve">39 %, vartojant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dozę ir 44</w:t>
      </w:r>
      <w:r>
        <w:rPr>
          <w:rFonts w:ascii="Times New Roman" w:eastAsia="Times New Roman" w:hAnsi="Times New Roman" w:cs="Times New Roman"/>
          <w:color w:val="000000"/>
          <w:lang w:eastAsia="sl-SI"/>
        </w:rPr>
        <w:noBreakHyphen/>
        <w:t xml:space="preserve">45 %, vartojant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dozę. Dauguma pacientų, vartojusių 2 mg dozę, pasiekė Europos aterosklerozės draugijos (EAD) gydymo tikslą, t. y. MTL-C koncentraciją &lt; 3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/l.</w:t>
      </w:r>
    </w:p>
    <w:p w14:paraId="5E4CEB4E"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47EBFFF4"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Kontroliuotuose klinikiniuose tyrimuose, kuriuose dalyvavo 942 ≥ 65 metų pacientai (434 pacientai buvo gydomi 1 mg, 2 mg arba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dozėmis), sergantys pirmine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ir mišria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xml:space="preserve"> (vidutinė pradinė MTL-C koncentracija buvo maždaug 4,2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/l), MTL-C koncentracija sumažėjo atitinkamai 31 %, 39,0 % ir 44,3 %, o maždaug 90 % pacientų pasiekė EAD gydymo tikslą. Daugiau kaip 80 % pacientų kartu vartojo kitų vaistinių preparatų, tačiau nepageidaujamų reiškinių dažnis visose gydymo grupėse buvo panašus, o dėl nepageidaujamų reiškinių iš tyrimo pasitraukė mažiau kaip 5 % pacientų. Saugumo ir veiksmingumo rezultatai buvo panašūs pacientams, priklausantiems skirtingiems amžiaus pogrupiams (65-69 metų, 70-74 metų ir ≥ 75 metų).</w:t>
      </w:r>
    </w:p>
    <w:p w14:paraId="43C70DB4"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466598F8"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Kontroliuotuose klinikiniuose tyrimuose, kuriuose iš viso dalyvavo 761 pacientas (507 pacientai buvo gydomi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doze), sergantis pirmine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arba mišria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turintis 2 ar daugiau širdies ir kraujagyslių rizikos veiksnių (vidutinė pradinė MTL-C koncentracija maždaug 4,1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 xml:space="preserve">/l), arba sergantis mišria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xml:space="preserve"> ir 2 tipo cukriniu diabetu (vidutinė pradinė MTL-C koncentracija maždaug 3,6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/l), maždaug 80 % pacientų pasiekė atitinkamą EAD tikslą (3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/l arba 2,5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/l, priklausomai nuo rizikos). Pacientų grupėse MTL-C koncentracija sumažėjo atitinkamai 44 % ir 41 %.</w:t>
      </w:r>
    </w:p>
    <w:p w14:paraId="42AA2F1F"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15DE879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Ilgalaikių, iki 60 savaičių trukusių pirminės </w:t>
      </w:r>
      <w:proofErr w:type="spellStart"/>
      <w:r>
        <w:rPr>
          <w:rFonts w:ascii="Times New Roman" w:eastAsia="Times New Roman" w:hAnsi="Times New Roman" w:cs="Times New Roman"/>
          <w:color w:val="000000"/>
          <w:lang w:eastAsia="sl-SI"/>
        </w:rPr>
        <w:t>hipercholesterolemijos</w:t>
      </w:r>
      <w:proofErr w:type="spellEnd"/>
      <w:r>
        <w:rPr>
          <w:rFonts w:ascii="Times New Roman" w:eastAsia="Times New Roman" w:hAnsi="Times New Roman" w:cs="Times New Roman"/>
          <w:color w:val="000000"/>
          <w:lang w:eastAsia="sl-SI"/>
        </w:rPr>
        <w:t xml:space="preserve"> ir mišrios </w:t>
      </w:r>
      <w:proofErr w:type="spellStart"/>
      <w:r>
        <w:rPr>
          <w:rFonts w:ascii="Times New Roman" w:eastAsia="Times New Roman" w:hAnsi="Times New Roman" w:cs="Times New Roman"/>
          <w:color w:val="000000"/>
          <w:lang w:eastAsia="sl-SI"/>
        </w:rPr>
        <w:t>dislipidemijos</w:t>
      </w:r>
      <w:proofErr w:type="spellEnd"/>
      <w:r>
        <w:rPr>
          <w:rFonts w:ascii="Times New Roman" w:eastAsia="Times New Roman" w:hAnsi="Times New Roman" w:cs="Times New Roman"/>
          <w:color w:val="000000"/>
          <w:lang w:eastAsia="sl-SI"/>
        </w:rPr>
        <w:t xml:space="preserve"> tyrimų metu, pasiektas EAD tikslas buvo palaikomas: MTL-C koncentracija nuosekliai ir stabiliai sumažėjo, o DTL-C koncentracija toliau didėjo. Tyrime, kuriame dalyvavo 1 346 pacientai, baigę 12 savaičių gydymą </w:t>
      </w:r>
      <w:proofErr w:type="spellStart"/>
      <w:r>
        <w:rPr>
          <w:rFonts w:ascii="Times New Roman" w:eastAsia="Times New Roman" w:hAnsi="Times New Roman" w:cs="Times New Roman"/>
          <w:color w:val="000000"/>
          <w:lang w:eastAsia="sl-SI"/>
        </w:rPr>
        <w:t>statinais</w:t>
      </w:r>
      <w:proofErr w:type="spellEnd"/>
      <w:r>
        <w:rPr>
          <w:rFonts w:ascii="Times New Roman" w:eastAsia="Times New Roman" w:hAnsi="Times New Roman" w:cs="Times New Roman"/>
          <w:color w:val="000000"/>
          <w:lang w:eastAsia="sl-SI"/>
        </w:rPr>
        <w:t xml:space="preserve"> (MTL-C koncentracija sumažėjo 42,3 %, EAD tikslas pasiektas 69 %, DTL-C koncentracija padidėjo 5,6 %), po 52 savaičių gydymo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4 mg doze MTL-C koncentracija sumažėjo 42,9 %, EAD tikslas pasiektas 74 %, DTL-C koncentracija padidėjo 14,3 %.</w:t>
      </w:r>
    </w:p>
    <w:p w14:paraId="1505533A"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08568C99"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Japonijoje atlikto dviejų metų stebėjimo tyrimo (LIVES-01, žr. 4.8 skyrių) pratęsimo metu 6 582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sergantys pacientai, kurie 2 metus buvo gydomi 1 mg, 2 mg arba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doze, buvo gydomi dar 3 metus (iš viso gydymas truko 5 metus). Šio 5 metų trukmės tyrimo metu MTL-C koncentracijos sumažėjimas (-30,5 %) buvo palaikomas nuo 3 mėnesio visą tyrimo laikotarpį, DTL-C koncentracija padidėjo nuo 1,7 % po 3 mėnesių iki 5,7 % po 5 metų, didesnis DTL-C koncentracijos padidėjimas stebėtas pacientams, kurių pradinė DTL-C koncentracija buvo mažesnė (&lt; 40 mg/dl), pvz., koncentracija kraujo serume padidėjo nuo 11,9 % po 3 mėnesių iki 28,9 % po 5 metų.</w:t>
      </w:r>
    </w:p>
    <w:p w14:paraId="7B5C89B8"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281C4444" w14:textId="77777777" w:rsidR="008F7970" w:rsidRDefault="00AD4BB2">
      <w:pPr>
        <w:widowControl w:val="0"/>
        <w:autoSpaceDE w:val="0"/>
        <w:autoSpaceDN w:val="0"/>
        <w:adjustRightInd w:val="0"/>
        <w:ind w:left="0" w:firstLine="0"/>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Aterosklerozė</w:t>
      </w:r>
    </w:p>
    <w:p w14:paraId="5F73B83F"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JAPAN-ACS tyrime buvo lyginamas 8</w:t>
      </w:r>
      <w:r>
        <w:rPr>
          <w:rFonts w:ascii="Times New Roman" w:eastAsia="Times New Roman" w:hAnsi="Times New Roman" w:cs="Times New Roman"/>
          <w:color w:val="000000"/>
          <w:lang w:eastAsia="sl-SI"/>
        </w:rPr>
        <w:noBreakHyphen/>
        <w:t xml:space="preserve">12 mėnesių gydymo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4 mg doze arba </w:t>
      </w:r>
      <w:proofErr w:type="spellStart"/>
      <w:r>
        <w:rPr>
          <w:rFonts w:ascii="Times New Roman" w:eastAsia="Times New Roman" w:hAnsi="Times New Roman" w:cs="Times New Roman"/>
          <w:color w:val="000000"/>
          <w:lang w:eastAsia="sl-SI"/>
        </w:rPr>
        <w:t>atorvastatino</w:t>
      </w:r>
      <w:proofErr w:type="spellEnd"/>
      <w:r>
        <w:rPr>
          <w:rFonts w:ascii="Times New Roman" w:eastAsia="Times New Roman" w:hAnsi="Times New Roman" w:cs="Times New Roman"/>
          <w:color w:val="000000"/>
          <w:lang w:eastAsia="sl-SI"/>
        </w:rPr>
        <w:t xml:space="preserve"> 20 mg doze poveikis vainikinių arterijų plokštelių tūriui 251 pacientui, kuriems buvo atlikta </w:t>
      </w:r>
      <w:proofErr w:type="spellStart"/>
      <w:r>
        <w:rPr>
          <w:rFonts w:ascii="Times New Roman" w:eastAsia="Times New Roman" w:hAnsi="Times New Roman" w:cs="Times New Roman"/>
          <w:color w:val="000000"/>
          <w:lang w:eastAsia="sl-SI"/>
        </w:rPr>
        <w:t>perkutaninė</w:t>
      </w:r>
      <w:proofErr w:type="spellEnd"/>
      <w:r>
        <w:rPr>
          <w:rFonts w:ascii="Times New Roman" w:eastAsia="Times New Roman" w:hAnsi="Times New Roman" w:cs="Times New Roman"/>
          <w:color w:val="000000"/>
          <w:lang w:eastAsia="sl-SI"/>
        </w:rPr>
        <w:t xml:space="preserve"> vainikinė intervencija dėl ūminio vainikinio sindromo, kontroliuojant </w:t>
      </w:r>
      <w:proofErr w:type="spellStart"/>
      <w:r>
        <w:rPr>
          <w:rFonts w:ascii="Times New Roman" w:eastAsia="Times New Roman" w:hAnsi="Times New Roman" w:cs="Times New Roman"/>
          <w:color w:val="000000"/>
          <w:lang w:eastAsia="sl-SI"/>
        </w:rPr>
        <w:t>intravaskuliniu</w:t>
      </w:r>
      <w:proofErr w:type="spellEnd"/>
      <w:r>
        <w:rPr>
          <w:rFonts w:ascii="Times New Roman" w:eastAsia="Times New Roman" w:hAnsi="Times New Roman" w:cs="Times New Roman"/>
          <w:color w:val="000000"/>
          <w:lang w:eastAsia="sl-SI"/>
        </w:rPr>
        <w:t xml:space="preserve"> ultragarsiniu tyrimu. Šis tyrimas parodė, kad taikant abu gydymo metodus plokštelių tūris sumažėjo maždaug 17 % (-16,9 ± 13,9 % vartojant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ir -18,1 ± 14,2 % vartojant </w:t>
      </w:r>
      <w:proofErr w:type="spellStart"/>
      <w:r>
        <w:rPr>
          <w:rFonts w:ascii="Times New Roman" w:eastAsia="Times New Roman" w:hAnsi="Times New Roman" w:cs="Times New Roman"/>
          <w:color w:val="000000"/>
          <w:lang w:eastAsia="sl-SI"/>
        </w:rPr>
        <w:t>atorvastatino</w:t>
      </w:r>
      <w:proofErr w:type="spellEnd"/>
      <w:r>
        <w:rPr>
          <w:rFonts w:ascii="Times New Roman" w:eastAsia="Times New Roman" w:hAnsi="Times New Roman" w:cs="Times New Roman"/>
          <w:color w:val="000000"/>
          <w:lang w:eastAsia="sl-SI"/>
        </w:rPr>
        <w:t>). Buvo įrodytas neprastesnis (</w:t>
      </w:r>
      <w:proofErr w:type="spellStart"/>
      <w:r>
        <w:rPr>
          <w:rFonts w:ascii="Times New Roman" w:eastAsia="Times New Roman" w:hAnsi="Times New Roman" w:cs="Times New Roman"/>
          <w:i/>
          <w:iCs/>
          <w:color w:val="000000"/>
          <w:lang w:eastAsia="sl-SI"/>
        </w:rPr>
        <w:t>non-inferiority</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poveikis, palyginti su </w:t>
      </w:r>
      <w:proofErr w:type="spellStart"/>
      <w:r>
        <w:rPr>
          <w:rFonts w:ascii="Times New Roman" w:eastAsia="Times New Roman" w:hAnsi="Times New Roman" w:cs="Times New Roman"/>
          <w:color w:val="000000"/>
          <w:lang w:eastAsia="sl-SI"/>
        </w:rPr>
        <w:t>atorvastatino</w:t>
      </w:r>
      <w:proofErr w:type="spellEnd"/>
      <w:r>
        <w:rPr>
          <w:rFonts w:ascii="Times New Roman" w:eastAsia="Times New Roman" w:hAnsi="Times New Roman" w:cs="Times New Roman"/>
          <w:color w:val="000000"/>
          <w:lang w:eastAsia="sl-SI"/>
        </w:rPr>
        <w:t xml:space="preserve"> poveikiu ir atvirkščiai. Abiem atvejais plokštelės regresija buvo susijusi su neigiama kraujagyslių </w:t>
      </w:r>
      <w:proofErr w:type="spellStart"/>
      <w:r>
        <w:rPr>
          <w:rFonts w:ascii="Times New Roman" w:eastAsia="Times New Roman" w:hAnsi="Times New Roman" w:cs="Times New Roman"/>
          <w:color w:val="000000"/>
          <w:lang w:eastAsia="sl-SI"/>
        </w:rPr>
        <w:t>remodeliacija</w:t>
      </w:r>
      <w:proofErr w:type="spellEnd"/>
      <w:r>
        <w:rPr>
          <w:rFonts w:ascii="Times New Roman" w:eastAsia="Times New Roman" w:hAnsi="Times New Roman" w:cs="Times New Roman"/>
          <w:color w:val="000000"/>
          <w:lang w:eastAsia="sl-SI"/>
        </w:rPr>
        <w:t xml:space="preserve"> (nuo 113,0 iki 105,4 mm</w:t>
      </w:r>
      <w:r>
        <w:rPr>
          <w:rFonts w:ascii="Times New Roman" w:eastAsia="Times New Roman" w:hAnsi="Times New Roman" w:cs="Times New Roman"/>
          <w:color w:val="000000"/>
          <w:vertAlign w:val="superscript"/>
          <w:lang w:eastAsia="sl-SI"/>
        </w:rPr>
        <w:t>3</w:t>
      </w:r>
      <w:r>
        <w:rPr>
          <w:rFonts w:ascii="Times New Roman" w:eastAsia="Times New Roman" w:hAnsi="Times New Roman" w:cs="Times New Roman"/>
          <w:color w:val="000000"/>
          <w:lang w:eastAsia="sl-SI"/>
        </w:rPr>
        <w:t>). Šiame tyrime, priešingai nei placebu kontroliuotuose tyrimuose, reikšmingo ryšio tarp MTL-C koncentracijos sumažėjimo ir plokštelės regresijos nebuvo nustatyta.</w:t>
      </w:r>
    </w:p>
    <w:p w14:paraId="75703707"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6CFC0831"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Palankus poveikis mirtingumui ir sergamumui dar nėra įvertintas.</w:t>
      </w:r>
    </w:p>
    <w:p w14:paraId="1BD33B5C"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11990022" w14:textId="77777777" w:rsidR="008F7970" w:rsidRDefault="00AD4BB2">
      <w:pPr>
        <w:widowControl w:val="0"/>
        <w:autoSpaceDE w:val="0"/>
        <w:autoSpaceDN w:val="0"/>
        <w:adjustRightInd w:val="0"/>
        <w:ind w:left="0" w:firstLine="0"/>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Cukrinis diabetas</w:t>
      </w:r>
    </w:p>
    <w:p w14:paraId="35A6C54F"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Buvo atliktas atviras, perspektyvinis, kontroliuojamas 1 269 japonų pacientų, kuriems buvo gliukozės toleravimo sutrikimas, tyrimas, kuriame tiriamieji atsitiktinės atrankos būdu buvo suskirstyti į gyvenimo būdo keitimo grupes kartu vartojant 1 mg arba 2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paros dozę arba jos nevartojant; per 2,8 metų laikotarpį cukriniu diabetu susirgo 45,7 % kontrolinės grupės pacientų, palyginti su 39,9 %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grupės pacientų (rizikos santykis 0,82 [95 % PI 0,68</w:t>
      </w:r>
      <w:r>
        <w:rPr>
          <w:rFonts w:ascii="Times New Roman" w:eastAsia="Times New Roman" w:hAnsi="Times New Roman" w:cs="Times New Roman"/>
          <w:color w:val="000000"/>
          <w:lang w:eastAsia="sl-SI"/>
        </w:rPr>
        <w:noBreakHyphen/>
        <w:t>0,99]).</w:t>
      </w:r>
    </w:p>
    <w:p w14:paraId="59EC40F0"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57841DD7"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4 815 cukriniu diabetu nesergančių pacientų, įtrauktų į atsitiktinių imčių kontroliuotus dvigubai koduotus tyrimus, kurie truko ne trumpiau kaip 12 savaičių (svertinis stebėjimo laikotarpio vidurkis 17,3 savaitės [SN 17,7 savaitės]), </w:t>
      </w:r>
      <w:proofErr w:type="spellStart"/>
      <w:r>
        <w:rPr>
          <w:rFonts w:ascii="Times New Roman" w:eastAsia="Times New Roman" w:hAnsi="Times New Roman" w:cs="Times New Roman"/>
          <w:color w:val="000000"/>
          <w:lang w:eastAsia="sl-SI"/>
        </w:rPr>
        <w:t>metaanalizė</w:t>
      </w:r>
      <w:proofErr w:type="spellEnd"/>
      <w:r>
        <w:rPr>
          <w:rFonts w:ascii="Times New Roman" w:eastAsia="Times New Roman" w:hAnsi="Times New Roman" w:cs="Times New Roman"/>
          <w:color w:val="000000"/>
          <w:lang w:eastAsia="sl-SI"/>
        </w:rPr>
        <w:t xml:space="preserve"> parodė, kad </w:t>
      </w:r>
      <w:proofErr w:type="spellStart"/>
      <w:r>
        <w:rPr>
          <w:rFonts w:ascii="Times New Roman" w:eastAsia="Times New Roman" w:hAnsi="Times New Roman" w:cs="Times New Roman"/>
          <w:color w:val="000000"/>
          <w:lang w:eastAsia="sl-SI"/>
        </w:rPr>
        <w:t>pitavastatinas</w:t>
      </w:r>
      <w:proofErr w:type="spellEnd"/>
      <w:r>
        <w:rPr>
          <w:rFonts w:ascii="Times New Roman" w:eastAsia="Times New Roman" w:hAnsi="Times New Roman" w:cs="Times New Roman"/>
          <w:color w:val="000000"/>
          <w:lang w:eastAsia="sl-SI"/>
        </w:rPr>
        <w:t xml:space="preserve"> turi neutralų poveikį naujai pasireiškusio cukrinio diabeto atsiradimo rizikai (0,98 % kontrolinių grupių pacientų ir 0,50 % </w:t>
      </w:r>
      <w:proofErr w:type="spellStart"/>
      <w:r>
        <w:rPr>
          <w:rFonts w:ascii="Times New Roman" w:eastAsia="Times New Roman" w:hAnsi="Times New Roman" w:cs="Times New Roman"/>
          <w:color w:val="000000"/>
          <w:lang w:eastAsia="sl-SI"/>
        </w:rPr>
        <w:t>pitavastatinu</w:t>
      </w:r>
      <w:proofErr w:type="spellEnd"/>
      <w:r>
        <w:rPr>
          <w:rFonts w:ascii="Times New Roman" w:eastAsia="Times New Roman" w:hAnsi="Times New Roman" w:cs="Times New Roman"/>
          <w:color w:val="000000"/>
          <w:lang w:eastAsia="sl-SI"/>
        </w:rPr>
        <w:t xml:space="preserve"> vartojusių pacientų pasireiškė cukrinis diabetas, santykinė rizika 0,70 [95 % PI 0,30</w:t>
      </w:r>
      <w:r>
        <w:rPr>
          <w:rFonts w:ascii="Times New Roman" w:eastAsia="Times New Roman" w:hAnsi="Times New Roman" w:cs="Times New Roman"/>
          <w:color w:val="000000"/>
          <w:lang w:eastAsia="sl-SI"/>
        </w:rPr>
        <w:noBreakHyphen/>
        <w:t xml:space="preserve">1,61]), kai 6,5 % (103/1 579) kontrolinių grupių pacientų vartojo placebo; likusieji buvo gydomi </w:t>
      </w:r>
      <w:proofErr w:type="spellStart"/>
      <w:r>
        <w:rPr>
          <w:rFonts w:ascii="Times New Roman" w:eastAsia="Times New Roman" w:hAnsi="Times New Roman" w:cs="Times New Roman"/>
          <w:color w:val="000000"/>
          <w:lang w:eastAsia="sl-SI"/>
        </w:rPr>
        <w:t>statinais</w:t>
      </w:r>
      <w:proofErr w:type="spellEnd"/>
      <w:r>
        <w:rPr>
          <w:rFonts w:ascii="Times New Roman" w:eastAsia="Times New Roman" w:hAnsi="Times New Roman" w:cs="Times New Roman"/>
          <w:color w:val="000000"/>
          <w:lang w:eastAsia="sl-SI"/>
        </w:rPr>
        <w:t xml:space="preserve">, įskaitant </w:t>
      </w:r>
      <w:proofErr w:type="spellStart"/>
      <w:r>
        <w:rPr>
          <w:rFonts w:ascii="Times New Roman" w:eastAsia="Times New Roman" w:hAnsi="Times New Roman" w:cs="Times New Roman"/>
          <w:color w:val="000000"/>
          <w:lang w:eastAsia="sl-SI"/>
        </w:rPr>
        <w:t>atorvastatiną</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pravastatiną</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simvastatiną</w:t>
      </w:r>
      <w:proofErr w:type="spellEnd"/>
      <w:r>
        <w:rPr>
          <w:rFonts w:ascii="Times New Roman" w:eastAsia="Times New Roman" w:hAnsi="Times New Roman" w:cs="Times New Roman"/>
          <w:color w:val="000000"/>
          <w:lang w:eastAsia="sl-SI"/>
        </w:rPr>
        <w:t>.</w:t>
      </w:r>
    </w:p>
    <w:p w14:paraId="0279951B"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0D59D1AD" w14:textId="77777777" w:rsidR="008F7970" w:rsidRDefault="00AD4BB2">
      <w:pPr>
        <w:widowControl w:val="0"/>
        <w:autoSpaceDE w:val="0"/>
        <w:autoSpaceDN w:val="0"/>
        <w:adjustRightInd w:val="0"/>
        <w:ind w:left="0" w:firstLine="0"/>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ŽIV populiacija</w:t>
      </w:r>
    </w:p>
    <w:p w14:paraId="49CD9B69"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ir kitų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veiksmingumas mažinant MTL-C koncentraciją yra mažesnis pacientams, sergantiems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susijusia su ŽIV infekcija arba jos gydymu, palyginti su pacientais, sergančiais pirmine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ir mišria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xml:space="preserve"> bei neinfekuotais ŽIV.</w:t>
      </w:r>
    </w:p>
    <w:p w14:paraId="6FCFF983"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18A405C9"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INTREPID tyrime 252 ŽIV infekuotiems pacientams, sergantiems </w:t>
      </w:r>
      <w:proofErr w:type="spellStart"/>
      <w:r>
        <w:rPr>
          <w:rFonts w:ascii="Times New Roman" w:eastAsia="Times New Roman" w:hAnsi="Times New Roman" w:cs="Times New Roman"/>
          <w:color w:val="000000"/>
          <w:lang w:eastAsia="sl-SI"/>
        </w:rPr>
        <w:t>dislipidemija</w:t>
      </w:r>
      <w:proofErr w:type="spellEnd"/>
      <w:r>
        <w:rPr>
          <w:rFonts w:ascii="Times New Roman" w:eastAsia="Times New Roman" w:hAnsi="Times New Roman" w:cs="Times New Roman"/>
          <w:color w:val="000000"/>
          <w:lang w:eastAsia="sl-SI"/>
        </w:rPr>
        <w:t xml:space="preserve"> (n = 126 kiekvienoje grupėje), buvo taikomas 4 savaičių „išplovimo“ (</w:t>
      </w:r>
      <w:proofErr w:type="spellStart"/>
      <w:r>
        <w:rPr>
          <w:rFonts w:ascii="Times New Roman" w:eastAsia="Times New Roman" w:hAnsi="Times New Roman" w:cs="Times New Roman"/>
          <w:i/>
          <w:iCs/>
          <w:color w:val="000000"/>
          <w:lang w:eastAsia="sl-SI"/>
        </w:rPr>
        <w:t>wash-out</w:t>
      </w:r>
      <w:proofErr w:type="spellEnd"/>
      <w:r>
        <w:rPr>
          <w:rFonts w:ascii="Times New Roman" w:eastAsia="Times New Roman" w:hAnsi="Times New Roman" w:cs="Times New Roman"/>
          <w:color w:val="000000"/>
          <w:lang w:eastAsia="sl-SI"/>
        </w:rPr>
        <w:t>) / dietos paruošiamasis (</w:t>
      </w:r>
      <w:proofErr w:type="spellStart"/>
      <w:r>
        <w:rPr>
          <w:rFonts w:ascii="Times New Roman" w:eastAsia="Times New Roman" w:hAnsi="Times New Roman" w:cs="Times New Roman"/>
          <w:i/>
          <w:iCs/>
          <w:color w:val="000000"/>
          <w:lang w:eastAsia="sl-SI"/>
        </w:rPr>
        <w:t>dietary</w:t>
      </w:r>
      <w:proofErr w:type="spellEnd"/>
      <w:r>
        <w:rPr>
          <w:rFonts w:ascii="Times New Roman" w:eastAsia="Times New Roman" w:hAnsi="Times New Roman" w:cs="Times New Roman"/>
          <w:i/>
          <w:iCs/>
          <w:color w:val="000000"/>
          <w:lang w:eastAsia="sl-SI"/>
        </w:rPr>
        <w:t xml:space="preserve"> </w:t>
      </w:r>
      <w:proofErr w:type="spellStart"/>
      <w:r>
        <w:rPr>
          <w:rFonts w:ascii="Times New Roman" w:eastAsia="Times New Roman" w:hAnsi="Times New Roman" w:cs="Times New Roman"/>
          <w:i/>
          <w:iCs/>
          <w:color w:val="000000"/>
          <w:lang w:eastAsia="sl-SI"/>
        </w:rPr>
        <w:t>lead-in</w:t>
      </w:r>
      <w:proofErr w:type="spellEnd"/>
      <w:r>
        <w:rPr>
          <w:rFonts w:ascii="Times New Roman" w:eastAsia="Times New Roman" w:hAnsi="Times New Roman" w:cs="Times New Roman"/>
          <w:color w:val="000000"/>
          <w:lang w:eastAsia="sl-SI"/>
        </w:rPr>
        <w:t xml:space="preserve">) laikotarpis, po to jie buvo atsitiktinės atrankos būdu priskirti 52 savaites vieną kartą per parą vartoti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dozę arba 40 mg </w:t>
      </w:r>
      <w:proofErr w:type="spellStart"/>
      <w:r>
        <w:rPr>
          <w:rFonts w:ascii="Times New Roman" w:eastAsia="Times New Roman" w:hAnsi="Times New Roman" w:cs="Times New Roman"/>
          <w:color w:val="000000"/>
          <w:lang w:eastAsia="sl-SI"/>
        </w:rPr>
        <w:t>pravastatino</w:t>
      </w:r>
      <w:proofErr w:type="spellEnd"/>
      <w:r>
        <w:rPr>
          <w:rFonts w:ascii="Times New Roman" w:eastAsia="Times New Roman" w:hAnsi="Times New Roman" w:cs="Times New Roman"/>
          <w:color w:val="000000"/>
          <w:lang w:eastAsia="sl-SI"/>
        </w:rPr>
        <w:t xml:space="preserve"> dozę. Pagrindinė veiksmingumo vertinamoji baigtis buvo analizuojama 12 savaitę.</w:t>
      </w:r>
    </w:p>
    <w:p w14:paraId="677EB8C6"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03836C16" w14:textId="77777777" w:rsidR="008F7970" w:rsidRDefault="00AD4BB2">
      <w:pPr>
        <w:widowControl w:val="0"/>
        <w:tabs>
          <w:tab w:val="left" w:pos="567"/>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Gydymo </w:t>
      </w:r>
      <w:proofErr w:type="spellStart"/>
      <w:r>
        <w:rPr>
          <w:rFonts w:ascii="Times New Roman" w:eastAsia="Times New Roman" w:hAnsi="Times New Roman" w:cs="Times New Roman"/>
          <w:color w:val="000000"/>
          <w:lang w:eastAsia="sl-SI"/>
        </w:rPr>
        <w:t>pitavastatinu</w:t>
      </w:r>
      <w:proofErr w:type="spellEnd"/>
      <w:r>
        <w:rPr>
          <w:rFonts w:ascii="Times New Roman" w:eastAsia="Times New Roman" w:hAnsi="Times New Roman" w:cs="Times New Roman"/>
          <w:color w:val="000000"/>
          <w:lang w:eastAsia="sl-SI"/>
        </w:rPr>
        <w:t xml:space="preserve"> grupėje per 12 savaičių ir 52 savaites MTL-C koncentracija kraujo serume nevalgius sumažėjo atitinkamai 31 % ir 30 %, o gydymo </w:t>
      </w:r>
      <w:proofErr w:type="spellStart"/>
      <w:r>
        <w:rPr>
          <w:rFonts w:ascii="Times New Roman" w:eastAsia="Times New Roman" w:hAnsi="Times New Roman" w:cs="Times New Roman"/>
          <w:color w:val="000000"/>
          <w:lang w:eastAsia="sl-SI"/>
        </w:rPr>
        <w:t>pravastatinu</w:t>
      </w:r>
      <w:proofErr w:type="spellEnd"/>
      <w:r>
        <w:rPr>
          <w:rFonts w:ascii="Times New Roman" w:eastAsia="Times New Roman" w:hAnsi="Times New Roman" w:cs="Times New Roman"/>
          <w:color w:val="000000"/>
          <w:lang w:eastAsia="sl-SI"/>
        </w:rPr>
        <w:t xml:space="preserve"> grupėje - 21 % ir 20 % (LS vidurkio skirtumas gydymo grupėse -9,8 %, p &lt; 0,0001 12 savaitę ir -8,4 % P = 0,0007 52 savaitę). Buvo nustatytas statistiškai reikšmingas skirtumas tarp gydymo grupių vertinant vidutinį procentinį pokytį nuo pradinio rodmens iki 12 ir 52 savaičių pagal antrines veiksmingumo vertinamąsias baigtis: BC, ne-DTL-C ir </w:t>
      </w:r>
      <w:proofErr w:type="spellStart"/>
      <w:r>
        <w:rPr>
          <w:rFonts w:ascii="Times New Roman" w:eastAsia="Times New Roman" w:hAnsi="Times New Roman" w:cs="Times New Roman"/>
          <w:color w:val="000000"/>
          <w:lang w:eastAsia="sl-SI"/>
        </w:rPr>
        <w:t>Apo</w:t>
      </w:r>
      <w:proofErr w:type="spellEnd"/>
      <w:r>
        <w:rPr>
          <w:rFonts w:ascii="Times New Roman" w:eastAsia="Times New Roman" w:hAnsi="Times New Roman" w:cs="Times New Roman"/>
          <w:color w:val="000000"/>
          <w:lang w:eastAsia="sl-SI"/>
        </w:rPr>
        <w:t xml:space="preserve"> B koncentraciją: kiekvienas parametras labiau sumažėjo gydymo </w:t>
      </w:r>
      <w:proofErr w:type="spellStart"/>
      <w:r>
        <w:rPr>
          <w:rFonts w:ascii="Times New Roman" w:eastAsia="Times New Roman" w:hAnsi="Times New Roman" w:cs="Times New Roman"/>
          <w:color w:val="000000"/>
          <w:lang w:eastAsia="sl-SI"/>
        </w:rPr>
        <w:t>pitavastatinu</w:t>
      </w:r>
      <w:proofErr w:type="spellEnd"/>
      <w:r>
        <w:rPr>
          <w:rFonts w:ascii="Times New Roman" w:eastAsia="Times New Roman" w:hAnsi="Times New Roman" w:cs="Times New Roman"/>
          <w:color w:val="000000"/>
          <w:lang w:eastAsia="sl-SI"/>
        </w:rPr>
        <w:t xml:space="preserve"> vartojusiųjų grupėje, palyginti su gydymo </w:t>
      </w:r>
      <w:proofErr w:type="spellStart"/>
      <w:r>
        <w:rPr>
          <w:rFonts w:ascii="Times New Roman" w:eastAsia="Times New Roman" w:hAnsi="Times New Roman" w:cs="Times New Roman"/>
          <w:color w:val="000000"/>
          <w:lang w:eastAsia="sl-SI"/>
        </w:rPr>
        <w:t>pravastatinu</w:t>
      </w:r>
      <w:proofErr w:type="spellEnd"/>
      <w:r>
        <w:rPr>
          <w:rFonts w:ascii="Times New Roman" w:eastAsia="Times New Roman" w:hAnsi="Times New Roman" w:cs="Times New Roman"/>
          <w:color w:val="000000"/>
          <w:lang w:eastAsia="sl-SI"/>
        </w:rPr>
        <w:t xml:space="preserve"> grupe. Naujų saugumo signalų ar nepageidaujamų reiškinių, susijusių su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dozės vartojimu, nepastebėta. 52 savaitę antivirusinio gydymo nesėkmė (apibrėžiama kaip ŽIV-1 RNR virusų kiekis &gt; 200 kopijų/ml ir </w:t>
      </w:r>
      <w:r>
        <w:rPr>
          <w:rFonts w:ascii="Times New Roman" w:eastAsia="Times New Roman" w:hAnsi="Times New Roman" w:cs="Times New Roman"/>
          <w:color w:val="000000"/>
          <w:lang w:eastAsia="sl-SI"/>
        </w:rPr>
        <w:lastRenderedPageBreak/>
        <w:t>&gt; 0,3 </w:t>
      </w:r>
      <w:proofErr w:type="spellStart"/>
      <w:r>
        <w:rPr>
          <w:rFonts w:ascii="Times New Roman" w:eastAsia="Times New Roman" w:hAnsi="Times New Roman" w:cs="Times New Roman"/>
          <w:color w:val="000000"/>
          <w:lang w:eastAsia="sl-SI"/>
        </w:rPr>
        <w:t>log</w:t>
      </w:r>
      <w:proofErr w:type="spellEnd"/>
      <w:r>
        <w:rPr>
          <w:rFonts w:ascii="Times New Roman" w:eastAsia="Times New Roman" w:hAnsi="Times New Roman" w:cs="Times New Roman"/>
          <w:color w:val="000000"/>
          <w:lang w:eastAsia="sl-SI"/>
        </w:rPr>
        <w:t xml:space="preserve"> padidėjimas nuo pradinio rodmens) nustatyta 4 tiriamiesiems (3,2 %)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vartojusiųjų grupėje ir 6 tiriamiesiems (4,8 %) </w:t>
      </w:r>
      <w:proofErr w:type="spellStart"/>
      <w:r>
        <w:rPr>
          <w:rFonts w:ascii="Times New Roman" w:eastAsia="Times New Roman" w:hAnsi="Times New Roman" w:cs="Times New Roman"/>
          <w:color w:val="000000"/>
          <w:lang w:eastAsia="sl-SI"/>
        </w:rPr>
        <w:t>pravastatino</w:t>
      </w:r>
      <w:proofErr w:type="spellEnd"/>
      <w:r>
        <w:rPr>
          <w:rFonts w:ascii="Times New Roman" w:eastAsia="Times New Roman" w:hAnsi="Times New Roman" w:cs="Times New Roman"/>
          <w:color w:val="000000"/>
          <w:lang w:eastAsia="sl-SI"/>
        </w:rPr>
        <w:t xml:space="preserve"> vartojusiųjų grupėje, statistiškai reikšmingų skirtumų tarp gydymo grupių nebuvo.</w:t>
      </w:r>
    </w:p>
    <w:p w14:paraId="63D62789"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29B79EAB" w14:textId="77777777" w:rsidR="008F7970" w:rsidRDefault="00AD4BB2">
      <w:pPr>
        <w:widowControl w:val="0"/>
        <w:autoSpaceDE w:val="0"/>
        <w:autoSpaceDN w:val="0"/>
        <w:adjustRightInd w:val="0"/>
        <w:ind w:left="0" w:firstLine="0"/>
        <w:rPr>
          <w:rFonts w:ascii="Times New Roman" w:eastAsia="Times New Roman" w:hAnsi="Times New Roman" w:cs="Times New Roman"/>
          <w:b/>
          <w:bCs/>
          <w:i/>
          <w:iCs/>
          <w:color w:val="000000"/>
          <w:lang w:eastAsia="sl-SI"/>
        </w:rPr>
      </w:pPr>
      <w:r>
        <w:rPr>
          <w:rFonts w:ascii="Times New Roman" w:eastAsia="Times New Roman" w:hAnsi="Times New Roman" w:cs="Times New Roman"/>
          <w:b/>
          <w:bCs/>
          <w:i/>
          <w:iCs/>
          <w:color w:val="000000"/>
          <w:lang w:eastAsia="sl-SI"/>
        </w:rPr>
        <w:t xml:space="preserve">Informacija, susijusi su </w:t>
      </w:r>
      <w:proofErr w:type="spellStart"/>
      <w:r>
        <w:rPr>
          <w:rFonts w:ascii="Times New Roman" w:eastAsia="Times New Roman" w:hAnsi="Times New Roman" w:cs="Times New Roman"/>
          <w:b/>
          <w:bCs/>
          <w:i/>
          <w:iCs/>
          <w:color w:val="000000"/>
          <w:lang w:eastAsia="sl-SI"/>
        </w:rPr>
        <w:t>ezetimibu</w:t>
      </w:r>
      <w:proofErr w:type="spellEnd"/>
    </w:p>
    <w:p w14:paraId="044ECF2E"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Kontroliuotų klinikinių tyrimų metu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(vien jis ar vartojamas kartu su </w:t>
      </w: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 xml:space="preserve">) reikšmingai sumažino bendrojo cholesterolio (BC), mažo tankio lipoproteinų cholesterolio (MTL-C), </w:t>
      </w:r>
      <w:proofErr w:type="spellStart"/>
      <w:r>
        <w:rPr>
          <w:rFonts w:ascii="Times New Roman" w:eastAsia="Times New Roman" w:hAnsi="Times New Roman" w:cs="Times New Roman"/>
        </w:rPr>
        <w:t>apolipoproteino</w:t>
      </w:r>
      <w:proofErr w:type="spellEnd"/>
      <w:r>
        <w:rPr>
          <w:rFonts w:ascii="Times New Roman" w:eastAsia="Times New Roman" w:hAnsi="Times New Roman" w:cs="Times New Roman"/>
        </w:rPr>
        <w:t xml:space="preserve"> B (</w:t>
      </w:r>
      <w:proofErr w:type="spellStart"/>
      <w:r>
        <w:rPr>
          <w:rFonts w:ascii="Times New Roman" w:eastAsia="Times New Roman" w:hAnsi="Times New Roman" w:cs="Times New Roman"/>
        </w:rPr>
        <w:t>Apo</w:t>
      </w:r>
      <w:proofErr w:type="spellEnd"/>
      <w:r>
        <w:rPr>
          <w:rFonts w:ascii="Times New Roman" w:eastAsia="Times New Roman" w:hAnsi="Times New Roman" w:cs="Times New Roman"/>
        </w:rPr>
        <w:t xml:space="preserve">-B) bei trigliceridų (TG) ir padidino didelio tankio lipoproteinų cholesterolio (DTL-C) koncentraciją pacientų, kuriems buvo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kraujyje.</w:t>
      </w:r>
    </w:p>
    <w:p w14:paraId="5E6ECF02" w14:textId="77777777" w:rsidR="008F7970" w:rsidRDefault="008F7970">
      <w:pPr>
        <w:ind w:left="0" w:firstLine="0"/>
        <w:rPr>
          <w:rFonts w:ascii="Times New Roman" w:eastAsia="Times New Roman" w:hAnsi="Times New Roman" w:cs="Times New Roman"/>
          <w:lang w:eastAsia="sl-SI"/>
        </w:rPr>
      </w:pPr>
    </w:p>
    <w:p w14:paraId="5C085B83" w14:textId="77777777" w:rsidR="008F7970" w:rsidRDefault="00AD4BB2">
      <w:pPr>
        <w:widowControl w:val="0"/>
        <w:tabs>
          <w:tab w:val="left" w:pos="567"/>
        </w:tabs>
        <w:spacing w:line="260" w:lineRule="exact"/>
        <w:ind w:left="0" w:firstLine="0"/>
        <w:rPr>
          <w:rFonts w:ascii="Times New Roman" w:eastAsia="Times New Roman" w:hAnsi="Times New Roman" w:cs="Times New Roman"/>
          <w:i/>
        </w:rPr>
      </w:pPr>
      <w:r>
        <w:rPr>
          <w:rFonts w:ascii="Times New Roman" w:eastAsia="Times New Roman" w:hAnsi="Times New Roman" w:cs="Times New Roman"/>
          <w:i/>
        </w:rPr>
        <w:t xml:space="preserve">Pirminė </w:t>
      </w:r>
      <w:proofErr w:type="spellStart"/>
      <w:r>
        <w:rPr>
          <w:rFonts w:ascii="Times New Roman" w:eastAsia="Times New Roman" w:hAnsi="Times New Roman" w:cs="Times New Roman"/>
          <w:i/>
        </w:rPr>
        <w:t>hipercholesterolemija</w:t>
      </w:r>
      <w:proofErr w:type="spellEnd"/>
    </w:p>
    <w:p w14:paraId="47AB9DFC"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Dvigubai koduoto placebu kontroliuoto 8 savaites trukusio tyrimo metu 769 pacientai, kuriems buvo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kurie jau vartojo </w:t>
      </w:r>
      <w:proofErr w:type="spellStart"/>
      <w:r>
        <w:rPr>
          <w:rFonts w:ascii="Times New Roman" w:eastAsia="Times New Roman" w:hAnsi="Times New Roman" w:cs="Times New Roman"/>
        </w:rPr>
        <w:t>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monoterapija</w:t>
      </w:r>
      <w:proofErr w:type="spellEnd"/>
      <w:r>
        <w:rPr>
          <w:rFonts w:ascii="Times New Roman" w:eastAsia="Times New Roman" w:hAnsi="Times New Roman" w:cs="Times New Roman"/>
        </w:rPr>
        <w:t>), bet jų MTL-C koncentracija neatitiko Nacionalinėje cholesterolio švietimo programoje (</w:t>
      </w:r>
      <w:proofErr w:type="spellStart"/>
      <w:r>
        <w:rPr>
          <w:rFonts w:ascii="Times New Roman" w:eastAsia="Times New Roman" w:hAnsi="Times New Roman" w:cs="Times New Roman"/>
          <w:i/>
        </w:rPr>
        <w:t>National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Cholesterol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Program</w:t>
      </w:r>
      <w:proofErr w:type="spellEnd"/>
      <w:r>
        <w:rPr>
          <w:rFonts w:ascii="Times New Roman" w:eastAsia="Times New Roman" w:hAnsi="Times New Roman" w:cs="Times New Roman"/>
        </w:rPr>
        <w:t>, NCEP) rekomenduojamos koncentracijos (2,6</w:t>
      </w:r>
      <w:r>
        <w:rPr>
          <w:rFonts w:ascii="Times New Roman" w:eastAsia="Times New Roman" w:hAnsi="Times New Roman" w:cs="Times New Roman"/>
        </w:rPr>
        <w:noBreakHyphen/>
        <w:t>4,1 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t. y. 100</w:t>
      </w:r>
      <w:r>
        <w:rPr>
          <w:rFonts w:ascii="Times New Roman" w:eastAsia="Times New Roman" w:hAnsi="Times New Roman" w:cs="Times New Roman"/>
        </w:rPr>
        <w:noBreakHyphen/>
        <w:t xml:space="preserve">160 mg/dl, atsižvelgiant į pradinius rodmenis), atsitiktinai buvo suskirstyti kartu su </w:t>
      </w: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 xml:space="preserve"> papildomai vartoti arba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arba placebo.</w:t>
      </w:r>
    </w:p>
    <w:p w14:paraId="1DD8ADE2" w14:textId="77777777" w:rsidR="008F7970" w:rsidRDefault="008F7970">
      <w:pPr>
        <w:ind w:left="0" w:firstLine="0"/>
        <w:rPr>
          <w:rFonts w:ascii="Times New Roman" w:eastAsia="Times New Roman" w:hAnsi="Times New Roman" w:cs="Times New Roman"/>
          <w:lang w:eastAsia="sl-SI"/>
        </w:rPr>
      </w:pPr>
    </w:p>
    <w:p w14:paraId="1C9368B5"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Statinu</w:t>
      </w:r>
      <w:proofErr w:type="spellEnd"/>
      <w:r>
        <w:rPr>
          <w:rFonts w:ascii="Times New Roman" w:eastAsia="Times New Roman" w:hAnsi="Times New Roman" w:cs="Times New Roman"/>
        </w:rPr>
        <w:t xml:space="preserve"> gydomų pacientų, kurių pradinė MTL-C koncentracija skyrėsi nuo tikslinės (apie 82</w:t>
      </w:r>
      <w:r>
        <w:rPr>
          <w:rFonts w:ascii="Times New Roman" w:eastAsia="Times New Roman" w:hAnsi="Times New Roman" w:cs="Times New Roman"/>
          <w:bCs/>
          <w:iCs/>
        </w:rPr>
        <w:t> %</w:t>
      </w:r>
      <w:r>
        <w:rPr>
          <w:rFonts w:ascii="Times New Roman" w:eastAsia="Times New Roman" w:hAnsi="Times New Roman" w:cs="Times New Roman"/>
        </w:rPr>
        <w:t xml:space="preserve">), kurie buvo atsitiktinai atrinkti vartoti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kurių kraujyje MTL-C koncentracija tyrimo pabaigoje tapo tikslinė, skaičius buvo reikšmingai didesnis negu pacientų, vartojusių placebo (atitinkamai 72</w:t>
      </w:r>
      <w:r>
        <w:rPr>
          <w:rFonts w:ascii="Times New Roman" w:eastAsia="Times New Roman" w:hAnsi="Times New Roman" w:cs="Times New Roman"/>
          <w:bCs/>
          <w:iCs/>
        </w:rPr>
        <w:t> %</w:t>
      </w:r>
      <w:r>
        <w:rPr>
          <w:rFonts w:ascii="Times New Roman" w:eastAsia="Times New Roman" w:hAnsi="Times New Roman" w:cs="Times New Roman"/>
        </w:rPr>
        <w:t xml:space="preserve"> ir 19</w:t>
      </w:r>
      <w:r>
        <w:rPr>
          <w:rFonts w:ascii="Times New Roman" w:eastAsia="Times New Roman" w:hAnsi="Times New Roman" w:cs="Times New Roman"/>
          <w:bCs/>
          <w:iCs/>
        </w:rPr>
        <w:t> %</w:t>
      </w:r>
      <w:r>
        <w:rPr>
          <w:rFonts w:ascii="Times New Roman" w:eastAsia="Times New Roman" w:hAnsi="Times New Roman" w:cs="Times New Roman"/>
        </w:rPr>
        <w:t>), be to, reikšmingai skyrėsi MTL-C koncentracijos sumažėjimas (25</w:t>
      </w:r>
      <w:r>
        <w:rPr>
          <w:rFonts w:ascii="Times New Roman" w:eastAsia="Times New Roman" w:hAnsi="Times New Roman" w:cs="Times New Roman"/>
          <w:bCs/>
          <w:iCs/>
        </w:rPr>
        <w:t> %</w:t>
      </w:r>
      <w:r>
        <w:rPr>
          <w:rFonts w:ascii="Times New Roman" w:eastAsia="Times New Roman" w:hAnsi="Times New Roman" w:cs="Times New Roman"/>
        </w:rPr>
        <w:t xml:space="preserve"> vartojusiems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4</w:t>
      </w:r>
      <w:r>
        <w:rPr>
          <w:rFonts w:ascii="Times New Roman" w:eastAsia="Times New Roman" w:hAnsi="Times New Roman" w:cs="Times New Roman"/>
          <w:bCs/>
          <w:iCs/>
        </w:rPr>
        <w:t> %</w:t>
      </w:r>
      <w:r>
        <w:rPr>
          <w:rFonts w:ascii="Times New Roman" w:eastAsia="Times New Roman" w:hAnsi="Times New Roman" w:cs="Times New Roman"/>
        </w:rPr>
        <w:t xml:space="preserve"> vartojusiems placebo). Be to,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jau besigydančių pacientų pradėtas vartoti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reikšmingai sumažino BC, </w:t>
      </w:r>
      <w:proofErr w:type="spellStart"/>
      <w:r>
        <w:rPr>
          <w:rFonts w:ascii="Times New Roman" w:eastAsia="Times New Roman" w:hAnsi="Times New Roman" w:cs="Times New Roman"/>
        </w:rPr>
        <w:t>Apo</w:t>
      </w:r>
      <w:proofErr w:type="spellEnd"/>
      <w:r>
        <w:rPr>
          <w:rFonts w:ascii="Times New Roman" w:eastAsia="Times New Roman" w:hAnsi="Times New Roman" w:cs="Times New Roman"/>
        </w:rPr>
        <w:t xml:space="preserve">-B, TG ir padidino DTL-C koncentraciją, palyginti su placebo poveikiu. Pacientams, jau vartojantiems </w:t>
      </w:r>
      <w:proofErr w:type="spellStart"/>
      <w:r>
        <w:rPr>
          <w:rFonts w:ascii="Times New Roman" w:eastAsia="Times New Roman" w:hAnsi="Times New Roman" w:cs="Times New Roman"/>
        </w:rPr>
        <w:t>statino</w:t>
      </w:r>
      <w:proofErr w:type="spellEnd"/>
      <w:r>
        <w:rPr>
          <w:rFonts w:ascii="Times New Roman" w:eastAsia="Times New Roman" w:hAnsi="Times New Roman" w:cs="Times New Roman"/>
        </w:rPr>
        <w:t xml:space="preserve">, pradėjus papildomai vartoti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arba placebo, C reaktyviojo baltymo koncentracijos mediana nuo pradinio rodmens sumažėjo atitinkamai 10</w:t>
      </w:r>
      <w:r>
        <w:rPr>
          <w:rFonts w:ascii="Times New Roman" w:eastAsia="Times New Roman" w:hAnsi="Times New Roman" w:cs="Times New Roman"/>
          <w:bCs/>
          <w:iCs/>
        </w:rPr>
        <w:t> %</w:t>
      </w:r>
      <w:r>
        <w:rPr>
          <w:rFonts w:ascii="Times New Roman" w:eastAsia="Times New Roman" w:hAnsi="Times New Roman" w:cs="Times New Roman"/>
        </w:rPr>
        <w:t xml:space="preserve"> ir 0</w:t>
      </w:r>
      <w:r>
        <w:rPr>
          <w:rFonts w:ascii="Times New Roman" w:eastAsia="Times New Roman" w:hAnsi="Times New Roman" w:cs="Times New Roman"/>
          <w:bCs/>
          <w:iCs/>
        </w:rPr>
        <w:t> %</w:t>
      </w:r>
      <w:r>
        <w:rPr>
          <w:rFonts w:ascii="Times New Roman" w:eastAsia="Times New Roman" w:hAnsi="Times New Roman" w:cs="Times New Roman"/>
        </w:rPr>
        <w:t>.</w:t>
      </w:r>
    </w:p>
    <w:p w14:paraId="5E24A4AB" w14:textId="77777777" w:rsidR="008F7970" w:rsidRDefault="008F7970">
      <w:pPr>
        <w:ind w:left="0" w:firstLine="0"/>
        <w:rPr>
          <w:rFonts w:ascii="Times New Roman" w:eastAsia="Times New Roman" w:hAnsi="Times New Roman" w:cs="Times New Roman"/>
          <w:lang w:eastAsia="sl-SI"/>
        </w:rPr>
      </w:pPr>
    </w:p>
    <w:p w14:paraId="3ECE27D0"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Dviejų dvigubai koduotų, atsitiktinių imčių, placebu kontroliuotų 12 savaičių trukmės tyrimų, kuriuose dalyvavo 1 719 pirmine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sergančių pacientų, metu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dozė reikšmingai sumažino BC (13</w:t>
      </w:r>
      <w:r>
        <w:rPr>
          <w:rFonts w:ascii="Times New Roman" w:eastAsia="Times New Roman" w:hAnsi="Times New Roman" w:cs="Times New Roman"/>
          <w:bCs/>
          <w:iCs/>
        </w:rPr>
        <w:t> %</w:t>
      </w:r>
      <w:r>
        <w:rPr>
          <w:rFonts w:ascii="Times New Roman" w:eastAsia="Times New Roman" w:hAnsi="Times New Roman" w:cs="Times New Roman"/>
        </w:rPr>
        <w:t>), MTL-C (19</w:t>
      </w:r>
      <w:r>
        <w:rPr>
          <w:rFonts w:ascii="Times New Roman" w:eastAsia="Times New Roman" w:hAnsi="Times New Roman" w:cs="Times New Roman"/>
          <w:bCs/>
          <w:iCs/>
        </w:rPr>
        <w:t> %</w:t>
      </w:r>
      <w:r>
        <w:rPr>
          <w:rFonts w:ascii="Times New Roman" w:eastAsia="Times New Roman" w:hAnsi="Times New Roman" w:cs="Times New Roman"/>
        </w:rPr>
        <w:t xml:space="preserve">), </w:t>
      </w:r>
      <w:proofErr w:type="spellStart"/>
      <w:r>
        <w:rPr>
          <w:rFonts w:ascii="Times New Roman" w:eastAsia="Times New Roman" w:hAnsi="Times New Roman" w:cs="Times New Roman"/>
        </w:rPr>
        <w:t>Apo</w:t>
      </w:r>
      <w:proofErr w:type="spellEnd"/>
      <w:r>
        <w:rPr>
          <w:rFonts w:ascii="Times New Roman" w:eastAsia="Times New Roman" w:hAnsi="Times New Roman" w:cs="Times New Roman"/>
        </w:rPr>
        <w:t>-B (14</w:t>
      </w:r>
      <w:r>
        <w:rPr>
          <w:rFonts w:ascii="Times New Roman" w:eastAsia="Times New Roman" w:hAnsi="Times New Roman" w:cs="Times New Roman"/>
          <w:bCs/>
          <w:iCs/>
        </w:rPr>
        <w:t> %</w:t>
      </w:r>
      <w:r>
        <w:rPr>
          <w:rFonts w:ascii="Times New Roman" w:eastAsia="Times New Roman" w:hAnsi="Times New Roman" w:cs="Times New Roman"/>
        </w:rPr>
        <w:t>) ir TG (8</w:t>
      </w:r>
      <w:r>
        <w:rPr>
          <w:rFonts w:ascii="Times New Roman" w:eastAsia="Times New Roman" w:hAnsi="Times New Roman" w:cs="Times New Roman"/>
          <w:bCs/>
          <w:iCs/>
        </w:rPr>
        <w:t> %</w:t>
      </w:r>
      <w:r>
        <w:rPr>
          <w:rFonts w:ascii="Times New Roman" w:eastAsia="Times New Roman" w:hAnsi="Times New Roman" w:cs="Times New Roman"/>
        </w:rPr>
        <w:t>) bei padidino DTL-C (3</w:t>
      </w:r>
      <w:r>
        <w:rPr>
          <w:rFonts w:ascii="Times New Roman" w:eastAsia="Times New Roman" w:hAnsi="Times New Roman" w:cs="Times New Roman"/>
          <w:bCs/>
          <w:iCs/>
        </w:rPr>
        <w:t> %</w:t>
      </w:r>
      <w:r>
        <w:rPr>
          <w:rFonts w:ascii="Times New Roman" w:eastAsia="Times New Roman" w:hAnsi="Times New Roman" w:cs="Times New Roman"/>
        </w:rPr>
        <w:t xml:space="preserve">) koncentraciją (lyginta su placebo poveikiu). Be to,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neveikė riebaluose tirpių vitaminų A, D ir E koncentracijos kraujo plazmoje,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laiko ir, kaip kiti riebalų koncentraciją mažinantys preparatai, neslopino steroidinių antinksčių žievės hormonų gamybos.</w:t>
      </w:r>
    </w:p>
    <w:p w14:paraId="05DA1B6D" w14:textId="77777777" w:rsidR="008F7970" w:rsidRDefault="008F7970">
      <w:pPr>
        <w:ind w:left="0" w:firstLine="0"/>
        <w:rPr>
          <w:rFonts w:ascii="Times New Roman" w:eastAsia="Times New Roman" w:hAnsi="Times New Roman" w:cs="Times New Roman"/>
          <w:lang w:eastAsia="sl-SI"/>
        </w:rPr>
      </w:pPr>
    </w:p>
    <w:p w14:paraId="1B5AD54E"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Daugiacentrio</w:t>
      </w:r>
      <w:proofErr w:type="spellEnd"/>
      <w:r>
        <w:rPr>
          <w:rFonts w:ascii="Times New Roman" w:eastAsia="Times New Roman" w:hAnsi="Times New Roman" w:cs="Times New Roman"/>
        </w:rPr>
        <w:t xml:space="preserve">, dvigubai koduoto, kontroliuoto klinikinio tyrimo (ENHANCE) metu 720 pacientų, sirgusių </w:t>
      </w:r>
      <w:proofErr w:type="spellStart"/>
      <w:r>
        <w:rPr>
          <w:rFonts w:ascii="Times New Roman" w:eastAsia="Times New Roman" w:hAnsi="Times New Roman" w:cs="Times New Roman"/>
        </w:rPr>
        <w:t>heterozigotine</w:t>
      </w:r>
      <w:proofErr w:type="spellEnd"/>
      <w:r>
        <w:rPr>
          <w:rFonts w:ascii="Times New Roman" w:eastAsia="Times New Roman" w:hAnsi="Times New Roman" w:cs="Times New Roman"/>
        </w:rPr>
        <w:t xml:space="preserve"> šeimine </w:t>
      </w:r>
      <w:proofErr w:type="spellStart"/>
      <w:r>
        <w:rPr>
          <w:rFonts w:ascii="Times New Roman" w:eastAsia="Times New Roman" w:hAnsi="Times New Roman" w:cs="Times New Roman"/>
        </w:rPr>
        <w:t>hipercholesterolemija</w:t>
      </w:r>
      <w:proofErr w:type="spellEnd"/>
      <w:r>
        <w:rPr>
          <w:rFonts w:ascii="Times New Roman" w:eastAsia="Times New Roman" w:hAnsi="Times New Roman" w:cs="Times New Roman"/>
        </w:rPr>
        <w:t xml:space="preserve">, atsitiktine tvarka buvo priskirti 2 metus vartoti arba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10 mg ir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derinį (n = 357), arba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dozę (n = 363). Pagrindinis tyrimo tikslas buvo ištirti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derinio gydomąjį poveikį miego arterijos </w:t>
      </w:r>
      <w:proofErr w:type="spellStart"/>
      <w:r>
        <w:rPr>
          <w:rFonts w:ascii="Times New Roman" w:eastAsia="Times New Roman" w:hAnsi="Times New Roman" w:cs="Times New Roman"/>
        </w:rPr>
        <w:t>intimos</w:t>
      </w:r>
      <w:proofErr w:type="spellEnd"/>
      <w:r>
        <w:rPr>
          <w:rFonts w:ascii="Times New Roman" w:eastAsia="Times New Roman" w:hAnsi="Times New Roman" w:cs="Times New Roman"/>
        </w:rPr>
        <w:t xml:space="preserve">-medijos storiui (angl. </w:t>
      </w:r>
      <w:proofErr w:type="spellStart"/>
      <w:r>
        <w:rPr>
          <w:rFonts w:ascii="Times New Roman" w:eastAsia="Times New Roman" w:hAnsi="Times New Roman" w:cs="Times New Roman"/>
          <w:i/>
          <w:iCs/>
        </w:rPr>
        <w:t>intima-media</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thickness</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IMT</w:t>
      </w:r>
      <w:r>
        <w:rPr>
          <w:rFonts w:ascii="Times New Roman" w:eastAsia="Times New Roman" w:hAnsi="Times New Roman" w:cs="Times New Roman"/>
        </w:rPr>
        <w:t xml:space="preserve">), palyginti su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monoterapija</w:t>
      </w:r>
      <w:proofErr w:type="spellEnd"/>
      <w:r>
        <w:rPr>
          <w:rFonts w:ascii="Times New Roman" w:eastAsia="Times New Roman" w:hAnsi="Times New Roman" w:cs="Times New Roman"/>
        </w:rPr>
        <w:t>. Šio pakaitinio žymens poveikis sergamumui širdies ir kraujagyslių sistemos ligomis ir mirštamumui nuo jų kol kas neįrodytas.</w:t>
      </w:r>
    </w:p>
    <w:p w14:paraId="06B5C75D"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06ADECD7"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Pagrindinė tyrimo vertinamoji baigtis, t. y. visų šešių miego arterijos segmentų vidutinio IMT pokytis, tarp abiejų gydymo grupių reikšmingai nesiskyrė (p = 0,29), matuojant B-režimo ultragarsu. Vartojant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10 mg ir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derinį arba tik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dozę, per 2 tyrimo metus </w:t>
      </w:r>
      <w:proofErr w:type="spellStart"/>
      <w:r>
        <w:rPr>
          <w:rFonts w:ascii="Times New Roman" w:eastAsia="Times New Roman" w:hAnsi="Times New Roman" w:cs="Times New Roman"/>
        </w:rPr>
        <w:t>intima</w:t>
      </w:r>
      <w:proofErr w:type="spellEnd"/>
      <w:r>
        <w:rPr>
          <w:rFonts w:ascii="Times New Roman" w:eastAsia="Times New Roman" w:hAnsi="Times New Roman" w:cs="Times New Roman"/>
        </w:rPr>
        <w:noBreakHyphen/>
        <w:t>medija sustorėjo, atitinkamai, 0,0111 mm ir 0,0058 mm (tyrimo pradžioje vidutinis miego arterijos IMT buvo, atitinkamai, 0,68 mm ir 0,69 mm).</w:t>
      </w:r>
    </w:p>
    <w:p w14:paraId="5963B478"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610F3A8E" w14:textId="77777777" w:rsidR="008F7970" w:rsidRDefault="00AD4BB2">
      <w:pPr>
        <w:ind w:left="0" w:firstLine="0"/>
        <w:rPr>
          <w:rFonts w:ascii="Times New Roman" w:eastAsia="Times New Roman" w:hAnsi="Times New Roman" w:cs="Times New Roman"/>
        </w:rPr>
      </w:pP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10 mg ir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derinys reikšmingai daugiau nei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dozė sumažino MTL-C, BC, </w:t>
      </w:r>
      <w:proofErr w:type="spellStart"/>
      <w:r>
        <w:rPr>
          <w:rFonts w:ascii="Times New Roman" w:eastAsia="Times New Roman" w:hAnsi="Times New Roman" w:cs="Times New Roman"/>
        </w:rPr>
        <w:t>Apo</w:t>
      </w:r>
      <w:proofErr w:type="spellEnd"/>
      <w:r>
        <w:rPr>
          <w:rFonts w:ascii="Times New Roman" w:eastAsia="Times New Roman" w:hAnsi="Times New Roman" w:cs="Times New Roman"/>
        </w:rPr>
        <w:t xml:space="preserve">-B ir TG koncentraciją. Procentinis DTL-C padidėjimas abiejose gydymo grupėse buvo panašus. Praneštos nepageidaujamos reakcijos į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10 mg ir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80 mg derinį atitiko jų žinomą saugumo pobūdį.</w:t>
      </w:r>
    </w:p>
    <w:p w14:paraId="2046470F" w14:textId="77777777" w:rsidR="008F7970" w:rsidRDefault="008F7970">
      <w:pPr>
        <w:ind w:left="0" w:firstLine="0"/>
        <w:rPr>
          <w:rFonts w:ascii="Times New Roman" w:eastAsia="Times New Roman" w:hAnsi="Times New Roman" w:cs="Times New Roman"/>
          <w:lang w:eastAsia="sl-SI"/>
        </w:rPr>
      </w:pPr>
    </w:p>
    <w:p w14:paraId="4320CC63" w14:textId="77777777" w:rsidR="008F7970" w:rsidRDefault="00AD4BB2">
      <w:pPr>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Vaikų populiacija</w:t>
      </w:r>
    </w:p>
    <w:p w14:paraId="5C4DC5CF" w14:textId="77777777" w:rsidR="008F7970" w:rsidRDefault="008F7970">
      <w:pPr>
        <w:ind w:left="0" w:firstLine="0"/>
        <w:rPr>
          <w:rFonts w:ascii="Times New Roman" w:eastAsia="Times New Roman" w:hAnsi="Times New Roman" w:cs="Times New Roman"/>
          <w:lang w:eastAsia="sl-SI"/>
        </w:rPr>
      </w:pPr>
    </w:p>
    <w:p w14:paraId="2EAA79DB" w14:textId="77777777" w:rsidR="008F7970" w:rsidRDefault="00AD4BB2">
      <w:pPr>
        <w:widowControl w:val="0"/>
        <w:autoSpaceDE w:val="0"/>
        <w:autoSpaceDN w:val="0"/>
        <w:adjustRightInd w:val="0"/>
        <w:ind w:left="0" w:firstLine="0"/>
        <w:rPr>
          <w:rFonts w:ascii="Times New Roman" w:eastAsia="Times New Roman" w:hAnsi="Times New Roman" w:cs="Times New Roman"/>
          <w:b/>
          <w:bCs/>
          <w:i/>
          <w:iCs/>
          <w:color w:val="000000"/>
          <w:lang w:eastAsia="sl-SI"/>
        </w:rPr>
      </w:pPr>
      <w:r>
        <w:rPr>
          <w:rFonts w:ascii="Times New Roman" w:eastAsia="Times New Roman" w:hAnsi="Times New Roman" w:cs="Times New Roman"/>
          <w:b/>
          <w:bCs/>
          <w:i/>
          <w:iCs/>
          <w:color w:val="000000"/>
          <w:lang w:eastAsia="sl-SI"/>
        </w:rPr>
        <w:t xml:space="preserve">Informacija, susijusi su </w:t>
      </w:r>
      <w:proofErr w:type="spellStart"/>
      <w:r>
        <w:rPr>
          <w:rFonts w:ascii="Times New Roman" w:eastAsia="Times New Roman" w:hAnsi="Times New Roman" w:cs="Times New Roman"/>
          <w:b/>
          <w:bCs/>
          <w:i/>
          <w:iCs/>
          <w:color w:val="000000"/>
          <w:lang w:eastAsia="sl-SI"/>
        </w:rPr>
        <w:t>pitavastatinu</w:t>
      </w:r>
      <w:proofErr w:type="spellEnd"/>
    </w:p>
    <w:p w14:paraId="5D11905D"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 xml:space="preserve">Dvigubai koduoto, atsitiktinių imčių, </w:t>
      </w:r>
      <w:proofErr w:type="spellStart"/>
      <w:r>
        <w:rPr>
          <w:rFonts w:ascii="Times New Roman" w:eastAsia="Times New Roman" w:hAnsi="Times New Roman" w:cs="Times New Roman"/>
          <w:color w:val="000000"/>
          <w:lang w:eastAsia="sl-SI"/>
        </w:rPr>
        <w:t>daugiacentrio</w:t>
      </w:r>
      <w:proofErr w:type="spellEnd"/>
      <w:r>
        <w:rPr>
          <w:rFonts w:ascii="Times New Roman" w:eastAsia="Times New Roman" w:hAnsi="Times New Roman" w:cs="Times New Roman"/>
          <w:color w:val="000000"/>
          <w:lang w:eastAsia="sl-SI"/>
        </w:rPr>
        <w:t xml:space="preserve">, placebu kontroliuoto tyrimo NK-104-4.01EU (n = 106; 48 vyriškos lyties tiriamieji ir 58 moteriškos lyties tiriamosios) metu vaikai ir paaugliai (≥ 6 metų ir &lt; 17 metų), kuriems nustatyta didelės rizikos </w:t>
      </w:r>
      <w:proofErr w:type="spellStart"/>
      <w:r>
        <w:rPr>
          <w:rFonts w:ascii="Times New Roman" w:eastAsia="Times New Roman" w:hAnsi="Times New Roman" w:cs="Times New Roman"/>
          <w:color w:val="000000"/>
          <w:lang w:eastAsia="sl-SI"/>
        </w:rPr>
        <w:t>hiperlipidemija</w:t>
      </w:r>
      <w:proofErr w:type="spellEnd"/>
      <w:r>
        <w:rPr>
          <w:rFonts w:ascii="Times New Roman" w:eastAsia="Times New Roman" w:hAnsi="Times New Roman" w:cs="Times New Roman"/>
          <w:color w:val="000000"/>
          <w:lang w:eastAsia="sl-SI"/>
        </w:rPr>
        <w:t xml:space="preserve"> (MTL-C koncentracija kraujo plazmoje nevalgius ≥ 160 mg/dl (4,1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/l) arba MTL-C koncentracija ≥ 130 mg/dl (3,4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 xml:space="preserve">/l) be papildomų rizikos veiksnių) 12 savaičių kasdien vartojo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1 mg, 2 mg arba 4 mg dozę arba placebo. Pradedant tyrimą, daugumai pacientų buvo diagnozuota </w:t>
      </w:r>
      <w:proofErr w:type="spellStart"/>
      <w:r>
        <w:rPr>
          <w:rFonts w:ascii="Times New Roman" w:eastAsia="Times New Roman" w:hAnsi="Times New Roman" w:cs="Times New Roman"/>
          <w:color w:val="000000"/>
          <w:lang w:eastAsia="sl-SI"/>
        </w:rPr>
        <w:t>heterozigotinė</w:t>
      </w:r>
      <w:proofErr w:type="spellEnd"/>
      <w:r>
        <w:rPr>
          <w:rFonts w:ascii="Times New Roman" w:eastAsia="Times New Roman" w:hAnsi="Times New Roman" w:cs="Times New Roman"/>
          <w:color w:val="000000"/>
          <w:lang w:eastAsia="sl-SI"/>
        </w:rPr>
        <w:t xml:space="preserve"> šeiminė </w:t>
      </w:r>
      <w:proofErr w:type="spellStart"/>
      <w:r>
        <w:rPr>
          <w:rFonts w:ascii="Times New Roman" w:eastAsia="Times New Roman" w:hAnsi="Times New Roman" w:cs="Times New Roman"/>
          <w:color w:val="000000"/>
          <w:lang w:eastAsia="sl-SI"/>
        </w:rPr>
        <w:t>hipercholesterolemija</w:t>
      </w:r>
      <w:proofErr w:type="spellEnd"/>
      <w:r>
        <w:rPr>
          <w:rFonts w:ascii="Times New Roman" w:eastAsia="Times New Roman" w:hAnsi="Times New Roman" w:cs="Times New Roman"/>
          <w:color w:val="000000"/>
          <w:lang w:eastAsia="sl-SI"/>
        </w:rPr>
        <w:t xml:space="preserve">, maždaug 41 % pacientų buvo nuo 6 iki &lt; 10 metų, maždaug 20 %, 9 %, 12 % ir 9 % pacientų buvo atitinkamai II, III, IV ir V stadijos pagal </w:t>
      </w:r>
      <w:proofErr w:type="spellStart"/>
      <w:r>
        <w:rPr>
          <w:rFonts w:ascii="Times New Roman" w:eastAsia="Times New Roman" w:hAnsi="Times New Roman" w:cs="Times New Roman"/>
          <w:i/>
          <w:iCs/>
          <w:color w:val="000000"/>
          <w:lang w:eastAsia="sl-SI"/>
        </w:rPr>
        <w:t>Tanner</w:t>
      </w:r>
      <w:proofErr w:type="spellEnd"/>
      <w:r>
        <w:rPr>
          <w:rFonts w:ascii="Times New Roman" w:eastAsia="Times New Roman" w:hAnsi="Times New Roman" w:cs="Times New Roman"/>
          <w:color w:val="000000"/>
          <w:lang w:eastAsia="sl-SI"/>
        </w:rPr>
        <w:t xml:space="preserve">. Vidutinė MTL-C koncentracija, vartojant 1 mg, 2 mg ir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dozes, sumažėjo atitinkamai 23,5 %, 30,1 % ir 39,3 %, palyginti su 1,0 %, vartojant placebo.</w:t>
      </w:r>
    </w:p>
    <w:p w14:paraId="05DC1668" w14:textId="77777777" w:rsidR="008F7970" w:rsidRDefault="008F7970">
      <w:pPr>
        <w:widowControl w:val="0"/>
        <w:autoSpaceDE w:val="0"/>
        <w:autoSpaceDN w:val="0"/>
        <w:adjustRightInd w:val="0"/>
        <w:ind w:left="0" w:firstLine="0"/>
        <w:rPr>
          <w:rFonts w:ascii="Times New Roman" w:eastAsia="Times New Roman" w:hAnsi="Times New Roman" w:cs="Times New Roman"/>
          <w:color w:val="000000"/>
          <w:lang w:eastAsia="sl-SI"/>
        </w:rPr>
      </w:pPr>
    </w:p>
    <w:p w14:paraId="6754465B" w14:textId="77777777" w:rsidR="008F7970" w:rsidRDefault="00AD4BB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52 savaičių trukmės atviro pratęsimo ir saugumo tyrimo NK-104-4.02EU (n = 113, įskaitant 87 pacientus iš 12 savaičių trukmės placebu kontroliuoto tyrimo; 55 vyriškos lyties tiriamieji ir 58 moteriškos lyties tiriamosios) vaikai ir paaugliai (≥ 6 metų ir &lt; 17 metų), sergantys didelės rizikos </w:t>
      </w:r>
      <w:proofErr w:type="spellStart"/>
      <w:r>
        <w:rPr>
          <w:rFonts w:ascii="Times New Roman" w:eastAsia="Times New Roman" w:hAnsi="Times New Roman" w:cs="Times New Roman"/>
          <w:color w:val="000000"/>
          <w:lang w:eastAsia="sl-SI"/>
        </w:rPr>
        <w:t>hiperlipidemija</w:t>
      </w:r>
      <w:proofErr w:type="spellEnd"/>
      <w:r>
        <w:rPr>
          <w:rFonts w:ascii="Times New Roman" w:eastAsia="Times New Roman" w:hAnsi="Times New Roman" w:cs="Times New Roman"/>
          <w:color w:val="000000"/>
          <w:lang w:eastAsia="sl-SI"/>
        </w:rPr>
        <w:t xml:space="preserve">, 52 savaites vartojo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Visi pacientai gydymą pradėjo 1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paros doze ir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dozė galėjo būti didinama iki 2 mg ir 4 mg, kad būtų pasiekta optimali tikslinė MTL-C koncentracija &lt; 110 mg/dl (2,8 </w:t>
      </w:r>
      <w:proofErr w:type="spellStart"/>
      <w:r>
        <w:rPr>
          <w:rFonts w:ascii="Times New Roman" w:eastAsia="Times New Roman" w:hAnsi="Times New Roman" w:cs="Times New Roman"/>
          <w:color w:val="000000"/>
          <w:lang w:eastAsia="sl-SI"/>
        </w:rPr>
        <w:t>mmol</w:t>
      </w:r>
      <w:proofErr w:type="spellEnd"/>
      <w:r>
        <w:rPr>
          <w:rFonts w:ascii="Times New Roman" w:eastAsia="Times New Roman" w:hAnsi="Times New Roman" w:cs="Times New Roman"/>
          <w:color w:val="000000"/>
          <w:lang w:eastAsia="sl-SI"/>
        </w:rPr>
        <w:t xml:space="preserve">/l), remiantis MTL-C koncentracija 4 savaitę ir 8 savaitę. Tyrimo pradžioje maždaug 37 % pacientų buvo nuo 6 iki &lt; 10 metų, o maždaug 22 %, 11 %, 12 % ir 13 % pacientų buvo atitinkamai II, III, IV ir V stadijos pagal </w:t>
      </w:r>
      <w:proofErr w:type="spellStart"/>
      <w:r>
        <w:rPr>
          <w:rFonts w:ascii="Times New Roman" w:eastAsia="Times New Roman" w:hAnsi="Times New Roman" w:cs="Times New Roman"/>
          <w:i/>
          <w:iCs/>
          <w:color w:val="000000"/>
          <w:lang w:eastAsia="sl-SI"/>
        </w:rPr>
        <w:t>Tanner</w:t>
      </w:r>
      <w:proofErr w:type="spellEnd"/>
      <w:r>
        <w:rPr>
          <w:rFonts w:ascii="Times New Roman" w:eastAsia="Times New Roman" w:hAnsi="Times New Roman" w:cs="Times New Roman"/>
          <w:color w:val="000000"/>
          <w:lang w:eastAsia="sl-SI"/>
        </w:rPr>
        <w:t xml:space="preserve">. Daugumai pacientų (n = 103) dozė buvo laipsniškai padidinta iki 4 mg </w:t>
      </w:r>
      <w:proofErr w:type="spellStart"/>
      <w:r>
        <w:rPr>
          <w:rFonts w:ascii="Times New Roman" w:eastAsia="Times New Roman" w:hAnsi="Times New Roman" w:cs="Times New Roman"/>
          <w:color w:val="000000"/>
          <w:lang w:eastAsia="sl-SI"/>
        </w:rPr>
        <w:t>pitavastatino</w:t>
      </w:r>
      <w:proofErr w:type="spellEnd"/>
      <w:r>
        <w:rPr>
          <w:rFonts w:ascii="Times New Roman" w:eastAsia="Times New Roman" w:hAnsi="Times New Roman" w:cs="Times New Roman"/>
          <w:color w:val="000000"/>
          <w:lang w:eastAsia="sl-SI"/>
        </w:rPr>
        <w:t xml:space="preserve"> per parą. Vidutinė MTL-C koncentracija 52 savaitės vertinimo taške sumažėjo 37,8 %. Iš viso 47 pacientai (42,0 %) pasiekė AHA minimalią tikslinę MTL-C koncentraciją, t. y. &lt; 130 mg/dl, o 23 pacientai (20,5 %) pasiekė AHA idealią MTL-C koncentraciją, t. y. &lt; 110 mg/dl, 52 savaitę. Vidutinės MTL-C koncentracijos sumažėjimas 52 savaitės vertinimo taške buvo 40,2 % pacientams nuo ≥ 6 iki &lt; 10 metų (n = 42), 36,7 % pacientams nuo ≥ 10 iki &lt; 16 metų (n = 61) ir 34,5 % pacientams nuo ≥ 16 iki &lt; 17 metų (n = 9). Negauta duomenų, kad pacientų lytis turėtų įtakos atsakui. Be to, vidutinė BC koncentracija sumažėjo 29,5 %, o vidutinė TG koncentracija sumažėjo 7,6 % 52 savaitės vertinimo taške.</w:t>
      </w:r>
    </w:p>
    <w:p w14:paraId="271C0234" w14:textId="77777777" w:rsidR="008F7970" w:rsidRDefault="008F7970">
      <w:pPr>
        <w:ind w:left="0" w:firstLine="0"/>
        <w:rPr>
          <w:rFonts w:ascii="Times New Roman" w:eastAsia="Times New Roman" w:hAnsi="Times New Roman" w:cs="Times New Roman"/>
          <w:lang w:eastAsia="sl-SI"/>
        </w:rPr>
      </w:pPr>
    </w:p>
    <w:p w14:paraId="788D4301" w14:textId="77777777" w:rsidR="008F7970" w:rsidRDefault="00AD4BB2">
      <w:pPr>
        <w:widowControl w:val="0"/>
        <w:autoSpaceDE w:val="0"/>
        <w:autoSpaceDN w:val="0"/>
        <w:adjustRightInd w:val="0"/>
        <w:ind w:left="0" w:firstLine="0"/>
        <w:rPr>
          <w:rFonts w:ascii="Times New Roman" w:eastAsia="Times New Roman" w:hAnsi="Times New Roman" w:cs="Times New Roman"/>
          <w:b/>
          <w:bCs/>
          <w:i/>
          <w:iCs/>
          <w:color w:val="000000"/>
          <w:lang w:eastAsia="sl-SI"/>
        </w:rPr>
      </w:pPr>
      <w:r>
        <w:rPr>
          <w:rFonts w:ascii="Times New Roman" w:eastAsia="Times New Roman" w:hAnsi="Times New Roman" w:cs="Times New Roman"/>
          <w:b/>
          <w:bCs/>
          <w:i/>
          <w:iCs/>
          <w:color w:val="000000"/>
          <w:lang w:eastAsia="sl-SI"/>
        </w:rPr>
        <w:t xml:space="preserve">Informacija, susijusi su </w:t>
      </w:r>
      <w:proofErr w:type="spellStart"/>
      <w:r>
        <w:rPr>
          <w:rFonts w:ascii="Times New Roman" w:eastAsia="Times New Roman" w:hAnsi="Times New Roman" w:cs="Times New Roman"/>
          <w:b/>
          <w:bCs/>
          <w:i/>
          <w:iCs/>
          <w:color w:val="000000"/>
          <w:lang w:eastAsia="sl-SI"/>
        </w:rPr>
        <w:t>ezetimibu</w:t>
      </w:r>
      <w:proofErr w:type="spellEnd"/>
    </w:p>
    <w:p w14:paraId="5E506D74" w14:textId="77777777" w:rsidR="008F7970" w:rsidRDefault="008F7970">
      <w:pPr>
        <w:ind w:left="0" w:firstLine="0"/>
        <w:rPr>
          <w:rFonts w:ascii="Times New Roman" w:eastAsia="Times New Roman" w:hAnsi="Times New Roman" w:cs="Times New Roman"/>
          <w:lang w:eastAsia="sl-SI"/>
        </w:rPr>
      </w:pPr>
    </w:p>
    <w:p w14:paraId="4E83F127" w14:textId="77777777" w:rsidR="008F7970" w:rsidRDefault="00AD4BB2">
      <w:pPr>
        <w:widowControl w:val="0"/>
        <w:tabs>
          <w:tab w:val="left" w:pos="567"/>
        </w:tabs>
        <w:spacing w:line="260" w:lineRule="exact"/>
        <w:ind w:left="0" w:firstLine="0"/>
        <w:rPr>
          <w:rFonts w:ascii="Times New Roman" w:eastAsia="Times New Roman" w:hAnsi="Times New Roman" w:cs="Times New Roman"/>
          <w:bCs/>
          <w:iCs/>
        </w:rPr>
      </w:pPr>
      <w:proofErr w:type="spellStart"/>
      <w:r>
        <w:rPr>
          <w:rFonts w:ascii="Times New Roman" w:eastAsia="Times New Roman" w:hAnsi="Times New Roman" w:cs="Times New Roman"/>
          <w:bCs/>
          <w:iCs/>
        </w:rPr>
        <w:t>Daugiacentrio</w:t>
      </w:r>
      <w:proofErr w:type="spellEnd"/>
      <w:r>
        <w:rPr>
          <w:rFonts w:ascii="Times New Roman" w:eastAsia="Times New Roman" w:hAnsi="Times New Roman" w:cs="Times New Roman"/>
          <w:bCs/>
          <w:iCs/>
        </w:rPr>
        <w:t xml:space="preserve">, dvigubai koduoto, kontroliuoto klinikinio tyrimo metu 138 vaikams (59 berniukams ir 79 mergaitėms) nuo 6 iki 10 metų (vidurkis 8,3 metų), kurie sirgo </w:t>
      </w:r>
      <w:proofErr w:type="spellStart"/>
      <w:r>
        <w:rPr>
          <w:rFonts w:ascii="Times New Roman" w:eastAsia="Times New Roman" w:hAnsi="Times New Roman" w:cs="Times New Roman"/>
          <w:bCs/>
          <w:iCs/>
        </w:rPr>
        <w:t>heterozigotine</w:t>
      </w:r>
      <w:proofErr w:type="spellEnd"/>
      <w:r>
        <w:rPr>
          <w:rFonts w:ascii="Times New Roman" w:eastAsia="Times New Roman" w:hAnsi="Times New Roman" w:cs="Times New Roman"/>
          <w:bCs/>
          <w:iCs/>
        </w:rPr>
        <w:t xml:space="preserve"> šeimine ar nešeimine </w:t>
      </w:r>
      <w:proofErr w:type="spellStart"/>
      <w:r>
        <w:rPr>
          <w:rFonts w:ascii="Times New Roman" w:eastAsia="Times New Roman" w:hAnsi="Times New Roman" w:cs="Times New Roman"/>
          <w:bCs/>
          <w:iCs/>
        </w:rPr>
        <w:t>hipercholesterolemija</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HeFH</w:t>
      </w:r>
      <w:proofErr w:type="spellEnd"/>
      <w:r>
        <w:rPr>
          <w:rFonts w:ascii="Times New Roman" w:eastAsia="Times New Roman" w:hAnsi="Times New Roman" w:cs="Times New Roman"/>
          <w:bCs/>
          <w:iCs/>
        </w:rPr>
        <w:t>) ir kuriems prieš pradedant tyrimą MT</w:t>
      </w:r>
      <w:r>
        <w:rPr>
          <w:rFonts w:ascii="Times New Roman" w:eastAsia="Times New Roman" w:hAnsi="Times New Roman" w:cs="Times New Roman"/>
        </w:rPr>
        <w:t>L-C koncentracija buvo tarp 3,74 ir 9,92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atsitiktine tvarka buvo paskirta 12 savaičių vartoti arba</w:t>
      </w:r>
      <w:r>
        <w:rPr>
          <w:rFonts w:ascii="Times New Roman" w:eastAsia="Times New Roman" w:hAnsi="Times New Roman" w:cs="Times New Roman"/>
          <w:bCs/>
          <w:iCs/>
        </w:rPr>
        <w:t xml:space="preserve">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10 mg</w:t>
      </w:r>
      <w:r>
        <w:rPr>
          <w:rFonts w:ascii="Times New Roman" w:eastAsia="Times New Roman" w:hAnsi="Times New Roman" w:cs="Times New Roman"/>
          <w:bCs/>
          <w:iCs/>
        </w:rPr>
        <w:t xml:space="preserve"> dozę, arba placebo</w:t>
      </w:r>
      <w:r>
        <w:rPr>
          <w:rFonts w:ascii="Times New Roman" w:eastAsia="Times New Roman" w:hAnsi="Times New Roman" w:cs="Times New Roman"/>
        </w:rPr>
        <w:t>.</w:t>
      </w:r>
    </w:p>
    <w:p w14:paraId="36C7423B" w14:textId="77777777" w:rsidR="008F7970" w:rsidRDefault="008F7970">
      <w:pPr>
        <w:ind w:left="0" w:firstLine="0"/>
        <w:rPr>
          <w:rFonts w:ascii="Times New Roman" w:eastAsia="Times New Roman" w:hAnsi="Times New Roman" w:cs="Times New Roman"/>
          <w:lang w:eastAsia="sl-SI"/>
        </w:rPr>
      </w:pPr>
    </w:p>
    <w:p w14:paraId="15449BD7" w14:textId="77777777" w:rsidR="008F7970" w:rsidRDefault="00AD4BB2">
      <w:pPr>
        <w:widowControl w:val="0"/>
        <w:tabs>
          <w:tab w:val="left" w:pos="567"/>
        </w:tabs>
        <w:spacing w:line="260" w:lineRule="exact"/>
        <w:ind w:left="0" w:firstLine="0"/>
        <w:rPr>
          <w:rFonts w:ascii="Times New Roman" w:eastAsia="Times New Roman" w:hAnsi="Times New Roman" w:cs="Times New Roman"/>
          <w:bCs/>
          <w:iCs/>
        </w:rPr>
      </w:pPr>
      <w:r>
        <w:rPr>
          <w:rFonts w:ascii="Times New Roman" w:eastAsia="Times New Roman" w:hAnsi="Times New Roman" w:cs="Times New Roman"/>
          <w:bCs/>
          <w:iCs/>
        </w:rPr>
        <w:t>12</w:t>
      </w:r>
      <w:r>
        <w:rPr>
          <w:rFonts w:ascii="Times New Roman" w:eastAsia="Times New Roman" w:hAnsi="Times New Roman" w:cs="Times New Roman"/>
          <w:bCs/>
          <w:iCs/>
        </w:rPr>
        <w:noBreakHyphen/>
        <w:t xml:space="preserve">ąją savaitę nustatyta, kad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bCs/>
          <w:iCs/>
        </w:rPr>
        <w:t>, palyginti su placebu, reikšmingai sumažino BC (</w:t>
      </w:r>
      <w:r>
        <w:rPr>
          <w:rFonts w:ascii="Times New Roman" w:eastAsia="Times New Roman" w:hAnsi="Times New Roman" w:cs="Times New Roman"/>
          <w:bCs/>
          <w:iCs/>
        </w:rPr>
        <w:noBreakHyphen/>
        <w:t>21%, palyginti su 0 %), MTL-C (</w:t>
      </w:r>
      <w:r>
        <w:rPr>
          <w:rFonts w:ascii="Times New Roman" w:eastAsia="Times New Roman" w:hAnsi="Times New Roman" w:cs="Times New Roman"/>
          <w:bCs/>
          <w:iCs/>
        </w:rPr>
        <w:noBreakHyphen/>
        <w:t xml:space="preserve">28 %, palyginti su </w:t>
      </w:r>
      <w:r>
        <w:rPr>
          <w:rFonts w:ascii="Times New Roman" w:eastAsia="Times New Roman" w:hAnsi="Times New Roman" w:cs="Times New Roman"/>
          <w:bCs/>
          <w:iCs/>
        </w:rPr>
        <w:noBreakHyphen/>
        <w:t xml:space="preserve">1 %), </w:t>
      </w:r>
      <w:proofErr w:type="spellStart"/>
      <w:r>
        <w:rPr>
          <w:rFonts w:ascii="Times New Roman" w:eastAsia="Times New Roman" w:hAnsi="Times New Roman" w:cs="Times New Roman"/>
          <w:bCs/>
          <w:iCs/>
        </w:rPr>
        <w:t>Apo</w:t>
      </w:r>
      <w:proofErr w:type="spellEnd"/>
      <w:r>
        <w:rPr>
          <w:rFonts w:ascii="Times New Roman" w:eastAsia="Times New Roman" w:hAnsi="Times New Roman" w:cs="Times New Roman"/>
          <w:bCs/>
          <w:iCs/>
        </w:rPr>
        <w:t>-B (</w:t>
      </w:r>
      <w:r>
        <w:rPr>
          <w:rFonts w:ascii="Times New Roman" w:eastAsia="Times New Roman" w:hAnsi="Times New Roman" w:cs="Times New Roman"/>
          <w:bCs/>
          <w:iCs/>
        </w:rPr>
        <w:noBreakHyphen/>
        <w:t xml:space="preserve">22 %, palyginti su </w:t>
      </w:r>
      <w:r>
        <w:rPr>
          <w:rFonts w:ascii="Times New Roman" w:eastAsia="Times New Roman" w:hAnsi="Times New Roman" w:cs="Times New Roman"/>
          <w:bCs/>
          <w:iCs/>
        </w:rPr>
        <w:noBreakHyphen/>
        <w:t>1 %) ir ne-DTL-C (</w:t>
      </w:r>
      <w:r>
        <w:rPr>
          <w:rFonts w:ascii="Times New Roman" w:eastAsia="Times New Roman" w:hAnsi="Times New Roman" w:cs="Times New Roman"/>
          <w:bCs/>
          <w:iCs/>
        </w:rPr>
        <w:noBreakHyphen/>
        <w:t xml:space="preserve">26 %, palyginti su 0 %) koncentraciją. Abiejose gydymo grupėse TG ir DTL-C rezultatai buvo panašūs (atitinkamai </w:t>
      </w:r>
      <w:r>
        <w:rPr>
          <w:rFonts w:ascii="Times New Roman" w:eastAsia="Times New Roman" w:hAnsi="Times New Roman" w:cs="Times New Roman"/>
          <w:bCs/>
          <w:iCs/>
        </w:rPr>
        <w:noBreakHyphen/>
        <w:t>6 %, palyginti su +8 %, ir +2 %, palyginti su +1 %).</w:t>
      </w:r>
    </w:p>
    <w:p w14:paraId="041B48BF" w14:textId="77777777" w:rsidR="008F7970" w:rsidRDefault="008F7970">
      <w:pPr>
        <w:ind w:left="0" w:firstLine="0"/>
        <w:rPr>
          <w:rFonts w:ascii="Times New Roman" w:eastAsia="Times New Roman" w:hAnsi="Times New Roman" w:cs="Times New Roman"/>
          <w:lang w:eastAsia="sl-SI"/>
        </w:rPr>
      </w:pPr>
    </w:p>
    <w:p w14:paraId="25C27F5C" w14:textId="77777777" w:rsidR="008F7970" w:rsidRDefault="00AD4BB2">
      <w:pPr>
        <w:widowControl w:val="0"/>
        <w:tabs>
          <w:tab w:val="left" w:pos="567"/>
        </w:tabs>
        <w:spacing w:line="260" w:lineRule="exact"/>
        <w:ind w:left="0" w:firstLine="0"/>
        <w:rPr>
          <w:rFonts w:ascii="Times New Roman" w:eastAsia="Times New Roman" w:hAnsi="Times New Roman" w:cs="Times New Roman"/>
          <w:bCs/>
          <w:iCs/>
        </w:rPr>
      </w:pPr>
      <w:proofErr w:type="spellStart"/>
      <w:r>
        <w:rPr>
          <w:rFonts w:ascii="Times New Roman" w:eastAsia="Times New Roman" w:hAnsi="Times New Roman" w:cs="Times New Roman"/>
          <w:bCs/>
          <w:iCs/>
        </w:rPr>
        <w:t>Daugiacentriame</w:t>
      </w:r>
      <w:proofErr w:type="spellEnd"/>
      <w:r>
        <w:rPr>
          <w:rFonts w:ascii="Times New Roman" w:eastAsia="Times New Roman" w:hAnsi="Times New Roman" w:cs="Times New Roman"/>
          <w:bCs/>
          <w:iCs/>
        </w:rPr>
        <w:t xml:space="preserve">, dvigubai koduotame, kontroliuotame klinikiniame tyrime buvo tirti 142 vyriškos lyties tiriamieji (II ir didesnės stadijos pagal </w:t>
      </w:r>
      <w:proofErr w:type="spellStart"/>
      <w:r>
        <w:rPr>
          <w:rFonts w:ascii="Times New Roman" w:eastAsia="Times New Roman" w:hAnsi="Times New Roman" w:cs="Times New Roman"/>
          <w:bCs/>
          <w:i/>
          <w:iCs/>
        </w:rPr>
        <w:t>Tanner</w:t>
      </w:r>
      <w:proofErr w:type="spellEnd"/>
      <w:r>
        <w:rPr>
          <w:rFonts w:ascii="Times New Roman" w:eastAsia="Times New Roman" w:hAnsi="Times New Roman" w:cs="Times New Roman"/>
          <w:bCs/>
          <w:iCs/>
        </w:rPr>
        <w:t xml:space="preserve">) ir 106 moteriškos lyties tiriamosios (jau turėjusios menstruacijas) nuo 10 iki 17 metų (vidurkis 14,2 metų), kurie sirgo </w:t>
      </w:r>
      <w:proofErr w:type="spellStart"/>
      <w:r>
        <w:rPr>
          <w:rFonts w:ascii="Times New Roman" w:eastAsia="Times New Roman" w:hAnsi="Times New Roman" w:cs="Times New Roman"/>
          <w:bCs/>
          <w:iCs/>
        </w:rPr>
        <w:t>heterozigotine</w:t>
      </w:r>
      <w:proofErr w:type="spellEnd"/>
      <w:r>
        <w:rPr>
          <w:rFonts w:ascii="Times New Roman" w:eastAsia="Times New Roman" w:hAnsi="Times New Roman" w:cs="Times New Roman"/>
          <w:bCs/>
          <w:iCs/>
        </w:rPr>
        <w:t xml:space="preserve"> šeimine </w:t>
      </w:r>
      <w:proofErr w:type="spellStart"/>
      <w:r>
        <w:rPr>
          <w:rFonts w:ascii="Times New Roman" w:eastAsia="Times New Roman" w:hAnsi="Times New Roman" w:cs="Times New Roman"/>
          <w:bCs/>
          <w:iCs/>
        </w:rPr>
        <w:t>hipercholesterolemija</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HeFH</w:t>
      </w:r>
      <w:proofErr w:type="spellEnd"/>
      <w:r>
        <w:rPr>
          <w:rFonts w:ascii="Times New Roman" w:eastAsia="Times New Roman" w:hAnsi="Times New Roman" w:cs="Times New Roman"/>
          <w:bCs/>
          <w:iCs/>
        </w:rPr>
        <w:t>) ir kuriems tyrimo pradžioje MT</w:t>
      </w:r>
      <w:r>
        <w:rPr>
          <w:rFonts w:ascii="Times New Roman" w:eastAsia="Times New Roman" w:hAnsi="Times New Roman" w:cs="Times New Roman"/>
        </w:rPr>
        <w:t>L-C koncentracija buvo tarp 4,1 ir 10,4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/l. Tiriamiesiems atsitiktine tvarka buvo paskirta vartoti arba</w:t>
      </w:r>
      <w:r>
        <w:rPr>
          <w:rFonts w:ascii="Times New Roman" w:eastAsia="Times New Roman" w:hAnsi="Times New Roman" w:cs="Times New Roman"/>
          <w:bCs/>
          <w:iCs/>
        </w:rPr>
        <w:t xml:space="preserve">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10 mg</w:t>
      </w:r>
      <w:r>
        <w:rPr>
          <w:rFonts w:ascii="Times New Roman" w:eastAsia="Times New Roman" w:hAnsi="Times New Roman" w:cs="Times New Roman"/>
          <w:bCs/>
          <w:iCs/>
        </w:rPr>
        <w:t xml:space="preserve"> dozė kartu su </w:t>
      </w:r>
      <w:proofErr w:type="spellStart"/>
      <w:r>
        <w:rPr>
          <w:rFonts w:ascii="Times New Roman" w:eastAsia="Times New Roman" w:hAnsi="Times New Roman" w:cs="Times New Roman"/>
          <w:bCs/>
          <w:iCs/>
        </w:rPr>
        <w:t>simvastatinu</w:t>
      </w:r>
      <w:proofErr w:type="spellEnd"/>
      <w:r>
        <w:rPr>
          <w:rFonts w:ascii="Times New Roman" w:eastAsia="Times New Roman" w:hAnsi="Times New Roman" w:cs="Times New Roman"/>
          <w:bCs/>
          <w:iCs/>
        </w:rPr>
        <w:t xml:space="preserve"> (10, 20 ar 40 mg doze), arba vien tik </w:t>
      </w:r>
      <w:proofErr w:type="spellStart"/>
      <w:r>
        <w:rPr>
          <w:rFonts w:ascii="Times New Roman" w:eastAsia="Times New Roman" w:hAnsi="Times New Roman" w:cs="Times New Roman"/>
          <w:bCs/>
          <w:iCs/>
        </w:rPr>
        <w:t>simvastatino</w:t>
      </w:r>
      <w:proofErr w:type="spellEnd"/>
      <w:r>
        <w:rPr>
          <w:rFonts w:ascii="Times New Roman" w:eastAsia="Times New Roman" w:hAnsi="Times New Roman" w:cs="Times New Roman"/>
          <w:bCs/>
          <w:iCs/>
        </w:rPr>
        <w:t xml:space="preserve"> </w:t>
      </w:r>
      <w:r>
        <w:rPr>
          <w:rFonts w:ascii="Times New Roman" w:eastAsia="Times New Roman" w:hAnsi="Times New Roman" w:cs="Times New Roman"/>
        </w:rPr>
        <w:t xml:space="preserve">(10, 20 ar 40 mg dozė) 6 savaites, po to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kartu su 40 mg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doze ar vien tik 40 mg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dozė 27 savaites, ir dar po to atvirai paskirtas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kartu su </w:t>
      </w:r>
      <w:proofErr w:type="spellStart"/>
      <w:r>
        <w:rPr>
          <w:rFonts w:ascii="Times New Roman" w:eastAsia="Times New Roman" w:hAnsi="Times New Roman" w:cs="Times New Roman"/>
        </w:rPr>
        <w:t>simvastatinu</w:t>
      </w:r>
      <w:proofErr w:type="spellEnd"/>
      <w:r>
        <w:rPr>
          <w:rFonts w:ascii="Times New Roman" w:eastAsia="Times New Roman" w:hAnsi="Times New Roman" w:cs="Times New Roman"/>
        </w:rPr>
        <w:t xml:space="preserve"> (10 mg, 20 mg ar 40 mg doze) vartoti 20 savaičių.</w:t>
      </w:r>
    </w:p>
    <w:p w14:paraId="319CBA33" w14:textId="77777777" w:rsidR="008F7970" w:rsidRDefault="008F7970">
      <w:pPr>
        <w:ind w:left="0" w:firstLine="0"/>
        <w:rPr>
          <w:rFonts w:ascii="Times New Roman" w:eastAsia="Times New Roman" w:hAnsi="Times New Roman" w:cs="Times New Roman"/>
          <w:lang w:eastAsia="sl-SI"/>
        </w:rPr>
      </w:pPr>
    </w:p>
    <w:p w14:paraId="649FFED5" w14:textId="77777777" w:rsidR="008F7970" w:rsidRDefault="00AD4BB2">
      <w:pPr>
        <w:ind w:left="0" w:firstLine="0"/>
        <w:rPr>
          <w:rFonts w:ascii="Times New Roman" w:eastAsia="Times New Roman" w:hAnsi="Times New Roman" w:cs="Times New Roman"/>
          <w:bCs/>
          <w:iCs/>
          <w:lang w:eastAsia="sl-SI"/>
        </w:rPr>
      </w:pPr>
      <w:r>
        <w:rPr>
          <w:rFonts w:ascii="Times New Roman" w:eastAsia="Times New Roman" w:hAnsi="Times New Roman" w:cs="Times New Roman"/>
          <w:bCs/>
          <w:iCs/>
          <w:lang w:eastAsia="sl-SI"/>
        </w:rPr>
        <w:t xml:space="preserve">6 savaitę nustatyta, kad vartojusiems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bCs/>
          <w:iCs/>
          <w:lang w:eastAsia="sl-SI"/>
        </w:rPr>
        <w:t xml:space="preserve">kartu su </w:t>
      </w:r>
      <w:proofErr w:type="spellStart"/>
      <w:r>
        <w:rPr>
          <w:rFonts w:ascii="Times New Roman" w:eastAsia="Times New Roman" w:hAnsi="Times New Roman" w:cs="Times New Roman"/>
          <w:bCs/>
          <w:iCs/>
          <w:lang w:eastAsia="sl-SI"/>
        </w:rPr>
        <w:t>simvastatinu</w:t>
      </w:r>
      <w:proofErr w:type="spellEnd"/>
      <w:r>
        <w:rPr>
          <w:rFonts w:ascii="Times New Roman" w:eastAsia="Times New Roman" w:hAnsi="Times New Roman" w:cs="Times New Roman"/>
          <w:bCs/>
          <w:iCs/>
          <w:lang w:eastAsia="sl-SI"/>
        </w:rPr>
        <w:t xml:space="preserve"> (visomis dozėmis), palyginti su vartojusiais vien tik </w:t>
      </w:r>
      <w:proofErr w:type="spellStart"/>
      <w:r>
        <w:rPr>
          <w:rFonts w:ascii="Times New Roman" w:eastAsia="Times New Roman" w:hAnsi="Times New Roman" w:cs="Times New Roman"/>
          <w:bCs/>
          <w:iCs/>
          <w:lang w:eastAsia="sl-SI"/>
        </w:rPr>
        <w:t>simvastatino</w:t>
      </w:r>
      <w:proofErr w:type="spellEnd"/>
      <w:r>
        <w:rPr>
          <w:rFonts w:ascii="Times New Roman" w:eastAsia="Times New Roman" w:hAnsi="Times New Roman" w:cs="Times New Roman"/>
          <w:bCs/>
          <w:iCs/>
          <w:lang w:eastAsia="sl-SI"/>
        </w:rPr>
        <w:t xml:space="preserve"> (visomis dozėmis), reikšmingai sumažėjo BC (38 %, palyginti su 26 %), MTL-C (49 %, palyginti su 34 %), </w:t>
      </w:r>
      <w:proofErr w:type="spellStart"/>
      <w:r>
        <w:rPr>
          <w:rFonts w:ascii="Times New Roman" w:eastAsia="Times New Roman" w:hAnsi="Times New Roman" w:cs="Times New Roman"/>
          <w:bCs/>
          <w:iCs/>
          <w:lang w:eastAsia="sl-SI"/>
        </w:rPr>
        <w:t>Apo</w:t>
      </w:r>
      <w:proofErr w:type="spellEnd"/>
      <w:r>
        <w:rPr>
          <w:rFonts w:ascii="Times New Roman" w:eastAsia="Times New Roman" w:hAnsi="Times New Roman" w:cs="Times New Roman"/>
          <w:bCs/>
          <w:iCs/>
          <w:lang w:eastAsia="sl-SI"/>
        </w:rPr>
        <w:t xml:space="preserve">-B (39 %, palyginti su 27 %) ir ne-DTL-C (47 %, palyginti su 33 %) koncentracija. Abiejose gydymo grupėse TG ir DTL-C rezultatai buvo panašūs (atitinkamai </w:t>
      </w:r>
      <w:r>
        <w:rPr>
          <w:rFonts w:ascii="Times New Roman" w:eastAsia="Times New Roman" w:hAnsi="Times New Roman" w:cs="Times New Roman"/>
          <w:bCs/>
          <w:iCs/>
          <w:lang w:eastAsia="sl-SI"/>
        </w:rPr>
        <w:noBreakHyphen/>
        <w:t xml:space="preserve">17 %, palyginti su </w:t>
      </w:r>
      <w:r>
        <w:rPr>
          <w:rFonts w:ascii="Times New Roman" w:eastAsia="Times New Roman" w:hAnsi="Times New Roman" w:cs="Times New Roman"/>
          <w:bCs/>
          <w:iCs/>
          <w:lang w:eastAsia="sl-SI"/>
        </w:rPr>
        <w:noBreakHyphen/>
        <w:t xml:space="preserve">12 %, ir +7 %, palyginti su +6 %). 33 savaitę rezultatai atitiko gautuosius 6 savaitę ir reikšmingai daugiau (62 %) pacientų, vartojusių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bCs/>
          <w:iCs/>
          <w:lang w:eastAsia="sl-SI"/>
        </w:rPr>
        <w:t xml:space="preserve"> ir 40 mg </w:t>
      </w:r>
      <w:proofErr w:type="spellStart"/>
      <w:r>
        <w:rPr>
          <w:rFonts w:ascii="Times New Roman" w:eastAsia="Times New Roman" w:hAnsi="Times New Roman" w:cs="Times New Roman"/>
          <w:bCs/>
          <w:iCs/>
          <w:lang w:eastAsia="sl-SI"/>
        </w:rPr>
        <w:lastRenderedPageBreak/>
        <w:t>simvastatino</w:t>
      </w:r>
      <w:proofErr w:type="spellEnd"/>
      <w:r>
        <w:rPr>
          <w:rFonts w:ascii="Times New Roman" w:eastAsia="Times New Roman" w:hAnsi="Times New Roman" w:cs="Times New Roman"/>
          <w:bCs/>
          <w:iCs/>
          <w:lang w:eastAsia="sl-SI"/>
        </w:rPr>
        <w:t xml:space="preserve"> dozę, pasiekė idealų NCEP AAP tikslą (MTL-C koncentracija tapo &lt; 2,8 </w:t>
      </w:r>
      <w:proofErr w:type="spellStart"/>
      <w:r>
        <w:rPr>
          <w:rFonts w:ascii="Times New Roman" w:eastAsia="Times New Roman" w:hAnsi="Times New Roman" w:cs="Times New Roman"/>
          <w:bCs/>
          <w:iCs/>
          <w:lang w:eastAsia="sl-SI"/>
        </w:rPr>
        <w:t>mmol</w:t>
      </w:r>
      <w:proofErr w:type="spellEnd"/>
      <w:r>
        <w:rPr>
          <w:rFonts w:ascii="Times New Roman" w:eastAsia="Times New Roman" w:hAnsi="Times New Roman" w:cs="Times New Roman"/>
          <w:bCs/>
          <w:iCs/>
          <w:lang w:eastAsia="sl-SI"/>
        </w:rPr>
        <w:t xml:space="preserve">/l (110 mg/dl)), palyginti su vartojusiais 40 mg </w:t>
      </w:r>
      <w:proofErr w:type="spellStart"/>
      <w:r>
        <w:rPr>
          <w:rFonts w:ascii="Times New Roman" w:eastAsia="Times New Roman" w:hAnsi="Times New Roman" w:cs="Times New Roman"/>
          <w:bCs/>
          <w:iCs/>
          <w:lang w:eastAsia="sl-SI"/>
        </w:rPr>
        <w:t>simvastatino</w:t>
      </w:r>
      <w:proofErr w:type="spellEnd"/>
      <w:r>
        <w:rPr>
          <w:rFonts w:ascii="Times New Roman" w:eastAsia="Times New Roman" w:hAnsi="Times New Roman" w:cs="Times New Roman"/>
          <w:bCs/>
          <w:iCs/>
          <w:lang w:eastAsia="sl-SI"/>
        </w:rPr>
        <w:t xml:space="preserve"> dozę (25 %). Poveikis lipidų rodmenims išliko iki pat 53 savaitės, kuomet baigėsi atvirasis tyrimo pratęsimas.</w:t>
      </w:r>
    </w:p>
    <w:p w14:paraId="69001615" w14:textId="77777777" w:rsidR="008F7970" w:rsidRDefault="008F7970">
      <w:pPr>
        <w:ind w:left="0" w:firstLine="0"/>
        <w:rPr>
          <w:rFonts w:ascii="Times New Roman" w:eastAsia="Times New Roman" w:hAnsi="Times New Roman" w:cs="Times New Roman"/>
          <w:lang w:eastAsia="sl-SI"/>
        </w:rPr>
      </w:pPr>
    </w:p>
    <w:p w14:paraId="435C0243"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didesnės kaip 40 mg paros dozės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derinio saugumas ir veiksmingumas vaikams nuo 10 iki 17 metų netirtas.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simvastatino</w:t>
      </w:r>
      <w:proofErr w:type="spellEnd"/>
      <w:r>
        <w:rPr>
          <w:rFonts w:ascii="Times New Roman" w:eastAsia="Times New Roman" w:hAnsi="Times New Roman" w:cs="Times New Roman"/>
        </w:rPr>
        <w:t xml:space="preserve"> derinio saugumas ir veiksmingumas jaunesniems nei 10 metų vaikams netirtas.</w:t>
      </w:r>
    </w:p>
    <w:p w14:paraId="3BCFADFD"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2952A119"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ilgalaikis veiksmingumas jaunesniems kaip 17 metų pacientams mažinant sergamumą ir mirtingumą suaugus netirtas.</w:t>
      </w:r>
    </w:p>
    <w:p w14:paraId="61FAFBEB" w14:textId="77777777" w:rsidR="008F7970" w:rsidRDefault="008F7970">
      <w:pPr>
        <w:ind w:left="0" w:firstLine="0"/>
        <w:rPr>
          <w:rFonts w:ascii="Times New Roman" w:eastAsia="TimesNewRoman" w:hAnsi="Times New Roman" w:cs="Times New Roman"/>
        </w:rPr>
      </w:pPr>
    </w:p>
    <w:p w14:paraId="749F5D48"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5.2</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Farmakokinetinės</w:t>
      </w:r>
      <w:proofErr w:type="spellEnd"/>
      <w:r>
        <w:rPr>
          <w:rFonts w:ascii="Times New Roman" w:eastAsia="Times New Roman" w:hAnsi="Times New Roman" w:cs="Times New Roman"/>
          <w:b/>
          <w:kern w:val="28"/>
        </w:rPr>
        <w:t xml:space="preserve"> savybės</w:t>
      </w:r>
    </w:p>
    <w:p w14:paraId="20CA771D" w14:textId="77777777" w:rsidR="008F7970" w:rsidRDefault="008F7970">
      <w:pPr>
        <w:widowControl w:val="0"/>
        <w:rPr>
          <w:rFonts w:ascii="Times New Roman" w:eastAsia="Times New Roman" w:hAnsi="Times New Roman" w:cs="Times New Roman"/>
          <w:bCs/>
        </w:rPr>
      </w:pPr>
    </w:p>
    <w:p w14:paraId="12485301" w14:textId="77777777" w:rsidR="008F7970" w:rsidRDefault="00AD4BB2">
      <w:pPr>
        <w:widowControl w:val="0"/>
        <w:numPr>
          <w:ilvl w:val="12"/>
          <w:numId w:val="0"/>
        </w:numPr>
        <w:tabs>
          <w:tab w:val="left" w:pos="567"/>
        </w:tabs>
        <w:ind w:right="-2"/>
        <w:rPr>
          <w:rFonts w:ascii="Times New Roman" w:eastAsia="Times New Roman" w:hAnsi="Times New Roman" w:cs="Times New Roman"/>
          <w:iCs/>
          <w:u w:val="single"/>
        </w:rPr>
      </w:pPr>
      <w:r>
        <w:rPr>
          <w:rFonts w:ascii="Times New Roman" w:eastAsia="Times New Roman" w:hAnsi="Times New Roman" w:cs="Times New Roman"/>
          <w:iCs/>
          <w:u w:val="single"/>
        </w:rPr>
        <w:t>Absorbcija</w:t>
      </w:r>
    </w:p>
    <w:p w14:paraId="7BA4FB11" w14:textId="77777777" w:rsidR="008F7970" w:rsidRDefault="00AD4BB2">
      <w:pPr>
        <w:widowControl w:val="0"/>
        <w:numPr>
          <w:ilvl w:val="12"/>
          <w:numId w:val="0"/>
        </w:numPr>
        <w:tabs>
          <w:tab w:val="left" w:pos="567"/>
        </w:tabs>
        <w:spacing w:line="260" w:lineRule="exact"/>
        <w:ind w:right="-2"/>
        <w:rPr>
          <w:rFonts w:ascii="Times New Roman" w:eastAsia="Times New Roman" w:hAnsi="Times New Roman" w:cs="Times New Roman"/>
          <w:iCs/>
          <w:snapToGrid w:val="0"/>
        </w:rPr>
      </w:pPr>
      <w:proofErr w:type="spellStart"/>
      <w:r>
        <w:rPr>
          <w:rFonts w:ascii="Times New Roman" w:eastAsia="Times New Roman" w:hAnsi="Times New Roman" w:cs="Times New Roman"/>
          <w:iCs/>
          <w:snapToGrid w:val="0"/>
        </w:rPr>
        <w:t>Pitavastatinas</w:t>
      </w:r>
      <w:proofErr w:type="spellEnd"/>
      <w:r>
        <w:rPr>
          <w:rFonts w:ascii="Times New Roman" w:eastAsia="Times New Roman" w:hAnsi="Times New Roman" w:cs="Times New Roman"/>
          <w:iCs/>
          <w:snapToGrid w:val="0"/>
        </w:rPr>
        <w:t xml:space="preserve"> greitai absorbuojamas iš viršutinės virškinimo trakto dalies, o didžiausia koncentracija kraujo plazmoje pasiekiama per vieną valandą po vaistinio preparato pavartojimo per burną. Maistas įtakos absorbcijai neturi. Vyksta </w:t>
      </w:r>
      <w:proofErr w:type="spellStart"/>
      <w:r>
        <w:rPr>
          <w:rFonts w:ascii="Times New Roman" w:eastAsia="Times New Roman" w:hAnsi="Times New Roman" w:cs="Times New Roman"/>
          <w:iCs/>
          <w:snapToGrid w:val="0"/>
        </w:rPr>
        <w:t>enterohepatinė</w:t>
      </w:r>
      <w:proofErr w:type="spellEnd"/>
      <w:r>
        <w:rPr>
          <w:rFonts w:ascii="Times New Roman" w:eastAsia="Times New Roman" w:hAnsi="Times New Roman" w:cs="Times New Roman"/>
          <w:iCs/>
          <w:snapToGrid w:val="0"/>
        </w:rPr>
        <w:t xml:space="preserve"> nepakitusio vaistinio preparato cirkuliacija ir jis yra gerai absorbuojamas iš tuščiosios ir klubinės žarnos. Absoliutus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biologinis prieinamumas yra 51 %.</w:t>
      </w:r>
    </w:p>
    <w:p w14:paraId="0340B3BD"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643C172D"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snapToGrid w:val="0"/>
        </w:rPr>
        <w:t xml:space="preserve">Per burną pavartotas </w:t>
      </w:r>
      <w:proofErr w:type="spellStart"/>
      <w:r>
        <w:rPr>
          <w:rFonts w:ascii="Times New Roman" w:eastAsia="Times New Roman" w:hAnsi="Times New Roman" w:cs="Times New Roman"/>
          <w:snapToGrid w:val="0"/>
        </w:rPr>
        <w:t>ezetimibas</w:t>
      </w:r>
      <w:proofErr w:type="spellEnd"/>
      <w:r>
        <w:rPr>
          <w:rFonts w:ascii="Times New Roman" w:eastAsia="Times New Roman" w:hAnsi="Times New Roman" w:cs="Times New Roman"/>
          <w:snapToGrid w:val="0"/>
        </w:rPr>
        <w:t xml:space="preserve"> greitai absorbuojamas ir ekstensyviai </w:t>
      </w:r>
      <w:proofErr w:type="spellStart"/>
      <w:r>
        <w:rPr>
          <w:rFonts w:ascii="Times New Roman" w:eastAsia="Times New Roman" w:hAnsi="Times New Roman" w:cs="Times New Roman"/>
          <w:snapToGrid w:val="0"/>
        </w:rPr>
        <w:t>konjuguojamas</w:t>
      </w:r>
      <w:proofErr w:type="spellEnd"/>
      <w:r>
        <w:rPr>
          <w:rFonts w:ascii="Times New Roman" w:eastAsia="Times New Roman" w:hAnsi="Times New Roman" w:cs="Times New Roman"/>
          <w:snapToGrid w:val="0"/>
        </w:rPr>
        <w:t xml:space="preserve"> į farmakologiškai aktyvų </w:t>
      </w:r>
      <w:proofErr w:type="spellStart"/>
      <w:r>
        <w:rPr>
          <w:rFonts w:ascii="Times New Roman" w:eastAsia="Times New Roman" w:hAnsi="Times New Roman" w:cs="Times New Roman"/>
          <w:snapToGrid w:val="0"/>
        </w:rPr>
        <w:t>fenolio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gliukuronidą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ezetimibo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gliukuronidą</w:t>
      </w:r>
      <w:proofErr w:type="spellEnd"/>
      <w:r>
        <w:rPr>
          <w:rFonts w:ascii="Times New Roman" w:eastAsia="Times New Roman" w:hAnsi="Times New Roman" w:cs="Times New Roman"/>
          <w:snapToGrid w:val="0"/>
        </w:rPr>
        <w:t xml:space="preserve">). Vidutinė didžiausia </w:t>
      </w:r>
      <w:proofErr w:type="spellStart"/>
      <w:r>
        <w:rPr>
          <w:rFonts w:ascii="Times New Roman" w:eastAsia="Times New Roman" w:hAnsi="Times New Roman" w:cs="Times New Roman"/>
          <w:snapToGrid w:val="0"/>
        </w:rPr>
        <w:t>ezetimibo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gliukuronido</w:t>
      </w:r>
      <w:proofErr w:type="spellEnd"/>
      <w:r>
        <w:rPr>
          <w:rFonts w:ascii="Times New Roman" w:eastAsia="Times New Roman" w:hAnsi="Times New Roman" w:cs="Times New Roman"/>
          <w:snapToGrid w:val="0"/>
        </w:rPr>
        <w:t xml:space="preserve"> koncentracija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kraujo plazmoje atsiranda per 1</w:t>
      </w:r>
      <w:r>
        <w:rPr>
          <w:rFonts w:ascii="Times New Roman" w:eastAsia="Times New Roman" w:hAnsi="Times New Roman" w:cs="Times New Roman"/>
          <w:snapToGrid w:val="0"/>
        </w:rPr>
        <w:noBreakHyphen/>
        <w:t xml:space="preserve">2 val., o </w:t>
      </w:r>
      <w:proofErr w:type="spellStart"/>
      <w:r>
        <w:rPr>
          <w:rFonts w:ascii="Times New Roman" w:eastAsia="Times New Roman" w:hAnsi="Times New Roman" w:cs="Times New Roman"/>
          <w:snapToGrid w:val="0"/>
        </w:rPr>
        <w:t>ezetimibo</w:t>
      </w:r>
      <w:proofErr w:type="spellEnd"/>
      <w:r>
        <w:rPr>
          <w:rFonts w:ascii="Times New Roman" w:eastAsia="Times New Roman" w:hAnsi="Times New Roman" w:cs="Times New Roman"/>
          <w:snapToGrid w:val="0"/>
        </w:rPr>
        <w:t xml:space="preserve"> – per 4</w:t>
      </w:r>
      <w:r>
        <w:rPr>
          <w:rFonts w:ascii="Times New Roman" w:eastAsia="Times New Roman" w:hAnsi="Times New Roman" w:cs="Times New Roman"/>
          <w:snapToGrid w:val="0"/>
        </w:rPr>
        <w:noBreakHyphen/>
        <w:t xml:space="preserve">12 val. Absoliutaus biologinio </w:t>
      </w:r>
      <w:proofErr w:type="spellStart"/>
      <w:r>
        <w:rPr>
          <w:rFonts w:ascii="Times New Roman" w:eastAsia="Times New Roman" w:hAnsi="Times New Roman" w:cs="Times New Roman"/>
          <w:snapToGrid w:val="0"/>
        </w:rPr>
        <w:t>ezetimibo</w:t>
      </w:r>
      <w:proofErr w:type="spellEnd"/>
      <w:r>
        <w:rPr>
          <w:rFonts w:ascii="Times New Roman" w:eastAsia="Times New Roman" w:hAnsi="Times New Roman" w:cs="Times New Roman"/>
          <w:snapToGrid w:val="0"/>
        </w:rPr>
        <w:t xml:space="preserve"> prieinamumo nustatyti neįmanoma, nes medžiaga praktiškai netirpsta vandeninėse terpėse, tinkamose injekcijoms.</w:t>
      </w:r>
    </w:p>
    <w:p w14:paraId="7051F80F"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13A638B6" w14:textId="77777777" w:rsidR="008F7970" w:rsidRDefault="00AD4BB2">
      <w:pPr>
        <w:widowControl w:val="0"/>
        <w:numPr>
          <w:ilvl w:val="12"/>
          <w:numId w:val="0"/>
        </w:numPr>
        <w:tabs>
          <w:tab w:val="left" w:pos="567"/>
        </w:tabs>
        <w:ind w:right="-2"/>
        <w:rPr>
          <w:rFonts w:ascii="Times New Roman" w:eastAsia="Times New Roman" w:hAnsi="Times New Roman" w:cs="Times New Roman"/>
          <w:iCs/>
          <w:u w:val="single"/>
        </w:rPr>
      </w:pPr>
      <w:r>
        <w:rPr>
          <w:rFonts w:ascii="Times New Roman" w:eastAsia="Times New Roman" w:hAnsi="Times New Roman" w:cs="Times New Roman"/>
          <w:iCs/>
          <w:u w:val="single"/>
        </w:rPr>
        <w:t>Pasiskirstymas</w:t>
      </w:r>
    </w:p>
    <w:p w14:paraId="6ADA48E6" w14:textId="77777777" w:rsidR="008F7970" w:rsidRDefault="00AD4BB2">
      <w:pPr>
        <w:widowControl w:val="0"/>
        <w:numPr>
          <w:ilvl w:val="12"/>
          <w:numId w:val="0"/>
        </w:numPr>
        <w:tabs>
          <w:tab w:val="left" w:pos="567"/>
        </w:tabs>
        <w:ind w:right="-2"/>
        <w:rPr>
          <w:rFonts w:ascii="Times New Roman" w:eastAsia="Times New Roman" w:hAnsi="Times New Roman" w:cs="Times New Roman"/>
          <w:iCs/>
        </w:rPr>
      </w:pPr>
      <w:r>
        <w:rPr>
          <w:rFonts w:ascii="Times New Roman" w:eastAsia="Times New Roman" w:hAnsi="Times New Roman" w:cs="Times New Roman"/>
          <w:iCs/>
        </w:rPr>
        <w:t xml:space="preserve">Daugiau kaip 99 % </w:t>
      </w:r>
      <w:proofErr w:type="spellStart"/>
      <w:r>
        <w:rPr>
          <w:rFonts w:ascii="Times New Roman" w:eastAsia="Times New Roman" w:hAnsi="Times New Roman" w:cs="Times New Roman"/>
          <w:iCs/>
        </w:rPr>
        <w:t>pitavastatino</w:t>
      </w:r>
      <w:proofErr w:type="spellEnd"/>
      <w:r>
        <w:rPr>
          <w:rFonts w:ascii="Times New Roman" w:eastAsia="Times New Roman" w:hAnsi="Times New Roman" w:cs="Times New Roman"/>
          <w:iCs/>
        </w:rPr>
        <w:t xml:space="preserve"> žmogaus kraujo plazmoje yra susiję su baltymais, daugiausia su </w:t>
      </w:r>
      <w:proofErr w:type="spellStart"/>
      <w:r>
        <w:rPr>
          <w:rFonts w:ascii="Times New Roman" w:eastAsia="Times New Roman" w:hAnsi="Times New Roman" w:cs="Times New Roman"/>
          <w:iCs/>
        </w:rPr>
        <w:t>albuminu</w:t>
      </w:r>
      <w:proofErr w:type="spellEnd"/>
      <w:r>
        <w:rPr>
          <w:rFonts w:ascii="Times New Roman" w:eastAsia="Times New Roman" w:hAnsi="Times New Roman" w:cs="Times New Roman"/>
          <w:iCs/>
        </w:rPr>
        <w:t xml:space="preserve"> ir alfa 1 rūgštiniu </w:t>
      </w:r>
      <w:proofErr w:type="spellStart"/>
      <w:r>
        <w:rPr>
          <w:rFonts w:ascii="Times New Roman" w:eastAsia="Times New Roman" w:hAnsi="Times New Roman" w:cs="Times New Roman"/>
          <w:iCs/>
        </w:rPr>
        <w:t>glikoproteinu</w:t>
      </w:r>
      <w:proofErr w:type="spellEnd"/>
      <w:r>
        <w:rPr>
          <w:rFonts w:ascii="Times New Roman" w:eastAsia="Times New Roman" w:hAnsi="Times New Roman" w:cs="Times New Roman"/>
          <w:iCs/>
        </w:rPr>
        <w:t xml:space="preserve">, o vidutinis pasiskirstymo tūris yra maždaug 133 l. </w:t>
      </w:r>
      <w:proofErr w:type="spellStart"/>
      <w:r>
        <w:rPr>
          <w:rFonts w:ascii="Times New Roman" w:eastAsia="Times New Roman" w:hAnsi="Times New Roman" w:cs="Times New Roman"/>
          <w:iCs/>
        </w:rPr>
        <w:t>Pitavastatinas</w:t>
      </w:r>
      <w:proofErr w:type="spellEnd"/>
      <w:r>
        <w:rPr>
          <w:rFonts w:ascii="Times New Roman" w:eastAsia="Times New Roman" w:hAnsi="Times New Roman" w:cs="Times New Roman"/>
          <w:iCs/>
        </w:rPr>
        <w:t xml:space="preserve"> yra aktyviai pernešamas į </w:t>
      </w:r>
      <w:proofErr w:type="spellStart"/>
      <w:r>
        <w:rPr>
          <w:rFonts w:ascii="Times New Roman" w:eastAsia="Times New Roman" w:hAnsi="Times New Roman" w:cs="Times New Roman"/>
          <w:iCs/>
        </w:rPr>
        <w:t>hepatocitus</w:t>
      </w:r>
      <w:proofErr w:type="spellEnd"/>
      <w:r>
        <w:rPr>
          <w:rFonts w:ascii="Times New Roman" w:eastAsia="Times New Roman" w:hAnsi="Times New Roman" w:cs="Times New Roman"/>
          <w:iCs/>
        </w:rPr>
        <w:t xml:space="preserve">, kurie yra jo veikimo ir metabolizmo vieta, dalyvaujant daugeliui kepenų </w:t>
      </w:r>
      <w:proofErr w:type="spellStart"/>
      <w:r>
        <w:rPr>
          <w:rFonts w:ascii="Times New Roman" w:eastAsia="Times New Roman" w:hAnsi="Times New Roman" w:cs="Times New Roman"/>
          <w:iCs/>
        </w:rPr>
        <w:t>pernešiklių</w:t>
      </w:r>
      <w:proofErr w:type="spellEnd"/>
      <w:r>
        <w:rPr>
          <w:rFonts w:ascii="Times New Roman" w:eastAsia="Times New Roman" w:hAnsi="Times New Roman" w:cs="Times New Roman"/>
          <w:iCs/>
        </w:rPr>
        <w:t xml:space="preserve">, įskaitant OATP1B1 ir OATP1B3. AUC kraujo plazmoje yra kintantis, o didžiausias ir mažiausias rodmuo skiriasi maždaug 4 kartus. Tyrimai su SLCO1B1 (genas, koduojantis OATP1B1) rodo, kad šio geno polimorfizmas gali lemti didžiąją dalį AUC kintamumo. </w:t>
      </w:r>
      <w:proofErr w:type="spellStart"/>
      <w:r>
        <w:rPr>
          <w:rFonts w:ascii="Times New Roman" w:eastAsia="Times New Roman" w:hAnsi="Times New Roman" w:cs="Times New Roman"/>
          <w:iCs/>
        </w:rPr>
        <w:t>Pitavastatinas</w:t>
      </w:r>
      <w:proofErr w:type="spellEnd"/>
      <w:r>
        <w:rPr>
          <w:rFonts w:ascii="Times New Roman" w:eastAsia="Times New Roman" w:hAnsi="Times New Roman" w:cs="Times New Roman"/>
          <w:iCs/>
        </w:rPr>
        <w:t xml:space="preserve"> nėra p-</w:t>
      </w:r>
      <w:proofErr w:type="spellStart"/>
      <w:r>
        <w:rPr>
          <w:rFonts w:ascii="Times New Roman" w:eastAsia="Times New Roman" w:hAnsi="Times New Roman" w:cs="Times New Roman"/>
          <w:iCs/>
        </w:rPr>
        <w:t>glikoproteino</w:t>
      </w:r>
      <w:proofErr w:type="spellEnd"/>
      <w:r>
        <w:rPr>
          <w:rFonts w:ascii="Times New Roman" w:eastAsia="Times New Roman" w:hAnsi="Times New Roman" w:cs="Times New Roman"/>
          <w:iCs/>
        </w:rPr>
        <w:t xml:space="preserve"> substratas.</w:t>
      </w:r>
    </w:p>
    <w:p w14:paraId="532B94E4"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49FBDA0D" w14:textId="77777777" w:rsidR="008F7970" w:rsidRDefault="00AD4BB2">
      <w:pPr>
        <w:widowControl w:val="0"/>
        <w:numPr>
          <w:ilvl w:val="12"/>
          <w:numId w:val="0"/>
        </w:numPr>
        <w:tabs>
          <w:tab w:val="left" w:pos="567"/>
        </w:tabs>
        <w:ind w:right="-2"/>
        <w:rPr>
          <w:rFonts w:ascii="Times New Roman" w:eastAsia="Times New Roman" w:hAnsi="Times New Roman" w:cs="Times New Roman"/>
          <w:iCs/>
        </w:rPr>
      </w:pPr>
      <w:r>
        <w:rPr>
          <w:rFonts w:ascii="Times New Roman" w:eastAsia="Times New Roman" w:hAnsi="Times New Roman" w:cs="Times New Roman"/>
          <w:iCs/>
        </w:rPr>
        <w:t xml:space="preserve">Prie žmogaus plazmos baltymų prisijungia 99,7 % </w:t>
      </w:r>
      <w:proofErr w:type="spellStart"/>
      <w:r>
        <w:rPr>
          <w:rFonts w:ascii="Times New Roman" w:eastAsia="Times New Roman" w:hAnsi="Times New Roman" w:cs="Times New Roman"/>
          <w:iCs/>
        </w:rPr>
        <w:t>ezetimibo</w:t>
      </w:r>
      <w:proofErr w:type="spellEnd"/>
      <w:r>
        <w:rPr>
          <w:rFonts w:ascii="Times New Roman" w:eastAsia="Times New Roman" w:hAnsi="Times New Roman" w:cs="Times New Roman"/>
          <w:iCs/>
        </w:rPr>
        <w:t xml:space="preserve"> ir 88-92 % </w:t>
      </w:r>
      <w:proofErr w:type="spellStart"/>
      <w:r>
        <w:rPr>
          <w:rFonts w:ascii="Times New Roman" w:eastAsia="Times New Roman" w:hAnsi="Times New Roman" w:cs="Times New Roman"/>
          <w:iCs/>
        </w:rPr>
        <w:t>ezetimibo</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gliukuronido</w:t>
      </w:r>
      <w:proofErr w:type="spellEnd"/>
      <w:r>
        <w:rPr>
          <w:rFonts w:ascii="Times New Roman" w:eastAsia="Times New Roman" w:hAnsi="Times New Roman" w:cs="Times New Roman"/>
          <w:iCs/>
        </w:rPr>
        <w:t>.</w:t>
      </w:r>
    </w:p>
    <w:p w14:paraId="5DE8FBCA"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4E1050C5" w14:textId="77777777" w:rsidR="008F7970" w:rsidRDefault="00AD4BB2">
      <w:pPr>
        <w:widowControl w:val="0"/>
        <w:numPr>
          <w:ilvl w:val="12"/>
          <w:numId w:val="0"/>
        </w:numPr>
        <w:tabs>
          <w:tab w:val="left" w:pos="567"/>
        </w:tabs>
        <w:ind w:right="-2"/>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Biotransformacija</w:t>
      </w:r>
      <w:proofErr w:type="spellEnd"/>
    </w:p>
    <w:p w14:paraId="62F76DFB" w14:textId="77777777" w:rsidR="008F7970" w:rsidRDefault="00AD4BB2">
      <w:pPr>
        <w:widowControl w:val="0"/>
        <w:numPr>
          <w:ilvl w:val="12"/>
          <w:numId w:val="0"/>
        </w:numPr>
        <w:tabs>
          <w:tab w:val="left" w:pos="567"/>
        </w:tabs>
        <w:spacing w:line="260" w:lineRule="exact"/>
        <w:ind w:right="-2"/>
        <w:rPr>
          <w:rFonts w:ascii="Times New Roman" w:eastAsia="Times New Roman" w:hAnsi="Times New Roman" w:cs="Times New Roman"/>
          <w:iCs/>
          <w:snapToGrid w:val="0"/>
        </w:rPr>
      </w:pPr>
      <w:r>
        <w:rPr>
          <w:rFonts w:ascii="Times New Roman" w:eastAsia="Times New Roman" w:hAnsi="Times New Roman" w:cs="Times New Roman"/>
          <w:iCs/>
          <w:snapToGrid w:val="0"/>
        </w:rPr>
        <w:t xml:space="preserve">Nepakitęs </w:t>
      </w:r>
      <w:proofErr w:type="spellStart"/>
      <w:r>
        <w:rPr>
          <w:rFonts w:ascii="Times New Roman" w:eastAsia="Times New Roman" w:hAnsi="Times New Roman" w:cs="Times New Roman"/>
          <w:iCs/>
          <w:snapToGrid w:val="0"/>
        </w:rPr>
        <w:t>pitavastatinas</w:t>
      </w:r>
      <w:proofErr w:type="spellEnd"/>
      <w:r>
        <w:rPr>
          <w:rFonts w:ascii="Times New Roman" w:eastAsia="Times New Roman" w:hAnsi="Times New Roman" w:cs="Times New Roman"/>
          <w:iCs/>
          <w:snapToGrid w:val="0"/>
        </w:rPr>
        <w:t xml:space="preserve"> yra dominuojanti vaistinio preparato dalis kraujo plazmoje. Pagrindinis metabolitas yra neaktyvus </w:t>
      </w:r>
      <w:proofErr w:type="spellStart"/>
      <w:r>
        <w:rPr>
          <w:rFonts w:ascii="Times New Roman" w:eastAsia="Times New Roman" w:hAnsi="Times New Roman" w:cs="Times New Roman"/>
          <w:iCs/>
          <w:snapToGrid w:val="0"/>
        </w:rPr>
        <w:t>laktonas</w:t>
      </w:r>
      <w:proofErr w:type="spellEnd"/>
      <w:r>
        <w:rPr>
          <w:rFonts w:ascii="Times New Roman" w:eastAsia="Times New Roman" w:hAnsi="Times New Roman" w:cs="Times New Roman"/>
          <w:iCs/>
          <w:snapToGrid w:val="0"/>
        </w:rPr>
        <w:t xml:space="preserve">, kuris susidaro veikiant UDP </w:t>
      </w:r>
      <w:proofErr w:type="spellStart"/>
      <w:r>
        <w:rPr>
          <w:rFonts w:ascii="Times New Roman" w:eastAsia="Times New Roman" w:hAnsi="Times New Roman" w:cs="Times New Roman"/>
          <w:iCs/>
          <w:snapToGrid w:val="0"/>
        </w:rPr>
        <w:t>gliukuronoziltransferazei</w:t>
      </w:r>
      <w:proofErr w:type="spellEnd"/>
      <w:r>
        <w:rPr>
          <w:rFonts w:ascii="Times New Roman" w:eastAsia="Times New Roman" w:hAnsi="Times New Roman" w:cs="Times New Roman"/>
          <w:iCs/>
          <w:snapToGrid w:val="0"/>
        </w:rPr>
        <w:t xml:space="preserve"> (UGT1A3 ir 2B7) per esterio tipo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w:t>
      </w:r>
      <w:proofErr w:type="spellStart"/>
      <w:r>
        <w:rPr>
          <w:rFonts w:ascii="Times New Roman" w:eastAsia="Times New Roman" w:hAnsi="Times New Roman" w:cs="Times New Roman"/>
          <w:iCs/>
          <w:snapToGrid w:val="0"/>
        </w:rPr>
        <w:t>gliukuronido</w:t>
      </w:r>
      <w:proofErr w:type="spellEnd"/>
      <w:r>
        <w:rPr>
          <w:rFonts w:ascii="Times New Roman" w:eastAsia="Times New Roman" w:hAnsi="Times New Roman" w:cs="Times New Roman"/>
          <w:iCs/>
          <w:snapToGrid w:val="0"/>
        </w:rPr>
        <w:t xml:space="preserve"> </w:t>
      </w:r>
      <w:proofErr w:type="spellStart"/>
      <w:r>
        <w:rPr>
          <w:rFonts w:ascii="Times New Roman" w:eastAsia="Times New Roman" w:hAnsi="Times New Roman" w:cs="Times New Roman"/>
          <w:iCs/>
          <w:snapToGrid w:val="0"/>
        </w:rPr>
        <w:t>konjugatą</w:t>
      </w:r>
      <w:proofErr w:type="spellEnd"/>
      <w:r>
        <w:rPr>
          <w:rFonts w:ascii="Times New Roman" w:eastAsia="Times New Roman" w:hAnsi="Times New Roman" w:cs="Times New Roman"/>
          <w:iCs/>
          <w:snapToGrid w:val="0"/>
        </w:rPr>
        <w:t xml:space="preserve">. </w:t>
      </w:r>
      <w:proofErr w:type="spellStart"/>
      <w:r>
        <w:rPr>
          <w:rFonts w:ascii="Times New Roman" w:eastAsia="Times New Roman" w:hAnsi="Times New Roman" w:cs="Times New Roman"/>
          <w:i/>
          <w:snapToGrid w:val="0"/>
        </w:rPr>
        <w:t>In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vitro</w:t>
      </w:r>
      <w:proofErr w:type="spellEnd"/>
      <w:r>
        <w:rPr>
          <w:rFonts w:ascii="Times New Roman" w:eastAsia="Times New Roman" w:hAnsi="Times New Roman" w:cs="Times New Roman"/>
          <w:iCs/>
          <w:snapToGrid w:val="0"/>
        </w:rPr>
        <w:t xml:space="preserve"> tyrimai, atlikti naudojant 13 žmogaus </w:t>
      </w:r>
      <w:proofErr w:type="spellStart"/>
      <w:r>
        <w:rPr>
          <w:rFonts w:ascii="Times New Roman" w:eastAsia="Times New Roman" w:hAnsi="Times New Roman" w:cs="Times New Roman"/>
          <w:iCs/>
          <w:snapToGrid w:val="0"/>
        </w:rPr>
        <w:t>citochromo</w:t>
      </w:r>
      <w:proofErr w:type="spellEnd"/>
      <w:r>
        <w:rPr>
          <w:rFonts w:ascii="Times New Roman" w:eastAsia="Times New Roman" w:hAnsi="Times New Roman" w:cs="Times New Roman"/>
          <w:iCs/>
          <w:snapToGrid w:val="0"/>
        </w:rPr>
        <w:t xml:space="preserve"> P450 (CYP) </w:t>
      </w:r>
      <w:proofErr w:type="spellStart"/>
      <w:r>
        <w:rPr>
          <w:rFonts w:ascii="Times New Roman" w:eastAsia="Times New Roman" w:hAnsi="Times New Roman" w:cs="Times New Roman"/>
          <w:iCs/>
          <w:snapToGrid w:val="0"/>
        </w:rPr>
        <w:t>izoformų</w:t>
      </w:r>
      <w:proofErr w:type="spellEnd"/>
      <w:r>
        <w:rPr>
          <w:rFonts w:ascii="Times New Roman" w:eastAsia="Times New Roman" w:hAnsi="Times New Roman" w:cs="Times New Roman"/>
          <w:iCs/>
          <w:snapToGrid w:val="0"/>
        </w:rPr>
        <w:t xml:space="preserve">, rodo, kad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metabolizmas dalyvaujant CYP yra minimalus; CYP2C9 (ir mažesniu mastu CYP2C8) yra atsakingi už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metabolizmą iki nereikšmingų metabolitų.</w:t>
      </w:r>
    </w:p>
    <w:p w14:paraId="49431CE9"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2EB8F19C"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daugiausia </w:t>
      </w:r>
      <w:proofErr w:type="spellStart"/>
      <w:r>
        <w:rPr>
          <w:rFonts w:ascii="Times New Roman" w:eastAsia="Times New Roman" w:hAnsi="Times New Roman" w:cs="Times New Roman"/>
        </w:rPr>
        <w:t>metabolizuojamas</w:t>
      </w:r>
      <w:proofErr w:type="spellEnd"/>
      <w:r>
        <w:rPr>
          <w:rFonts w:ascii="Times New Roman" w:eastAsia="Times New Roman" w:hAnsi="Times New Roman" w:cs="Times New Roman"/>
        </w:rPr>
        <w:t xml:space="preserve"> plonojoje žarnoje bei kepenyse (vyksta </w:t>
      </w:r>
      <w:proofErr w:type="spellStart"/>
      <w:r>
        <w:rPr>
          <w:rFonts w:ascii="Times New Roman" w:eastAsia="Times New Roman" w:hAnsi="Times New Roman" w:cs="Times New Roman"/>
        </w:rPr>
        <w:t>konjugacija</w:t>
      </w:r>
      <w:proofErr w:type="spellEnd"/>
      <w:r>
        <w:rPr>
          <w:rFonts w:ascii="Times New Roman" w:eastAsia="Times New Roman" w:hAnsi="Times New Roman" w:cs="Times New Roman"/>
        </w:rPr>
        <w:t xml:space="preserve"> su </w:t>
      </w:r>
      <w:proofErr w:type="spellStart"/>
      <w:r>
        <w:rPr>
          <w:rFonts w:ascii="Times New Roman" w:eastAsia="Times New Roman" w:hAnsi="Times New Roman" w:cs="Times New Roman"/>
        </w:rPr>
        <w:t>gliukuronidu</w:t>
      </w:r>
      <w:proofErr w:type="spellEnd"/>
      <w:r>
        <w:rPr>
          <w:rFonts w:ascii="Times New Roman" w:eastAsia="Times New Roman" w:hAnsi="Times New Roman" w:cs="Times New Roman"/>
        </w:rPr>
        <w:t xml:space="preserve">, t. y. II fazės reakcija) ir išsiskiria į tulžį. Visų tirtų rūšių gyvūnams oksidacinis metabolizmas (I fazės reakcija) buvo minimalus.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gliukuronidas</w:t>
      </w:r>
      <w:proofErr w:type="spellEnd"/>
      <w:r>
        <w:rPr>
          <w:rFonts w:ascii="Times New Roman" w:eastAsia="Times New Roman" w:hAnsi="Times New Roman" w:cs="Times New Roman"/>
        </w:rPr>
        <w:t xml:space="preserve"> yra svarbiausios su vaistiniu preparatu susijusios medžiagos, aptinkamos kraujo plazmoje: jų būna atitinkamai 10</w:t>
      </w:r>
      <w:r>
        <w:rPr>
          <w:rFonts w:ascii="Times New Roman" w:eastAsia="Times New Roman" w:hAnsi="Times New Roman" w:cs="Times New Roman"/>
        </w:rPr>
        <w:noBreakHyphen/>
        <w:t>20 % ir 80</w:t>
      </w:r>
      <w:r>
        <w:rPr>
          <w:rFonts w:ascii="Times New Roman" w:eastAsia="Times New Roman" w:hAnsi="Times New Roman" w:cs="Times New Roman"/>
        </w:rPr>
        <w:noBreakHyphen/>
        <w:t xml:space="preserve">90 % visų kraujo plazmoje būnančių medžiagų kiekio. Ir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gliukuronidas</w:t>
      </w:r>
      <w:proofErr w:type="spellEnd"/>
      <w:r>
        <w:rPr>
          <w:rFonts w:ascii="Times New Roman" w:eastAsia="Times New Roman" w:hAnsi="Times New Roman" w:cs="Times New Roman"/>
        </w:rPr>
        <w:t xml:space="preserve"> lėtai pasišalina iš kraujo plazmos (pasireiškia reikšminga </w:t>
      </w:r>
      <w:proofErr w:type="spellStart"/>
      <w:r>
        <w:rPr>
          <w:rFonts w:ascii="Times New Roman" w:eastAsia="Times New Roman" w:hAnsi="Times New Roman" w:cs="Times New Roman"/>
        </w:rPr>
        <w:t>enterohepatinė</w:t>
      </w:r>
      <w:proofErr w:type="spellEnd"/>
      <w:r>
        <w:rPr>
          <w:rFonts w:ascii="Times New Roman" w:eastAsia="Times New Roman" w:hAnsi="Times New Roman" w:cs="Times New Roman"/>
        </w:rPr>
        <w:t xml:space="preserve"> cirkuliacija).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gliukuronido</w:t>
      </w:r>
      <w:proofErr w:type="spellEnd"/>
      <w:r>
        <w:rPr>
          <w:rFonts w:ascii="Times New Roman" w:eastAsia="Times New Roman" w:hAnsi="Times New Roman" w:cs="Times New Roman"/>
        </w:rPr>
        <w:t xml:space="preserve"> pusinės eliminacijos laikas yra maždaug 22 val.</w:t>
      </w:r>
    </w:p>
    <w:p w14:paraId="0819B4C8"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5D391E97" w14:textId="77777777" w:rsidR="008F7970" w:rsidRDefault="00AD4BB2">
      <w:pPr>
        <w:widowControl w:val="0"/>
        <w:numPr>
          <w:ilvl w:val="12"/>
          <w:numId w:val="0"/>
        </w:numPr>
        <w:tabs>
          <w:tab w:val="left" w:pos="567"/>
        </w:tabs>
        <w:ind w:right="-2"/>
        <w:rPr>
          <w:rFonts w:ascii="Times New Roman" w:eastAsia="Times New Roman" w:hAnsi="Times New Roman" w:cs="Times New Roman"/>
          <w:iCs/>
          <w:u w:val="single"/>
        </w:rPr>
      </w:pPr>
      <w:r>
        <w:rPr>
          <w:rFonts w:ascii="Times New Roman" w:eastAsia="Times New Roman" w:hAnsi="Times New Roman" w:cs="Times New Roman"/>
          <w:iCs/>
          <w:u w:val="single"/>
        </w:rPr>
        <w:t>Eliminacija</w:t>
      </w:r>
    </w:p>
    <w:p w14:paraId="73578110" w14:textId="77777777" w:rsidR="008F7970" w:rsidRDefault="00AD4BB2">
      <w:pPr>
        <w:widowControl w:val="0"/>
        <w:tabs>
          <w:tab w:val="left" w:pos="567"/>
        </w:tabs>
        <w:ind w:left="0" w:firstLine="0"/>
        <w:rPr>
          <w:rFonts w:ascii="Times New Roman" w:eastAsia="Times New Roman" w:hAnsi="Times New Roman" w:cs="Times New Roman"/>
          <w:iCs/>
          <w:snapToGrid w:val="0"/>
        </w:rPr>
      </w:pPr>
      <w:r>
        <w:rPr>
          <w:rFonts w:ascii="Times New Roman" w:eastAsia="Times New Roman" w:hAnsi="Times New Roman" w:cs="Times New Roman"/>
          <w:iCs/>
          <w:snapToGrid w:val="0"/>
        </w:rPr>
        <w:t xml:space="preserve">Nepakitęs </w:t>
      </w:r>
      <w:proofErr w:type="spellStart"/>
      <w:r>
        <w:rPr>
          <w:rFonts w:ascii="Times New Roman" w:eastAsia="Times New Roman" w:hAnsi="Times New Roman" w:cs="Times New Roman"/>
          <w:iCs/>
          <w:snapToGrid w:val="0"/>
        </w:rPr>
        <w:t>pitavastatinas</w:t>
      </w:r>
      <w:proofErr w:type="spellEnd"/>
      <w:r>
        <w:rPr>
          <w:rFonts w:ascii="Times New Roman" w:eastAsia="Times New Roman" w:hAnsi="Times New Roman" w:cs="Times New Roman"/>
          <w:iCs/>
          <w:snapToGrid w:val="0"/>
        </w:rPr>
        <w:t xml:space="preserve"> greitai pasišalina iš kepenų su tulžimi, tačiau vyksta </w:t>
      </w:r>
      <w:proofErr w:type="spellStart"/>
      <w:r>
        <w:rPr>
          <w:rFonts w:ascii="Times New Roman" w:eastAsia="Times New Roman" w:hAnsi="Times New Roman" w:cs="Times New Roman"/>
          <w:iCs/>
          <w:snapToGrid w:val="0"/>
        </w:rPr>
        <w:t>enterohepatinė</w:t>
      </w:r>
      <w:proofErr w:type="spellEnd"/>
      <w:r>
        <w:rPr>
          <w:rFonts w:ascii="Times New Roman" w:eastAsia="Times New Roman" w:hAnsi="Times New Roman" w:cs="Times New Roman"/>
          <w:iCs/>
          <w:snapToGrid w:val="0"/>
        </w:rPr>
        <w:t xml:space="preserve"> </w:t>
      </w:r>
      <w:proofErr w:type="spellStart"/>
      <w:r>
        <w:rPr>
          <w:rFonts w:ascii="Times New Roman" w:eastAsia="Times New Roman" w:hAnsi="Times New Roman" w:cs="Times New Roman"/>
          <w:iCs/>
          <w:snapToGrid w:val="0"/>
        </w:rPr>
        <w:t>recirkuliacija</w:t>
      </w:r>
      <w:proofErr w:type="spellEnd"/>
      <w:r>
        <w:rPr>
          <w:rFonts w:ascii="Times New Roman" w:eastAsia="Times New Roman" w:hAnsi="Times New Roman" w:cs="Times New Roman"/>
          <w:iCs/>
          <w:snapToGrid w:val="0"/>
        </w:rPr>
        <w:t xml:space="preserve">, todėl jo veikimo trukmė yra ilgesnė. Mažiau nei 5 %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išsiskiria su šlapimu. </w:t>
      </w:r>
      <w:r>
        <w:rPr>
          <w:rFonts w:ascii="Times New Roman" w:eastAsia="Times New Roman" w:hAnsi="Times New Roman" w:cs="Times New Roman"/>
          <w:iCs/>
          <w:snapToGrid w:val="0"/>
        </w:rPr>
        <w:lastRenderedPageBreak/>
        <w:t xml:space="preserve">Pusinės eliminacijos iš kraujo plazmos laikas svyruoja nuo 5,7 valandos (po vienkartinės dozės pavartojimo ) iki 8,9 valandos (nusistovėjus </w:t>
      </w:r>
      <w:proofErr w:type="spellStart"/>
      <w:r>
        <w:rPr>
          <w:rFonts w:ascii="Times New Roman" w:eastAsia="Times New Roman" w:hAnsi="Times New Roman" w:cs="Times New Roman"/>
          <w:iCs/>
          <w:snapToGrid w:val="0"/>
        </w:rPr>
        <w:t>pusiausvyrinei</w:t>
      </w:r>
      <w:proofErr w:type="spellEnd"/>
      <w:r>
        <w:rPr>
          <w:rFonts w:ascii="Times New Roman" w:eastAsia="Times New Roman" w:hAnsi="Times New Roman" w:cs="Times New Roman"/>
          <w:iCs/>
          <w:snapToGrid w:val="0"/>
        </w:rPr>
        <w:t xml:space="preserve"> apykaitai), o tariamojo per burną pavartoto vaistinio preparato klirenso geometrinis vidurkis po vienkartinės dozės pavartojimo yra 43,4 l/val.</w:t>
      </w:r>
    </w:p>
    <w:p w14:paraId="7EFF2677"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1D73938D"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Žmonėms per burną pavartojus 20 mg</w:t>
      </w:r>
      <w:r>
        <w:rPr>
          <w:rFonts w:ascii="Times New Roman" w:eastAsia="Times New Roman" w:hAnsi="Times New Roman" w:cs="Times New Roman"/>
          <w:vertAlign w:val="superscript"/>
        </w:rPr>
        <w:t xml:space="preserve"> 14</w:t>
      </w:r>
      <w:r>
        <w:rPr>
          <w:rFonts w:ascii="Times New Roman" w:eastAsia="Times New Roman" w:hAnsi="Times New Roman" w:cs="Times New Roman"/>
        </w:rPr>
        <w:t xml:space="preserve">C pažymėto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bendrasis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sudarė maždaug 93 % bendrojo radioaktyvumo kraujo plazmoje. Maždaug 78 % ir 11 % pavartoto radioaktyvumo nustatyta atitinkamai išmatose ir šlapime (jie rinkti 10 dienų). Po 48 val. kraujo plazmoje radioaktyvumo nenustatyta.</w:t>
      </w:r>
    </w:p>
    <w:p w14:paraId="75F0467C"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1DCD0114" w14:textId="77777777" w:rsidR="008F7970" w:rsidRDefault="00AD4BB2">
      <w:pPr>
        <w:widowControl w:val="0"/>
        <w:numPr>
          <w:ilvl w:val="12"/>
          <w:numId w:val="0"/>
        </w:numPr>
        <w:tabs>
          <w:tab w:val="left" w:pos="567"/>
        </w:tabs>
        <w:ind w:right="-2"/>
        <w:rPr>
          <w:rFonts w:ascii="Times New Roman" w:eastAsia="Times New Roman" w:hAnsi="Times New Roman" w:cs="Times New Roman"/>
          <w:iCs/>
          <w:u w:val="single"/>
        </w:rPr>
      </w:pPr>
      <w:r>
        <w:rPr>
          <w:rFonts w:ascii="Times New Roman" w:eastAsia="Times New Roman" w:hAnsi="Times New Roman" w:cs="Times New Roman"/>
          <w:iCs/>
          <w:u w:val="single"/>
        </w:rPr>
        <w:t>Maisto poveikis</w:t>
      </w:r>
    </w:p>
    <w:p w14:paraId="5CAF23D2" w14:textId="77777777" w:rsidR="008F7970" w:rsidRDefault="00AD4BB2">
      <w:pPr>
        <w:widowControl w:val="0"/>
        <w:numPr>
          <w:ilvl w:val="12"/>
          <w:numId w:val="0"/>
        </w:numPr>
        <w:tabs>
          <w:tab w:val="left" w:pos="567"/>
        </w:tabs>
        <w:ind w:right="-2"/>
        <w:rPr>
          <w:rFonts w:ascii="Times New Roman" w:eastAsia="Times New Roman" w:hAnsi="Times New Roman" w:cs="Times New Roman"/>
          <w:iCs/>
        </w:rPr>
      </w:pPr>
      <w:r>
        <w:rPr>
          <w:rFonts w:ascii="Times New Roman" w:eastAsia="Times New Roman" w:hAnsi="Times New Roman" w:cs="Times New Roman"/>
          <w:iCs/>
        </w:rPr>
        <w:t xml:space="preserve">Didžiausia </w:t>
      </w:r>
      <w:proofErr w:type="spellStart"/>
      <w:r>
        <w:rPr>
          <w:rFonts w:ascii="Times New Roman" w:eastAsia="Times New Roman" w:hAnsi="Times New Roman" w:cs="Times New Roman"/>
          <w:iCs/>
        </w:rPr>
        <w:t>pitavastatino</w:t>
      </w:r>
      <w:proofErr w:type="spellEnd"/>
      <w:r>
        <w:rPr>
          <w:rFonts w:ascii="Times New Roman" w:eastAsia="Times New Roman" w:hAnsi="Times New Roman" w:cs="Times New Roman"/>
          <w:iCs/>
        </w:rPr>
        <w:t xml:space="preserve"> koncentracija kraujo plazmoje sumažėjo 43 %, kai jis buvo vartojamas su labai riebiu maistu, tačiau AUC nepakito.</w:t>
      </w:r>
    </w:p>
    <w:p w14:paraId="45FE1B09"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406009C0" w14:textId="77777777" w:rsidR="008F7970" w:rsidRDefault="00AD4BB2">
      <w:pPr>
        <w:widowControl w:val="0"/>
        <w:numPr>
          <w:ilvl w:val="12"/>
          <w:numId w:val="0"/>
        </w:numPr>
        <w:tabs>
          <w:tab w:val="left" w:pos="567"/>
        </w:tabs>
        <w:ind w:right="-2"/>
        <w:rPr>
          <w:rFonts w:ascii="Times New Roman" w:eastAsia="Times New Roman" w:hAnsi="Times New Roman" w:cs="Times New Roman"/>
          <w:iCs/>
        </w:rPr>
      </w:pPr>
      <w:r>
        <w:rPr>
          <w:rFonts w:ascii="Times New Roman" w:eastAsia="Times New Roman" w:hAnsi="Times New Roman" w:cs="Times New Roman"/>
          <w:iCs/>
        </w:rPr>
        <w:t xml:space="preserve">Kartu vartojamas maistas (labai riebus ar neriebus) biologinio per burną vartojamo </w:t>
      </w:r>
      <w:proofErr w:type="spellStart"/>
      <w:r>
        <w:rPr>
          <w:rFonts w:ascii="Times New Roman" w:eastAsia="Times New Roman" w:hAnsi="Times New Roman" w:cs="Times New Roman"/>
          <w:iCs/>
        </w:rPr>
        <w:t>ezetimibo</w:t>
      </w:r>
      <w:proofErr w:type="spellEnd"/>
      <w:r>
        <w:rPr>
          <w:rFonts w:ascii="Times New Roman" w:eastAsia="Times New Roman" w:hAnsi="Times New Roman" w:cs="Times New Roman"/>
          <w:iCs/>
        </w:rPr>
        <w:t xml:space="preserve"> prieinamumo neveikė (vartotos 10 mg tabletės). </w:t>
      </w:r>
    </w:p>
    <w:p w14:paraId="3F62F0A7"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51B711B5" w14:textId="77777777" w:rsidR="008F7970" w:rsidRDefault="00AD4BB2">
      <w:pPr>
        <w:widowControl w:val="0"/>
        <w:numPr>
          <w:ilvl w:val="12"/>
          <w:numId w:val="0"/>
        </w:numPr>
        <w:tabs>
          <w:tab w:val="left" w:pos="567"/>
        </w:tabs>
        <w:ind w:right="-2"/>
        <w:rPr>
          <w:rFonts w:ascii="Times New Roman" w:eastAsia="Times New Roman" w:hAnsi="Times New Roman" w:cs="Times New Roman"/>
          <w:iCs/>
        </w:rPr>
      </w:pPr>
      <w:proofErr w:type="spellStart"/>
      <w:r>
        <w:rPr>
          <w:rFonts w:ascii="Times New Roman" w:eastAsia="Times New Roman" w:hAnsi="Times New Roman" w:cs="Times New Roman"/>
          <w:iCs/>
        </w:rPr>
        <w:t>Pitezenib</w:t>
      </w:r>
      <w:proofErr w:type="spellEnd"/>
      <w:r>
        <w:rPr>
          <w:rFonts w:ascii="Times New Roman" w:eastAsia="Times New Roman" w:hAnsi="Times New Roman" w:cs="Times New Roman"/>
          <w:iCs/>
        </w:rPr>
        <w:t xml:space="preserve"> galima vartoti valgio metu ar nevalgius.</w:t>
      </w:r>
    </w:p>
    <w:p w14:paraId="772F1AD3" w14:textId="77777777" w:rsidR="008F7970" w:rsidRDefault="008F7970">
      <w:pPr>
        <w:widowControl w:val="0"/>
        <w:numPr>
          <w:ilvl w:val="12"/>
          <w:numId w:val="0"/>
        </w:numPr>
        <w:tabs>
          <w:tab w:val="left" w:pos="567"/>
        </w:tabs>
        <w:ind w:right="-2"/>
        <w:rPr>
          <w:rFonts w:ascii="Times New Roman" w:eastAsia="Times New Roman" w:hAnsi="Times New Roman" w:cs="Times New Roman"/>
          <w:iCs/>
        </w:rPr>
      </w:pPr>
    </w:p>
    <w:p w14:paraId="65251B31" w14:textId="77777777" w:rsidR="008F7970" w:rsidRDefault="00AD4BB2">
      <w:pPr>
        <w:widowControl w:val="0"/>
        <w:numPr>
          <w:ilvl w:val="12"/>
          <w:numId w:val="0"/>
        </w:numPr>
        <w:tabs>
          <w:tab w:val="left" w:pos="567"/>
        </w:tabs>
        <w:ind w:right="-2"/>
        <w:rPr>
          <w:rFonts w:ascii="Times New Roman" w:eastAsia="Times New Roman" w:hAnsi="Times New Roman" w:cs="Times New Roman"/>
          <w:iCs/>
          <w:u w:val="single"/>
        </w:rPr>
      </w:pPr>
      <w:r>
        <w:rPr>
          <w:rFonts w:ascii="Times New Roman" w:eastAsia="Times New Roman" w:hAnsi="Times New Roman" w:cs="Times New Roman"/>
          <w:iCs/>
          <w:u w:val="single"/>
        </w:rPr>
        <w:t>Tiesinis / netiesinis pobūdis</w:t>
      </w:r>
    </w:p>
    <w:p w14:paraId="5B912175" w14:textId="77777777" w:rsidR="008F7970" w:rsidRDefault="00AD4BB2">
      <w:pPr>
        <w:widowControl w:val="0"/>
        <w:numPr>
          <w:ilvl w:val="12"/>
          <w:numId w:val="0"/>
        </w:numPr>
        <w:tabs>
          <w:tab w:val="left" w:pos="567"/>
        </w:tabs>
        <w:ind w:right="-2"/>
        <w:rPr>
          <w:rFonts w:ascii="Times New Roman" w:eastAsia="Times New Roman" w:hAnsi="Times New Roman" w:cs="Times New Roman"/>
          <w:iCs/>
        </w:rPr>
      </w:pPr>
      <w:proofErr w:type="spellStart"/>
      <w:r>
        <w:rPr>
          <w:rFonts w:ascii="Times New Roman" w:eastAsia="Times New Roman" w:hAnsi="Times New Roman" w:cs="Times New Roman"/>
          <w:iCs/>
        </w:rPr>
        <w:t>Pitavastatino</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C</w:t>
      </w:r>
      <w:r>
        <w:rPr>
          <w:rFonts w:ascii="Times New Roman" w:eastAsia="Times New Roman" w:hAnsi="Times New Roman" w:cs="Times New Roman"/>
          <w:iCs/>
          <w:vertAlign w:val="subscript"/>
        </w:rPr>
        <w:t>max</w:t>
      </w:r>
      <w:proofErr w:type="spellEnd"/>
      <w:r>
        <w:rPr>
          <w:rFonts w:ascii="Times New Roman" w:eastAsia="Times New Roman" w:hAnsi="Times New Roman" w:cs="Times New Roman"/>
          <w:iCs/>
        </w:rPr>
        <w:t xml:space="preserve"> ir AUC didėjo tiesiogiai proporcingai dozei, ir tiesinis ryšys buvo patvirtintas. </w:t>
      </w:r>
      <w:proofErr w:type="spellStart"/>
      <w:r>
        <w:rPr>
          <w:rFonts w:ascii="Times New Roman" w:eastAsia="Times New Roman" w:hAnsi="Times New Roman" w:cs="Times New Roman"/>
          <w:iCs/>
        </w:rPr>
        <w:t>Pitavastatino</w:t>
      </w:r>
      <w:proofErr w:type="spellEnd"/>
      <w:r>
        <w:rPr>
          <w:rFonts w:ascii="Times New Roman" w:eastAsia="Times New Roman" w:hAnsi="Times New Roman" w:cs="Times New Roman"/>
          <w:iCs/>
        </w:rPr>
        <w:t xml:space="preserve"> terapinė dozė yra nuo 1 iki 4 mg, o </w:t>
      </w:r>
      <w:proofErr w:type="spellStart"/>
      <w:r>
        <w:rPr>
          <w:rFonts w:ascii="Times New Roman" w:eastAsia="Times New Roman" w:hAnsi="Times New Roman" w:cs="Times New Roman"/>
          <w:iCs/>
        </w:rPr>
        <w:t>ezetimibas</w:t>
      </w:r>
      <w:proofErr w:type="spellEnd"/>
      <w:r>
        <w:rPr>
          <w:rFonts w:ascii="Times New Roman" w:eastAsia="Times New Roman" w:hAnsi="Times New Roman" w:cs="Times New Roman"/>
          <w:iCs/>
        </w:rPr>
        <w:t xml:space="preserve"> klinikinėje praktikoje skiriamas fiksuota 10 mg doze.</w:t>
      </w:r>
    </w:p>
    <w:p w14:paraId="69BD6C9A" w14:textId="77777777" w:rsidR="008F7970" w:rsidRDefault="008F7970">
      <w:pPr>
        <w:widowControl w:val="0"/>
        <w:numPr>
          <w:ilvl w:val="12"/>
          <w:numId w:val="0"/>
        </w:numPr>
        <w:tabs>
          <w:tab w:val="left" w:pos="567"/>
        </w:tabs>
        <w:ind w:right="-2"/>
        <w:rPr>
          <w:rFonts w:ascii="Times New Roman" w:eastAsia="Times New Roman" w:hAnsi="Times New Roman" w:cs="Times New Roman"/>
          <w:iCs/>
          <w:u w:val="single"/>
        </w:rPr>
      </w:pPr>
    </w:p>
    <w:p w14:paraId="22FC4DC1" w14:textId="77777777" w:rsidR="008F7970" w:rsidRDefault="00AD4BB2">
      <w:pPr>
        <w:widowControl w:val="0"/>
        <w:tabs>
          <w:tab w:val="left" w:pos="567"/>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14:paraId="443F979D" w14:textId="77777777" w:rsidR="008F7970" w:rsidRDefault="008F7970">
      <w:pPr>
        <w:widowControl w:val="0"/>
        <w:tabs>
          <w:tab w:val="left" w:pos="567"/>
        </w:tabs>
        <w:ind w:left="0" w:firstLine="0"/>
        <w:rPr>
          <w:rFonts w:ascii="Times New Roman" w:eastAsia="Times New Roman" w:hAnsi="Times New Roman" w:cs="Times New Roman"/>
        </w:rPr>
      </w:pPr>
    </w:p>
    <w:p w14:paraId="56A84C35"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Senyvi pacientai</w:t>
      </w:r>
    </w:p>
    <w:p w14:paraId="118075DB" w14:textId="77777777" w:rsidR="008F7970" w:rsidRDefault="00AD4BB2">
      <w:pPr>
        <w:widowControl w:val="0"/>
        <w:tabs>
          <w:tab w:val="left" w:pos="567"/>
        </w:tabs>
        <w:ind w:left="0" w:firstLine="0"/>
        <w:rPr>
          <w:rFonts w:ascii="Times New Roman" w:eastAsia="Times New Roman" w:hAnsi="Times New Roman" w:cs="Times New Roman"/>
          <w:iCs/>
          <w:snapToGrid w:val="0"/>
        </w:rPr>
      </w:pPr>
      <w:r>
        <w:rPr>
          <w:rFonts w:ascii="Times New Roman" w:eastAsia="Times New Roman" w:hAnsi="Times New Roman" w:cs="Times New Roman"/>
          <w:iCs/>
          <w:snapToGrid w:val="0"/>
        </w:rPr>
        <w:t xml:space="preserve">Atlikus farmakokinetikos tyrimą, kurio metu buvo lyginami sveikų jaunų ir senyvų (≥ 65 metų) savanorių duomenys,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AUC rodmuo senyvo amžiaus asmenims buvo 1,3 karto didesnis. Tai neturėjo jokios įtakos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saugumui ar veiksmingumui senyviems pacientams klinikinių tyrimų metu.</w:t>
      </w:r>
    </w:p>
    <w:p w14:paraId="08361BEB" w14:textId="77777777" w:rsidR="008F7970" w:rsidRDefault="008F7970">
      <w:pPr>
        <w:widowControl w:val="0"/>
        <w:tabs>
          <w:tab w:val="left" w:pos="567"/>
        </w:tabs>
        <w:ind w:left="0" w:firstLine="0"/>
        <w:rPr>
          <w:rFonts w:ascii="Times New Roman" w:eastAsia="Times New Roman" w:hAnsi="Times New Roman" w:cs="Times New Roman"/>
        </w:rPr>
      </w:pPr>
    </w:p>
    <w:p w14:paraId="1ED9B32E"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Senyvų (vyresnių kaip 65 metų) žmonių kraujo plazmoje bendrojo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koncentracija būna maždaug 2 kartus didesnė negu jaunesnių (18-45 metų) žmonių kraujo plazmoje. Senyvų ir jaunesnių pacientų, vartojusių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MTL-C koncentracijos sumažėjimas ir saugumas yra panašūs, todėl senyviems pacientams dozės koreguoti nereikia.</w:t>
      </w:r>
    </w:p>
    <w:p w14:paraId="20BBB704" w14:textId="77777777" w:rsidR="008F7970" w:rsidRDefault="008F7970">
      <w:pPr>
        <w:widowControl w:val="0"/>
        <w:tabs>
          <w:tab w:val="left" w:pos="567"/>
        </w:tabs>
        <w:ind w:left="0" w:firstLine="0"/>
        <w:rPr>
          <w:rFonts w:ascii="Times New Roman" w:eastAsia="Times New Roman" w:hAnsi="Times New Roman" w:cs="Times New Roman"/>
        </w:rPr>
      </w:pPr>
    </w:p>
    <w:p w14:paraId="5C68DCFB"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Lytis</w:t>
      </w:r>
    </w:p>
    <w:p w14:paraId="3DF282CB"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iCs/>
          <w:snapToGrid w:val="0"/>
        </w:rPr>
        <w:t xml:space="preserve">Farmakokinetikos tyrimo, kurio metu buvo lyginami sveikų savanorių vyrų ir moterų duomenys, metu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AUC moterims buvo 1,6 karto didesnis. Tai neturėjo jokios įtakos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saugumui ar veiksmingumui moterims klinikinių tyrimų metu.</w:t>
      </w:r>
    </w:p>
    <w:p w14:paraId="1B907805" w14:textId="77777777" w:rsidR="008F7970" w:rsidRDefault="008F7970">
      <w:pPr>
        <w:widowControl w:val="0"/>
        <w:tabs>
          <w:tab w:val="left" w:pos="567"/>
        </w:tabs>
        <w:ind w:left="0" w:firstLine="0"/>
        <w:rPr>
          <w:rFonts w:ascii="Times New Roman" w:eastAsia="Times New Roman" w:hAnsi="Times New Roman" w:cs="Times New Roman"/>
        </w:rPr>
      </w:pPr>
    </w:p>
    <w:p w14:paraId="10591C3B"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Bendrojo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koncentracija moterų kraujo plazmoje būna šiek tiek (maždaug 20 %) didesnė negu vyrų.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gydomų moterų ir vyrų MTL-C koncentracijos sumažėjimas ir saugumas yra panašus, todėl dozės koreguoti atsižvelgiant į lytį nereikia.</w:t>
      </w:r>
    </w:p>
    <w:p w14:paraId="459CB0B1" w14:textId="77777777" w:rsidR="008F7970" w:rsidRDefault="008F7970">
      <w:pPr>
        <w:widowControl w:val="0"/>
        <w:tabs>
          <w:tab w:val="left" w:pos="567"/>
        </w:tabs>
        <w:ind w:left="0" w:firstLine="0"/>
        <w:rPr>
          <w:rFonts w:ascii="Times New Roman" w:eastAsia="Times New Roman" w:hAnsi="Times New Roman" w:cs="Times New Roman"/>
        </w:rPr>
      </w:pPr>
    </w:p>
    <w:p w14:paraId="2733450D" w14:textId="77777777" w:rsidR="008F7970" w:rsidRDefault="00AD4BB2">
      <w:pPr>
        <w:widowControl w:val="0"/>
        <w:tabs>
          <w:tab w:val="left" w:pos="567"/>
        </w:tabs>
        <w:ind w:left="0" w:firstLine="0"/>
        <w:rPr>
          <w:rFonts w:ascii="Times New Roman" w:eastAsia="Times New Roman" w:hAnsi="Times New Roman" w:cs="Times New Roman"/>
          <w:i/>
        </w:rPr>
      </w:pPr>
      <w:r>
        <w:rPr>
          <w:rFonts w:ascii="Times New Roman" w:eastAsia="Times New Roman" w:hAnsi="Times New Roman" w:cs="Times New Roman"/>
          <w:i/>
        </w:rPr>
        <w:t>Rasė</w:t>
      </w:r>
    </w:p>
    <w:p w14:paraId="74ECD9E3"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iCs/>
          <w:snapToGrid w:val="0"/>
        </w:rPr>
        <w:t xml:space="preserve">Įvertinus amžių ir kūno svorį, </w:t>
      </w:r>
      <w:proofErr w:type="spellStart"/>
      <w:r>
        <w:rPr>
          <w:rFonts w:ascii="Times New Roman" w:eastAsia="Times New Roman" w:hAnsi="Times New Roman" w:cs="Times New Roman"/>
          <w:iCs/>
          <w:snapToGrid w:val="0"/>
        </w:rPr>
        <w:t>pitavastatino</w:t>
      </w:r>
      <w:proofErr w:type="spellEnd"/>
      <w:r>
        <w:rPr>
          <w:rFonts w:ascii="Times New Roman" w:eastAsia="Times New Roman" w:hAnsi="Times New Roman" w:cs="Times New Roman"/>
          <w:iCs/>
          <w:snapToGrid w:val="0"/>
        </w:rPr>
        <w:t xml:space="preserve"> farmakokinetikos savybės sveikų japonų ir baltaodžių savanorių grupėje nesiskyrė.</w:t>
      </w:r>
    </w:p>
    <w:p w14:paraId="3D6FD552" w14:textId="77777777" w:rsidR="008F7970" w:rsidRDefault="008F7970">
      <w:pPr>
        <w:widowControl w:val="0"/>
        <w:tabs>
          <w:tab w:val="left" w:pos="567"/>
        </w:tabs>
        <w:ind w:left="0" w:firstLine="0"/>
        <w:rPr>
          <w:rFonts w:ascii="Times New Roman" w:eastAsia="Times New Roman" w:hAnsi="Times New Roman" w:cs="Times New Roman"/>
        </w:rPr>
      </w:pPr>
    </w:p>
    <w:p w14:paraId="06578E5F"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i/>
          <w:iCs/>
        </w:rPr>
        <w:t>Vaikų populiacija</w:t>
      </w:r>
    </w:p>
    <w:p w14:paraId="67FD9558"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snapToGrid w:val="0"/>
        </w:rPr>
        <w:t xml:space="preserve">Duomenų apie farmakokinetiką vaikų ir paauglių organizme yra nedaug. Tyrimo NK-104-4.01EU (žr. 5.1 skyrių) metu ištyrus negausius mėginius paaiškėjo nuo dozės priklausomas poveikis </w:t>
      </w:r>
      <w:proofErr w:type="spellStart"/>
      <w:r>
        <w:rPr>
          <w:rFonts w:ascii="Times New Roman" w:eastAsia="Times New Roman" w:hAnsi="Times New Roman" w:cs="Times New Roman"/>
          <w:snapToGrid w:val="0"/>
        </w:rPr>
        <w:t>pitavastatino</w:t>
      </w:r>
      <w:proofErr w:type="spellEnd"/>
      <w:r>
        <w:rPr>
          <w:rFonts w:ascii="Times New Roman" w:eastAsia="Times New Roman" w:hAnsi="Times New Roman" w:cs="Times New Roman"/>
          <w:snapToGrid w:val="0"/>
        </w:rPr>
        <w:t xml:space="preserve"> koncentracijai kraujo plazmoje praėjus 1 valandai po dozės pavartojimo. Taip pat gauta duomenų, kad koncentracija praėjus 1 valandai po dozės pavartojimo buvo (atvirkščiai) susijusi su kūno svoriu ir gali būti didesnė vaikams, palyginti su suaugusiaisiais.</w:t>
      </w:r>
    </w:p>
    <w:p w14:paraId="06575213" w14:textId="77777777" w:rsidR="008F7970" w:rsidRDefault="008F7970">
      <w:pPr>
        <w:widowControl w:val="0"/>
        <w:tabs>
          <w:tab w:val="left" w:pos="567"/>
        </w:tabs>
        <w:ind w:left="0" w:firstLine="0"/>
        <w:rPr>
          <w:rFonts w:ascii="Times New Roman" w:eastAsia="Times New Roman" w:hAnsi="Times New Roman" w:cs="Times New Roman"/>
        </w:rPr>
      </w:pPr>
    </w:p>
    <w:p w14:paraId="5EF4551A"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farmakokinetika 6 metų bei vyresnių vaikų ir suaugusių žmonių organizme yra panaši. </w:t>
      </w:r>
      <w:r>
        <w:rPr>
          <w:rFonts w:ascii="Times New Roman" w:eastAsia="Times New Roman" w:hAnsi="Times New Roman" w:cs="Times New Roman"/>
        </w:rPr>
        <w:lastRenderedPageBreak/>
        <w:t xml:space="preserve">Duomenų apie farmakokinetikos parametrus jaunesnių kaip 6 metų vaikų organizme nėra. Turima klinikinių duomenų tik apie </w:t>
      </w:r>
      <w:proofErr w:type="spellStart"/>
      <w:r>
        <w:rPr>
          <w:rFonts w:ascii="Times New Roman" w:eastAsia="Times New Roman" w:hAnsi="Times New Roman" w:cs="Times New Roman"/>
        </w:rPr>
        <w:t>HoŠH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HeFH</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sitosterolemija</w:t>
      </w:r>
      <w:proofErr w:type="spellEnd"/>
      <w:r>
        <w:rPr>
          <w:rFonts w:ascii="Times New Roman" w:eastAsia="Times New Roman" w:hAnsi="Times New Roman" w:cs="Times New Roman"/>
        </w:rPr>
        <w:t xml:space="preserve"> sergančius vaikus ir paauglius.</w:t>
      </w:r>
    </w:p>
    <w:p w14:paraId="5E71BB1B" w14:textId="77777777" w:rsidR="008F7970" w:rsidRDefault="008F7970">
      <w:pPr>
        <w:widowControl w:val="0"/>
        <w:tabs>
          <w:tab w:val="left" w:pos="567"/>
        </w:tabs>
        <w:ind w:left="0" w:firstLine="0"/>
        <w:rPr>
          <w:rFonts w:ascii="Times New Roman" w:eastAsia="Times New Roman" w:hAnsi="Times New Roman" w:cs="Times New Roman"/>
        </w:rPr>
      </w:pPr>
    </w:p>
    <w:p w14:paraId="4C23F3E4" w14:textId="77777777" w:rsidR="008F7970" w:rsidRDefault="00AD4BB2">
      <w:pPr>
        <w:widowControl w:val="0"/>
        <w:tabs>
          <w:tab w:val="left" w:pos="567"/>
        </w:tabs>
        <w:ind w:left="0" w:firstLine="0"/>
        <w:rPr>
          <w:rFonts w:ascii="Times New Roman" w:eastAsia="Times New Roman" w:hAnsi="Times New Roman" w:cs="Times New Roman"/>
          <w:iCs/>
          <w:u w:val="single"/>
        </w:rPr>
      </w:pPr>
      <w:r>
        <w:rPr>
          <w:rFonts w:ascii="Times New Roman" w:eastAsia="Times New Roman" w:hAnsi="Times New Roman" w:cs="Times New Roman"/>
          <w:iCs/>
          <w:u w:val="single"/>
        </w:rPr>
        <w:t>Sutrikusi inkstų funkcija</w:t>
      </w:r>
    </w:p>
    <w:p w14:paraId="1A50600D"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snapToGrid w:val="0"/>
        </w:rPr>
        <w:t>Pacientams, kuriems yra vidutinio sunkumo inkstų liga ir kurie gydomi hemodialize, AUC rodmenys padidėjo atitinkamai 1,8 ir 1,7 karto (žr. 4.2 skyrių).</w:t>
      </w:r>
    </w:p>
    <w:p w14:paraId="18818D9E" w14:textId="77777777" w:rsidR="008F7970" w:rsidRDefault="008F7970">
      <w:pPr>
        <w:widowControl w:val="0"/>
        <w:tabs>
          <w:tab w:val="left" w:pos="567"/>
        </w:tabs>
        <w:ind w:left="0" w:firstLine="0"/>
        <w:rPr>
          <w:rFonts w:ascii="Times New Roman" w:eastAsia="Times New Roman" w:hAnsi="Times New Roman" w:cs="Times New Roman"/>
        </w:rPr>
      </w:pPr>
    </w:p>
    <w:p w14:paraId="3D22B765" w14:textId="77777777" w:rsidR="008F7970" w:rsidRDefault="00AD4BB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 vienos 10 mg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dozės pacientams, sergantiems sunkia inkstų liga (n = 8; vidutinis </w:t>
      </w:r>
      <w:proofErr w:type="spellStart"/>
      <w:r>
        <w:rPr>
          <w:rFonts w:ascii="Times New Roman" w:eastAsia="Times New Roman" w:hAnsi="Times New Roman" w:cs="Times New Roman"/>
          <w:lang w:eastAsia="sl-SI"/>
        </w:rPr>
        <w:t>CrCl</w:t>
      </w:r>
      <w:proofErr w:type="spellEnd"/>
      <w:r>
        <w:rPr>
          <w:rFonts w:ascii="Times New Roman" w:eastAsia="Times New Roman" w:hAnsi="Times New Roman" w:cs="Times New Roman"/>
          <w:lang w:eastAsia="sl-SI"/>
        </w:rPr>
        <w:t> ≤ 0,5 ml/s/1,73 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xml:space="preserve"> (30 ml/min./1,73 m</w:t>
      </w:r>
      <w:r>
        <w:rPr>
          <w:rFonts w:ascii="Times New Roman" w:eastAsia="Times New Roman" w:hAnsi="Times New Roman" w:cs="Times New Roman"/>
          <w:vertAlign w:val="superscript"/>
          <w:lang w:eastAsia="sl-SI"/>
        </w:rPr>
        <w:t>2</w:t>
      </w:r>
      <w:r>
        <w:rPr>
          <w:rFonts w:ascii="Times New Roman" w:eastAsia="Times New Roman" w:hAnsi="Times New Roman" w:cs="Times New Roman"/>
          <w:lang w:eastAsia="sl-SI"/>
        </w:rPr>
        <w:t xml:space="preserve">)), vidutinis bendras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AUC padidėjo maždaug 1,5 karto, palyginti su sveikų tiriamųjų (n = 9) duomenimis. Šis rezultatas nelaikomas klinikai reikšmingu. Kitam šio tyrimo pacientui (po inksto transplantacijos ir vartojančiam daug vaistų, įskaitant </w:t>
      </w:r>
      <w:proofErr w:type="spellStart"/>
      <w:r>
        <w:rPr>
          <w:rFonts w:ascii="Times New Roman" w:eastAsia="Times New Roman" w:hAnsi="Times New Roman" w:cs="Times New Roman"/>
          <w:lang w:eastAsia="sl-SI"/>
        </w:rPr>
        <w:t>ciklosporino</w:t>
      </w:r>
      <w:proofErr w:type="spellEnd"/>
      <w:r>
        <w:rPr>
          <w:rFonts w:ascii="Times New Roman" w:eastAsia="Times New Roman" w:hAnsi="Times New Roman" w:cs="Times New Roman"/>
          <w:lang w:eastAsia="sl-SI"/>
        </w:rPr>
        <w:t xml:space="preserve">), nustatyta 12 kartų didesnė bendro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ekspozicija.</w:t>
      </w:r>
    </w:p>
    <w:p w14:paraId="77E28517" w14:textId="77777777" w:rsidR="008F7970" w:rsidRDefault="008F7970">
      <w:pPr>
        <w:widowControl w:val="0"/>
        <w:tabs>
          <w:tab w:val="left" w:pos="567"/>
        </w:tabs>
        <w:ind w:left="0" w:firstLine="0"/>
        <w:rPr>
          <w:rFonts w:ascii="Times New Roman" w:eastAsia="Times New Roman" w:hAnsi="Times New Roman" w:cs="Times New Roman"/>
        </w:rPr>
      </w:pPr>
    </w:p>
    <w:p w14:paraId="4818B6AC" w14:textId="77777777" w:rsidR="008F7970" w:rsidRDefault="00AD4BB2">
      <w:pPr>
        <w:widowControl w:val="0"/>
        <w:tabs>
          <w:tab w:val="left" w:pos="567"/>
        </w:tabs>
        <w:ind w:left="0" w:firstLine="0"/>
        <w:rPr>
          <w:rFonts w:ascii="Times New Roman" w:eastAsia="Times New Roman" w:hAnsi="Times New Roman" w:cs="Times New Roman"/>
          <w:iCs/>
          <w:u w:val="single"/>
        </w:rPr>
      </w:pPr>
      <w:r>
        <w:rPr>
          <w:rFonts w:ascii="Times New Roman" w:eastAsia="Times New Roman" w:hAnsi="Times New Roman" w:cs="Times New Roman"/>
          <w:iCs/>
          <w:u w:val="single"/>
        </w:rPr>
        <w:t>Sutrikusi kepenų funkcija</w:t>
      </w:r>
    </w:p>
    <w:p w14:paraId="7724ACF0" w14:textId="77777777" w:rsidR="008F7970" w:rsidRDefault="00AD4BB2">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snapToGrid w:val="0"/>
        </w:rPr>
        <w:t xml:space="preserve">Pacientų, kuriems buvo lengvas (A klasė pagal </w:t>
      </w:r>
      <w:proofErr w:type="spellStart"/>
      <w:r>
        <w:rPr>
          <w:rFonts w:ascii="Times New Roman" w:eastAsia="Times New Roman" w:hAnsi="Times New Roman" w:cs="Times New Roman"/>
          <w:i/>
          <w:iCs/>
          <w:snapToGrid w:val="0"/>
        </w:rPr>
        <w:t>Child-Pugh</w:t>
      </w:r>
      <w:proofErr w:type="spellEnd"/>
      <w:r>
        <w:rPr>
          <w:rFonts w:ascii="Times New Roman" w:eastAsia="Times New Roman" w:hAnsi="Times New Roman" w:cs="Times New Roman"/>
          <w:snapToGrid w:val="0"/>
        </w:rPr>
        <w:t xml:space="preserve">) kepenų funkcijos sutrikimas, organizme AUC buvo 1,6 karto didesnis nei sveikų asmenų organizme, o pacientų, kuriems buvo vidutinio sunkumo (B klasės pagal </w:t>
      </w:r>
      <w:proofErr w:type="spellStart"/>
      <w:r>
        <w:rPr>
          <w:rFonts w:ascii="Times New Roman" w:eastAsia="Times New Roman" w:hAnsi="Times New Roman" w:cs="Times New Roman"/>
          <w:i/>
          <w:iCs/>
          <w:snapToGrid w:val="0"/>
        </w:rPr>
        <w:t>Child-Pugh</w:t>
      </w:r>
      <w:proofErr w:type="spellEnd"/>
      <w:r>
        <w:rPr>
          <w:rFonts w:ascii="Times New Roman" w:eastAsia="Times New Roman" w:hAnsi="Times New Roman" w:cs="Times New Roman"/>
          <w:snapToGrid w:val="0"/>
        </w:rPr>
        <w:t xml:space="preserve">) kepenų funkcijos sutrikimas, organizme AUC buvo 3,9 karto didesnis. Pacientams, kuriems yra lengvas ir vidutinio sunkumo kepenų funkcijos sutrikimas, rekomenduojama riboti dozę (žr. 4.2 skyrių). </w:t>
      </w:r>
      <w:proofErr w:type="spellStart"/>
      <w:r>
        <w:rPr>
          <w:rFonts w:ascii="Times New Roman" w:eastAsia="Times New Roman" w:hAnsi="Times New Roman" w:cs="Times New Roman"/>
          <w:snapToGrid w:val="0"/>
        </w:rPr>
        <w:t>Pitezenib</w:t>
      </w:r>
      <w:proofErr w:type="spellEnd"/>
      <w:r>
        <w:rPr>
          <w:rFonts w:ascii="Times New Roman" w:eastAsia="Times New Roman" w:hAnsi="Times New Roman" w:cs="Times New Roman"/>
          <w:snapToGrid w:val="0"/>
        </w:rPr>
        <w:t xml:space="preserve"> draudžiama vartoti pacientams, kuriems yra sunkus kepenų funkcijos sutrikimas.</w:t>
      </w:r>
    </w:p>
    <w:p w14:paraId="550B65D4" w14:textId="77777777" w:rsidR="008F7970" w:rsidRDefault="008F7970">
      <w:pPr>
        <w:widowControl w:val="0"/>
        <w:tabs>
          <w:tab w:val="left" w:pos="567"/>
        </w:tabs>
        <w:ind w:left="0" w:firstLine="0"/>
        <w:rPr>
          <w:rFonts w:ascii="Times New Roman" w:eastAsia="Times New Roman" w:hAnsi="Times New Roman" w:cs="Times New Roman"/>
        </w:rPr>
      </w:pPr>
    </w:p>
    <w:p w14:paraId="314E4C8F"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Pacientams, kuriems buvo lengvas kepenų funkcijos sutrikimas (įvertinimas pagal </w:t>
      </w:r>
      <w:proofErr w:type="spellStart"/>
      <w:r>
        <w:rPr>
          <w:rFonts w:ascii="Times New Roman" w:eastAsia="Times New Roman" w:hAnsi="Times New Roman" w:cs="Times New Roman"/>
          <w:i/>
        </w:rPr>
        <w:t>Child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Pugh</w:t>
      </w:r>
      <w:proofErr w:type="spellEnd"/>
      <w:r>
        <w:rPr>
          <w:rFonts w:ascii="Times New Roman" w:eastAsia="Times New Roman" w:hAnsi="Times New Roman" w:cs="Times New Roman"/>
        </w:rPr>
        <w:t xml:space="preserve"> 5-6), po vienkartinės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dozės pavartojimo vidutinis bendrojo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AUC padidėjo maždaug 1,7 karto, palyginti su rodmeniu sveikiems žmonėms. 14 dienų trukusio kartotinio 10 mg paros dozės vartojimo tyrimo metu pacientams, kuriems buvo vidutinio sunkumo kepenų funkcijos sutrikimas (įvertinimas pagal</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Child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Pugh</w:t>
      </w:r>
      <w:proofErr w:type="spellEnd"/>
      <w:r>
        <w:rPr>
          <w:rFonts w:ascii="Times New Roman" w:eastAsia="Times New Roman" w:hAnsi="Times New Roman" w:cs="Times New Roman"/>
        </w:rPr>
        <w:t xml:space="preserve"> 7-9), vidutinis 1-ąją ir 14-ąją dieną matuotas bendrojo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AUC padidėjo maždaug 4 kartus, palyginti su rodmeniu sveikais asmenims. Kadangi nežinoma, kokį poveikį padidėjusi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ekspozicija sukelia pacientams, kuriems yra vidutinio sunkumo ar sunkus kepenų funkcijos sutrikimas (įvertinimas pagal</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Child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Pugh</w:t>
      </w:r>
      <w:proofErr w:type="spellEnd"/>
      <w:r>
        <w:rPr>
          <w:rFonts w:ascii="Times New Roman" w:eastAsia="Times New Roman" w:hAnsi="Times New Roman" w:cs="Times New Roman"/>
        </w:rPr>
        <w:t xml:space="preserve"> &gt; 7),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tokiems pacientams vartoti nerekomenduojama (žr. 4.4 skyrių).</w:t>
      </w:r>
    </w:p>
    <w:p w14:paraId="23DBDBEC" w14:textId="77777777" w:rsidR="008F7970" w:rsidRDefault="008F7970">
      <w:pPr>
        <w:widowControl w:val="0"/>
        <w:autoSpaceDE w:val="0"/>
        <w:autoSpaceDN w:val="0"/>
        <w:adjustRightInd w:val="0"/>
        <w:ind w:left="0" w:firstLine="0"/>
        <w:rPr>
          <w:rFonts w:ascii="Times New Roman" w:eastAsia="TimesNewRoman" w:hAnsi="Times New Roman" w:cs="Times New Roman"/>
        </w:rPr>
      </w:pPr>
    </w:p>
    <w:p w14:paraId="4490BBA2" w14:textId="77777777" w:rsidR="008F7970" w:rsidRDefault="00AD4BB2">
      <w:pPr>
        <w:widowControl w:val="0"/>
        <w:tabs>
          <w:tab w:val="left" w:pos="567"/>
        </w:tabs>
        <w:outlineLvl w:val="2"/>
        <w:rPr>
          <w:rFonts w:ascii="Times New Roman" w:eastAsia="Times New Roman" w:hAnsi="Times New Roman" w:cs="Times New Roman"/>
          <w:b/>
          <w:kern w:val="28"/>
        </w:rPr>
      </w:pPr>
      <w:r>
        <w:rPr>
          <w:rFonts w:ascii="Times New Roman" w:eastAsia="Times New Roman" w:hAnsi="Times New Roman" w:cs="Times New Roman"/>
          <w:b/>
          <w:kern w:val="28"/>
        </w:rPr>
        <w:t>5.3</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Ikiklinikinių</w:t>
      </w:r>
      <w:proofErr w:type="spellEnd"/>
      <w:r>
        <w:rPr>
          <w:rFonts w:ascii="Times New Roman" w:eastAsia="Times New Roman" w:hAnsi="Times New Roman" w:cs="Times New Roman"/>
          <w:b/>
          <w:kern w:val="28"/>
        </w:rPr>
        <w:t xml:space="preserve"> saugumo tyrimų duomenys</w:t>
      </w:r>
    </w:p>
    <w:p w14:paraId="7F7B19F4" w14:textId="77777777" w:rsidR="008F7970" w:rsidRDefault="008F7970">
      <w:pPr>
        <w:widowControl w:val="0"/>
        <w:autoSpaceDE w:val="0"/>
        <w:autoSpaceDN w:val="0"/>
        <w:adjustRightInd w:val="0"/>
        <w:ind w:left="0" w:firstLine="0"/>
        <w:rPr>
          <w:rFonts w:ascii="Times New Roman" w:eastAsia="TimesNewRoman" w:hAnsi="Times New Roman" w:cs="Times New Roman"/>
        </w:rPr>
      </w:pPr>
    </w:p>
    <w:p w14:paraId="309F9942" w14:textId="77777777" w:rsidR="008F7970" w:rsidRDefault="00AD4BB2">
      <w:pPr>
        <w:ind w:left="0" w:firstLine="0"/>
        <w:rPr>
          <w:rFonts w:ascii="Times New Roman" w:eastAsia="Times New Roman" w:hAnsi="Times New Roman" w:cs="Times New Roman"/>
          <w:b/>
          <w:bCs/>
          <w:i/>
          <w:iCs/>
          <w:lang w:eastAsia="sl-SI"/>
        </w:rPr>
      </w:pPr>
      <w:r>
        <w:rPr>
          <w:rFonts w:ascii="Times New Roman" w:eastAsia="Times New Roman" w:hAnsi="Times New Roman" w:cs="Times New Roman"/>
          <w:b/>
          <w:bCs/>
          <w:i/>
          <w:iCs/>
          <w:lang w:eastAsia="sl-SI"/>
        </w:rPr>
        <w:t xml:space="preserve">Informacija, susijusi su </w:t>
      </w:r>
      <w:proofErr w:type="spellStart"/>
      <w:r>
        <w:rPr>
          <w:rFonts w:ascii="Times New Roman" w:eastAsia="Times New Roman" w:hAnsi="Times New Roman" w:cs="Times New Roman"/>
          <w:b/>
          <w:bCs/>
          <w:i/>
          <w:iCs/>
          <w:lang w:eastAsia="sl-SI"/>
        </w:rPr>
        <w:t>pitavastatinu</w:t>
      </w:r>
      <w:proofErr w:type="spellEnd"/>
    </w:p>
    <w:p w14:paraId="75C736F0" w14:textId="77777777" w:rsidR="008F7970" w:rsidRDefault="00AD4BB2">
      <w:pPr>
        <w:widowControl w:val="0"/>
        <w:ind w:left="0" w:firstLine="0"/>
        <w:rPr>
          <w:rFonts w:ascii="Times New Roman" w:eastAsia="Times New Roman" w:hAnsi="Times New Roman" w:cs="Times New Roman"/>
          <w:lang w:bidi="lt-LT"/>
        </w:rPr>
      </w:pPr>
      <w:r>
        <w:rPr>
          <w:rFonts w:ascii="Times New Roman" w:eastAsia="Times New Roman" w:hAnsi="Times New Roman" w:cs="Times New Roman"/>
          <w:lang w:bidi="lt-LT"/>
        </w:rPr>
        <w:t xml:space="preserve">Įprastų farmakologinio saugumo, kartotinių dozių toksiškumo, </w:t>
      </w:r>
      <w:proofErr w:type="spellStart"/>
      <w:r>
        <w:rPr>
          <w:rFonts w:ascii="Times New Roman" w:eastAsia="Times New Roman" w:hAnsi="Times New Roman" w:cs="Times New Roman"/>
          <w:lang w:bidi="lt-LT"/>
        </w:rPr>
        <w:t>genotoksiškumo</w:t>
      </w:r>
      <w:proofErr w:type="spellEnd"/>
      <w:r>
        <w:rPr>
          <w:rFonts w:ascii="Times New Roman" w:eastAsia="Times New Roman" w:hAnsi="Times New Roman" w:cs="Times New Roman"/>
          <w:lang w:bidi="lt-LT"/>
        </w:rPr>
        <w:t xml:space="preserve"> ir galimo </w:t>
      </w:r>
      <w:proofErr w:type="spellStart"/>
      <w:r>
        <w:rPr>
          <w:rFonts w:ascii="Times New Roman" w:eastAsia="Times New Roman" w:hAnsi="Times New Roman" w:cs="Times New Roman"/>
          <w:lang w:bidi="lt-LT"/>
        </w:rPr>
        <w:t>kancerogeniškumo</w:t>
      </w:r>
      <w:proofErr w:type="spellEnd"/>
      <w:r>
        <w:rPr>
          <w:rFonts w:ascii="Times New Roman" w:eastAsia="Times New Roman" w:hAnsi="Times New Roman" w:cs="Times New Roman"/>
          <w:lang w:bidi="lt-LT"/>
        </w:rPr>
        <w:t xml:space="preserve"> </w:t>
      </w:r>
      <w:proofErr w:type="spellStart"/>
      <w:r>
        <w:rPr>
          <w:rFonts w:ascii="Times New Roman" w:eastAsia="Times New Roman" w:hAnsi="Times New Roman" w:cs="Times New Roman"/>
          <w:lang w:bidi="lt-LT"/>
        </w:rPr>
        <w:t>ikiklinikinių</w:t>
      </w:r>
      <w:proofErr w:type="spellEnd"/>
      <w:r>
        <w:rPr>
          <w:rFonts w:ascii="Times New Roman" w:eastAsia="Times New Roman" w:hAnsi="Times New Roman" w:cs="Times New Roman"/>
          <w:lang w:bidi="lt-LT"/>
        </w:rPr>
        <w:t xml:space="preserve"> tyrimų duomenys specifinio pavojaus žmogui nerodo.</w:t>
      </w:r>
      <w:r>
        <w:rPr>
          <w:rFonts w:ascii="Times New Roman" w:eastAsia="Times New Roman" w:hAnsi="Times New Roman" w:cs="Times New Roman"/>
          <w:szCs w:val="24"/>
        </w:rPr>
        <w:t xml:space="preserve"> </w:t>
      </w:r>
      <w:r>
        <w:rPr>
          <w:rFonts w:ascii="Times New Roman" w:eastAsia="Times New Roman" w:hAnsi="Times New Roman" w:cs="Times New Roman"/>
          <w:lang w:bidi="lt-LT"/>
        </w:rPr>
        <w:t xml:space="preserve">Beždžionėms buvo pastebėta toksinio poveikio inkstams požymių, kai ekspozicija buvo didesnė nei nustatoma suaugusiems žmonėms, vartojusiems didžiausią 4 mg paros dozę, o beždžionėms pašalinimas su šlapimu yra daug svarbesnis nei kitoms gyvūnų rūšims. </w:t>
      </w:r>
      <w:proofErr w:type="spellStart"/>
      <w:r>
        <w:rPr>
          <w:rFonts w:ascii="Times New Roman" w:eastAsia="Times New Roman" w:hAnsi="Times New Roman" w:cs="Times New Roman"/>
          <w:i/>
          <w:iCs/>
          <w:lang w:bidi="lt-LT"/>
        </w:rPr>
        <w:t>In</w:t>
      </w:r>
      <w:proofErr w:type="spellEnd"/>
      <w:r>
        <w:rPr>
          <w:rFonts w:ascii="Times New Roman" w:eastAsia="Times New Roman" w:hAnsi="Times New Roman" w:cs="Times New Roman"/>
          <w:i/>
          <w:iCs/>
          <w:lang w:bidi="lt-LT"/>
        </w:rPr>
        <w:t xml:space="preserve"> </w:t>
      </w:r>
      <w:proofErr w:type="spellStart"/>
      <w:r>
        <w:rPr>
          <w:rFonts w:ascii="Times New Roman" w:eastAsia="Times New Roman" w:hAnsi="Times New Roman" w:cs="Times New Roman"/>
          <w:i/>
          <w:iCs/>
          <w:lang w:bidi="lt-LT"/>
        </w:rPr>
        <w:t>vitro</w:t>
      </w:r>
      <w:proofErr w:type="spellEnd"/>
      <w:r>
        <w:rPr>
          <w:rFonts w:ascii="Times New Roman" w:eastAsia="Times New Roman" w:hAnsi="Times New Roman" w:cs="Times New Roman"/>
          <w:lang w:bidi="lt-LT"/>
        </w:rPr>
        <w:t xml:space="preserve"> tyrimai su kepenų </w:t>
      </w:r>
      <w:proofErr w:type="spellStart"/>
      <w:r>
        <w:rPr>
          <w:rFonts w:ascii="Times New Roman" w:eastAsia="Times New Roman" w:hAnsi="Times New Roman" w:cs="Times New Roman"/>
          <w:lang w:bidi="lt-LT"/>
        </w:rPr>
        <w:t>mikrosomomis</w:t>
      </w:r>
      <w:proofErr w:type="spellEnd"/>
      <w:r>
        <w:rPr>
          <w:rFonts w:ascii="Times New Roman" w:eastAsia="Times New Roman" w:hAnsi="Times New Roman" w:cs="Times New Roman"/>
          <w:lang w:bidi="lt-LT"/>
        </w:rPr>
        <w:t xml:space="preserve"> rodo, kad tai gali būti susiję su beždžionėms specifiniu metabolitu. Mažai tikėtina, kad beždžionėms stebėtas poveikis inkstams būtų kliniškai svarbus žmonėms, tačiau inkstų nepageidaujamų reakcijų galimybės visiškai atmesti negalima.</w:t>
      </w:r>
    </w:p>
    <w:p w14:paraId="76939DB4" w14:textId="77777777" w:rsidR="008F7970" w:rsidRDefault="008F7970">
      <w:pPr>
        <w:widowControl w:val="0"/>
        <w:ind w:left="0" w:firstLine="0"/>
        <w:rPr>
          <w:rFonts w:ascii="Times New Roman" w:eastAsia="Times New Roman" w:hAnsi="Times New Roman" w:cs="Times New Roman"/>
          <w:lang w:bidi="lt-LT"/>
        </w:rPr>
      </w:pPr>
    </w:p>
    <w:p w14:paraId="181600CC" w14:textId="77777777" w:rsidR="008F7970" w:rsidRDefault="00AD4BB2">
      <w:pPr>
        <w:widowControl w:val="0"/>
        <w:ind w:left="0" w:firstLine="0"/>
        <w:rPr>
          <w:rFonts w:ascii="Times New Roman" w:eastAsia="Times New Roman" w:hAnsi="Times New Roman" w:cs="Times New Roman"/>
          <w:lang w:bidi="lt-LT"/>
        </w:rPr>
      </w:pPr>
      <w:proofErr w:type="spellStart"/>
      <w:r>
        <w:rPr>
          <w:rFonts w:ascii="Times New Roman" w:eastAsia="Times New Roman" w:hAnsi="Times New Roman" w:cs="Times New Roman"/>
          <w:lang w:bidi="lt-LT"/>
        </w:rPr>
        <w:t>Pitavastatinas</w:t>
      </w:r>
      <w:proofErr w:type="spellEnd"/>
      <w:r>
        <w:rPr>
          <w:rFonts w:ascii="Times New Roman" w:eastAsia="Times New Roman" w:hAnsi="Times New Roman" w:cs="Times New Roman"/>
          <w:lang w:bidi="lt-LT"/>
        </w:rPr>
        <w:t xml:space="preserve"> neturėjo poveikio vaisingumui ar reprodukcinei funkcijai ir nebuvo gauta jokių duomenų apie galimą </w:t>
      </w:r>
      <w:proofErr w:type="spellStart"/>
      <w:r>
        <w:rPr>
          <w:rFonts w:ascii="Times New Roman" w:eastAsia="Times New Roman" w:hAnsi="Times New Roman" w:cs="Times New Roman"/>
          <w:lang w:bidi="lt-LT"/>
        </w:rPr>
        <w:t>teratogeninį</w:t>
      </w:r>
      <w:proofErr w:type="spellEnd"/>
      <w:r>
        <w:rPr>
          <w:rFonts w:ascii="Times New Roman" w:eastAsia="Times New Roman" w:hAnsi="Times New Roman" w:cs="Times New Roman"/>
          <w:lang w:bidi="lt-LT"/>
        </w:rPr>
        <w:t xml:space="preserve"> poveikį. Vis dėlto vartojant dideles dozes buvo pastebėtas toksinis poveikis nėščioms patelėms. Tyrimo su žiurkėmis metu nustatytas vaikingų patelių žuvimas atsivedimo metu ar likus nedaug laiko iki jo, kartu įvykstant vaisiaus ar jauniklio žūčiai, kai paros dozė buvo 1 mg/kg (maždaug 4 kartus didesnė už didžiausią žmogui skiriamą dozę, remiantis AUC). Tyrimų su jaunikliais neatlikta.</w:t>
      </w:r>
    </w:p>
    <w:p w14:paraId="1F295612" w14:textId="77777777" w:rsidR="008F7970" w:rsidRDefault="008F7970">
      <w:pPr>
        <w:widowControl w:val="0"/>
        <w:tabs>
          <w:tab w:val="left" w:pos="567"/>
        </w:tabs>
        <w:ind w:left="0" w:firstLine="0"/>
        <w:rPr>
          <w:rFonts w:ascii="Times New Roman" w:eastAsia="Times New Roman" w:hAnsi="Times New Roman" w:cs="Times New Roman"/>
        </w:rPr>
      </w:pPr>
    </w:p>
    <w:p w14:paraId="0FD7C0B7" w14:textId="77777777" w:rsidR="008F7970" w:rsidRDefault="00AD4BB2">
      <w:pPr>
        <w:ind w:left="0" w:firstLine="0"/>
        <w:rPr>
          <w:rFonts w:ascii="Times New Roman" w:eastAsia="Times New Roman" w:hAnsi="Times New Roman" w:cs="Times New Roman"/>
          <w:b/>
          <w:bCs/>
          <w:i/>
          <w:iCs/>
          <w:lang w:eastAsia="sl-SI"/>
        </w:rPr>
      </w:pPr>
      <w:r>
        <w:rPr>
          <w:rFonts w:ascii="Times New Roman" w:eastAsia="Times New Roman" w:hAnsi="Times New Roman" w:cs="Times New Roman"/>
          <w:b/>
          <w:bCs/>
          <w:i/>
          <w:iCs/>
          <w:lang w:eastAsia="sl-SI"/>
        </w:rPr>
        <w:t xml:space="preserve">Informacija, susijusi su </w:t>
      </w:r>
      <w:proofErr w:type="spellStart"/>
      <w:r>
        <w:rPr>
          <w:rFonts w:ascii="Times New Roman" w:eastAsia="Times New Roman" w:hAnsi="Times New Roman" w:cs="Times New Roman"/>
          <w:b/>
          <w:bCs/>
          <w:i/>
          <w:iCs/>
          <w:lang w:eastAsia="sl-SI"/>
        </w:rPr>
        <w:t>ezetimibu</w:t>
      </w:r>
      <w:proofErr w:type="spellEnd"/>
    </w:p>
    <w:p w14:paraId="6308ED97" w14:textId="77777777" w:rsidR="008F7970" w:rsidRDefault="00AD4BB2">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Lėtinio toksinio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poveikio tyrimų su gyvūnais metu organų taikinių, kuriems pasireiškia toksinis poveikis, nenustatyta. Šunų, kuriems 4 savaites buvo skirta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(paros dozė buvo ≥ 0,03 mg/kg kūno svorio), cholesterolio koncentracija tulžies pūslės tulžyje padidėjo 2,5-3,5 karto. Vis dėlto vienerių metų tyrimo metu šunims, kuriems buvo skiriama ne didesnė kaip 300 mg/kg kūno svorio paros dozė, tulžies akmenligės ar kitokio poveikio </w:t>
      </w:r>
      <w:proofErr w:type="spellStart"/>
      <w:r>
        <w:rPr>
          <w:rFonts w:ascii="Times New Roman" w:eastAsia="Times New Roman" w:hAnsi="Times New Roman" w:cs="Times New Roman"/>
          <w:lang w:eastAsia="sl-SI"/>
        </w:rPr>
        <w:t>hepatobiliarinei</w:t>
      </w:r>
      <w:proofErr w:type="spellEnd"/>
      <w:r>
        <w:rPr>
          <w:rFonts w:ascii="Times New Roman" w:eastAsia="Times New Roman" w:hAnsi="Times New Roman" w:cs="Times New Roman"/>
          <w:lang w:eastAsia="sl-SI"/>
        </w:rPr>
        <w:t xml:space="preserve"> sistemai padažnėjimo nenustatyta. Tokių duomenų reikšmė žmogui nežinoma. Gydant </w:t>
      </w:r>
      <w:proofErr w:type="spellStart"/>
      <w:r>
        <w:rPr>
          <w:rFonts w:ascii="Times New Roman" w:eastAsia="Times New Roman" w:hAnsi="Times New Roman" w:cs="Times New Roman"/>
          <w:lang w:eastAsia="sl-SI"/>
        </w:rPr>
        <w:t>ezetimibu</w:t>
      </w:r>
      <w:proofErr w:type="spellEnd"/>
      <w:r>
        <w:rPr>
          <w:rFonts w:ascii="Times New Roman" w:eastAsia="Times New Roman" w:hAnsi="Times New Roman" w:cs="Times New Roman"/>
          <w:lang w:eastAsia="sl-SI"/>
        </w:rPr>
        <w:t xml:space="preserve">, negalima atmesti akmenų </w:t>
      </w:r>
      <w:r>
        <w:rPr>
          <w:rFonts w:ascii="Times New Roman" w:eastAsia="Times New Roman" w:hAnsi="Times New Roman" w:cs="Times New Roman"/>
          <w:lang w:eastAsia="sl-SI"/>
        </w:rPr>
        <w:lastRenderedPageBreak/>
        <w:t>susidarymo rizikos.</w:t>
      </w:r>
    </w:p>
    <w:p w14:paraId="688FB423" w14:textId="77777777" w:rsidR="008F7970" w:rsidRDefault="008F7970">
      <w:pPr>
        <w:widowControl w:val="0"/>
        <w:autoSpaceDE w:val="0"/>
        <w:autoSpaceDN w:val="0"/>
        <w:adjustRightInd w:val="0"/>
        <w:ind w:left="0" w:firstLine="0"/>
        <w:rPr>
          <w:rFonts w:ascii="Times New Roman" w:eastAsia="Times New Roman" w:hAnsi="Times New Roman" w:cs="Times New Roman"/>
          <w:lang w:eastAsia="sl-SI"/>
        </w:rPr>
      </w:pPr>
    </w:p>
    <w:p w14:paraId="6BFE8D56" w14:textId="77777777" w:rsidR="008F7970" w:rsidRDefault="00AD4BB2">
      <w:pPr>
        <w:widowControl w:val="0"/>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skyrimo kartu su </w:t>
      </w:r>
      <w:proofErr w:type="spellStart"/>
      <w:r>
        <w:rPr>
          <w:rFonts w:ascii="Times New Roman" w:eastAsia="Times New Roman" w:hAnsi="Times New Roman" w:cs="Times New Roman"/>
          <w:lang w:eastAsia="sl-SI"/>
        </w:rPr>
        <w:t>statinais</w:t>
      </w:r>
      <w:proofErr w:type="spellEnd"/>
      <w:r>
        <w:rPr>
          <w:rFonts w:ascii="Times New Roman" w:eastAsia="Times New Roman" w:hAnsi="Times New Roman" w:cs="Times New Roman"/>
          <w:lang w:eastAsia="sl-SI"/>
        </w:rPr>
        <w:t xml:space="preserve"> tyrimų metu toksinis poveikis iš esmės buvo tipiškas su </w:t>
      </w:r>
      <w:proofErr w:type="spellStart"/>
      <w:r>
        <w:rPr>
          <w:rFonts w:ascii="Times New Roman" w:eastAsia="Times New Roman" w:hAnsi="Times New Roman" w:cs="Times New Roman"/>
          <w:lang w:eastAsia="sl-SI"/>
        </w:rPr>
        <w:t>statinais</w:t>
      </w:r>
      <w:proofErr w:type="spellEnd"/>
      <w:r>
        <w:rPr>
          <w:rFonts w:ascii="Times New Roman" w:eastAsia="Times New Roman" w:hAnsi="Times New Roman" w:cs="Times New Roman"/>
          <w:lang w:eastAsia="sl-SI"/>
        </w:rPr>
        <w:t xml:space="preserve"> susijęs poveikis. Tam tikras toksinis poveikis buvo stipresnis, nei būna vartojant vien </w:t>
      </w:r>
      <w:proofErr w:type="spellStart"/>
      <w:r>
        <w:rPr>
          <w:rFonts w:ascii="Times New Roman" w:eastAsia="Times New Roman" w:hAnsi="Times New Roman" w:cs="Times New Roman"/>
          <w:lang w:eastAsia="sl-SI"/>
        </w:rPr>
        <w:t>statinų</w:t>
      </w:r>
      <w:proofErr w:type="spellEnd"/>
      <w:r>
        <w:rPr>
          <w:rFonts w:ascii="Times New Roman" w:eastAsia="Times New Roman" w:hAnsi="Times New Roman" w:cs="Times New Roman"/>
          <w:lang w:eastAsia="sl-SI"/>
        </w:rPr>
        <w:t xml:space="preserve">. Manoma, kad taip yra dėl </w:t>
      </w:r>
      <w:proofErr w:type="spellStart"/>
      <w:r>
        <w:rPr>
          <w:rFonts w:ascii="Times New Roman" w:eastAsia="Times New Roman" w:hAnsi="Times New Roman" w:cs="Times New Roman"/>
          <w:lang w:eastAsia="sl-SI"/>
        </w:rPr>
        <w:t>farmakokinetinės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farmakodinaminės</w:t>
      </w:r>
      <w:proofErr w:type="spellEnd"/>
      <w:r>
        <w:rPr>
          <w:rFonts w:ascii="Times New Roman" w:eastAsia="Times New Roman" w:hAnsi="Times New Roman" w:cs="Times New Roman"/>
          <w:lang w:eastAsia="sl-SI"/>
        </w:rPr>
        <w:t xml:space="preserve"> sąveikos kombinuotojo skyrimo metu. Klinikinių tyrimų metu tokios sąveikos neatsirado. </w:t>
      </w:r>
      <w:proofErr w:type="spellStart"/>
      <w:r>
        <w:rPr>
          <w:rFonts w:ascii="Times New Roman" w:eastAsia="Times New Roman" w:hAnsi="Times New Roman" w:cs="Times New Roman"/>
          <w:lang w:eastAsia="sl-SI"/>
        </w:rPr>
        <w:t>Miopatija</w:t>
      </w:r>
      <w:proofErr w:type="spellEnd"/>
      <w:r>
        <w:rPr>
          <w:rFonts w:ascii="Times New Roman" w:eastAsia="Times New Roman" w:hAnsi="Times New Roman" w:cs="Times New Roman"/>
          <w:lang w:eastAsia="sl-SI"/>
        </w:rPr>
        <w:t xml:space="preserve"> pasireiškė tik žiurkėms, kurioms buvo skirtos dozes, keletą kartų didesnės už žmogaus gydomąją dozę (</w:t>
      </w:r>
      <w:proofErr w:type="spellStart"/>
      <w:r>
        <w:rPr>
          <w:rFonts w:ascii="Times New Roman" w:eastAsia="Times New Roman" w:hAnsi="Times New Roman" w:cs="Times New Roman"/>
          <w:lang w:eastAsia="sl-SI"/>
        </w:rPr>
        <w:t>statinų</w:t>
      </w:r>
      <w:proofErr w:type="spellEnd"/>
      <w:r>
        <w:rPr>
          <w:rFonts w:ascii="Times New Roman" w:eastAsia="Times New Roman" w:hAnsi="Times New Roman" w:cs="Times New Roman"/>
          <w:lang w:eastAsia="sl-SI"/>
        </w:rPr>
        <w:t xml:space="preserve"> AUC buvo didesnis maždaug 20 kartų, veikliųjų metabolitų – 500-2 000 kartų).</w:t>
      </w:r>
    </w:p>
    <w:p w14:paraId="1F81084B" w14:textId="77777777" w:rsidR="008F7970" w:rsidRDefault="008F7970">
      <w:pPr>
        <w:widowControl w:val="0"/>
        <w:autoSpaceDE w:val="0"/>
        <w:autoSpaceDN w:val="0"/>
        <w:adjustRightInd w:val="0"/>
        <w:ind w:left="0" w:firstLine="0"/>
        <w:rPr>
          <w:rFonts w:ascii="Times New Roman" w:eastAsia="Times New Roman" w:hAnsi="Times New Roman" w:cs="Times New Roman"/>
          <w:lang w:eastAsia="sl-SI"/>
        </w:rPr>
      </w:pPr>
    </w:p>
    <w:p w14:paraId="3427D607" w14:textId="77777777" w:rsidR="008F7970" w:rsidRDefault="00AD4BB2">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Keleto tyrimų </w:t>
      </w:r>
      <w:proofErr w:type="spellStart"/>
      <w:r>
        <w:rPr>
          <w:rFonts w:ascii="Times New Roman" w:eastAsia="Times New Roman" w:hAnsi="Times New Roman" w:cs="Times New Roman"/>
          <w:i/>
          <w:iCs/>
          <w:lang w:eastAsia="sl-SI"/>
        </w:rPr>
        <w:t>in</w:t>
      </w:r>
      <w:proofErr w:type="spellEnd"/>
      <w:r>
        <w:rPr>
          <w:rFonts w:ascii="Times New Roman" w:eastAsia="Times New Roman" w:hAnsi="Times New Roman" w:cs="Times New Roman"/>
          <w:i/>
          <w:iCs/>
          <w:lang w:eastAsia="sl-SI"/>
        </w:rPr>
        <w:t xml:space="preserve"> </w:t>
      </w:r>
      <w:proofErr w:type="spellStart"/>
      <w:r>
        <w:rPr>
          <w:rFonts w:ascii="Times New Roman" w:eastAsia="Times New Roman" w:hAnsi="Times New Roman" w:cs="Times New Roman"/>
          <w:i/>
          <w:iCs/>
          <w:lang w:eastAsia="sl-SI"/>
        </w:rPr>
        <w:t>vivo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i/>
          <w:iCs/>
          <w:lang w:eastAsia="sl-SI"/>
        </w:rPr>
        <w:t>in</w:t>
      </w:r>
      <w:proofErr w:type="spellEnd"/>
      <w:r>
        <w:rPr>
          <w:rFonts w:ascii="Times New Roman" w:eastAsia="Times New Roman" w:hAnsi="Times New Roman" w:cs="Times New Roman"/>
          <w:i/>
          <w:iCs/>
          <w:lang w:eastAsia="sl-SI"/>
        </w:rPr>
        <w:t xml:space="preserve"> </w:t>
      </w:r>
      <w:proofErr w:type="spellStart"/>
      <w:r>
        <w:rPr>
          <w:rFonts w:ascii="Times New Roman" w:eastAsia="Times New Roman" w:hAnsi="Times New Roman" w:cs="Times New Roman"/>
          <w:i/>
          <w:iCs/>
          <w:lang w:eastAsia="sl-SI"/>
        </w:rPr>
        <w:t>vitro</w:t>
      </w:r>
      <w:proofErr w:type="spellEnd"/>
      <w:r>
        <w:rPr>
          <w:rFonts w:ascii="Times New Roman" w:eastAsia="Times New Roman" w:hAnsi="Times New Roman" w:cs="Times New Roman"/>
          <w:lang w:eastAsia="sl-SI"/>
        </w:rPr>
        <w:t xml:space="preserve"> metu, vartojant vien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arba jo kartu su </w:t>
      </w:r>
      <w:proofErr w:type="spellStart"/>
      <w:r>
        <w:rPr>
          <w:rFonts w:ascii="Times New Roman" w:eastAsia="Times New Roman" w:hAnsi="Times New Roman" w:cs="Times New Roman"/>
          <w:lang w:eastAsia="sl-SI"/>
        </w:rPr>
        <w:t>statinu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genotoksinio</w:t>
      </w:r>
      <w:proofErr w:type="spellEnd"/>
      <w:r>
        <w:rPr>
          <w:rFonts w:ascii="Times New Roman" w:eastAsia="Times New Roman" w:hAnsi="Times New Roman" w:cs="Times New Roman"/>
          <w:lang w:eastAsia="sl-SI"/>
        </w:rPr>
        <w:t xml:space="preserve"> poveikio nepastebėta. Ilgalaikio kancerogeninio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poveikio tyrimų metu tokio poveikio nepasireiškė.</w:t>
      </w:r>
    </w:p>
    <w:p w14:paraId="774A8788" w14:textId="77777777" w:rsidR="008F7970" w:rsidRDefault="00AD4BB2">
      <w:pPr>
        <w:widowControl w:val="0"/>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Ezetimibas</w:t>
      </w:r>
      <w:proofErr w:type="spellEnd"/>
      <w:r>
        <w:rPr>
          <w:rFonts w:ascii="Times New Roman" w:eastAsia="Times New Roman" w:hAnsi="Times New Roman" w:cs="Times New Roman"/>
          <w:lang w:eastAsia="sl-SI"/>
        </w:rPr>
        <w:t xml:space="preserve"> žiurkių patinų ir patelių vaisingumo neveikė, žiurkėms ir triušiams </w:t>
      </w:r>
      <w:proofErr w:type="spellStart"/>
      <w:r>
        <w:rPr>
          <w:rFonts w:ascii="Times New Roman" w:eastAsia="Times New Roman" w:hAnsi="Times New Roman" w:cs="Times New Roman"/>
          <w:lang w:eastAsia="sl-SI"/>
        </w:rPr>
        <w:t>teratogeninio</w:t>
      </w:r>
      <w:proofErr w:type="spellEnd"/>
      <w:r>
        <w:rPr>
          <w:rFonts w:ascii="Times New Roman" w:eastAsia="Times New Roman" w:hAnsi="Times New Roman" w:cs="Times New Roman"/>
          <w:lang w:eastAsia="sl-SI"/>
        </w:rPr>
        <w:t xml:space="preserve"> poveikio nesukėlė, </w:t>
      </w:r>
      <w:proofErr w:type="spellStart"/>
      <w:r>
        <w:rPr>
          <w:rFonts w:ascii="Times New Roman" w:eastAsia="Times New Roman" w:hAnsi="Times New Roman" w:cs="Times New Roman"/>
          <w:lang w:eastAsia="sl-SI"/>
        </w:rPr>
        <w:t>prenatalinio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postnatalinio</w:t>
      </w:r>
      <w:proofErr w:type="spellEnd"/>
      <w:r>
        <w:rPr>
          <w:rFonts w:ascii="Times New Roman" w:eastAsia="Times New Roman" w:hAnsi="Times New Roman" w:cs="Times New Roman"/>
          <w:lang w:eastAsia="sl-SI"/>
        </w:rPr>
        <w:t xml:space="preserve"> vystymosi neveikė. Skiriant kartotines 1 000 mg/kg kūno svorio paros dozes,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prasiskverbė per vaikingų žiurkių ir triušių placentą.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statino</w:t>
      </w:r>
      <w:proofErr w:type="spellEnd"/>
      <w:r>
        <w:rPr>
          <w:rFonts w:ascii="Times New Roman" w:eastAsia="Times New Roman" w:hAnsi="Times New Roman" w:cs="Times New Roman"/>
          <w:lang w:eastAsia="sl-SI"/>
        </w:rPr>
        <w:t xml:space="preserve"> derinys </w:t>
      </w:r>
      <w:proofErr w:type="spellStart"/>
      <w:r>
        <w:rPr>
          <w:rFonts w:ascii="Times New Roman" w:eastAsia="Times New Roman" w:hAnsi="Times New Roman" w:cs="Times New Roman"/>
          <w:lang w:eastAsia="sl-SI"/>
        </w:rPr>
        <w:t>teratogeninio</w:t>
      </w:r>
      <w:proofErr w:type="spellEnd"/>
      <w:r>
        <w:rPr>
          <w:rFonts w:ascii="Times New Roman" w:eastAsia="Times New Roman" w:hAnsi="Times New Roman" w:cs="Times New Roman"/>
          <w:lang w:eastAsia="sl-SI"/>
        </w:rPr>
        <w:t xml:space="preserve"> poveikio žiurkėms nesukėlė. Skiriant vaikingoms triušių patelėms, atsirado šiek tiek skeleto deformacijų (susijungė krūtininiai ir uodeginiai slanksteliai, sumažėjo uodeginių slankstelių skaičius). </w:t>
      </w:r>
      <w:proofErr w:type="spellStart"/>
      <w:r>
        <w:rPr>
          <w:rFonts w:ascii="Times New Roman" w:eastAsia="Times New Roman" w:hAnsi="Times New Roman" w:cs="Times New Roman"/>
          <w:lang w:eastAsia="sl-SI"/>
        </w:rPr>
        <w:t>Ezetimibo</w:t>
      </w:r>
      <w:proofErr w:type="spellEnd"/>
      <w:r>
        <w:rPr>
          <w:rFonts w:ascii="Times New Roman" w:eastAsia="Times New Roman" w:hAnsi="Times New Roman" w:cs="Times New Roman"/>
          <w:lang w:eastAsia="sl-SI"/>
        </w:rPr>
        <w:t xml:space="preserve"> skiriant kartu su </w:t>
      </w:r>
      <w:proofErr w:type="spellStart"/>
      <w:r>
        <w:rPr>
          <w:rFonts w:ascii="Times New Roman" w:eastAsia="Times New Roman" w:hAnsi="Times New Roman" w:cs="Times New Roman"/>
          <w:lang w:eastAsia="sl-SI"/>
        </w:rPr>
        <w:t>lovastatinu</w:t>
      </w:r>
      <w:proofErr w:type="spellEnd"/>
      <w:r>
        <w:rPr>
          <w:rFonts w:ascii="Times New Roman" w:eastAsia="Times New Roman" w:hAnsi="Times New Roman" w:cs="Times New Roman"/>
          <w:lang w:eastAsia="sl-SI"/>
        </w:rPr>
        <w:t>, pasireiškė embriono žūtį sukeliantis poveikis.</w:t>
      </w:r>
    </w:p>
    <w:p w14:paraId="013E6711" w14:textId="77777777" w:rsidR="008F7970" w:rsidRDefault="008F7970">
      <w:pPr>
        <w:widowControl w:val="0"/>
        <w:ind w:left="0" w:firstLine="0"/>
        <w:rPr>
          <w:rFonts w:ascii="Times New Roman" w:hAnsi="Times New Roman" w:cs="Times New Roman"/>
        </w:rPr>
      </w:pPr>
    </w:p>
    <w:p w14:paraId="5204B7FD" w14:textId="77777777" w:rsidR="008F7970" w:rsidRDefault="008F7970">
      <w:pPr>
        <w:widowControl w:val="0"/>
        <w:ind w:left="0" w:firstLine="0"/>
        <w:rPr>
          <w:rFonts w:ascii="Times New Roman" w:hAnsi="Times New Roman" w:cs="Times New Roman"/>
        </w:rPr>
      </w:pPr>
    </w:p>
    <w:p w14:paraId="1A134353"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FARMACINĖ INFORMACIJA</w:t>
      </w:r>
    </w:p>
    <w:p w14:paraId="700A80FF" w14:textId="77777777" w:rsidR="008F7970" w:rsidRDefault="008F7970">
      <w:pPr>
        <w:widowControl w:val="0"/>
        <w:ind w:left="0" w:firstLine="0"/>
        <w:rPr>
          <w:rFonts w:ascii="Times New Roman" w:hAnsi="Times New Roman" w:cs="Times New Roman"/>
        </w:rPr>
      </w:pPr>
    </w:p>
    <w:p w14:paraId="5E03992A" w14:textId="77777777" w:rsidR="008F7970" w:rsidRDefault="00AD4BB2">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6.1</w:t>
      </w:r>
      <w:r>
        <w:rPr>
          <w:rFonts w:ascii="Times New Roman" w:hAnsi="Times New Roman" w:cs="Times New Roman"/>
          <w:b/>
          <w:kern w:val="28"/>
        </w:rPr>
        <w:tab/>
        <w:t>Pagalbinių medžiagų sąrašas</w:t>
      </w:r>
    </w:p>
    <w:p w14:paraId="4B17DB11" w14:textId="77777777" w:rsidR="008F7970" w:rsidRDefault="008F7970">
      <w:pPr>
        <w:widowControl w:val="0"/>
        <w:ind w:left="0" w:firstLine="0"/>
        <w:rPr>
          <w:rFonts w:ascii="Times New Roman" w:hAnsi="Times New Roman" w:cs="Times New Roman"/>
        </w:rPr>
      </w:pPr>
    </w:p>
    <w:p w14:paraId="6D3BE9D9" w14:textId="77777777" w:rsidR="008F7970" w:rsidRDefault="008F7970">
      <w:pPr>
        <w:widowControl w:val="0"/>
        <w:ind w:left="0" w:firstLine="0"/>
        <w:rPr>
          <w:rFonts w:ascii="Times New Roman" w:hAnsi="Times New Roman" w:cs="Times New Roman"/>
        </w:rPr>
      </w:pPr>
    </w:p>
    <w:p w14:paraId="2E871F65" w14:textId="77777777" w:rsidR="008F7970" w:rsidRDefault="00AD4BB2">
      <w:pPr>
        <w:widowControl w:val="0"/>
        <w:ind w:left="0" w:firstLine="0"/>
        <w:rPr>
          <w:rFonts w:ascii="Times New Roman" w:hAnsi="Times New Roman" w:cs="Times New Roman"/>
          <w:u w:val="single"/>
          <w:lang w:val="sl-SI"/>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 ir 4 mg/10 mg tabletės</w:t>
      </w:r>
    </w:p>
    <w:p w14:paraId="10CC3F62"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Intragranulinis</w:t>
      </w:r>
      <w:proofErr w:type="spellEnd"/>
      <w:r>
        <w:rPr>
          <w:rFonts w:ascii="Times New Roman" w:hAnsi="Times New Roman" w:cs="Times New Roman"/>
          <w:u w:val="single"/>
        </w:rPr>
        <w:t>:</w:t>
      </w:r>
    </w:p>
    <w:p w14:paraId="06A85657"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Natrio </w:t>
      </w:r>
      <w:proofErr w:type="spellStart"/>
      <w:r>
        <w:rPr>
          <w:rFonts w:ascii="Times New Roman" w:hAnsi="Times New Roman" w:cs="Times New Roman"/>
        </w:rPr>
        <w:t>laurilsulfatas</w:t>
      </w:r>
      <w:proofErr w:type="spellEnd"/>
    </w:p>
    <w:p w14:paraId="030502E1"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Povidonas</w:t>
      </w:r>
      <w:proofErr w:type="spellEnd"/>
    </w:p>
    <w:p w14:paraId="724C18D9"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Laktozė </w:t>
      </w:r>
      <w:proofErr w:type="spellStart"/>
      <w:r>
        <w:rPr>
          <w:rFonts w:ascii="Times New Roman" w:hAnsi="Times New Roman" w:cs="Times New Roman"/>
        </w:rPr>
        <w:t>monohidratas</w:t>
      </w:r>
      <w:proofErr w:type="spellEnd"/>
    </w:p>
    <w:p w14:paraId="6C6235FE"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Kroskarmeliozės</w:t>
      </w:r>
      <w:proofErr w:type="spellEnd"/>
      <w:r>
        <w:rPr>
          <w:rFonts w:ascii="Times New Roman" w:hAnsi="Times New Roman" w:cs="Times New Roman"/>
        </w:rPr>
        <w:t xml:space="preserve"> natrio druska</w:t>
      </w:r>
    </w:p>
    <w:p w14:paraId="0EBE371B" w14:textId="77777777" w:rsidR="008F7970" w:rsidRDefault="008F7970">
      <w:pPr>
        <w:widowControl w:val="0"/>
        <w:ind w:left="0" w:firstLine="0"/>
        <w:rPr>
          <w:rFonts w:ascii="Times New Roman" w:hAnsi="Times New Roman" w:cs="Times New Roman"/>
        </w:rPr>
      </w:pPr>
    </w:p>
    <w:p w14:paraId="3254B497"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Ekstragranulinis</w:t>
      </w:r>
      <w:proofErr w:type="spellEnd"/>
      <w:r>
        <w:rPr>
          <w:rFonts w:ascii="Times New Roman" w:hAnsi="Times New Roman" w:cs="Times New Roman"/>
          <w:u w:val="single"/>
        </w:rPr>
        <w:t>:</w:t>
      </w:r>
    </w:p>
    <w:p w14:paraId="76A0DE04"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Laktozė </w:t>
      </w:r>
      <w:proofErr w:type="spellStart"/>
      <w:r>
        <w:rPr>
          <w:rFonts w:ascii="Times New Roman" w:hAnsi="Times New Roman" w:cs="Times New Roman"/>
        </w:rPr>
        <w:t>monohidratas</w:t>
      </w:r>
      <w:proofErr w:type="spellEnd"/>
    </w:p>
    <w:p w14:paraId="14724581"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Mikrokristalinė</w:t>
      </w:r>
      <w:proofErr w:type="spellEnd"/>
      <w:r>
        <w:rPr>
          <w:rFonts w:ascii="Times New Roman" w:hAnsi="Times New Roman" w:cs="Times New Roman"/>
        </w:rPr>
        <w:t xml:space="preserve"> celiuliozė</w:t>
      </w:r>
    </w:p>
    <w:p w14:paraId="7EE117B0"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Kroskarmeliozės</w:t>
      </w:r>
      <w:proofErr w:type="spellEnd"/>
      <w:r>
        <w:rPr>
          <w:rFonts w:ascii="Times New Roman" w:hAnsi="Times New Roman" w:cs="Times New Roman"/>
        </w:rPr>
        <w:t xml:space="preserve"> natrio druska</w:t>
      </w:r>
    </w:p>
    <w:p w14:paraId="1C56B320"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Magnio </w:t>
      </w:r>
      <w:proofErr w:type="spellStart"/>
      <w:r>
        <w:rPr>
          <w:rFonts w:ascii="Times New Roman" w:hAnsi="Times New Roman" w:cs="Times New Roman"/>
        </w:rPr>
        <w:t>stearatas</w:t>
      </w:r>
      <w:proofErr w:type="spellEnd"/>
    </w:p>
    <w:p w14:paraId="45229396" w14:textId="77777777" w:rsidR="008F7970" w:rsidRDefault="008F7970">
      <w:pPr>
        <w:widowControl w:val="0"/>
        <w:ind w:left="0" w:firstLine="0"/>
        <w:rPr>
          <w:rFonts w:ascii="Times New Roman" w:hAnsi="Times New Roman" w:cs="Times New Roman"/>
        </w:rPr>
      </w:pPr>
    </w:p>
    <w:p w14:paraId="5A84CDD6" w14:textId="77777777" w:rsidR="008F7970" w:rsidRDefault="00AD4BB2">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6.2</w:t>
      </w:r>
      <w:r>
        <w:rPr>
          <w:rFonts w:ascii="Times New Roman" w:hAnsi="Times New Roman" w:cs="Times New Roman"/>
          <w:b/>
          <w:kern w:val="28"/>
        </w:rPr>
        <w:tab/>
        <w:t>Nesuderinamumas</w:t>
      </w:r>
    </w:p>
    <w:p w14:paraId="33D97D9C" w14:textId="77777777" w:rsidR="008F7970" w:rsidRDefault="008F7970">
      <w:pPr>
        <w:widowControl w:val="0"/>
        <w:ind w:left="0" w:firstLine="0"/>
        <w:rPr>
          <w:rFonts w:ascii="Times New Roman" w:hAnsi="Times New Roman" w:cs="Times New Roman"/>
        </w:rPr>
      </w:pPr>
    </w:p>
    <w:p w14:paraId="39B48E9B" w14:textId="77777777" w:rsidR="008F7970" w:rsidRDefault="00AD4BB2">
      <w:pPr>
        <w:widowControl w:val="0"/>
        <w:ind w:left="0" w:firstLine="0"/>
        <w:rPr>
          <w:rFonts w:ascii="Times New Roman" w:hAnsi="Times New Roman" w:cs="Times New Roman"/>
        </w:rPr>
      </w:pPr>
      <w:r>
        <w:rPr>
          <w:rFonts w:ascii="Times New Roman" w:hAnsi="Times New Roman" w:cs="Times New Roman"/>
        </w:rPr>
        <w:t>Duomenys nebūtini.</w:t>
      </w:r>
    </w:p>
    <w:p w14:paraId="5ECFAE58" w14:textId="77777777" w:rsidR="008F7970" w:rsidRDefault="008F7970">
      <w:pPr>
        <w:widowControl w:val="0"/>
        <w:ind w:left="0" w:firstLine="0"/>
        <w:rPr>
          <w:rFonts w:ascii="Times New Roman" w:hAnsi="Times New Roman" w:cs="Times New Roman"/>
        </w:rPr>
      </w:pPr>
    </w:p>
    <w:p w14:paraId="60603E3C" w14:textId="77777777" w:rsidR="008F7970" w:rsidRDefault="00AD4BB2">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6.3</w:t>
      </w:r>
      <w:r>
        <w:rPr>
          <w:rFonts w:ascii="Times New Roman" w:hAnsi="Times New Roman" w:cs="Times New Roman"/>
          <w:b/>
          <w:kern w:val="28"/>
        </w:rPr>
        <w:tab/>
        <w:t>Tinkamumo laikas</w:t>
      </w:r>
    </w:p>
    <w:p w14:paraId="67405C96" w14:textId="77777777" w:rsidR="008F7970" w:rsidRDefault="008F7970">
      <w:pPr>
        <w:widowControl w:val="0"/>
        <w:ind w:left="0" w:firstLine="0"/>
        <w:rPr>
          <w:rFonts w:ascii="Times New Roman" w:hAnsi="Times New Roman" w:cs="Times New Roman"/>
        </w:rPr>
      </w:pPr>
    </w:p>
    <w:p w14:paraId="2B2CC9B3" w14:textId="77777777" w:rsidR="008F7970" w:rsidRDefault="00AD4BB2">
      <w:pPr>
        <w:widowControl w:val="0"/>
        <w:ind w:left="0" w:firstLine="0"/>
        <w:rPr>
          <w:rFonts w:ascii="Times New Roman" w:hAnsi="Times New Roman" w:cs="Times New Roman"/>
        </w:rPr>
      </w:pPr>
      <w:r>
        <w:rPr>
          <w:rFonts w:ascii="Times New Roman" w:hAnsi="Times New Roman" w:cs="Times New Roman"/>
          <w:lang w:val="sl-SI"/>
        </w:rPr>
        <w:t>2</w:t>
      </w:r>
      <w:r>
        <w:rPr>
          <w:rFonts w:ascii="Times New Roman" w:hAnsi="Times New Roman" w:cs="Times New Roman"/>
        </w:rPr>
        <w:t xml:space="preserve"> metai.</w:t>
      </w:r>
    </w:p>
    <w:p w14:paraId="70429E62" w14:textId="77777777" w:rsidR="008F7970" w:rsidRDefault="008F7970">
      <w:pPr>
        <w:widowControl w:val="0"/>
        <w:ind w:left="0" w:firstLine="0"/>
        <w:rPr>
          <w:rFonts w:ascii="Times New Roman" w:hAnsi="Times New Roman" w:cs="Times New Roman"/>
        </w:rPr>
      </w:pPr>
    </w:p>
    <w:p w14:paraId="46C304F2" w14:textId="77777777" w:rsidR="008F7970" w:rsidRDefault="00AD4BB2">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6.4</w:t>
      </w:r>
      <w:r>
        <w:rPr>
          <w:rFonts w:ascii="Times New Roman" w:hAnsi="Times New Roman" w:cs="Times New Roman"/>
          <w:b/>
          <w:kern w:val="28"/>
        </w:rPr>
        <w:tab/>
        <w:t>Specialios laikymo sąlygos</w:t>
      </w:r>
    </w:p>
    <w:p w14:paraId="42A18EC2" w14:textId="77777777" w:rsidR="008F7970" w:rsidRDefault="008F7970">
      <w:pPr>
        <w:widowControl w:val="0"/>
        <w:ind w:left="0" w:firstLine="0"/>
        <w:rPr>
          <w:rFonts w:ascii="Times New Roman" w:hAnsi="Times New Roman" w:cs="Times New Roman"/>
        </w:rPr>
      </w:pPr>
    </w:p>
    <w:p w14:paraId="4AEE6FF5" w14:textId="77777777" w:rsidR="008F7970" w:rsidRDefault="00AD4BB2">
      <w:pPr>
        <w:widowControl w:val="0"/>
        <w:ind w:left="0" w:firstLine="0"/>
        <w:rPr>
          <w:rFonts w:ascii="Times New Roman" w:hAnsi="Times New Roman" w:cs="Times New Roman"/>
        </w:rPr>
      </w:pPr>
      <w:r>
        <w:rPr>
          <w:rFonts w:ascii="Times New Roman" w:hAnsi="Times New Roman" w:cs="Times New Roman"/>
        </w:rPr>
        <w:t>Laikyti gamintojo pakuotėje, kad vaistinis preparatas būtų apsaugotas nuo šviesos ir drėgmės.</w:t>
      </w:r>
    </w:p>
    <w:p w14:paraId="3849EEC9" w14:textId="77777777" w:rsidR="008F7970" w:rsidRDefault="00AD4BB2">
      <w:pPr>
        <w:widowControl w:val="0"/>
        <w:ind w:left="0" w:firstLine="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Šio vaistinio preparato laikymui specialių temperatūros sąlygų nereikalaujama.</w:t>
      </w:r>
    </w:p>
    <w:p w14:paraId="075A5443" w14:textId="77777777" w:rsidR="008F7970" w:rsidRDefault="008F7970">
      <w:pPr>
        <w:widowControl w:val="0"/>
        <w:ind w:left="0" w:firstLine="0"/>
        <w:rPr>
          <w:rFonts w:ascii="Times New Roman" w:hAnsi="Times New Roman" w:cs="Times New Roman"/>
        </w:rPr>
      </w:pPr>
    </w:p>
    <w:p w14:paraId="2F5F4D81" w14:textId="77777777" w:rsidR="008F7970" w:rsidRDefault="00AD4BB2">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6.5</w:t>
      </w:r>
      <w:r>
        <w:rPr>
          <w:rFonts w:ascii="Times New Roman" w:hAnsi="Times New Roman" w:cs="Times New Roman"/>
          <w:b/>
          <w:kern w:val="28"/>
        </w:rPr>
        <w:tab/>
      </w:r>
      <w:proofErr w:type="spellStart"/>
      <w:r>
        <w:rPr>
          <w:rFonts w:ascii="Times New Roman" w:hAnsi="Times New Roman" w:cs="Times New Roman"/>
          <w:b/>
          <w:kern w:val="28"/>
        </w:rPr>
        <w:t>Talpyklės</w:t>
      </w:r>
      <w:proofErr w:type="spellEnd"/>
      <w:r>
        <w:rPr>
          <w:rFonts w:ascii="Times New Roman" w:hAnsi="Times New Roman" w:cs="Times New Roman"/>
          <w:b/>
          <w:kern w:val="28"/>
        </w:rPr>
        <w:t xml:space="preserve"> pobūdis ir jos turinys</w:t>
      </w:r>
    </w:p>
    <w:p w14:paraId="762D2C6B" w14:textId="77777777" w:rsidR="008F7970" w:rsidRDefault="008F7970">
      <w:pPr>
        <w:widowControl w:val="0"/>
        <w:ind w:left="0" w:firstLine="0"/>
        <w:rPr>
          <w:rFonts w:ascii="Times New Roman" w:hAnsi="Times New Roman" w:cs="Times New Roman"/>
        </w:rPr>
      </w:pPr>
    </w:p>
    <w:p w14:paraId="3E0E0DEA" w14:textId="77777777" w:rsidR="008F7970" w:rsidRDefault="00AD4BB2">
      <w:pPr>
        <w:widowControl w:val="0"/>
        <w:ind w:left="0" w:firstLine="0"/>
        <w:rPr>
          <w:rFonts w:ascii="Times New Roman" w:eastAsia="Times New Roman" w:hAnsi="Times New Roman" w:cs="Times New Roman"/>
          <w:lang w:eastAsia="sl-SI"/>
        </w:rPr>
      </w:pPr>
      <w:bookmarkStart w:id="4" w:name="_Hlk190775593"/>
      <w:r>
        <w:rPr>
          <w:rFonts w:ascii="Times New Roman" w:eastAsia="Times New Roman" w:hAnsi="Times New Roman" w:cs="Times New Roman"/>
          <w:snapToGrid w:val="0"/>
        </w:rPr>
        <w:t>Lizdinė plokštelė (OPA/aliuminio/PVC</w:t>
      </w:r>
      <w:r>
        <w:rPr>
          <w:rFonts w:ascii="Times New Roman" w:eastAsia="Times New Roman" w:hAnsi="Times New Roman" w:cs="Times New Roman"/>
        </w:rPr>
        <w:t>/</w:t>
      </w:r>
      <w:r>
        <w:rPr>
          <w:rFonts w:ascii="Times New Roman" w:eastAsia="Times New Roman" w:hAnsi="Times New Roman" w:cs="Times New Roman"/>
          <w:snapToGrid w:val="0"/>
        </w:rPr>
        <w:t>aliuminio folijos):</w:t>
      </w:r>
      <w:r>
        <w:rPr>
          <w:rFonts w:ascii="Times New Roman" w:eastAsia="Times New Roman" w:hAnsi="Times New Roman" w:cs="Times New Roman"/>
          <w:lang w:eastAsia="sl-SI"/>
        </w:rPr>
        <w:t xml:space="preserve"> 28, 30, 56, 60, 84, 90 arba 100</w:t>
      </w:r>
      <w:r>
        <w:rPr>
          <w:rFonts w:ascii="Times New Roman" w:eastAsia="Times New Roman" w:hAnsi="Times New Roman" w:cs="Times New Roman"/>
          <w:noProof/>
          <w:lang w:eastAsia="sl-SI"/>
        </w:rPr>
        <w:t xml:space="preserve"> tablečių dėžutėje.</w:t>
      </w:r>
    </w:p>
    <w:bookmarkEnd w:id="4"/>
    <w:p w14:paraId="3C38AC64"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napToGrid w:val="0"/>
        </w:rPr>
        <w:t>Lizdinė plokštelė (OPA/aliuminio/PVC</w:t>
      </w:r>
      <w:r>
        <w:rPr>
          <w:rFonts w:ascii="Times New Roman" w:eastAsia="Times New Roman" w:hAnsi="Times New Roman" w:cs="Times New Roman"/>
        </w:rPr>
        <w:t>/</w:t>
      </w:r>
      <w:r>
        <w:rPr>
          <w:rFonts w:ascii="Times New Roman" w:eastAsia="Times New Roman" w:hAnsi="Times New Roman" w:cs="Times New Roman"/>
          <w:snapToGrid w:val="0"/>
        </w:rPr>
        <w:t>aliuminio folijos) kalendorinėje pakuotėje:</w:t>
      </w:r>
      <w:r>
        <w:rPr>
          <w:rFonts w:ascii="Times New Roman" w:eastAsia="Times New Roman" w:hAnsi="Times New Roman" w:cs="Times New Roman"/>
          <w:lang w:eastAsia="sl-SI"/>
        </w:rPr>
        <w:t xml:space="preserve"> 28, 56, arba 84</w:t>
      </w:r>
      <w:r>
        <w:rPr>
          <w:rFonts w:ascii="Times New Roman" w:eastAsia="Times New Roman" w:hAnsi="Times New Roman" w:cs="Times New Roman"/>
          <w:noProof/>
          <w:lang w:eastAsia="sl-SI"/>
        </w:rPr>
        <w:t xml:space="preserve"> </w:t>
      </w:r>
      <w:r>
        <w:rPr>
          <w:rFonts w:ascii="Times New Roman" w:eastAsia="Times New Roman" w:hAnsi="Times New Roman" w:cs="Times New Roman"/>
          <w:noProof/>
          <w:lang w:eastAsia="sl-SI"/>
        </w:rPr>
        <w:lastRenderedPageBreak/>
        <w:t>tabletės dėžutėje.</w:t>
      </w:r>
    </w:p>
    <w:p w14:paraId="653A3EC2" w14:textId="77777777" w:rsidR="008F7970" w:rsidRDefault="008F7970">
      <w:pPr>
        <w:widowControl w:val="0"/>
        <w:rPr>
          <w:rFonts w:ascii="Times New Roman" w:hAnsi="Times New Roman" w:cs="Times New Roman"/>
        </w:rPr>
      </w:pPr>
    </w:p>
    <w:p w14:paraId="06868ECB" w14:textId="77777777" w:rsidR="008F7970" w:rsidRDefault="00AD4BB2">
      <w:pPr>
        <w:widowControl w:val="0"/>
        <w:rPr>
          <w:rFonts w:ascii="Times New Roman" w:hAnsi="Times New Roman" w:cs="Times New Roman"/>
        </w:rPr>
      </w:pPr>
      <w:r>
        <w:rPr>
          <w:rFonts w:ascii="Times New Roman" w:hAnsi="Times New Roman" w:cs="Times New Roman"/>
        </w:rPr>
        <w:t>Gali būti tiekiamos ne visų dydžių pakuotės.</w:t>
      </w:r>
    </w:p>
    <w:p w14:paraId="7320ADF3" w14:textId="77777777" w:rsidR="008F7970" w:rsidRDefault="008F7970">
      <w:pPr>
        <w:widowControl w:val="0"/>
        <w:ind w:left="0" w:firstLine="0"/>
        <w:rPr>
          <w:rFonts w:ascii="Times New Roman" w:hAnsi="Times New Roman" w:cs="Times New Roman"/>
        </w:rPr>
      </w:pPr>
    </w:p>
    <w:p w14:paraId="47BE49EC" w14:textId="77777777" w:rsidR="008F7970" w:rsidRDefault="00AD4BB2">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6.6</w:t>
      </w:r>
      <w:r>
        <w:rPr>
          <w:rFonts w:ascii="Times New Roman" w:hAnsi="Times New Roman" w:cs="Times New Roman"/>
          <w:b/>
          <w:kern w:val="28"/>
        </w:rPr>
        <w:tab/>
        <w:t>Specialūs reikalavimai atliekoms tvarkyti</w:t>
      </w:r>
    </w:p>
    <w:p w14:paraId="6A26CC4E" w14:textId="77777777" w:rsidR="008F7970" w:rsidRDefault="008F7970">
      <w:pPr>
        <w:widowControl w:val="0"/>
        <w:ind w:left="0" w:firstLine="0"/>
        <w:rPr>
          <w:rFonts w:ascii="Times New Roman" w:hAnsi="Times New Roman" w:cs="Times New Roman"/>
        </w:rPr>
      </w:pPr>
    </w:p>
    <w:p w14:paraId="6D78C9EA" w14:textId="77777777" w:rsidR="008F7970" w:rsidRDefault="00AD4BB2">
      <w:pPr>
        <w:widowControl w:val="0"/>
        <w:ind w:left="0" w:firstLine="0"/>
        <w:rPr>
          <w:rFonts w:ascii="Times New Roman" w:eastAsia="Times New Roman" w:hAnsi="Times New Roman" w:cs="Times New Roman"/>
          <w:szCs w:val="24"/>
        </w:rPr>
      </w:pPr>
      <w:r>
        <w:rPr>
          <w:rFonts w:ascii="Times New Roman" w:eastAsia="Times New Roman" w:hAnsi="Times New Roman" w:cs="Times New Roman"/>
          <w:szCs w:val="24"/>
        </w:rPr>
        <w:t>Specialių reikalavimų atliekoms tvarkyti nėra.</w:t>
      </w:r>
    </w:p>
    <w:p w14:paraId="4DE70055" w14:textId="77777777" w:rsidR="008F7970" w:rsidRDefault="00AD4BB2">
      <w:pPr>
        <w:widowControl w:val="0"/>
        <w:ind w:left="0" w:firstLine="0"/>
        <w:rPr>
          <w:rFonts w:ascii="Times New Roman" w:hAnsi="Times New Roman" w:cs="Times New Roman"/>
        </w:rPr>
      </w:pPr>
      <w:r>
        <w:rPr>
          <w:rFonts w:ascii="Times New Roman" w:hAnsi="Times New Roman" w:cs="Times New Roman"/>
          <w:lang w:val="sl-SI"/>
        </w:rPr>
        <w:t>Nesuvartotą vaistinį preparatą ar atliekas reikia tvarkyti laikantis vietinių</w:t>
      </w:r>
      <w:r>
        <w:rPr>
          <w:rFonts w:ascii="Times New Roman" w:hAnsi="Times New Roman" w:cs="Times New Roman"/>
        </w:rPr>
        <w:t xml:space="preserve"> reikalavimų.</w:t>
      </w:r>
    </w:p>
    <w:p w14:paraId="32048D21" w14:textId="77777777" w:rsidR="008F7970" w:rsidRDefault="008F7970">
      <w:pPr>
        <w:widowControl w:val="0"/>
        <w:ind w:left="0" w:firstLine="0"/>
        <w:rPr>
          <w:rFonts w:ascii="Times New Roman" w:hAnsi="Times New Roman" w:cs="Times New Roman"/>
        </w:rPr>
      </w:pPr>
    </w:p>
    <w:p w14:paraId="73A6F311" w14:textId="77777777" w:rsidR="008F7970" w:rsidRDefault="008F7970">
      <w:pPr>
        <w:widowControl w:val="0"/>
        <w:ind w:left="0" w:firstLine="0"/>
        <w:rPr>
          <w:rFonts w:ascii="Times New Roman" w:hAnsi="Times New Roman" w:cs="Times New Roman"/>
        </w:rPr>
      </w:pPr>
    </w:p>
    <w:p w14:paraId="66C7C956"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1983D351" w14:textId="77777777" w:rsidR="008F7970" w:rsidRDefault="008F7970">
      <w:pPr>
        <w:widowControl w:val="0"/>
        <w:ind w:left="0" w:firstLine="0"/>
        <w:rPr>
          <w:rFonts w:ascii="Times New Roman" w:hAnsi="Times New Roman" w:cs="Times New Roman"/>
        </w:rPr>
      </w:pPr>
    </w:p>
    <w:p w14:paraId="714E938E"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6E7F9336"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2F3F7CB9" w14:textId="77777777" w:rsidR="008F7970" w:rsidRDefault="00AD4BB2">
      <w:pPr>
        <w:widowControl w:val="0"/>
        <w:ind w:left="0" w:firstLine="0"/>
        <w:rPr>
          <w:rFonts w:ascii="Times New Roman" w:hAnsi="Times New Roman" w:cs="Times New Roman"/>
        </w:rPr>
      </w:pPr>
      <w:r>
        <w:rPr>
          <w:rFonts w:ascii="Times New Roman" w:hAnsi="Times New Roman" w:cs="Times New Roman"/>
        </w:rPr>
        <w:t>8501 Novo mesto</w:t>
      </w:r>
    </w:p>
    <w:p w14:paraId="31A093A8" w14:textId="77777777" w:rsidR="008F7970" w:rsidRDefault="00AD4BB2">
      <w:pPr>
        <w:widowControl w:val="0"/>
        <w:ind w:left="0" w:firstLine="0"/>
        <w:rPr>
          <w:rFonts w:ascii="Times New Roman" w:hAnsi="Times New Roman" w:cs="Times New Roman"/>
        </w:rPr>
      </w:pPr>
      <w:r>
        <w:rPr>
          <w:rFonts w:ascii="Times New Roman" w:hAnsi="Times New Roman" w:cs="Times New Roman"/>
        </w:rPr>
        <w:t>Slovėnija</w:t>
      </w:r>
    </w:p>
    <w:p w14:paraId="784D74B0" w14:textId="77777777" w:rsidR="008F7970" w:rsidRDefault="008F7970">
      <w:pPr>
        <w:widowControl w:val="0"/>
        <w:ind w:left="0" w:firstLine="0"/>
        <w:rPr>
          <w:rFonts w:ascii="Times New Roman" w:hAnsi="Times New Roman" w:cs="Times New Roman"/>
        </w:rPr>
      </w:pPr>
    </w:p>
    <w:p w14:paraId="4E8269EA" w14:textId="77777777" w:rsidR="008F7970" w:rsidRDefault="008F7970">
      <w:pPr>
        <w:widowControl w:val="0"/>
        <w:ind w:left="0" w:firstLine="0"/>
        <w:rPr>
          <w:rFonts w:ascii="Times New Roman" w:hAnsi="Times New Roman" w:cs="Times New Roman"/>
        </w:rPr>
      </w:pPr>
    </w:p>
    <w:p w14:paraId="7C261816"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 PAŽYMĖJIMO NUMERIS (-IAI)</w:t>
      </w:r>
    </w:p>
    <w:p w14:paraId="5C76FB47" w14:textId="77777777" w:rsidR="008F7970" w:rsidRDefault="008F7970">
      <w:pPr>
        <w:widowControl w:val="0"/>
        <w:ind w:left="0" w:firstLine="0"/>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7970" w14:paraId="5012818F" w14:textId="77777777">
        <w:tc>
          <w:tcPr>
            <w:tcW w:w="4530" w:type="dxa"/>
          </w:tcPr>
          <w:p w14:paraId="5B92B339" w14:textId="77777777" w:rsidR="008F7970" w:rsidRDefault="00AD4BB2">
            <w:pPr>
              <w:widowControl w:val="0"/>
              <w:ind w:left="0" w:firstLine="0"/>
              <w:rPr>
                <w:sz w:val="22"/>
                <w:szCs w:val="22"/>
                <w:u w:val="single"/>
              </w:rPr>
            </w:pPr>
            <w:r>
              <w:rPr>
                <w:sz w:val="22"/>
                <w:szCs w:val="22"/>
                <w:u w:val="single"/>
              </w:rPr>
              <w:t>2 mg/10 mg</w:t>
            </w:r>
          </w:p>
          <w:p w14:paraId="25F28925" w14:textId="77777777" w:rsidR="008F7970" w:rsidRDefault="00AD4BB2">
            <w:pPr>
              <w:widowControl w:val="0"/>
              <w:ind w:left="0" w:firstLine="0"/>
              <w:rPr>
                <w:sz w:val="22"/>
                <w:szCs w:val="22"/>
              </w:rPr>
            </w:pPr>
            <w:r>
              <w:rPr>
                <w:sz w:val="22"/>
                <w:szCs w:val="22"/>
                <w:u w:val="single"/>
              </w:rPr>
              <w:t>lizdinė plokštelė</w:t>
            </w:r>
            <w:r>
              <w:rPr>
                <w:sz w:val="22"/>
                <w:szCs w:val="22"/>
              </w:rPr>
              <w:t>:</w:t>
            </w:r>
          </w:p>
          <w:p w14:paraId="64841872" w14:textId="77777777" w:rsidR="008F7970" w:rsidRDefault="00AD4BB2">
            <w:pPr>
              <w:widowControl w:val="0"/>
              <w:ind w:left="0" w:firstLine="0"/>
              <w:rPr>
                <w:sz w:val="22"/>
                <w:szCs w:val="22"/>
              </w:rPr>
            </w:pPr>
            <w:r>
              <w:rPr>
                <w:sz w:val="22"/>
                <w:szCs w:val="22"/>
              </w:rPr>
              <w:t xml:space="preserve">LT/1/25/5928/001 – N28 </w:t>
            </w:r>
          </w:p>
          <w:p w14:paraId="3AAABC9C" w14:textId="77777777" w:rsidR="008F7970" w:rsidRDefault="00AD4BB2">
            <w:pPr>
              <w:widowControl w:val="0"/>
              <w:ind w:left="0" w:firstLine="0"/>
              <w:rPr>
                <w:sz w:val="22"/>
                <w:szCs w:val="22"/>
              </w:rPr>
            </w:pPr>
            <w:r>
              <w:rPr>
                <w:sz w:val="22"/>
                <w:szCs w:val="22"/>
              </w:rPr>
              <w:t>LT/1/25/5928/002 – N30</w:t>
            </w:r>
          </w:p>
          <w:p w14:paraId="4312756D" w14:textId="77777777" w:rsidR="008F7970" w:rsidRDefault="00AD4BB2">
            <w:pPr>
              <w:widowControl w:val="0"/>
              <w:ind w:left="0" w:firstLine="0"/>
              <w:rPr>
                <w:sz w:val="22"/>
                <w:szCs w:val="22"/>
              </w:rPr>
            </w:pPr>
            <w:r>
              <w:rPr>
                <w:sz w:val="22"/>
                <w:szCs w:val="22"/>
              </w:rPr>
              <w:t xml:space="preserve">LT/1/25/5928/003 – N56 </w:t>
            </w:r>
          </w:p>
          <w:p w14:paraId="362FBEC0" w14:textId="77777777" w:rsidR="008F7970" w:rsidRDefault="00AD4BB2">
            <w:pPr>
              <w:widowControl w:val="0"/>
              <w:ind w:left="0" w:firstLine="0"/>
              <w:rPr>
                <w:sz w:val="22"/>
                <w:szCs w:val="22"/>
              </w:rPr>
            </w:pPr>
            <w:r>
              <w:rPr>
                <w:sz w:val="22"/>
                <w:szCs w:val="22"/>
              </w:rPr>
              <w:t>LT/1/25/5928/004 – N60</w:t>
            </w:r>
          </w:p>
          <w:p w14:paraId="60B591A8" w14:textId="77777777" w:rsidR="008F7970" w:rsidRDefault="00AD4BB2">
            <w:pPr>
              <w:widowControl w:val="0"/>
              <w:ind w:left="0" w:firstLine="0"/>
              <w:rPr>
                <w:sz w:val="22"/>
                <w:szCs w:val="22"/>
              </w:rPr>
            </w:pPr>
            <w:r>
              <w:rPr>
                <w:sz w:val="22"/>
                <w:szCs w:val="22"/>
              </w:rPr>
              <w:t>LT/1/25/5928/005 – N84</w:t>
            </w:r>
          </w:p>
          <w:p w14:paraId="30A1C5EE" w14:textId="77777777" w:rsidR="008F7970" w:rsidRDefault="00AD4BB2">
            <w:pPr>
              <w:widowControl w:val="0"/>
              <w:ind w:left="0" w:firstLine="0"/>
              <w:rPr>
                <w:sz w:val="22"/>
                <w:szCs w:val="22"/>
              </w:rPr>
            </w:pPr>
            <w:r>
              <w:rPr>
                <w:sz w:val="22"/>
                <w:szCs w:val="22"/>
              </w:rPr>
              <w:t xml:space="preserve">LT/1/25/5928/006 – N90 </w:t>
            </w:r>
          </w:p>
          <w:p w14:paraId="49330484" w14:textId="77777777" w:rsidR="008F7970" w:rsidRDefault="00AD4BB2">
            <w:pPr>
              <w:widowControl w:val="0"/>
              <w:ind w:left="0" w:firstLine="0"/>
              <w:rPr>
                <w:sz w:val="22"/>
                <w:szCs w:val="22"/>
              </w:rPr>
            </w:pPr>
            <w:r>
              <w:rPr>
                <w:sz w:val="22"/>
                <w:szCs w:val="22"/>
              </w:rPr>
              <w:t>LT/1/25/5928/007 – N100</w:t>
            </w:r>
          </w:p>
          <w:p w14:paraId="4541199D" w14:textId="77777777" w:rsidR="008F7970" w:rsidRDefault="00AD4BB2">
            <w:pPr>
              <w:widowControl w:val="0"/>
              <w:ind w:left="0" w:firstLine="0"/>
              <w:rPr>
                <w:sz w:val="22"/>
                <w:szCs w:val="22"/>
                <w:u w:val="single"/>
              </w:rPr>
            </w:pPr>
            <w:r>
              <w:rPr>
                <w:sz w:val="22"/>
                <w:szCs w:val="22"/>
                <w:u w:val="single"/>
              </w:rPr>
              <w:t xml:space="preserve">lizdinė plokštelė (kalendorinė pakuotė): </w:t>
            </w:r>
          </w:p>
          <w:p w14:paraId="6D8077D2" w14:textId="77777777" w:rsidR="008F7970" w:rsidRDefault="00AD4BB2">
            <w:pPr>
              <w:widowControl w:val="0"/>
              <w:ind w:left="0" w:firstLine="0"/>
              <w:rPr>
                <w:sz w:val="22"/>
                <w:szCs w:val="22"/>
              </w:rPr>
            </w:pPr>
            <w:r>
              <w:rPr>
                <w:sz w:val="22"/>
                <w:szCs w:val="22"/>
              </w:rPr>
              <w:t xml:space="preserve">LT/1/25/5928/008 – N28 </w:t>
            </w:r>
          </w:p>
          <w:p w14:paraId="7481A0AE" w14:textId="77777777" w:rsidR="008F7970" w:rsidRDefault="00AD4BB2">
            <w:pPr>
              <w:widowControl w:val="0"/>
              <w:ind w:left="0" w:firstLine="0"/>
              <w:rPr>
                <w:sz w:val="22"/>
                <w:szCs w:val="22"/>
              </w:rPr>
            </w:pPr>
            <w:r>
              <w:rPr>
                <w:sz w:val="22"/>
                <w:szCs w:val="22"/>
              </w:rPr>
              <w:t>LT/1/25/5928/009 – N56</w:t>
            </w:r>
          </w:p>
          <w:p w14:paraId="2BFE3AE8" w14:textId="77777777" w:rsidR="008F7970" w:rsidRDefault="00AD4BB2">
            <w:pPr>
              <w:widowControl w:val="0"/>
              <w:ind w:left="0" w:firstLine="0"/>
              <w:rPr>
                <w:sz w:val="22"/>
                <w:szCs w:val="22"/>
              </w:rPr>
            </w:pPr>
            <w:r>
              <w:rPr>
                <w:sz w:val="22"/>
                <w:szCs w:val="22"/>
              </w:rPr>
              <w:t>LT/1/25/5928/010 – N84</w:t>
            </w:r>
          </w:p>
        </w:tc>
        <w:tc>
          <w:tcPr>
            <w:tcW w:w="4530" w:type="dxa"/>
          </w:tcPr>
          <w:p w14:paraId="5326AE52" w14:textId="77777777" w:rsidR="008F7970" w:rsidRDefault="00AD4BB2">
            <w:pPr>
              <w:widowControl w:val="0"/>
              <w:ind w:left="0" w:firstLine="0"/>
              <w:rPr>
                <w:sz w:val="22"/>
                <w:szCs w:val="22"/>
                <w:u w:val="single"/>
              </w:rPr>
            </w:pPr>
            <w:r>
              <w:rPr>
                <w:sz w:val="22"/>
                <w:szCs w:val="22"/>
                <w:u w:val="single"/>
              </w:rPr>
              <w:t>4 mg/10 mg</w:t>
            </w:r>
          </w:p>
          <w:p w14:paraId="0DFA6A0A" w14:textId="77777777" w:rsidR="008F7970" w:rsidRDefault="00AD4BB2">
            <w:pPr>
              <w:widowControl w:val="0"/>
              <w:ind w:left="0" w:firstLine="0"/>
              <w:rPr>
                <w:sz w:val="22"/>
                <w:szCs w:val="22"/>
              </w:rPr>
            </w:pPr>
            <w:r>
              <w:rPr>
                <w:sz w:val="22"/>
                <w:szCs w:val="22"/>
                <w:u w:val="single"/>
              </w:rPr>
              <w:t>lizdinė plokštelė</w:t>
            </w:r>
            <w:r>
              <w:rPr>
                <w:sz w:val="22"/>
                <w:szCs w:val="22"/>
              </w:rPr>
              <w:t>:</w:t>
            </w:r>
          </w:p>
          <w:p w14:paraId="5AC2CAD6" w14:textId="77777777" w:rsidR="008F7970" w:rsidRDefault="00AD4BB2">
            <w:pPr>
              <w:widowControl w:val="0"/>
              <w:ind w:left="0" w:firstLine="0"/>
              <w:rPr>
                <w:sz w:val="22"/>
                <w:szCs w:val="22"/>
              </w:rPr>
            </w:pPr>
            <w:r>
              <w:rPr>
                <w:sz w:val="22"/>
                <w:szCs w:val="22"/>
              </w:rPr>
              <w:t xml:space="preserve">LT/1/25/5929/001 – N28 </w:t>
            </w:r>
          </w:p>
          <w:p w14:paraId="7DEC5F56" w14:textId="77777777" w:rsidR="008F7970" w:rsidRDefault="00AD4BB2">
            <w:pPr>
              <w:widowControl w:val="0"/>
              <w:ind w:left="0" w:firstLine="0"/>
              <w:rPr>
                <w:sz w:val="22"/>
                <w:szCs w:val="22"/>
              </w:rPr>
            </w:pPr>
            <w:r>
              <w:rPr>
                <w:sz w:val="22"/>
                <w:szCs w:val="22"/>
              </w:rPr>
              <w:t>LT/1/25/5929/002 – N30</w:t>
            </w:r>
          </w:p>
          <w:p w14:paraId="70126026" w14:textId="77777777" w:rsidR="008F7970" w:rsidRDefault="00AD4BB2">
            <w:pPr>
              <w:widowControl w:val="0"/>
              <w:ind w:left="0" w:firstLine="0"/>
              <w:rPr>
                <w:sz w:val="22"/>
                <w:szCs w:val="22"/>
              </w:rPr>
            </w:pPr>
            <w:r>
              <w:rPr>
                <w:sz w:val="22"/>
                <w:szCs w:val="22"/>
              </w:rPr>
              <w:t xml:space="preserve">LT/1/25/5929/003 – N56 </w:t>
            </w:r>
          </w:p>
          <w:p w14:paraId="0BFF8007" w14:textId="77777777" w:rsidR="008F7970" w:rsidRDefault="00AD4BB2">
            <w:pPr>
              <w:widowControl w:val="0"/>
              <w:ind w:left="0" w:firstLine="0"/>
              <w:rPr>
                <w:sz w:val="22"/>
                <w:szCs w:val="22"/>
              </w:rPr>
            </w:pPr>
            <w:r>
              <w:rPr>
                <w:sz w:val="22"/>
                <w:szCs w:val="22"/>
              </w:rPr>
              <w:t xml:space="preserve">LT/1/25/5929/004 – N60 </w:t>
            </w:r>
          </w:p>
          <w:p w14:paraId="63DF4782" w14:textId="77777777" w:rsidR="008F7970" w:rsidRDefault="00AD4BB2">
            <w:pPr>
              <w:widowControl w:val="0"/>
              <w:ind w:left="0" w:firstLine="0"/>
              <w:rPr>
                <w:sz w:val="22"/>
                <w:szCs w:val="22"/>
              </w:rPr>
            </w:pPr>
            <w:r>
              <w:rPr>
                <w:sz w:val="22"/>
                <w:szCs w:val="22"/>
              </w:rPr>
              <w:t>LT/1/25/5929/005 – N84</w:t>
            </w:r>
          </w:p>
          <w:p w14:paraId="07C7448F" w14:textId="77777777" w:rsidR="008F7970" w:rsidRDefault="00AD4BB2">
            <w:pPr>
              <w:widowControl w:val="0"/>
              <w:ind w:left="0" w:firstLine="0"/>
              <w:rPr>
                <w:sz w:val="22"/>
                <w:szCs w:val="22"/>
              </w:rPr>
            </w:pPr>
            <w:r>
              <w:rPr>
                <w:sz w:val="22"/>
                <w:szCs w:val="22"/>
              </w:rPr>
              <w:t xml:space="preserve">LT/1/25/5929/006 – N90 </w:t>
            </w:r>
          </w:p>
          <w:p w14:paraId="029DDEDF" w14:textId="77777777" w:rsidR="008F7970" w:rsidRDefault="00AD4BB2">
            <w:pPr>
              <w:widowControl w:val="0"/>
              <w:ind w:left="0" w:firstLine="0"/>
              <w:rPr>
                <w:sz w:val="22"/>
                <w:szCs w:val="22"/>
              </w:rPr>
            </w:pPr>
            <w:r>
              <w:rPr>
                <w:sz w:val="22"/>
                <w:szCs w:val="22"/>
              </w:rPr>
              <w:t>LT/1/25/5929/007 – N100</w:t>
            </w:r>
          </w:p>
          <w:p w14:paraId="7D7BB7F9" w14:textId="77777777" w:rsidR="008F7970" w:rsidRDefault="00AD4BB2">
            <w:pPr>
              <w:widowControl w:val="0"/>
              <w:ind w:left="0" w:firstLine="0"/>
              <w:rPr>
                <w:sz w:val="22"/>
                <w:szCs w:val="22"/>
                <w:u w:val="single"/>
              </w:rPr>
            </w:pPr>
            <w:r>
              <w:rPr>
                <w:sz w:val="22"/>
                <w:szCs w:val="22"/>
                <w:u w:val="single"/>
              </w:rPr>
              <w:t xml:space="preserve">lizdinė plokštelė (kalendorinė pakuotė): </w:t>
            </w:r>
          </w:p>
          <w:p w14:paraId="0E4DB6AF" w14:textId="77777777" w:rsidR="008F7970" w:rsidRDefault="00AD4BB2">
            <w:pPr>
              <w:widowControl w:val="0"/>
              <w:ind w:left="0" w:firstLine="0"/>
              <w:rPr>
                <w:sz w:val="22"/>
                <w:szCs w:val="22"/>
              </w:rPr>
            </w:pPr>
            <w:r>
              <w:rPr>
                <w:sz w:val="22"/>
                <w:szCs w:val="22"/>
              </w:rPr>
              <w:t xml:space="preserve">LT/1/25/5929/008 – N28 </w:t>
            </w:r>
          </w:p>
          <w:p w14:paraId="56661F48" w14:textId="77777777" w:rsidR="008F7970" w:rsidRDefault="00AD4BB2">
            <w:pPr>
              <w:widowControl w:val="0"/>
              <w:ind w:left="0" w:firstLine="0"/>
              <w:rPr>
                <w:sz w:val="22"/>
                <w:szCs w:val="22"/>
              </w:rPr>
            </w:pPr>
            <w:r>
              <w:rPr>
                <w:sz w:val="22"/>
                <w:szCs w:val="22"/>
              </w:rPr>
              <w:t>LT/1/25/5929/009 – N56</w:t>
            </w:r>
          </w:p>
          <w:p w14:paraId="26CAE07A" w14:textId="77777777" w:rsidR="008F7970" w:rsidRDefault="00AD4BB2">
            <w:pPr>
              <w:widowControl w:val="0"/>
              <w:ind w:left="0" w:firstLine="0"/>
              <w:rPr>
                <w:sz w:val="22"/>
                <w:szCs w:val="22"/>
              </w:rPr>
            </w:pPr>
            <w:r>
              <w:rPr>
                <w:sz w:val="22"/>
                <w:szCs w:val="22"/>
              </w:rPr>
              <w:t>LT/1/25/5929/010 – N84</w:t>
            </w:r>
          </w:p>
        </w:tc>
      </w:tr>
    </w:tbl>
    <w:p w14:paraId="71013199" w14:textId="77777777" w:rsidR="008F7970" w:rsidRDefault="008F7970">
      <w:pPr>
        <w:widowControl w:val="0"/>
        <w:ind w:left="0" w:firstLine="0"/>
        <w:rPr>
          <w:rFonts w:ascii="Times New Roman" w:hAnsi="Times New Roman" w:cs="Times New Roman"/>
        </w:rPr>
      </w:pPr>
    </w:p>
    <w:p w14:paraId="55D8B4F0" w14:textId="77777777" w:rsidR="008F7970" w:rsidRDefault="008F7970">
      <w:pPr>
        <w:widowControl w:val="0"/>
        <w:ind w:left="0" w:firstLine="0"/>
        <w:rPr>
          <w:rFonts w:ascii="Times New Roman" w:hAnsi="Times New Roman" w:cs="Times New Roman"/>
        </w:rPr>
      </w:pPr>
    </w:p>
    <w:p w14:paraId="75A24CDA"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REGISTRAVIMO / PERREGISTRAVIMO DATA</w:t>
      </w:r>
    </w:p>
    <w:p w14:paraId="6E6B3616" w14:textId="77777777" w:rsidR="008F7970" w:rsidRDefault="008F7970">
      <w:pPr>
        <w:widowControl w:val="0"/>
        <w:ind w:left="0" w:firstLine="0"/>
        <w:rPr>
          <w:rFonts w:ascii="Times New Roman" w:hAnsi="Times New Roman" w:cs="Times New Roman"/>
        </w:rPr>
      </w:pPr>
    </w:p>
    <w:p w14:paraId="2206E39A" w14:textId="77777777" w:rsidR="008F7970" w:rsidRDefault="00AD4BB2">
      <w:pPr>
        <w:widowControl w:val="0"/>
        <w:ind w:left="0" w:firstLine="0"/>
        <w:rPr>
          <w:rFonts w:ascii="Times New Roman" w:hAnsi="Times New Roman" w:cs="Times New Roman"/>
        </w:rPr>
      </w:pPr>
      <w:r>
        <w:rPr>
          <w:rFonts w:ascii="Times New Roman" w:hAnsi="Times New Roman" w:cs="Times New Roman"/>
        </w:rPr>
        <w:t>Registravimo data 2025 m. gruodžio 11 d.</w:t>
      </w:r>
    </w:p>
    <w:p w14:paraId="7D565D4A" w14:textId="77777777" w:rsidR="008F7970" w:rsidRDefault="008F7970">
      <w:pPr>
        <w:widowControl w:val="0"/>
        <w:ind w:left="0" w:firstLine="0"/>
        <w:rPr>
          <w:rFonts w:ascii="Times New Roman" w:hAnsi="Times New Roman" w:cs="Times New Roman"/>
        </w:rPr>
      </w:pPr>
    </w:p>
    <w:p w14:paraId="7545D19F" w14:textId="77777777" w:rsidR="008F7970" w:rsidRDefault="008F7970">
      <w:pPr>
        <w:widowControl w:val="0"/>
        <w:ind w:left="0" w:firstLine="0"/>
        <w:rPr>
          <w:rFonts w:ascii="Times New Roman" w:hAnsi="Times New Roman" w:cs="Times New Roman"/>
        </w:rPr>
      </w:pPr>
    </w:p>
    <w:p w14:paraId="1287B6C7" w14:textId="77777777" w:rsidR="008F7970" w:rsidRDefault="00AD4BB2">
      <w:pPr>
        <w:keepNext/>
        <w:keepLines/>
        <w:tabs>
          <w:tab w:val="left" w:pos="567"/>
        </w:tabs>
        <w:ind w:left="0" w:firstLine="0"/>
        <w:outlineLvl w:val="2"/>
        <w:rPr>
          <w:rFonts w:ascii="Times New Roman" w:eastAsia="Times New Roman" w:hAnsi="Times New Roman" w:cs="Times New Roman"/>
          <w:b/>
          <w:bCs/>
          <w:szCs w:val="26"/>
          <w:lang w:eastAsia="x-none"/>
        </w:rPr>
      </w:pPr>
      <w:r>
        <w:rPr>
          <w:rFonts w:ascii="Times New Roman" w:eastAsia="Times New Roman" w:hAnsi="Times New Roman" w:cs="Times New Roman"/>
          <w:b/>
          <w:bCs/>
          <w:szCs w:val="26"/>
          <w:lang w:eastAsia="x-none"/>
        </w:rPr>
        <w:t>10.</w:t>
      </w:r>
      <w:r>
        <w:rPr>
          <w:rFonts w:ascii="Times New Roman" w:eastAsia="Times New Roman" w:hAnsi="Times New Roman" w:cs="Times New Roman"/>
          <w:b/>
          <w:bCs/>
          <w:szCs w:val="26"/>
          <w:lang w:eastAsia="x-none"/>
        </w:rPr>
        <w:tab/>
        <w:t>TEKSTO PERŽIŪROS DATA</w:t>
      </w:r>
    </w:p>
    <w:p w14:paraId="7B7BA710" w14:textId="77777777" w:rsidR="008F7970" w:rsidRDefault="008F7970">
      <w:pPr>
        <w:widowControl w:val="0"/>
        <w:ind w:left="0" w:firstLine="0"/>
        <w:rPr>
          <w:rFonts w:ascii="Times New Roman" w:hAnsi="Times New Roman" w:cs="Times New Roman"/>
        </w:rPr>
      </w:pPr>
    </w:p>
    <w:p w14:paraId="51C5088C" w14:textId="77777777" w:rsidR="008F7970" w:rsidRDefault="00AD4BB2">
      <w:pPr>
        <w:widowControl w:val="0"/>
        <w:ind w:left="0" w:firstLine="0"/>
        <w:rPr>
          <w:rFonts w:ascii="Times New Roman" w:hAnsi="Times New Roman" w:cs="Times New Roman"/>
        </w:rPr>
      </w:pPr>
      <w:r>
        <w:rPr>
          <w:rFonts w:ascii="Times New Roman" w:hAnsi="Times New Roman" w:cs="Times New Roman"/>
        </w:rPr>
        <w:t>2025 m. gruodžio 11 d.</w:t>
      </w:r>
    </w:p>
    <w:p w14:paraId="0EE5C6E4" w14:textId="77777777" w:rsidR="008F7970" w:rsidRDefault="008F7970">
      <w:pPr>
        <w:widowControl w:val="0"/>
        <w:ind w:left="0" w:firstLine="0"/>
        <w:rPr>
          <w:rFonts w:ascii="Times New Roman" w:hAnsi="Times New Roman" w:cs="Times New Roman"/>
        </w:rPr>
      </w:pPr>
    </w:p>
    <w:p w14:paraId="200BDF1D" w14:textId="77777777" w:rsidR="008F7970" w:rsidRDefault="00AD4BB2">
      <w:pPr>
        <w:widowControl w:val="0"/>
        <w:tabs>
          <w:tab w:val="left" w:pos="5954"/>
          <w:tab w:val="left" w:pos="6237"/>
          <w:tab w:val="left" w:pos="6663"/>
          <w:tab w:val="left" w:pos="6946"/>
        </w:tabs>
        <w:ind w:left="0" w:firstLine="0"/>
        <w:rPr>
          <w:rFonts w:ascii="Times New Roman" w:hAnsi="Times New Roman" w:cs="Times New Roman"/>
          <w:color w:val="0000FF"/>
          <w:u w:val="single"/>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hyperlink r:id="rId7" w:history="1">
        <w:r>
          <w:rPr>
            <w:rStyle w:val="Hipersaitas"/>
            <w:rFonts w:ascii="Times New Roman" w:eastAsia="Times New Roman" w:hAnsi="Times New Roman" w:cs="Times New Roman"/>
            <w:lang w:eastAsia="lt-LT"/>
          </w:rPr>
          <w:t>https://vvkt.lrv.lt/lt</w:t>
        </w:r>
        <w:r>
          <w:rPr>
            <w:rStyle w:val="Hipersaitas"/>
            <w:rFonts w:ascii="Times New Roman" w:hAnsi="Times New Roman" w:cs="Times New Roman"/>
          </w:rPr>
          <w:t xml:space="preserve"> t</w:t>
        </w:r>
      </w:hyperlink>
    </w:p>
    <w:p w14:paraId="027B1D8D" w14:textId="77777777" w:rsidR="008F7970" w:rsidRDefault="00AD4BB2">
      <w:pPr>
        <w:widowControl w:val="0"/>
        <w:ind w:left="0" w:firstLine="0"/>
        <w:jc w:val="center"/>
        <w:rPr>
          <w:rFonts w:ascii="Times New Roman" w:eastAsia="Times New Roman" w:hAnsi="Times New Roman" w:cs="Times New Roman"/>
          <w:noProof/>
        </w:rPr>
      </w:pPr>
      <w:r>
        <w:rPr>
          <w:rFonts w:ascii="Times New Roman" w:eastAsia="Times New Roman" w:hAnsi="Times New Roman" w:cs="Times New Roman"/>
          <w:b/>
          <w:noProof/>
        </w:rPr>
        <w:br w:type="page"/>
      </w:r>
    </w:p>
    <w:p w14:paraId="48295EAC" w14:textId="77777777" w:rsidR="008F7970" w:rsidRDefault="008F7970">
      <w:pPr>
        <w:widowControl w:val="0"/>
        <w:ind w:left="0" w:firstLine="0"/>
        <w:jc w:val="center"/>
        <w:rPr>
          <w:rFonts w:ascii="Times New Roman" w:hAnsi="Times New Roman" w:cs="Times New Roman"/>
        </w:rPr>
      </w:pPr>
    </w:p>
    <w:p w14:paraId="7621CC04" w14:textId="77777777" w:rsidR="008F7970" w:rsidRDefault="008F7970">
      <w:pPr>
        <w:widowControl w:val="0"/>
        <w:ind w:left="0" w:firstLine="0"/>
        <w:jc w:val="center"/>
        <w:rPr>
          <w:rFonts w:ascii="Times New Roman" w:hAnsi="Times New Roman" w:cs="Times New Roman"/>
        </w:rPr>
      </w:pPr>
    </w:p>
    <w:p w14:paraId="099CBD01" w14:textId="77777777" w:rsidR="008F7970" w:rsidRDefault="008F7970">
      <w:pPr>
        <w:widowControl w:val="0"/>
        <w:ind w:left="0" w:firstLine="0"/>
        <w:jc w:val="center"/>
        <w:rPr>
          <w:rFonts w:ascii="Times New Roman" w:hAnsi="Times New Roman" w:cs="Times New Roman"/>
        </w:rPr>
      </w:pPr>
    </w:p>
    <w:p w14:paraId="5D0B731A" w14:textId="77777777" w:rsidR="008F7970" w:rsidRDefault="008F7970">
      <w:pPr>
        <w:widowControl w:val="0"/>
        <w:ind w:left="0" w:firstLine="0"/>
        <w:jc w:val="center"/>
        <w:rPr>
          <w:rFonts w:ascii="Times New Roman" w:hAnsi="Times New Roman" w:cs="Times New Roman"/>
        </w:rPr>
      </w:pPr>
    </w:p>
    <w:p w14:paraId="1B4B9EF0" w14:textId="77777777" w:rsidR="008F7970" w:rsidRDefault="008F7970">
      <w:pPr>
        <w:widowControl w:val="0"/>
        <w:ind w:left="0" w:firstLine="0"/>
        <w:jc w:val="center"/>
        <w:rPr>
          <w:rFonts w:ascii="Times New Roman" w:hAnsi="Times New Roman" w:cs="Times New Roman"/>
        </w:rPr>
      </w:pPr>
    </w:p>
    <w:p w14:paraId="3F1D25A5" w14:textId="77777777" w:rsidR="008F7970" w:rsidRDefault="008F7970">
      <w:pPr>
        <w:widowControl w:val="0"/>
        <w:ind w:left="0" w:firstLine="0"/>
        <w:jc w:val="center"/>
        <w:rPr>
          <w:rFonts w:ascii="Times New Roman" w:hAnsi="Times New Roman" w:cs="Times New Roman"/>
        </w:rPr>
      </w:pPr>
    </w:p>
    <w:p w14:paraId="5C39F738" w14:textId="77777777" w:rsidR="008F7970" w:rsidRDefault="008F7970">
      <w:pPr>
        <w:widowControl w:val="0"/>
        <w:ind w:left="0" w:firstLine="0"/>
        <w:jc w:val="center"/>
        <w:rPr>
          <w:rFonts w:ascii="Times New Roman" w:hAnsi="Times New Roman" w:cs="Times New Roman"/>
        </w:rPr>
      </w:pPr>
    </w:p>
    <w:p w14:paraId="36CDF5BD" w14:textId="77777777" w:rsidR="008F7970" w:rsidRDefault="008F7970">
      <w:pPr>
        <w:widowControl w:val="0"/>
        <w:ind w:left="0" w:firstLine="0"/>
        <w:jc w:val="center"/>
        <w:rPr>
          <w:rFonts w:ascii="Times New Roman" w:hAnsi="Times New Roman" w:cs="Times New Roman"/>
        </w:rPr>
      </w:pPr>
    </w:p>
    <w:p w14:paraId="165917B3" w14:textId="77777777" w:rsidR="008F7970" w:rsidRDefault="008F7970">
      <w:pPr>
        <w:widowControl w:val="0"/>
        <w:ind w:left="0" w:firstLine="0"/>
        <w:jc w:val="center"/>
        <w:rPr>
          <w:rFonts w:ascii="Times New Roman" w:hAnsi="Times New Roman" w:cs="Times New Roman"/>
        </w:rPr>
      </w:pPr>
    </w:p>
    <w:p w14:paraId="72EEDECE" w14:textId="77777777" w:rsidR="008F7970" w:rsidRDefault="008F7970">
      <w:pPr>
        <w:widowControl w:val="0"/>
        <w:tabs>
          <w:tab w:val="left" w:pos="567"/>
        </w:tabs>
        <w:ind w:left="0" w:firstLine="0"/>
        <w:jc w:val="center"/>
        <w:rPr>
          <w:rFonts w:ascii="Times New Roman" w:hAnsi="Times New Roman" w:cs="Times New Roman"/>
          <w:b/>
        </w:rPr>
      </w:pPr>
    </w:p>
    <w:p w14:paraId="50E66831" w14:textId="77777777" w:rsidR="008F7970" w:rsidRDefault="008F7970">
      <w:pPr>
        <w:widowControl w:val="0"/>
        <w:tabs>
          <w:tab w:val="left" w:pos="567"/>
        </w:tabs>
        <w:ind w:left="0" w:firstLine="0"/>
        <w:jc w:val="center"/>
        <w:rPr>
          <w:rFonts w:ascii="Times New Roman" w:hAnsi="Times New Roman" w:cs="Times New Roman"/>
          <w:b/>
        </w:rPr>
      </w:pPr>
    </w:p>
    <w:p w14:paraId="3237F43F" w14:textId="77777777" w:rsidR="008F7970" w:rsidRDefault="008F7970">
      <w:pPr>
        <w:widowControl w:val="0"/>
        <w:tabs>
          <w:tab w:val="left" w:pos="567"/>
        </w:tabs>
        <w:ind w:left="0" w:firstLine="0"/>
        <w:jc w:val="center"/>
        <w:rPr>
          <w:rFonts w:ascii="Times New Roman" w:hAnsi="Times New Roman" w:cs="Times New Roman"/>
          <w:b/>
        </w:rPr>
      </w:pPr>
    </w:p>
    <w:p w14:paraId="27A1E390" w14:textId="77777777" w:rsidR="008F7970" w:rsidRDefault="008F7970">
      <w:pPr>
        <w:widowControl w:val="0"/>
        <w:tabs>
          <w:tab w:val="left" w:pos="567"/>
        </w:tabs>
        <w:ind w:left="0" w:firstLine="0"/>
        <w:jc w:val="center"/>
        <w:rPr>
          <w:rFonts w:ascii="Times New Roman" w:hAnsi="Times New Roman" w:cs="Times New Roman"/>
          <w:b/>
        </w:rPr>
      </w:pPr>
    </w:p>
    <w:p w14:paraId="08A3DA84" w14:textId="77777777" w:rsidR="008F7970" w:rsidRDefault="008F7970">
      <w:pPr>
        <w:widowControl w:val="0"/>
        <w:tabs>
          <w:tab w:val="left" w:pos="567"/>
        </w:tabs>
        <w:ind w:left="0" w:firstLine="0"/>
        <w:jc w:val="center"/>
        <w:rPr>
          <w:rFonts w:ascii="Times New Roman" w:hAnsi="Times New Roman" w:cs="Times New Roman"/>
          <w:b/>
        </w:rPr>
      </w:pPr>
    </w:p>
    <w:p w14:paraId="1102AD35" w14:textId="77777777" w:rsidR="008F7970" w:rsidRDefault="008F7970">
      <w:pPr>
        <w:widowControl w:val="0"/>
        <w:tabs>
          <w:tab w:val="left" w:pos="567"/>
        </w:tabs>
        <w:ind w:left="0" w:firstLine="0"/>
        <w:jc w:val="center"/>
        <w:rPr>
          <w:rFonts w:ascii="Times New Roman" w:hAnsi="Times New Roman" w:cs="Times New Roman"/>
          <w:b/>
        </w:rPr>
      </w:pPr>
    </w:p>
    <w:p w14:paraId="2EBB8706" w14:textId="77777777" w:rsidR="008F7970" w:rsidRDefault="008F7970">
      <w:pPr>
        <w:widowControl w:val="0"/>
        <w:tabs>
          <w:tab w:val="left" w:pos="567"/>
        </w:tabs>
        <w:ind w:left="0" w:firstLine="0"/>
        <w:jc w:val="center"/>
        <w:rPr>
          <w:rFonts w:ascii="Times New Roman" w:hAnsi="Times New Roman" w:cs="Times New Roman"/>
          <w:b/>
        </w:rPr>
      </w:pPr>
    </w:p>
    <w:p w14:paraId="6B37B091" w14:textId="77777777" w:rsidR="008F7970" w:rsidRDefault="008F7970">
      <w:pPr>
        <w:widowControl w:val="0"/>
        <w:tabs>
          <w:tab w:val="left" w:pos="567"/>
        </w:tabs>
        <w:ind w:left="0" w:firstLine="0"/>
        <w:jc w:val="center"/>
        <w:rPr>
          <w:rFonts w:ascii="Times New Roman" w:hAnsi="Times New Roman" w:cs="Times New Roman"/>
          <w:b/>
        </w:rPr>
      </w:pPr>
    </w:p>
    <w:p w14:paraId="527D9E24" w14:textId="77777777" w:rsidR="008F7970" w:rsidRDefault="008F7970">
      <w:pPr>
        <w:widowControl w:val="0"/>
        <w:tabs>
          <w:tab w:val="left" w:pos="567"/>
        </w:tabs>
        <w:ind w:left="0" w:firstLine="0"/>
        <w:jc w:val="center"/>
        <w:rPr>
          <w:rFonts w:ascii="Times New Roman" w:hAnsi="Times New Roman" w:cs="Times New Roman"/>
          <w:b/>
        </w:rPr>
      </w:pPr>
    </w:p>
    <w:p w14:paraId="3828A179" w14:textId="77777777" w:rsidR="008F7970" w:rsidRDefault="008F7970">
      <w:pPr>
        <w:widowControl w:val="0"/>
        <w:tabs>
          <w:tab w:val="left" w:pos="567"/>
        </w:tabs>
        <w:ind w:left="0" w:firstLine="0"/>
        <w:jc w:val="center"/>
        <w:rPr>
          <w:rFonts w:ascii="Times New Roman" w:hAnsi="Times New Roman" w:cs="Times New Roman"/>
          <w:b/>
        </w:rPr>
      </w:pPr>
    </w:p>
    <w:p w14:paraId="09C762FF" w14:textId="77777777" w:rsidR="008F7970" w:rsidRDefault="008F7970">
      <w:pPr>
        <w:widowControl w:val="0"/>
        <w:tabs>
          <w:tab w:val="left" w:pos="567"/>
        </w:tabs>
        <w:ind w:left="0" w:firstLine="0"/>
        <w:jc w:val="center"/>
        <w:rPr>
          <w:rFonts w:ascii="Times New Roman" w:hAnsi="Times New Roman" w:cs="Times New Roman"/>
          <w:b/>
        </w:rPr>
      </w:pPr>
    </w:p>
    <w:p w14:paraId="412D816A" w14:textId="77777777" w:rsidR="008F7970" w:rsidRDefault="008F7970">
      <w:pPr>
        <w:widowControl w:val="0"/>
        <w:tabs>
          <w:tab w:val="left" w:pos="567"/>
        </w:tabs>
        <w:ind w:left="0" w:firstLine="0"/>
        <w:jc w:val="center"/>
        <w:rPr>
          <w:rFonts w:ascii="Times New Roman" w:hAnsi="Times New Roman" w:cs="Times New Roman"/>
          <w:b/>
        </w:rPr>
      </w:pPr>
    </w:p>
    <w:p w14:paraId="09CAA2DE" w14:textId="77777777" w:rsidR="008F7970" w:rsidRDefault="008F7970">
      <w:pPr>
        <w:widowControl w:val="0"/>
        <w:tabs>
          <w:tab w:val="left" w:pos="567"/>
        </w:tabs>
        <w:ind w:left="0" w:firstLine="0"/>
        <w:jc w:val="center"/>
        <w:rPr>
          <w:rFonts w:ascii="Times New Roman" w:hAnsi="Times New Roman" w:cs="Times New Roman"/>
          <w:b/>
        </w:rPr>
      </w:pPr>
    </w:p>
    <w:p w14:paraId="3DD6CC94" w14:textId="77777777" w:rsidR="008F7970" w:rsidRDefault="008F7970">
      <w:pPr>
        <w:widowControl w:val="0"/>
        <w:tabs>
          <w:tab w:val="left" w:pos="567"/>
        </w:tabs>
        <w:ind w:left="0" w:firstLine="0"/>
        <w:jc w:val="center"/>
        <w:rPr>
          <w:rFonts w:ascii="Times New Roman" w:hAnsi="Times New Roman" w:cs="Times New Roman"/>
          <w:b/>
        </w:rPr>
      </w:pPr>
    </w:p>
    <w:p w14:paraId="747330DD" w14:textId="77777777" w:rsidR="008F7970" w:rsidRDefault="008F7970">
      <w:pPr>
        <w:widowControl w:val="0"/>
        <w:tabs>
          <w:tab w:val="left" w:pos="567"/>
        </w:tabs>
        <w:ind w:left="0" w:firstLine="0"/>
        <w:jc w:val="center"/>
        <w:rPr>
          <w:rFonts w:ascii="Times New Roman" w:hAnsi="Times New Roman" w:cs="Times New Roman"/>
          <w:b/>
        </w:rPr>
      </w:pPr>
    </w:p>
    <w:p w14:paraId="02268C18" w14:textId="77777777" w:rsidR="008F7970" w:rsidRDefault="008F7970">
      <w:pPr>
        <w:widowControl w:val="0"/>
        <w:tabs>
          <w:tab w:val="left" w:pos="567"/>
        </w:tabs>
        <w:ind w:left="0" w:firstLine="0"/>
        <w:jc w:val="center"/>
        <w:rPr>
          <w:rFonts w:ascii="Times New Roman" w:hAnsi="Times New Roman" w:cs="Times New Roman"/>
          <w:b/>
        </w:rPr>
      </w:pPr>
    </w:p>
    <w:p w14:paraId="1BD9274C" w14:textId="77777777" w:rsidR="008F7970" w:rsidRDefault="008F7970">
      <w:pPr>
        <w:widowControl w:val="0"/>
        <w:tabs>
          <w:tab w:val="left" w:pos="567"/>
        </w:tabs>
        <w:ind w:left="0" w:firstLine="0"/>
        <w:jc w:val="center"/>
        <w:rPr>
          <w:rFonts w:ascii="Times New Roman" w:hAnsi="Times New Roman" w:cs="Times New Roman"/>
          <w:b/>
        </w:rPr>
      </w:pPr>
    </w:p>
    <w:p w14:paraId="74C55963" w14:textId="77777777" w:rsidR="008F7970" w:rsidRDefault="008F7970">
      <w:pPr>
        <w:widowControl w:val="0"/>
        <w:tabs>
          <w:tab w:val="left" w:pos="567"/>
        </w:tabs>
        <w:ind w:left="0" w:firstLine="0"/>
        <w:jc w:val="center"/>
        <w:rPr>
          <w:rFonts w:ascii="Times New Roman" w:hAnsi="Times New Roman" w:cs="Times New Roman"/>
          <w:b/>
        </w:rPr>
      </w:pPr>
    </w:p>
    <w:p w14:paraId="52032672" w14:textId="77777777" w:rsidR="008F7970" w:rsidRDefault="008F7970">
      <w:pPr>
        <w:widowControl w:val="0"/>
        <w:tabs>
          <w:tab w:val="left" w:pos="567"/>
        </w:tabs>
        <w:ind w:left="0" w:firstLine="0"/>
        <w:jc w:val="center"/>
        <w:rPr>
          <w:rFonts w:ascii="Times New Roman" w:hAnsi="Times New Roman" w:cs="Times New Roman"/>
          <w:b/>
        </w:rPr>
      </w:pPr>
    </w:p>
    <w:p w14:paraId="5DE6CA70" w14:textId="77777777" w:rsidR="008F7970" w:rsidRDefault="008F7970">
      <w:pPr>
        <w:widowControl w:val="0"/>
        <w:tabs>
          <w:tab w:val="left" w:pos="567"/>
        </w:tabs>
        <w:ind w:left="0" w:firstLine="0"/>
        <w:jc w:val="center"/>
        <w:rPr>
          <w:rFonts w:ascii="Times New Roman" w:hAnsi="Times New Roman" w:cs="Times New Roman"/>
          <w:b/>
        </w:rPr>
      </w:pPr>
    </w:p>
    <w:p w14:paraId="79F12185" w14:textId="77777777" w:rsidR="008F7970" w:rsidRDefault="008F7970">
      <w:pPr>
        <w:widowControl w:val="0"/>
        <w:tabs>
          <w:tab w:val="left" w:pos="567"/>
        </w:tabs>
        <w:ind w:left="0" w:firstLine="0"/>
        <w:jc w:val="center"/>
        <w:rPr>
          <w:rFonts w:ascii="Times New Roman" w:hAnsi="Times New Roman" w:cs="Times New Roman"/>
          <w:b/>
        </w:rPr>
      </w:pPr>
    </w:p>
    <w:p w14:paraId="329FEEAB" w14:textId="77777777" w:rsidR="008F7970" w:rsidRDefault="008F7970">
      <w:pPr>
        <w:widowControl w:val="0"/>
        <w:tabs>
          <w:tab w:val="left" w:pos="567"/>
        </w:tabs>
        <w:ind w:left="0" w:firstLine="0"/>
        <w:jc w:val="center"/>
        <w:rPr>
          <w:rFonts w:ascii="Times New Roman" w:hAnsi="Times New Roman" w:cs="Times New Roman"/>
          <w:b/>
        </w:rPr>
      </w:pPr>
    </w:p>
    <w:p w14:paraId="3C93D9A2" w14:textId="77777777" w:rsidR="008F7970" w:rsidRDefault="008F7970">
      <w:pPr>
        <w:widowControl w:val="0"/>
        <w:tabs>
          <w:tab w:val="left" w:pos="567"/>
        </w:tabs>
        <w:ind w:left="0" w:firstLine="0"/>
        <w:jc w:val="center"/>
        <w:rPr>
          <w:rFonts w:ascii="Times New Roman" w:hAnsi="Times New Roman" w:cs="Times New Roman"/>
          <w:b/>
        </w:rPr>
      </w:pPr>
    </w:p>
    <w:p w14:paraId="0F10E895" w14:textId="77777777" w:rsidR="008F7970" w:rsidRDefault="00AD4BB2">
      <w:pPr>
        <w:widowControl w:val="0"/>
        <w:tabs>
          <w:tab w:val="left" w:pos="567"/>
        </w:tabs>
        <w:ind w:left="0" w:firstLine="0"/>
        <w:jc w:val="center"/>
        <w:rPr>
          <w:rFonts w:ascii="Times New Roman" w:hAnsi="Times New Roman" w:cs="Times New Roman"/>
          <w:b/>
        </w:rPr>
      </w:pPr>
      <w:r>
        <w:rPr>
          <w:rFonts w:ascii="Times New Roman" w:hAnsi="Times New Roman" w:cs="Times New Roman"/>
          <w:b/>
        </w:rPr>
        <w:t>II PRIEDAS</w:t>
      </w:r>
    </w:p>
    <w:p w14:paraId="16B74F9C" w14:textId="77777777" w:rsidR="008F7970" w:rsidRDefault="008F7970">
      <w:pPr>
        <w:widowControl w:val="0"/>
        <w:tabs>
          <w:tab w:val="left" w:pos="567"/>
        </w:tabs>
        <w:ind w:left="1701" w:right="1416"/>
        <w:rPr>
          <w:rFonts w:ascii="Times New Roman" w:hAnsi="Times New Roman" w:cs="Times New Roman"/>
        </w:rPr>
      </w:pPr>
    </w:p>
    <w:p w14:paraId="1175BEFC" w14:textId="77777777" w:rsidR="008F7970" w:rsidRDefault="00AD4BB2">
      <w:pPr>
        <w:widowControl w:val="0"/>
        <w:tabs>
          <w:tab w:val="left" w:pos="567"/>
        </w:tabs>
        <w:ind w:left="0" w:firstLine="0"/>
        <w:jc w:val="center"/>
        <w:rPr>
          <w:rFonts w:ascii="Times New Roman" w:hAnsi="Times New Roman" w:cs="Times New Roman"/>
          <w:i/>
        </w:rPr>
      </w:pPr>
      <w:r>
        <w:rPr>
          <w:rFonts w:ascii="Times New Roman" w:hAnsi="Times New Roman" w:cs="Times New Roman"/>
          <w:b/>
        </w:rPr>
        <w:t>REGISTRACIJOS SĄLYGOS</w:t>
      </w:r>
    </w:p>
    <w:p w14:paraId="6D2C7C92" w14:textId="77777777" w:rsidR="008F7970" w:rsidRDefault="008F7970">
      <w:pPr>
        <w:widowControl w:val="0"/>
        <w:tabs>
          <w:tab w:val="left" w:pos="567"/>
        </w:tabs>
        <w:ind w:left="0" w:firstLine="0"/>
        <w:rPr>
          <w:rFonts w:ascii="Times New Roman" w:hAnsi="Times New Roman" w:cs="Times New Roman"/>
        </w:rPr>
      </w:pPr>
    </w:p>
    <w:p w14:paraId="5EB3E1A0" w14:textId="77777777" w:rsidR="008F7970" w:rsidRDefault="00AD4BB2">
      <w:pPr>
        <w:widowControl w:val="0"/>
        <w:tabs>
          <w:tab w:val="left" w:pos="1701"/>
        </w:tabs>
        <w:ind w:left="1701" w:right="567"/>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GAMINTOJAS (-AI), ATSAKINGAS (-I) UŽ SERIJŲ IŠLEIDIMĄ</w:t>
      </w:r>
    </w:p>
    <w:p w14:paraId="35E3A93E" w14:textId="77777777" w:rsidR="008F7970" w:rsidRDefault="008F7970">
      <w:pPr>
        <w:widowControl w:val="0"/>
        <w:tabs>
          <w:tab w:val="left" w:pos="1701"/>
        </w:tabs>
        <w:ind w:right="567"/>
        <w:rPr>
          <w:rFonts w:ascii="Times New Roman" w:hAnsi="Times New Roman" w:cs="Times New Roman"/>
        </w:rPr>
      </w:pPr>
    </w:p>
    <w:p w14:paraId="79E07B7F" w14:textId="77777777" w:rsidR="008F7970" w:rsidRDefault="00AD4BB2">
      <w:pPr>
        <w:widowControl w:val="0"/>
        <w:tabs>
          <w:tab w:val="left" w:pos="1701"/>
        </w:tabs>
        <w:ind w:left="1701" w:right="567"/>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33EEBE62" w14:textId="77777777" w:rsidR="008F7970" w:rsidRDefault="008F7970">
      <w:pPr>
        <w:widowControl w:val="0"/>
        <w:tabs>
          <w:tab w:val="left" w:pos="1701"/>
        </w:tabs>
        <w:ind w:right="567"/>
        <w:rPr>
          <w:rFonts w:ascii="Times New Roman" w:hAnsi="Times New Roman" w:cs="Times New Roman"/>
        </w:rPr>
      </w:pPr>
    </w:p>
    <w:p w14:paraId="690A8A32" w14:textId="77777777" w:rsidR="008F7970" w:rsidRDefault="008F7970">
      <w:pPr>
        <w:widowControl w:val="0"/>
        <w:rPr>
          <w:rFonts w:ascii="Times New Roman" w:hAnsi="Times New Roman" w:cs="Times New Roman"/>
          <w:highlight w:val="yellow"/>
        </w:rPr>
      </w:pPr>
    </w:p>
    <w:p w14:paraId="54647CC6" w14:textId="77777777" w:rsidR="008F7970" w:rsidRDefault="00AD4BB2">
      <w:pPr>
        <w:widowControl w:val="0"/>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t>GAMINTOJAS (-AI), ATSAKINGAS (-I) UŽ SERIJŲ IŠLEIDIMĄ</w:t>
      </w:r>
    </w:p>
    <w:p w14:paraId="2E13A540" w14:textId="77777777" w:rsidR="008F7970" w:rsidRDefault="008F7970">
      <w:pPr>
        <w:widowControl w:val="0"/>
        <w:rPr>
          <w:rFonts w:ascii="Times New Roman" w:hAnsi="Times New Roman" w:cs="Times New Roman"/>
          <w:highlight w:val="yellow"/>
        </w:rPr>
      </w:pPr>
    </w:p>
    <w:p w14:paraId="42B7629D" w14:textId="77777777" w:rsidR="008F7970" w:rsidRDefault="00AD4BB2">
      <w:pPr>
        <w:widowControl w:val="0"/>
        <w:ind w:left="0" w:firstLine="0"/>
        <w:rPr>
          <w:rFonts w:ascii="Times New Roman" w:hAnsi="Times New Roman" w:cs="Times New Roman"/>
          <w:u w:val="single"/>
        </w:rPr>
      </w:pPr>
      <w:r>
        <w:rPr>
          <w:rFonts w:ascii="Times New Roman" w:hAnsi="Times New Roman" w:cs="Times New Roman"/>
          <w:u w:val="single"/>
        </w:rPr>
        <w:t>Gamintojo (-ų), atsakingo (-ų) už serijų išleidimą, pavadinimas (-ai) ir adresas (-ai)</w:t>
      </w:r>
    </w:p>
    <w:p w14:paraId="104EFD20" w14:textId="77777777" w:rsidR="008F7970" w:rsidRDefault="008F7970">
      <w:pPr>
        <w:widowControl w:val="0"/>
        <w:ind w:left="0" w:firstLine="0"/>
        <w:rPr>
          <w:rFonts w:ascii="Times New Roman" w:hAnsi="Times New Roman" w:cs="Times New Roman"/>
          <w:highlight w:val="yellow"/>
        </w:rPr>
      </w:pPr>
    </w:p>
    <w:p w14:paraId="4151712B" w14:textId="77777777" w:rsidR="008F7970" w:rsidRDefault="00AD4BB2">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6C6F4F77" w14:textId="77777777" w:rsidR="008F7970" w:rsidRDefault="00AD4BB2">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05488810" w14:textId="77777777" w:rsidR="008F7970" w:rsidRDefault="00AD4BB2">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4A987CCB" w14:textId="77777777" w:rsidR="008F7970" w:rsidRDefault="00AD4BB2">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56F84D50" w14:textId="77777777" w:rsidR="008F7970" w:rsidRDefault="008F7970">
      <w:pPr>
        <w:widowControl w:val="0"/>
        <w:ind w:left="0" w:firstLine="0"/>
        <w:rPr>
          <w:rFonts w:ascii="Times New Roman" w:hAnsi="Times New Roman" w:cs="Times New Roman"/>
          <w:highlight w:val="yellow"/>
        </w:rPr>
      </w:pPr>
    </w:p>
    <w:p w14:paraId="0EBAE08A" w14:textId="77777777" w:rsidR="008F7970" w:rsidRDefault="008F7970">
      <w:pPr>
        <w:widowControl w:val="0"/>
        <w:ind w:left="0" w:firstLine="0"/>
        <w:rPr>
          <w:rFonts w:ascii="Times New Roman" w:hAnsi="Times New Roman" w:cs="Times New Roman"/>
          <w:highlight w:val="yellow"/>
        </w:rPr>
      </w:pPr>
    </w:p>
    <w:p w14:paraId="3244C5E1" w14:textId="77777777" w:rsidR="008F7970" w:rsidRDefault="00AD4BB2">
      <w:pPr>
        <w:widowControl w:val="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136827FA" w14:textId="77777777" w:rsidR="008F7970" w:rsidRDefault="008F7970">
      <w:pPr>
        <w:widowControl w:val="0"/>
        <w:ind w:left="0" w:firstLine="0"/>
        <w:rPr>
          <w:rFonts w:ascii="Times New Roman" w:hAnsi="Times New Roman" w:cs="Times New Roman"/>
        </w:rPr>
      </w:pPr>
    </w:p>
    <w:p w14:paraId="1DD25021" w14:textId="77777777" w:rsidR="008F7970" w:rsidRDefault="00AD4BB2">
      <w:pPr>
        <w:widowControl w:val="0"/>
        <w:numPr>
          <w:ilvl w:val="12"/>
          <w:numId w:val="0"/>
        </w:numPr>
        <w:rPr>
          <w:rFonts w:ascii="Times New Roman" w:eastAsia="Times New Roman" w:hAnsi="Times New Roman" w:cs="Times New Roman"/>
          <w:sz w:val="24"/>
          <w:szCs w:val="20"/>
          <w:highlight w:val="yellow"/>
          <w:lang w:val="sl-SI" w:eastAsia="sl-SI"/>
        </w:rPr>
      </w:pPr>
      <w:r>
        <w:rPr>
          <w:rFonts w:ascii="Times New Roman" w:hAnsi="Times New Roman" w:cs="Times New Roman"/>
        </w:rPr>
        <w:t>Receptinis vaistinis preparatas.</w:t>
      </w:r>
    </w:p>
    <w:p w14:paraId="2858BF35" w14:textId="77777777" w:rsidR="008F7970" w:rsidRDefault="00AD4BB2">
      <w:pPr>
        <w:widowControl w:val="0"/>
        <w:ind w:left="0" w:right="566" w:firstLine="0"/>
        <w:rPr>
          <w:rFonts w:ascii="Times New Roman" w:hAnsi="Times New Roman" w:cs="Times New Roman"/>
        </w:rPr>
      </w:pPr>
      <w:r>
        <w:rPr>
          <w:rFonts w:ascii="Times New Roman" w:hAnsi="Times New Roman" w:cs="Times New Roman"/>
          <w:b/>
        </w:rPr>
        <w:br w:type="page"/>
      </w:r>
    </w:p>
    <w:p w14:paraId="6FAC1716" w14:textId="77777777" w:rsidR="008F7970" w:rsidRDefault="008F7970">
      <w:pPr>
        <w:widowControl w:val="0"/>
        <w:ind w:left="0" w:firstLine="0"/>
        <w:rPr>
          <w:rFonts w:ascii="Times New Roman" w:hAnsi="Times New Roman" w:cs="Times New Roman"/>
        </w:rPr>
      </w:pPr>
    </w:p>
    <w:p w14:paraId="37FEA818" w14:textId="77777777" w:rsidR="008F7970" w:rsidRDefault="008F7970">
      <w:pPr>
        <w:widowControl w:val="0"/>
        <w:ind w:left="0" w:firstLine="0"/>
        <w:rPr>
          <w:rFonts w:ascii="Times New Roman" w:hAnsi="Times New Roman" w:cs="Times New Roman"/>
        </w:rPr>
      </w:pPr>
    </w:p>
    <w:p w14:paraId="3F83795C" w14:textId="77777777" w:rsidR="008F7970" w:rsidRDefault="008F7970">
      <w:pPr>
        <w:widowControl w:val="0"/>
        <w:ind w:left="0" w:firstLine="0"/>
        <w:rPr>
          <w:rFonts w:ascii="Times New Roman" w:hAnsi="Times New Roman" w:cs="Times New Roman"/>
        </w:rPr>
      </w:pPr>
    </w:p>
    <w:p w14:paraId="31D393B1" w14:textId="77777777" w:rsidR="008F7970" w:rsidRDefault="008F7970">
      <w:pPr>
        <w:widowControl w:val="0"/>
        <w:ind w:left="0" w:firstLine="0"/>
        <w:rPr>
          <w:rFonts w:ascii="Times New Roman" w:hAnsi="Times New Roman" w:cs="Times New Roman"/>
        </w:rPr>
      </w:pPr>
    </w:p>
    <w:p w14:paraId="1CD5BBE7" w14:textId="77777777" w:rsidR="008F7970" w:rsidRDefault="008F7970">
      <w:pPr>
        <w:widowControl w:val="0"/>
        <w:ind w:left="0" w:firstLine="0"/>
        <w:rPr>
          <w:rFonts w:ascii="Times New Roman" w:hAnsi="Times New Roman" w:cs="Times New Roman"/>
        </w:rPr>
      </w:pPr>
    </w:p>
    <w:p w14:paraId="4E965526" w14:textId="77777777" w:rsidR="008F7970" w:rsidRDefault="008F7970">
      <w:pPr>
        <w:widowControl w:val="0"/>
        <w:ind w:left="0" w:firstLine="0"/>
        <w:rPr>
          <w:rFonts w:ascii="Times New Roman" w:hAnsi="Times New Roman" w:cs="Times New Roman"/>
        </w:rPr>
      </w:pPr>
    </w:p>
    <w:p w14:paraId="784D7089" w14:textId="77777777" w:rsidR="008F7970" w:rsidRDefault="008F7970">
      <w:pPr>
        <w:widowControl w:val="0"/>
        <w:ind w:left="0" w:firstLine="0"/>
        <w:rPr>
          <w:rFonts w:ascii="Times New Roman" w:hAnsi="Times New Roman" w:cs="Times New Roman"/>
        </w:rPr>
      </w:pPr>
    </w:p>
    <w:p w14:paraId="4DE340E3" w14:textId="77777777" w:rsidR="008F7970" w:rsidRDefault="008F7970">
      <w:pPr>
        <w:widowControl w:val="0"/>
        <w:ind w:left="0" w:firstLine="0"/>
        <w:rPr>
          <w:rFonts w:ascii="Times New Roman" w:hAnsi="Times New Roman" w:cs="Times New Roman"/>
        </w:rPr>
      </w:pPr>
    </w:p>
    <w:p w14:paraId="223D2DE4" w14:textId="77777777" w:rsidR="008F7970" w:rsidRDefault="008F7970">
      <w:pPr>
        <w:widowControl w:val="0"/>
        <w:ind w:left="0" w:firstLine="0"/>
        <w:rPr>
          <w:rFonts w:ascii="Times New Roman" w:hAnsi="Times New Roman" w:cs="Times New Roman"/>
        </w:rPr>
      </w:pPr>
    </w:p>
    <w:p w14:paraId="20164D1C" w14:textId="77777777" w:rsidR="008F7970" w:rsidRDefault="008F7970">
      <w:pPr>
        <w:widowControl w:val="0"/>
        <w:ind w:left="0" w:firstLine="0"/>
        <w:rPr>
          <w:rFonts w:ascii="Times New Roman" w:hAnsi="Times New Roman" w:cs="Times New Roman"/>
        </w:rPr>
      </w:pPr>
    </w:p>
    <w:p w14:paraId="1298F761" w14:textId="77777777" w:rsidR="008F7970" w:rsidRDefault="008F7970">
      <w:pPr>
        <w:widowControl w:val="0"/>
        <w:ind w:left="0" w:firstLine="0"/>
        <w:rPr>
          <w:rFonts w:ascii="Times New Roman" w:hAnsi="Times New Roman" w:cs="Times New Roman"/>
        </w:rPr>
      </w:pPr>
    </w:p>
    <w:p w14:paraId="1156ED4D" w14:textId="77777777" w:rsidR="008F7970" w:rsidRDefault="008F7970">
      <w:pPr>
        <w:widowControl w:val="0"/>
        <w:ind w:left="0" w:firstLine="0"/>
        <w:rPr>
          <w:rFonts w:ascii="Times New Roman" w:hAnsi="Times New Roman" w:cs="Times New Roman"/>
        </w:rPr>
      </w:pPr>
    </w:p>
    <w:p w14:paraId="4EDA6B21" w14:textId="77777777" w:rsidR="008F7970" w:rsidRDefault="008F7970">
      <w:pPr>
        <w:widowControl w:val="0"/>
        <w:ind w:left="0" w:firstLine="0"/>
        <w:rPr>
          <w:rFonts w:ascii="Times New Roman" w:hAnsi="Times New Roman" w:cs="Times New Roman"/>
        </w:rPr>
      </w:pPr>
    </w:p>
    <w:p w14:paraId="2C4CA7C2" w14:textId="77777777" w:rsidR="008F7970" w:rsidRDefault="008F7970">
      <w:pPr>
        <w:widowControl w:val="0"/>
        <w:ind w:left="0" w:firstLine="0"/>
        <w:rPr>
          <w:rFonts w:ascii="Times New Roman" w:hAnsi="Times New Roman" w:cs="Times New Roman"/>
        </w:rPr>
      </w:pPr>
    </w:p>
    <w:p w14:paraId="13CC7DFE" w14:textId="77777777" w:rsidR="008F7970" w:rsidRDefault="008F7970">
      <w:pPr>
        <w:widowControl w:val="0"/>
        <w:ind w:left="0" w:firstLine="0"/>
        <w:rPr>
          <w:rFonts w:ascii="Times New Roman" w:hAnsi="Times New Roman" w:cs="Times New Roman"/>
        </w:rPr>
      </w:pPr>
    </w:p>
    <w:p w14:paraId="270A3BD0" w14:textId="77777777" w:rsidR="008F7970" w:rsidRDefault="008F7970">
      <w:pPr>
        <w:widowControl w:val="0"/>
        <w:ind w:left="0" w:firstLine="0"/>
        <w:rPr>
          <w:rFonts w:ascii="Times New Roman" w:hAnsi="Times New Roman" w:cs="Times New Roman"/>
        </w:rPr>
      </w:pPr>
    </w:p>
    <w:p w14:paraId="4EA5596D" w14:textId="77777777" w:rsidR="008F7970" w:rsidRDefault="008F7970">
      <w:pPr>
        <w:widowControl w:val="0"/>
        <w:ind w:left="0" w:firstLine="0"/>
        <w:rPr>
          <w:rFonts w:ascii="Times New Roman" w:hAnsi="Times New Roman" w:cs="Times New Roman"/>
        </w:rPr>
      </w:pPr>
    </w:p>
    <w:p w14:paraId="386493A6" w14:textId="77777777" w:rsidR="008F7970" w:rsidRDefault="008F7970">
      <w:pPr>
        <w:widowControl w:val="0"/>
        <w:ind w:left="0" w:firstLine="0"/>
        <w:rPr>
          <w:rFonts w:ascii="Times New Roman" w:hAnsi="Times New Roman" w:cs="Times New Roman"/>
        </w:rPr>
      </w:pPr>
    </w:p>
    <w:p w14:paraId="0581141C" w14:textId="77777777" w:rsidR="008F7970" w:rsidRDefault="008F7970">
      <w:pPr>
        <w:widowControl w:val="0"/>
        <w:ind w:left="0" w:firstLine="0"/>
        <w:rPr>
          <w:rFonts w:ascii="Times New Roman" w:hAnsi="Times New Roman" w:cs="Times New Roman"/>
        </w:rPr>
      </w:pPr>
    </w:p>
    <w:p w14:paraId="43ED309E" w14:textId="77777777" w:rsidR="008F7970" w:rsidRDefault="008F7970">
      <w:pPr>
        <w:widowControl w:val="0"/>
        <w:ind w:left="0" w:firstLine="0"/>
        <w:rPr>
          <w:rFonts w:ascii="Times New Roman" w:hAnsi="Times New Roman" w:cs="Times New Roman"/>
        </w:rPr>
      </w:pPr>
    </w:p>
    <w:p w14:paraId="7D6EEAF2" w14:textId="77777777" w:rsidR="008F7970" w:rsidRDefault="008F7970">
      <w:pPr>
        <w:widowControl w:val="0"/>
        <w:ind w:left="0" w:firstLine="0"/>
        <w:rPr>
          <w:rFonts w:ascii="Times New Roman" w:hAnsi="Times New Roman" w:cs="Times New Roman"/>
        </w:rPr>
      </w:pPr>
    </w:p>
    <w:p w14:paraId="2338460B" w14:textId="77777777" w:rsidR="008F7970" w:rsidRDefault="008F7970">
      <w:pPr>
        <w:widowControl w:val="0"/>
        <w:ind w:left="0" w:firstLine="0"/>
        <w:rPr>
          <w:rFonts w:ascii="Times New Roman" w:hAnsi="Times New Roman" w:cs="Times New Roman"/>
        </w:rPr>
      </w:pPr>
    </w:p>
    <w:p w14:paraId="40E3DEDA" w14:textId="77777777" w:rsidR="008F7970" w:rsidRDefault="008F7970">
      <w:pPr>
        <w:widowControl w:val="0"/>
        <w:ind w:left="0" w:firstLine="0"/>
        <w:rPr>
          <w:rFonts w:ascii="Times New Roman" w:hAnsi="Times New Roman" w:cs="Times New Roman"/>
        </w:rPr>
      </w:pPr>
    </w:p>
    <w:p w14:paraId="00E91649" w14:textId="77777777" w:rsidR="008F7970" w:rsidRDefault="00AD4BB2">
      <w:pPr>
        <w:widowControl w:val="0"/>
        <w:ind w:left="0" w:firstLine="0"/>
        <w:jc w:val="center"/>
        <w:outlineLvl w:val="0"/>
        <w:rPr>
          <w:rFonts w:ascii="Times New Roman" w:hAnsi="Times New Roman" w:cs="Times New Roman"/>
          <w:b/>
        </w:rPr>
      </w:pPr>
      <w:r>
        <w:rPr>
          <w:rFonts w:ascii="Times New Roman" w:hAnsi="Times New Roman" w:cs="Times New Roman"/>
          <w:b/>
        </w:rPr>
        <w:t>III PRIEDAS</w:t>
      </w:r>
    </w:p>
    <w:p w14:paraId="09088DC5" w14:textId="77777777" w:rsidR="008F7970" w:rsidRDefault="008F7970">
      <w:pPr>
        <w:widowControl w:val="0"/>
        <w:ind w:left="0" w:firstLine="0"/>
        <w:jc w:val="center"/>
        <w:rPr>
          <w:rFonts w:ascii="Times New Roman" w:hAnsi="Times New Roman" w:cs="Times New Roman"/>
          <w:b/>
        </w:rPr>
      </w:pPr>
    </w:p>
    <w:p w14:paraId="2833683B" w14:textId="77777777" w:rsidR="008F7970" w:rsidRDefault="00AD4BB2">
      <w:pPr>
        <w:widowControl w:val="0"/>
        <w:ind w:left="0" w:firstLine="0"/>
        <w:jc w:val="center"/>
        <w:outlineLvl w:val="0"/>
        <w:rPr>
          <w:rFonts w:ascii="Times New Roman" w:hAnsi="Times New Roman" w:cs="Times New Roman"/>
          <w:b/>
        </w:rPr>
      </w:pPr>
      <w:r>
        <w:rPr>
          <w:rFonts w:ascii="Times New Roman" w:hAnsi="Times New Roman" w:cs="Times New Roman"/>
          <w:b/>
        </w:rPr>
        <w:t>ŽENKLINIMAS IR PAKUOTĖS LAPELIS</w:t>
      </w:r>
    </w:p>
    <w:p w14:paraId="57325E1C" w14:textId="77777777" w:rsidR="008F7970" w:rsidRDefault="00AD4BB2">
      <w:pPr>
        <w:widowControl w:val="0"/>
        <w:ind w:left="0" w:firstLine="0"/>
        <w:rPr>
          <w:rFonts w:ascii="Times New Roman" w:hAnsi="Times New Roman" w:cs="Times New Roman"/>
        </w:rPr>
      </w:pPr>
      <w:r>
        <w:rPr>
          <w:rFonts w:ascii="Times New Roman" w:hAnsi="Times New Roman" w:cs="Times New Roman"/>
        </w:rPr>
        <w:br w:type="page"/>
      </w:r>
    </w:p>
    <w:p w14:paraId="425142FB" w14:textId="77777777" w:rsidR="008F7970" w:rsidRDefault="008F7970">
      <w:pPr>
        <w:widowControl w:val="0"/>
        <w:ind w:left="0" w:firstLine="0"/>
        <w:rPr>
          <w:rFonts w:ascii="Times New Roman" w:hAnsi="Times New Roman" w:cs="Times New Roman"/>
        </w:rPr>
      </w:pPr>
    </w:p>
    <w:p w14:paraId="4283816F" w14:textId="77777777" w:rsidR="008F7970" w:rsidRDefault="008F7970">
      <w:pPr>
        <w:widowControl w:val="0"/>
        <w:ind w:left="0" w:firstLine="0"/>
        <w:rPr>
          <w:rFonts w:ascii="Times New Roman" w:hAnsi="Times New Roman" w:cs="Times New Roman"/>
        </w:rPr>
      </w:pPr>
    </w:p>
    <w:p w14:paraId="4A094887" w14:textId="77777777" w:rsidR="008F7970" w:rsidRDefault="008F7970">
      <w:pPr>
        <w:widowControl w:val="0"/>
        <w:ind w:left="0" w:firstLine="0"/>
        <w:rPr>
          <w:rFonts w:ascii="Times New Roman" w:hAnsi="Times New Roman" w:cs="Times New Roman"/>
        </w:rPr>
      </w:pPr>
    </w:p>
    <w:p w14:paraId="61304EA3" w14:textId="77777777" w:rsidR="008F7970" w:rsidRDefault="008F7970">
      <w:pPr>
        <w:widowControl w:val="0"/>
        <w:ind w:left="0" w:firstLine="0"/>
        <w:rPr>
          <w:rFonts w:ascii="Times New Roman" w:hAnsi="Times New Roman" w:cs="Times New Roman"/>
        </w:rPr>
      </w:pPr>
    </w:p>
    <w:p w14:paraId="1545BD20" w14:textId="77777777" w:rsidR="008F7970" w:rsidRDefault="008F7970">
      <w:pPr>
        <w:widowControl w:val="0"/>
        <w:ind w:left="0" w:firstLine="0"/>
        <w:rPr>
          <w:rFonts w:ascii="Times New Roman" w:hAnsi="Times New Roman" w:cs="Times New Roman"/>
        </w:rPr>
      </w:pPr>
    </w:p>
    <w:p w14:paraId="2F753C68" w14:textId="77777777" w:rsidR="008F7970" w:rsidRDefault="008F7970">
      <w:pPr>
        <w:widowControl w:val="0"/>
        <w:ind w:left="0" w:firstLine="0"/>
        <w:rPr>
          <w:rFonts w:ascii="Times New Roman" w:hAnsi="Times New Roman" w:cs="Times New Roman"/>
        </w:rPr>
      </w:pPr>
    </w:p>
    <w:p w14:paraId="3F9B3C12" w14:textId="77777777" w:rsidR="008F7970" w:rsidRDefault="008F7970">
      <w:pPr>
        <w:widowControl w:val="0"/>
        <w:ind w:left="0" w:firstLine="0"/>
        <w:rPr>
          <w:rFonts w:ascii="Times New Roman" w:hAnsi="Times New Roman" w:cs="Times New Roman"/>
        </w:rPr>
      </w:pPr>
    </w:p>
    <w:p w14:paraId="415C53A8" w14:textId="77777777" w:rsidR="008F7970" w:rsidRDefault="008F7970">
      <w:pPr>
        <w:widowControl w:val="0"/>
        <w:ind w:left="0" w:firstLine="0"/>
        <w:rPr>
          <w:rFonts w:ascii="Times New Roman" w:hAnsi="Times New Roman" w:cs="Times New Roman"/>
        </w:rPr>
      </w:pPr>
    </w:p>
    <w:p w14:paraId="0E023B10" w14:textId="77777777" w:rsidR="008F7970" w:rsidRDefault="008F7970">
      <w:pPr>
        <w:widowControl w:val="0"/>
        <w:ind w:left="0" w:firstLine="0"/>
        <w:rPr>
          <w:rFonts w:ascii="Times New Roman" w:hAnsi="Times New Roman" w:cs="Times New Roman"/>
        </w:rPr>
      </w:pPr>
    </w:p>
    <w:p w14:paraId="06A07EED" w14:textId="77777777" w:rsidR="008F7970" w:rsidRDefault="008F7970">
      <w:pPr>
        <w:widowControl w:val="0"/>
        <w:ind w:left="0" w:firstLine="0"/>
        <w:rPr>
          <w:rFonts w:ascii="Times New Roman" w:hAnsi="Times New Roman" w:cs="Times New Roman"/>
        </w:rPr>
      </w:pPr>
    </w:p>
    <w:p w14:paraId="563200B8" w14:textId="77777777" w:rsidR="008F7970" w:rsidRDefault="008F7970">
      <w:pPr>
        <w:widowControl w:val="0"/>
        <w:ind w:left="0" w:firstLine="0"/>
        <w:rPr>
          <w:rFonts w:ascii="Times New Roman" w:hAnsi="Times New Roman" w:cs="Times New Roman"/>
        </w:rPr>
      </w:pPr>
    </w:p>
    <w:p w14:paraId="57527CA4" w14:textId="77777777" w:rsidR="008F7970" w:rsidRDefault="008F7970">
      <w:pPr>
        <w:widowControl w:val="0"/>
        <w:ind w:left="0" w:firstLine="0"/>
        <w:rPr>
          <w:rFonts w:ascii="Times New Roman" w:hAnsi="Times New Roman" w:cs="Times New Roman"/>
        </w:rPr>
      </w:pPr>
    </w:p>
    <w:p w14:paraId="12848BB4" w14:textId="77777777" w:rsidR="008F7970" w:rsidRDefault="008F7970">
      <w:pPr>
        <w:widowControl w:val="0"/>
        <w:ind w:left="0" w:firstLine="0"/>
        <w:rPr>
          <w:rFonts w:ascii="Times New Roman" w:hAnsi="Times New Roman" w:cs="Times New Roman"/>
        </w:rPr>
      </w:pPr>
    </w:p>
    <w:p w14:paraId="01F02FFE" w14:textId="77777777" w:rsidR="008F7970" w:rsidRDefault="008F7970">
      <w:pPr>
        <w:widowControl w:val="0"/>
        <w:ind w:left="0" w:firstLine="0"/>
        <w:rPr>
          <w:rFonts w:ascii="Times New Roman" w:hAnsi="Times New Roman" w:cs="Times New Roman"/>
        </w:rPr>
      </w:pPr>
    </w:p>
    <w:p w14:paraId="766DCE34" w14:textId="77777777" w:rsidR="008F7970" w:rsidRDefault="008F7970">
      <w:pPr>
        <w:widowControl w:val="0"/>
        <w:ind w:left="0" w:firstLine="0"/>
        <w:rPr>
          <w:rFonts w:ascii="Times New Roman" w:hAnsi="Times New Roman" w:cs="Times New Roman"/>
        </w:rPr>
      </w:pPr>
    </w:p>
    <w:p w14:paraId="6D8CA42A" w14:textId="77777777" w:rsidR="008F7970" w:rsidRDefault="008F7970">
      <w:pPr>
        <w:widowControl w:val="0"/>
        <w:ind w:left="0" w:firstLine="0"/>
        <w:rPr>
          <w:rFonts w:ascii="Times New Roman" w:hAnsi="Times New Roman" w:cs="Times New Roman"/>
        </w:rPr>
      </w:pPr>
    </w:p>
    <w:p w14:paraId="4782D92A" w14:textId="77777777" w:rsidR="008F7970" w:rsidRDefault="008F7970">
      <w:pPr>
        <w:widowControl w:val="0"/>
        <w:ind w:left="0" w:firstLine="0"/>
        <w:rPr>
          <w:rFonts w:ascii="Times New Roman" w:hAnsi="Times New Roman" w:cs="Times New Roman"/>
        </w:rPr>
      </w:pPr>
    </w:p>
    <w:p w14:paraId="01D20E7B" w14:textId="77777777" w:rsidR="008F7970" w:rsidRDefault="008F7970">
      <w:pPr>
        <w:widowControl w:val="0"/>
        <w:ind w:left="0" w:firstLine="0"/>
        <w:rPr>
          <w:rFonts w:ascii="Times New Roman" w:hAnsi="Times New Roman" w:cs="Times New Roman"/>
        </w:rPr>
      </w:pPr>
    </w:p>
    <w:p w14:paraId="72823F93" w14:textId="77777777" w:rsidR="008F7970" w:rsidRDefault="008F7970">
      <w:pPr>
        <w:widowControl w:val="0"/>
        <w:ind w:left="0" w:firstLine="0"/>
        <w:rPr>
          <w:rFonts w:ascii="Times New Roman" w:hAnsi="Times New Roman" w:cs="Times New Roman"/>
        </w:rPr>
      </w:pPr>
    </w:p>
    <w:p w14:paraId="09CDE1C5" w14:textId="77777777" w:rsidR="008F7970" w:rsidRDefault="008F7970">
      <w:pPr>
        <w:widowControl w:val="0"/>
        <w:ind w:left="0" w:firstLine="0"/>
        <w:rPr>
          <w:rFonts w:ascii="Times New Roman" w:hAnsi="Times New Roman" w:cs="Times New Roman"/>
        </w:rPr>
      </w:pPr>
    </w:p>
    <w:p w14:paraId="3A5AF43F" w14:textId="77777777" w:rsidR="008F7970" w:rsidRDefault="008F7970">
      <w:pPr>
        <w:widowControl w:val="0"/>
        <w:ind w:left="0" w:firstLine="0"/>
        <w:rPr>
          <w:rFonts w:ascii="Times New Roman" w:hAnsi="Times New Roman" w:cs="Times New Roman"/>
        </w:rPr>
      </w:pPr>
    </w:p>
    <w:p w14:paraId="4E58D8C5" w14:textId="77777777" w:rsidR="008F7970" w:rsidRDefault="008F7970">
      <w:pPr>
        <w:widowControl w:val="0"/>
        <w:ind w:left="0" w:firstLine="0"/>
        <w:jc w:val="center"/>
        <w:outlineLvl w:val="0"/>
        <w:rPr>
          <w:rFonts w:ascii="Times New Roman" w:hAnsi="Times New Roman" w:cs="Times New Roman"/>
          <w:b/>
          <w:lang w:val="sl-SI"/>
        </w:rPr>
      </w:pPr>
    </w:p>
    <w:p w14:paraId="4180ED23" w14:textId="77777777" w:rsidR="008F7970" w:rsidRDefault="008F7970">
      <w:pPr>
        <w:widowControl w:val="0"/>
        <w:ind w:left="0" w:firstLine="0"/>
        <w:jc w:val="center"/>
        <w:outlineLvl w:val="0"/>
        <w:rPr>
          <w:rFonts w:ascii="Times New Roman" w:hAnsi="Times New Roman" w:cs="Times New Roman"/>
          <w:b/>
          <w:lang w:val="sl-SI"/>
        </w:rPr>
      </w:pPr>
    </w:p>
    <w:p w14:paraId="0A161CF4" w14:textId="77777777" w:rsidR="008F7970" w:rsidRDefault="00AD4BB2">
      <w:pPr>
        <w:widowControl w:val="0"/>
        <w:ind w:left="0" w:firstLine="0"/>
        <w:jc w:val="center"/>
        <w:outlineLvl w:val="0"/>
        <w:rPr>
          <w:rFonts w:ascii="Times New Roman" w:hAnsi="Times New Roman" w:cs="Times New Roman"/>
        </w:rPr>
      </w:pPr>
      <w:r>
        <w:rPr>
          <w:rFonts w:ascii="Times New Roman" w:hAnsi="Times New Roman" w:cs="Times New Roman"/>
          <w:b/>
        </w:rPr>
        <w:t>A. ŽENKLINIMAS</w:t>
      </w:r>
    </w:p>
    <w:p w14:paraId="0D6169D3" w14:textId="77777777" w:rsidR="008F7970" w:rsidRDefault="00AD4BB2">
      <w:pPr>
        <w:widowControl w:val="0"/>
        <w:ind w:left="0" w:firstLine="0"/>
        <w:jc w:val="center"/>
        <w:outlineLvl w:val="0"/>
        <w:rPr>
          <w:rFonts w:ascii="Times New Roman" w:hAnsi="Times New Roman" w:cs="Times New Roman"/>
        </w:rPr>
      </w:pPr>
      <w:r>
        <w:rPr>
          <w:rFonts w:ascii="Times New Roman" w:hAnsi="Times New Roman" w:cs="Times New Roman"/>
        </w:rPr>
        <w:br w:type="page"/>
      </w:r>
    </w:p>
    <w:p w14:paraId="6D258B6E" w14:textId="77777777" w:rsidR="008F7970" w:rsidRDefault="00AD4BB2">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Pr>
          <w:rFonts w:ascii="Times New Roman" w:hAnsi="Times New Roman" w:cs="Times New Roman"/>
          <w:b/>
        </w:rPr>
        <w:lastRenderedPageBreak/>
        <w:t>INFORMACIJA ANT IŠORINĖS PAKUOTĖS</w:t>
      </w:r>
    </w:p>
    <w:p w14:paraId="5462FB9D" w14:textId="77777777" w:rsidR="008F7970" w:rsidRDefault="008F7970">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45B8B3A" w14:textId="77777777" w:rsidR="008F7970" w:rsidRDefault="00AD4BB2">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rPr>
      </w:pPr>
      <w:r>
        <w:rPr>
          <w:rFonts w:ascii="Times New Roman" w:hAnsi="Times New Roman" w:cs="Times New Roman"/>
          <w:b/>
        </w:rPr>
        <w:t>KARTONO DĖŽUTĖ</w:t>
      </w:r>
    </w:p>
    <w:p w14:paraId="76F91E10" w14:textId="77777777" w:rsidR="008F7970" w:rsidRDefault="008F7970">
      <w:pPr>
        <w:widowControl w:val="0"/>
        <w:ind w:left="0" w:firstLine="0"/>
        <w:rPr>
          <w:rFonts w:ascii="Times New Roman" w:hAnsi="Times New Roman" w:cs="Times New Roman"/>
        </w:rPr>
      </w:pPr>
    </w:p>
    <w:p w14:paraId="4E033E87" w14:textId="77777777" w:rsidR="008F7970" w:rsidRDefault="008F7970">
      <w:pPr>
        <w:widowControl w:val="0"/>
        <w:ind w:left="0" w:firstLine="0"/>
        <w:rPr>
          <w:rFonts w:ascii="Times New Roman" w:hAnsi="Times New Roman" w:cs="Times New Roman"/>
        </w:rPr>
      </w:pPr>
    </w:p>
    <w:p w14:paraId="6D829E7A"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t>VAISTINIO PREPARATO PAVADINIMAS</w:t>
      </w:r>
    </w:p>
    <w:p w14:paraId="47069B91" w14:textId="77777777" w:rsidR="008F7970" w:rsidRDefault="008F7970">
      <w:pPr>
        <w:widowControl w:val="0"/>
        <w:ind w:left="0" w:firstLine="0"/>
        <w:rPr>
          <w:rFonts w:ascii="Times New Roman" w:hAnsi="Times New Roman" w:cs="Times New Roman"/>
        </w:rPr>
      </w:pPr>
    </w:p>
    <w:p w14:paraId="638ADD38"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rPr>
        <w:t>Pitezenib</w:t>
      </w:r>
      <w:proofErr w:type="spellEnd"/>
      <w:r>
        <w:rPr>
          <w:rFonts w:ascii="Times New Roman" w:hAnsi="Times New Roman" w:cs="Times New Roman"/>
        </w:rPr>
        <w:t xml:space="preserve"> 2 mg/10 mg tabletės</w:t>
      </w:r>
    </w:p>
    <w:p w14:paraId="61559B7D"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rPr>
        <w:t>Pitezenib</w:t>
      </w:r>
      <w:proofErr w:type="spellEnd"/>
      <w:r>
        <w:rPr>
          <w:rFonts w:ascii="Times New Roman" w:hAnsi="Times New Roman" w:cs="Times New Roman"/>
        </w:rPr>
        <w:t xml:space="preserve"> 4 mg/10 mg tabletės</w:t>
      </w:r>
    </w:p>
    <w:p w14:paraId="2C3AE4B3" w14:textId="77777777" w:rsidR="008F7970" w:rsidRDefault="008F7970">
      <w:pPr>
        <w:widowControl w:val="0"/>
        <w:ind w:left="0" w:firstLine="0"/>
        <w:rPr>
          <w:rFonts w:ascii="Times New Roman" w:hAnsi="Times New Roman" w:cs="Times New Roman"/>
        </w:rPr>
      </w:pPr>
    </w:p>
    <w:p w14:paraId="6A647C25"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pitavastatinas</w:t>
      </w:r>
      <w:proofErr w:type="spellEnd"/>
      <w:r>
        <w:rPr>
          <w:rFonts w:ascii="Times New Roman" w:hAnsi="Times New Roman" w:cs="Times New Roman"/>
        </w:rPr>
        <w:t>/</w:t>
      </w:r>
      <w:proofErr w:type="spellStart"/>
      <w:r>
        <w:rPr>
          <w:rFonts w:ascii="Times New Roman" w:hAnsi="Times New Roman" w:cs="Times New Roman"/>
        </w:rPr>
        <w:t>ezetimibas</w:t>
      </w:r>
      <w:proofErr w:type="spellEnd"/>
    </w:p>
    <w:p w14:paraId="2BFB7E78" w14:textId="77777777" w:rsidR="008F7970" w:rsidRDefault="008F7970">
      <w:pPr>
        <w:widowControl w:val="0"/>
        <w:ind w:left="0" w:firstLine="0"/>
        <w:rPr>
          <w:rFonts w:ascii="Times New Roman" w:hAnsi="Times New Roman" w:cs="Times New Roman"/>
        </w:rPr>
      </w:pPr>
    </w:p>
    <w:p w14:paraId="6A2F9211" w14:textId="77777777" w:rsidR="008F7970" w:rsidRDefault="008F7970">
      <w:pPr>
        <w:widowControl w:val="0"/>
        <w:ind w:left="0" w:firstLine="0"/>
        <w:rPr>
          <w:rFonts w:ascii="Times New Roman" w:hAnsi="Times New Roman" w:cs="Times New Roman"/>
        </w:rPr>
      </w:pPr>
    </w:p>
    <w:p w14:paraId="3E03732A"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2565D5B2" w14:textId="77777777" w:rsidR="008F7970" w:rsidRDefault="008F7970">
      <w:pPr>
        <w:widowControl w:val="0"/>
        <w:ind w:left="0" w:firstLine="0"/>
        <w:rPr>
          <w:rFonts w:ascii="Times New Roman" w:hAnsi="Times New Roman" w:cs="Times New Roman"/>
        </w:rPr>
      </w:pPr>
    </w:p>
    <w:p w14:paraId="4EC3D36C" w14:textId="77777777" w:rsidR="008F7970" w:rsidRDefault="00AD4BB2">
      <w:pPr>
        <w:widowControl w:val="0"/>
        <w:ind w:left="0" w:firstLine="0"/>
        <w:rPr>
          <w:rFonts w:ascii="Times New Roman" w:hAnsi="Times New Roman" w:cs="Times New Roman"/>
        </w:rPr>
      </w:pPr>
      <w:r>
        <w:rPr>
          <w:rFonts w:ascii="Times New Roman" w:hAnsi="Times New Roman" w:cs="Times New Roman"/>
        </w:rPr>
        <w:t xml:space="preserve">Kiekvienoje tabletėje yra 2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p w14:paraId="4992B432" w14:textId="77777777" w:rsidR="008F7970" w:rsidRDefault="00AD4BB2">
      <w:pPr>
        <w:widowControl w:val="0"/>
        <w:ind w:left="0" w:firstLine="0"/>
        <w:rPr>
          <w:rFonts w:ascii="Times New Roman" w:hAnsi="Times New Roman" w:cs="Times New Roman"/>
        </w:rPr>
      </w:pPr>
      <w:r>
        <w:rPr>
          <w:rFonts w:ascii="Times New Roman" w:hAnsi="Times New Roman" w:cs="Times New Roman"/>
          <w:highlight w:val="lightGray"/>
        </w:rPr>
        <w:t xml:space="preserve">Kiekvienoje tabletėje yra 4 mg </w:t>
      </w:r>
      <w:proofErr w:type="spellStart"/>
      <w:r>
        <w:rPr>
          <w:rFonts w:ascii="Times New Roman" w:hAnsi="Times New Roman" w:cs="Times New Roman"/>
          <w:highlight w:val="lightGray"/>
        </w:rPr>
        <w:t>pitavastatino</w:t>
      </w:r>
      <w:proofErr w:type="spellEnd"/>
      <w:r>
        <w:rPr>
          <w:rFonts w:ascii="Times New Roman" w:hAnsi="Times New Roman" w:cs="Times New Roman"/>
          <w:highlight w:val="lightGray"/>
        </w:rPr>
        <w:t xml:space="preserve"> ir 10 mg </w:t>
      </w:r>
      <w:proofErr w:type="spellStart"/>
      <w:r>
        <w:rPr>
          <w:rFonts w:ascii="Times New Roman" w:hAnsi="Times New Roman" w:cs="Times New Roman"/>
          <w:highlight w:val="lightGray"/>
        </w:rPr>
        <w:t>ezetimibo</w:t>
      </w:r>
      <w:proofErr w:type="spellEnd"/>
      <w:r>
        <w:rPr>
          <w:rFonts w:ascii="Times New Roman" w:hAnsi="Times New Roman" w:cs="Times New Roman"/>
          <w:highlight w:val="lightGray"/>
        </w:rPr>
        <w:t>.</w:t>
      </w:r>
    </w:p>
    <w:p w14:paraId="1C17B377" w14:textId="77777777" w:rsidR="008F7970" w:rsidRDefault="008F7970">
      <w:pPr>
        <w:widowControl w:val="0"/>
        <w:ind w:left="0" w:firstLine="0"/>
        <w:rPr>
          <w:rFonts w:ascii="Times New Roman" w:hAnsi="Times New Roman" w:cs="Times New Roman"/>
        </w:rPr>
      </w:pPr>
    </w:p>
    <w:p w14:paraId="544C92C7" w14:textId="77777777" w:rsidR="008F7970" w:rsidRDefault="008F7970">
      <w:pPr>
        <w:widowControl w:val="0"/>
        <w:ind w:left="0" w:firstLine="0"/>
        <w:rPr>
          <w:rFonts w:ascii="Times New Roman" w:hAnsi="Times New Roman" w:cs="Times New Roman"/>
        </w:rPr>
      </w:pPr>
    </w:p>
    <w:p w14:paraId="18A7BF20"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3.</w:t>
      </w:r>
      <w:r>
        <w:rPr>
          <w:rFonts w:ascii="Times New Roman" w:hAnsi="Times New Roman" w:cs="Times New Roman"/>
          <w:b/>
        </w:rPr>
        <w:tab/>
        <w:t>PAGALBINIŲ MEDŽIAGŲ SĄRAŠAS</w:t>
      </w:r>
    </w:p>
    <w:p w14:paraId="765BF880" w14:textId="77777777" w:rsidR="008F7970" w:rsidRDefault="008F7970">
      <w:pPr>
        <w:widowControl w:val="0"/>
        <w:ind w:left="0" w:firstLine="0"/>
        <w:rPr>
          <w:rFonts w:ascii="Times New Roman" w:hAnsi="Times New Roman" w:cs="Times New Roman"/>
        </w:rPr>
      </w:pPr>
    </w:p>
    <w:p w14:paraId="41594A73" w14:textId="77777777" w:rsidR="008F7970" w:rsidRDefault="00AD4BB2">
      <w:pPr>
        <w:widowControl w:val="0"/>
        <w:ind w:left="0" w:firstLine="0"/>
        <w:rPr>
          <w:rFonts w:ascii="Times New Roman" w:hAnsi="Times New Roman" w:cs="Times New Roman"/>
        </w:rPr>
      </w:pPr>
      <w:r>
        <w:rPr>
          <w:rFonts w:ascii="Times New Roman" w:hAnsi="Times New Roman" w:cs="Times New Roman"/>
        </w:rPr>
        <w:t>Sudėtyje yra laktozės.</w:t>
      </w:r>
    </w:p>
    <w:p w14:paraId="1989F2AC" w14:textId="77777777" w:rsidR="008F7970" w:rsidRDefault="008F7970">
      <w:pPr>
        <w:widowControl w:val="0"/>
        <w:ind w:left="0" w:firstLine="0"/>
        <w:rPr>
          <w:rFonts w:ascii="Times New Roman" w:hAnsi="Times New Roman" w:cs="Times New Roman"/>
          <w:kern w:val="28"/>
          <w:lang w:val="sl-SI"/>
        </w:rPr>
      </w:pPr>
    </w:p>
    <w:p w14:paraId="5C2F829B" w14:textId="77777777" w:rsidR="008F7970" w:rsidRDefault="00AD4BB2">
      <w:pPr>
        <w:widowControl w:val="0"/>
        <w:ind w:left="0" w:firstLine="0"/>
        <w:rPr>
          <w:rFonts w:ascii="Times New Roman" w:hAnsi="Times New Roman" w:cs="Times New Roman"/>
        </w:rPr>
      </w:pPr>
      <w:r>
        <w:rPr>
          <w:rFonts w:ascii="Times New Roman" w:hAnsi="Times New Roman" w:cs="Times New Roman"/>
        </w:rPr>
        <w:t>Daugiau informacijos pateikiama pakuotės lapelyje.</w:t>
      </w:r>
    </w:p>
    <w:p w14:paraId="25B25126" w14:textId="77777777" w:rsidR="008F7970" w:rsidRDefault="008F7970">
      <w:pPr>
        <w:widowControl w:val="0"/>
        <w:ind w:left="0" w:firstLine="0"/>
        <w:rPr>
          <w:rFonts w:ascii="Times New Roman" w:hAnsi="Times New Roman" w:cs="Times New Roman"/>
        </w:rPr>
      </w:pPr>
    </w:p>
    <w:p w14:paraId="44DFD44E" w14:textId="77777777" w:rsidR="008F7970" w:rsidRDefault="008F7970">
      <w:pPr>
        <w:widowControl w:val="0"/>
        <w:ind w:left="0" w:firstLine="0"/>
        <w:rPr>
          <w:rFonts w:ascii="Times New Roman" w:hAnsi="Times New Roman" w:cs="Times New Roman"/>
        </w:rPr>
      </w:pPr>
    </w:p>
    <w:p w14:paraId="59E08256"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14F4FA75" w14:textId="77777777" w:rsidR="008F7970" w:rsidRDefault="008F7970">
      <w:pPr>
        <w:widowControl w:val="0"/>
        <w:ind w:left="0" w:firstLine="0"/>
        <w:rPr>
          <w:rFonts w:ascii="Times New Roman" w:hAnsi="Times New Roman" w:cs="Times New Roman"/>
        </w:rPr>
      </w:pPr>
    </w:p>
    <w:p w14:paraId="15390C7C" w14:textId="77777777" w:rsidR="008F7970" w:rsidRDefault="00AD4BB2">
      <w:pPr>
        <w:widowControl w:val="0"/>
        <w:ind w:left="0" w:firstLine="0"/>
        <w:rPr>
          <w:rFonts w:ascii="Times New Roman" w:hAnsi="Times New Roman" w:cs="Times New Roman"/>
        </w:rPr>
      </w:pPr>
      <w:r>
        <w:rPr>
          <w:rFonts w:ascii="Times New Roman" w:hAnsi="Times New Roman" w:cs="Times New Roman"/>
          <w:highlight w:val="lightGray"/>
        </w:rPr>
        <w:t>tabletė</w:t>
      </w:r>
    </w:p>
    <w:p w14:paraId="48A0AA71" w14:textId="77777777" w:rsidR="008F7970" w:rsidRDefault="008F7970">
      <w:pPr>
        <w:widowControl w:val="0"/>
        <w:ind w:left="0" w:firstLine="0"/>
        <w:rPr>
          <w:rFonts w:ascii="Times New Roman" w:hAnsi="Times New Roman" w:cs="Times New Roman"/>
        </w:rPr>
      </w:pPr>
    </w:p>
    <w:p w14:paraId="56B79022" w14:textId="77777777" w:rsidR="008F7970" w:rsidRDefault="00AD4BB2">
      <w:pPr>
        <w:widowControl w:val="0"/>
        <w:ind w:left="0" w:firstLine="0"/>
        <w:rPr>
          <w:rFonts w:ascii="Times New Roman" w:hAnsi="Times New Roman" w:cs="Times New Roman"/>
        </w:rPr>
      </w:pPr>
      <w:r>
        <w:rPr>
          <w:rFonts w:ascii="Times New Roman" w:hAnsi="Times New Roman" w:cs="Times New Roman"/>
        </w:rPr>
        <w:t>28 tabletės</w:t>
      </w:r>
    </w:p>
    <w:p w14:paraId="5B215572"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30 tablečių</w:t>
      </w:r>
    </w:p>
    <w:p w14:paraId="28D7E23D"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56 tabletės</w:t>
      </w:r>
    </w:p>
    <w:p w14:paraId="7D0F003E"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60 tablečių</w:t>
      </w:r>
    </w:p>
    <w:p w14:paraId="438952AB"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84 tabletės</w:t>
      </w:r>
    </w:p>
    <w:p w14:paraId="0635459D"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90 tablečių</w:t>
      </w:r>
    </w:p>
    <w:p w14:paraId="44BC4332" w14:textId="77777777" w:rsidR="008F7970" w:rsidRDefault="00AD4BB2">
      <w:pPr>
        <w:widowControl w:val="0"/>
        <w:ind w:left="0" w:firstLine="0"/>
        <w:rPr>
          <w:rFonts w:ascii="Times New Roman" w:hAnsi="Times New Roman" w:cs="Times New Roman"/>
        </w:rPr>
      </w:pPr>
      <w:r>
        <w:rPr>
          <w:rFonts w:ascii="Times New Roman" w:hAnsi="Times New Roman" w:cs="Times New Roman"/>
          <w:highlight w:val="lightGray"/>
        </w:rPr>
        <w:t>100 tablečių</w:t>
      </w:r>
    </w:p>
    <w:p w14:paraId="056AA09F" w14:textId="77777777" w:rsidR="008F7970" w:rsidRDefault="008F7970">
      <w:pPr>
        <w:widowControl w:val="0"/>
        <w:ind w:left="0" w:firstLine="0"/>
        <w:rPr>
          <w:rFonts w:ascii="Times New Roman" w:hAnsi="Times New Roman" w:cs="Times New Roman"/>
        </w:rPr>
      </w:pPr>
    </w:p>
    <w:p w14:paraId="66A0A3DD" w14:textId="77777777" w:rsidR="008F7970" w:rsidRDefault="008F7970">
      <w:pPr>
        <w:widowControl w:val="0"/>
        <w:ind w:left="0" w:firstLine="0"/>
        <w:rPr>
          <w:rFonts w:ascii="Times New Roman" w:hAnsi="Times New Roman" w:cs="Times New Roman"/>
        </w:rPr>
      </w:pPr>
    </w:p>
    <w:p w14:paraId="3BBB46A7"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5.</w:t>
      </w:r>
      <w:r>
        <w:rPr>
          <w:rFonts w:ascii="Times New Roman" w:hAnsi="Times New Roman" w:cs="Times New Roman"/>
          <w:b/>
        </w:rPr>
        <w:tab/>
        <w:t>VARTOJIMO METODAS IR BŪDAS (-AI)</w:t>
      </w:r>
    </w:p>
    <w:p w14:paraId="1A9247B1" w14:textId="77777777" w:rsidR="008F7970" w:rsidRDefault="008F7970">
      <w:pPr>
        <w:widowControl w:val="0"/>
        <w:ind w:left="0" w:firstLine="0"/>
        <w:rPr>
          <w:rFonts w:ascii="Times New Roman" w:hAnsi="Times New Roman" w:cs="Times New Roman"/>
          <w:i/>
        </w:rPr>
      </w:pPr>
    </w:p>
    <w:p w14:paraId="78D50EAA" w14:textId="77777777" w:rsidR="008F7970" w:rsidRDefault="00AD4BB2">
      <w:pPr>
        <w:widowControl w:val="0"/>
        <w:ind w:left="0" w:firstLine="0"/>
        <w:rPr>
          <w:rFonts w:ascii="Times New Roman" w:hAnsi="Times New Roman" w:cs="Times New Roman"/>
        </w:rPr>
      </w:pPr>
      <w:r>
        <w:rPr>
          <w:rFonts w:ascii="Times New Roman" w:hAnsi="Times New Roman" w:cs="Times New Roman"/>
        </w:rPr>
        <w:t>Prieš vartojimą perskaitykite pakuotės lapelį.</w:t>
      </w:r>
    </w:p>
    <w:p w14:paraId="20A086E5" w14:textId="77777777" w:rsidR="008F7970" w:rsidRDefault="00AD4BB2">
      <w:pPr>
        <w:widowControl w:val="0"/>
        <w:ind w:left="0" w:firstLine="0"/>
        <w:rPr>
          <w:rFonts w:ascii="Times New Roman" w:hAnsi="Times New Roman" w:cs="Times New Roman"/>
        </w:rPr>
      </w:pPr>
      <w:r>
        <w:rPr>
          <w:rFonts w:ascii="Times New Roman" w:hAnsi="Times New Roman" w:cs="Times New Roman"/>
        </w:rPr>
        <w:t>Vartoti per burną.</w:t>
      </w:r>
    </w:p>
    <w:p w14:paraId="4963D1D6" w14:textId="77777777" w:rsidR="008F7970" w:rsidRDefault="008F7970">
      <w:pPr>
        <w:widowControl w:val="0"/>
        <w:ind w:left="0" w:firstLine="0"/>
        <w:rPr>
          <w:rFonts w:ascii="Times New Roman" w:hAnsi="Times New Roman" w:cs="Times New Roman"/>
        </w:rPr>
      </w:pPr>
    </w:p>
    <w:p w14:paraId="1575E5FF" w14:textId="77777777" w:rsidR="008F7970" w:rsidRDefault="008F7970">
      <w:pPr>
        <w:widowControl w:val="0"/>
        <w:ind w:left="0" w:firstLine="0"/>
        <w:rPr>
          <w:rFonts w:ascii="Times New Roman" w:hAnsi="Times New Roman" w:cs="Times New Roman"/>
        </w:rPr>
      </w:pPr>
    </w:p>
    <w:p w14:paraId="670526A6" w14:textId="77777777" w:rsidR="008F7970" w:rsidRDefault="00AD4BB2">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4BA8A54A" w14:textId="77777777" w:rsidR="008F7970" w:rsidRDefault="008F7970">
      <w:pPr>
        <w:widowControl w:val="0"/>
        <w:ind w:left="0" w:firstLine="0"/>
        <w:rPr>
          <w:rFonts w:ascii="Times New Roman" w:hAnsi="Times New Roman" w:cs="Times New Roman"/>
        </w:rPr>
      </w:pPr>
    </w:p>
    <w:p w14:paraId="1FD9F2CF" w14:textId="77777777" w:rsidR="008F7970" w:rsidRDefault="00AD4BB2">
      <w:pPr>
        <w:widowControl w:val="0"/>
        <w:ind w:left="0" w:firstLine="0"/>
        <w:rPr>
          <w:rFonts w:ascii="Times New Roman" w:hAnsi="Times New Roman" w:cs="Times New Roman"/>
        </w:rPr>
      </w:pPr>
      <w:r>
        <w:rPr>
          <w:rFonts w:ascii="Times New Roman" w:hAnsi="Times New Roman" w:cs="Times New Roman"/>
        </w:rPr>
        <w:t>Laikyti vaikams nepastebimoje ir nepasiekiamoje vietoje.</w:t>
      </w:r>
    </w:p>
    <w:p w14:paraId="0744AA65" w14:textId="77777777" w:rsidR="008F7970" w:rsidRDefault="008F7970">
      <w:pPr>
        <w:widowControl w:val="0"/>
        <w:ind w:left="0" w:firstLine="0"/>
        <w:rPr>
          <w:rFonts w:ascii="Times New Roman" w:hAnsi="Times New Roman" w:cs="Times New Roman"/>
        </w:rPr>
      </w:pPr>
    </w:p>
    <w:p w14:paraId="7049AB32" w14:textId="77777777" w:rsidR="008F7970" w:rsidRDefault="008F7970">
      <w:pPr>
        <w:widowControl w:val="0"/>
        <w:ind w:left="0" w:firstLine="0"/>
        <w:rPr>
          <w:rFonts w:ascii="Times New Roman" w:hAnsi="Times New Roman" w:cs="Times New Roman"/>
        </w:rPr>
      </w:pPr>
    </w:p>
    <w:p w14:paraId="55399A71"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7.</w:t>
      </w:r>
      <w:r>
        <w:rPr>
          <w:rFonts w:ascii="Times New Roman" w:hAnsi="Times New Roman" w:cs="Times New Roman"/>
          <w:b/>
        </w:rPr>
        <w:tab/>
        <w:t>KITAS SPECIALUS ĮSPĖJIMAS (JEI REIKIA)</w:t>
      </w:r>
    </w:p>
    <w:p w14:paraId="1DE6D5DE" w14:textId="77777777" w:rsidR="008F7970" w:rsidRDefault="008F7970">
      <w:pPr>
        <w:widowControl w:val="0"/>
        <w:ind w:left="0" w:firstLine="0"/>
        <w:rPr>
          <w:rFonts w:ascii="Times New Roman" w:hAnsi="Times New Roman" w:cs="Times New Roman"/>
        </w:rPr>
      </w:pPr>
    </w:p>
    <w:p w14:paraId="3BA75FF1" w14:textId="77777777" w:rsidR="008F7970" w:rsidRDefault="008F7970">
      <w:pPr>
        <w:widowControl w:val="0"/>
        <w:ind w:left="0" w:firstLine="0"/>
        <w:rPr>
          <w:rFonts w:ascii="Times New Roman" w:hAnsi="Times New Roman" w:cs="Times New Roman"/>
        </w:rPr>
      </w:pPr>
    </w:p>
    <w:p w14:paraId="1F188688"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8.</w:t>
      </w:r>
      <w:r>
        <w:rPr>
          <w:rFonts w:ascii="Times New Roman" w:hAnsi="Times New Roman" w:cs="Times New Roman"/>
          <w:b/>
        </w:rPr>
        <w:tab/>
        <w:t>TINKAMUMO LAIKAS</w:t>
      </w:r>
    </w:p>
    <w:p w14:paraId="0AEDCB0E" w14:textId="77777777" w:rsidR="008F7970" w:rsidRDefault="008F7970">
      <w:pPr>
        <w:widowControl w:val="0"/>
        <w:ind w:left="0" w:firstLine="0"/>
        <w:rPr>
          <w:rFonts w:ascii="Times New Roman" w:hAnsi="Times New Roman" w:cs="Times New Roman"/>
        </w:rPr>
      </w:pPr>
    </w:p>
    <w:p w14:paraId="5F937BAD" w14:textId="77777777" w:rsidR="008F7970" w:rsidRDefault="00AD4BB2">
      <w:pPr>
        <w:widowControl w:val="0"/>
        <w:ind w:left="0" w:firstLine="0"/>
        <w:rPr>
          <w:rFonts w:ascii="Times New Roman" w:hAnsi="Times New Roman" w:cs="Times New Roman"/>
        </w:rPr>
      </w:pPr>
      <w:r>
        <w:rPr>
          <w:rFonts w:ascii="Times New Roman" w:hAnsi="Times New Roman" w:cs="Times New Roman"/>
        </w:rPr>
        <w:t>EXP (mm/MMMM)</w:t>
      </w:r>
    </w:p>
    <w:p w14:paraId="37FC8067" w14:textId="77777777" w:rsidR="008F7970" w:rsidRDefault="008F7970">
      <w:pPr>
        <w:widowControl w:val="0"/>
        <w:ind w:left="0" w:firstLine="0"/>
        <w:rPr>
          <w:rFonts w:ascii="Times New Roman" w:hAnsi="Times New Roman" w:cs="Times New Roman"/>
        </w:rPr>
      </w:pPr>
    </w:p>
    <w:p w14:paraId="6CD6C01D" w14:textId="77777777" w:rsidR="008F7970" w:rsidRDefault="008F7970">
      <w:pPr>
        <w:widowControl w:val="0"/>
        <w:ind w:left="0" w:firstLine="0"/>
        <w:rPr>
          <w:rFonts w:ascii="Times New Roman" w:hAnsi="Times New Roman" w:cs="Times New Roman"/>
        </w:rPr>
      </w:pPr>
    </w:p>
    <w:p w14:paraId="05950A6E"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41BDD509" w14:textId="77777777" w:rsidR="008F7970" w:rsidRDefault="008F7970">
      <w:pPr>
        <w:widowControl w:val="0"/>
        <w:ind w:left="0" w:firstLine="0"/>
        <w:rPr>
          <w:rFonts w:ascii="Times New Roman" w:hAnsi="Times New Roman" w:cs="Times New Roman"/>
          <w:i/>
        </w:rPr>
      </w:pPr>
    </w:p>
    <w:p w14:paraId="2AA28127" w14:textId="77777777" w:rsidR="008F7970" w:rsidRDefault="00AD4BB2">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37418890" w14:textId="77777777" w:rsidR="008F7970" w:rsidRDefault="008F7970">
      <w:pPr>
        <w:widowControl w:val="0"/>
        <w:ind w:left="0" w:firstLine="0"/>
        <w:rPr>
          <w:rFonts w:ascii="Times New Roman" w:hAnsi="Times New Roman" w:cs="Times New Roman"/>
        </w:rPr>
      </w:pPr>
    </w:p>
    <w:p w14:paraId="6820DC85" w14:textId="77777777" w:rsidR="008F7970" w:rsidRDefault="008F7970">
      <w:pPr>
        <w:widowControl w:val="0"/>
        <w:rPr>
          <w:rFonts w:ascii="Times New Roman" w:hAnsi="Times New Roman" w:cs="Times New Roman"/>
        </w:rPr>
      </w:pPr>
    </w:p>
    <w:p w14:paraId="4FB8BCD9" w14:textId="77777777" w:rsidR="008F7970" w:rsidRDefault="00AD4BB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 vaistinio preparato ar jo atliekų tvarkymo</w:t>
      </w:r>
      <w:r>
        <w:rPr>
          <w:rFonts w:ascii="Times New Roman" w:hAnsi="Times New Roman" w:cs="Times New Roman"/>
          <w:caps/>
        </w:rPr>
        <w:t xml:space="preserve"> </w:t>
      </w:r>
      <w:r>
        <w:rPr>
          <w:rFonts w:ascii="Times New Roman" w:hAnsi="Times New Roman" w:cs="Times New Roman"/>
          <w:b/>
          <w:caps/>
        </w:rPr>
        <w:t>(jei reikia)</w:t>
      </w:r>
    </w:p>
    <w:p w14:paraId="7D31A533" w14:textId="77777777" w:rsidR="008F7970" w:rsidRDefault="008F7970">
      <w:pPr>
        <w:widowControl w:val="0"/>
        <w:ind w:left="0" w:firstLine="0"/>
        <w:rPr>
          <w:rFonts w:ascii="Times New Roman" w:hAnsi="Times New Roman" w:cs="Times New Roman"/>
        </w:rPr>
      </w:pPr>
    </w:p>
    <w:p w14:paraId="749B8398" w14:textId="77777777" w:rsidR="008F7970" w:rsidRDefault="008F7970">
      <w:pPr>
        <w:widowControl w:val="0"/>
        <w:ind w:left="0" w:firstLine="0"/>
        <w:rPr>
          <w:rFonts w:ascii="Times New Roman" w:hAnsi="Times New Roman" w:cs="Times New Roman"/>
        </w:rPr>
      </w:pPr>
    </w:p>
    <w:p w14:paraId="0D1457FB" w14:textId="77777777" w:rsidR="008F7970" w:rsidRDefault="00AD4BB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607FF21A" w14:textId="77777777" w:rsidR="008F7970" w:rsidRDefault="008F7970">
      <w:pPr>
        <w:widowControl w:val="0"/>
        <w:ind w:left="0" w:firstLine="0"/>
        <w:rPr>
          <w:rFonts w:ascii="Times New Roman" w:hAnsi="Times New Roman" w:cs="Times New Roman"/>
        </w:rPr>
      </w:pPr>
    </w:p>
    <w:p w14:paraId="2777B8F2"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36FEEC2A"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6CB6CF56" w14:textId="77777777" w:rsidR="008F7970" w:rsidRDefault="00AD4BB2">
      <w:pPr>
        <w:widowControl w:val="0"/>
        <w:ind w:left="0" w:firstLine="0"/>
        <w:rPr>
          <w:rFonts w:ascii="Times New Roman" w:hAnsi="Times New Roman" w:cs="Times New Roman"/>
        </w:rPr>
      </w:pPr>
      <w:r>
        <w:rPr>
          <w:rFonts w:ascii="Times New Roman" w:hAnsi="Times New Roman" w:cs="Times New Roman"/>
        </w:rPr>
        <w:t>8501 Novo mesto</w:t>
      </w:r>
    </w:p>
    <w:p w14:paraId="3C3D0C68" w14:textId="77777777" w:rsidR="008F7970" w:rsidRDefault="00AD4BB2">
      <w:pPr>
        <w:widowControl w:val="0"/>
        <w:ind w:left="0" w:firstLine="0"/>
        <w:rPr>
          <w:rFonts w:ascii="Times New Roman" w:hAnsi="Times New Roman" w:cs="Times New Roman"/>
        </w:rPr>
      </w:pPr>
      <w:r>
        <w:rPr>
          <w:rFonts w:ascii="Times New Roman" w:hAnsi="Times New Roman" w:cs="Times New Roman"/>
        </w:rPr>
        <w:t>Slovėnija</w:t>
      </w:r>
    </w:p>
    <w:p w14:paraId="0D11B67E" w14:textId="77777777" w:rsidR="008F7970" w:rsidRDefault="008F7970">
      <w:pPr>
        <w:widowControl w:val="0"/>
        <w:ind w:left="0" w:firstLine="0"/>
        <w:rPr>
          <w:rFonts w:ascii="Times New Roman" w:hAnsi="Times New Roman" w:cs="Times New Roman"/>
        </w:rPr>
      </w:pPr>
    </w:p>
    <w:p w14:paraId="7B92C8E6" w14:textId="77777777" w:rsidR="008F7970" w:rsidRDefault="008F7970">
      <w:pPr>
        <w:widowControl w:val="0"/>
        <w:ind w:left="0" w:firstLine="0"/>
        <w:rPr>
          <w:rFonts w:ascii="Times New Roman" w:hAnsi="Times New Roman" w:cs="Times New Roman"/>
        </w:rPr>
      </w:pPr>
    </w:p>
    <w:p w14:paraId="49322A8C" w14:textId="77777777" w:rsidR="008F7970" w:rsidRDefault="00AD4BB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REGISTRACIJOS PAŽYMĖJIMO NUMERIS (-IAI)</w:t>
      </w:r>
    </w:p>
    <w:p w14:paraId="2497149A" w14:textId="77777777" w:rsidR="008F7970" w:rsidRDefault="008F7970">
      <w:pPr>
        <w:widowControl w:val="0"/>
        <w:ind w:left="0" w:firstLine="0"/>
        <w:rPr>
          <w:rFonts w:ascii="Times New Roman" w:hAnsi="Times New Roman" w:cs="Times New Roman"/>
        </w:rPr>
      </w:pPr>
    </w:p>
    <w:p w14:paraId="52FE2652" w14:textId="77777777" w:rsidR="008F7970" w:rsidRDefault="00AD4BB2">
      <w:pPr>
        <w:widowControl w:val="0"/>
        <w:ind w:left="0" w:firstLine="0"/>
        <w:rPr>
          <w:rFonts w:ascii="Times New Roman" w:hAnsi="Times New Roman" w:cs="Times New Roman"/>
          <w:u w:val="single"/>
        </w:rPr>
      </w:pPr>
      <w:r>
        <w:rPr>
          <w:rFonts w:ascii="Times New Roman" w:hAnsi="Times New Roman" w:cs="Times New Roman"/>
          <w:highlight w:val="lightGray"/>
          <w:u w:val="single"/>
        </w:rPr>
        <w:t>2 mg/10 mg</w:t>
      </w:r>
    </w:p>
    <w:p w14:paraId="7B10F17A"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rPr>
        <w:t xml:space="preserve">LT/1/25/5928/001 </w:t>
      </w:r>
      <w:r>
        <w:rPr>
          <w:rFonts w:ascii="Times New Roman" w:hAnsi="Times New Roman" w:cs="Times New Roman"/>
          <w:highlight w:val="lightGray"/>
        </w:rPr>
        <w:t xml:space="preserve">– N28 </w:t>
      </w:r>
    </w:p>
    <w:p w14:paraId="540CBF6B"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LT/1/25/5928/008 – N28 (kalendorinė pakuotė)</w:t>
      </w:r>
    </w:p>
    <w:p w14:paraId="08184D82"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LT/1/25/5928/002 – N30</w:t>
      </w:r>
    </w:p>
    <w:p w14:paraId="27621B57"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 xml:space="preserve">LT/1/25/5928/003 – N56 </w:t>
      </w:r>
    </w:p>
    <w:p w14:paraId="79BFAB66"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LT/1/25/5928/009 – N56 (kalendorinė pakuotė)</w:t>
      </w:r>
    </w:p>
    <w:p w14:paraId="491F5D3E"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LT/1/25/5928/004 – N60</w:t>
      </w:r>
    </w:p>
    <w:p w14:paraId="5348F0A9"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LT/1/25/5928/005 – N84</w:t>
      </w:r>
    </w:p>
    <w:p w14:paraId="304554C5"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LT/1/25/5928/010 – N84 (kalendorinė pakuotė)</w:t>
      </w:r>
    </w:p>
    <w:p w14:paraId="6ED1C714"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 xml:space="preserve">LT/1/25/5928/006 – N90 </w:t>
      </w:r>
    </w:p>
    <w:p w14:paraId="00CF4F58"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LT/1/25/5928/007 – N100</w:t>
      </w:r>
    </w:p>
    <w:p w14:paraId="2C2386DC" w14:textId="77777777" w:rsidR="008F7970" w:rsidRDefault="008F7970">
      <w:pPr>
        <w:widowControl w:val="0"/>
        <w:ind w:left="0" w:firstLine="0"/>
        <w:rPr>
          <w:rFonts w:ascii="Times New Roman" w:hAnsi="Times New Roman" w:cs="Times New Roman"/>
          <w:highlight w:val="lightGray"/>
        </w:rPr>
      </w:pPr>
    </w:p>
    <w:p w14:paraId="69F97FFC" w14:textId="77777777" w:rsidR="008F7970" w:rsidRDefault="00AD4BB2">
      <w:pPr>
        <w:widowControl w:val="0"/>
        <w:ind w:left="0" w:firstLine="0"/>
        <w:rPr>
          <w:rFonts w:ascii="Times New Roman" w:hAnsi="Times New Roman" w:cs="Times New Roman"/>
          <w:highlight w:val="lightGray"/>
          <w:u w:val="single"/>
        </w:rPr>
      </w:pPr>
      <w:r>
        <w:rPr>
          <w:rFonts w:ascii="Times New Roman" w:hAnsi="Times New Roman" w:cs="Times New Roman"/>
          <w:highlight w:val="lightGray"/>
          <w:u w:val="single"/>
        </w:rPr>
        <w:t>4 mg/10 mg</w:t>
      </w:r>
    </w:p>
    <w:p w14:paraId="23AFD8A1"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 xml:space="preserve">LT/1/25/5929/001 – N28 </w:t>
      </w:r>
    </w:p>
    <w:p w14:paraId="2C164DD7"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LT/1/25/5929/008 – N28 (kalendorinė pakuotė)</w:t>
      </w:r>
    </w:p>
    <w:p w14:paraId="6EB4F12B"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LT/1/25/5929/002 – N30</w:t>
      </w:r>
    </w:p>
    <w:p w14:paraId="2E94E413"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 xml:space="preserve">LT/1/25/5929/003 – N56 </w:t>
      </w:r>
    </w:p>
    <w:p w14:paraId="20FE84A5"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LT/1/25/5929/009 – N56 (kalendorinė pakuotė)</w:t>
      </w:r>
    </w:p>
    <w:p w14:paraId="5F337C51"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 xml:space="preserve">LT/1/25/5929/004 – N60 </w:t>
      </w:r>
    </w:p>
    <w:p w14:paraId="5535091D"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LT/1/25/5929/005 – N84</w:t>
      </w:r>
    </w:p>
    <w:p w14:paraId="6EAB87A2"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LT/1/25/5929/010 – N84 (kalendorinė pakuotė)</w:t>
      </w:r>
    </w:p>
    <w:p w14:paraId="457F337C" w14:textId="77777777" w:rsidR="008F7970" w:rsidRDefault="00AD4BB2">
      <w:pPr>
        <w:widowControl w:val="0"/>
        <w:ind w:left="0" w:firstLine="0"/>
        <w:rPr>
          <w:rFonts w:ascii="Times New Roman" w:hAnsi="Times New Roman" w:cs="Times New Roman"/>
          <w:highlight w:val="lightGray"/>
        </w:rPr>
      </w:pPr>
      <w:r>
        <w:rPr>
          <w:rFonts w:ascii="Times New Roman" w:hAnsi="Times New Roman" w:cs="Times New Roman"/>
          <w:highlight w:val="lightGray"/>
        </w:rPr>
        <w:t xml:space="preserve">LT/1/25/5929/006 – N90 </w:t>
      </w:r>
    </w:p>
    <w:p w14:paraId="3BE6E999" w14:textId="77777777" w:rsidR="008F7970" w:rsidRDefault="00AD4BB2">
      <w:pPr>
        <w:widowControl w:val="0"/>
        <w:ind w:left="0" w:firstLine="0"/>
        <w:rPr>
          <w:rFonts w:ascii="Times New Roman" w:hAnsi="Times New Roman" w:cs="Times New Roman"/>
        </w:rPr>
      </w:pPr>
      <w:r>
        <w:rPr>
          <w:rFonts w:ascii="Times New Roman" w:hAnsi="Times New Roman" w:cs="Times New Roman"/>
          <w:highlight w:val="lightGray"/>
        </w:rPr>
        <w:t>LT/1/25/5929/007 – N100</w:t>
      </w:r>
    </w:p>
    <w:p w14:paraId="249C6C59" w14:textId="77777777" w:rsidR="008F7970" w:rsidRDefault="008F7970">
      <w:pPr>
        <w:widowControl w:val="0"/>
        <w:ind w:left="0" w:firstLine="0"/>
        <w:rPr>
          <w:rFonts w:ascii="Times New Roman" w:hAnsi="Times New Roman" w:cs="Times New Roman"/>
        </w:rPr>
      </w:pPr>
    </w:p>
    <w:p w14:paraId="1FF55D0A" w14:textId="77777777" w:rsidR="008F7970" w:rsidRDefault="008F7970">
      <w:pPr>
        <w:widowControl w:val="0"/>
        <w:ind w:left="0" w:firstLine="0"/>
        <w:rPr>
          <w:rFonts w:ascii="Times New Roman" w:hAnsi="Times New Roman" w:cs="Times New Roman"/>
        </w:rPr>
      </w:pPr>
    </w:p>
    <w:p w14:paraId="22FEFFC8" w14:textId="77777777" w:rsidR="008F7970" w:rsidRDefault="00AD4BB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13.</w:t>
      </w:r>
      <w:r>
        <w:rPr>
          <w:rFonts w:ascii="Times New Roman" w:hAnsi="Times New Roman" w:cs="Times New Roman"/>
          <w:b/>
        </w:rPr>
        <w:tab/>
        <w:t>SERIJOS NUMERIS</w:t>
      </w:r>
    </w:p>
    <w:p w14:paraId="2BA76982" w14:textId="77777777" w:rsidR="008F7970" w:rsidRDefault="008F7970">
      <w:pPr>
        <w:widowControl w:val="0"/>
        <w:ind w:left="0" w:firstLine="0"/>
        <w:rPr>
          <w:rFonts w:ascii="Times New Roman" w:hAnsi="Times New Roman" w:cs="Times New Roman"/>
        </w:rPr>
      </w:pPr>
    </w:p>
    <w:p w14:paraId="50876F80" w14:textId="77777777" w:rsidR="008F7970" w:rsidRDefault="00AD4BB2">
      <w:pPr>
        <w:widowControl w:val="0"/>
        <w:ind w:left="0" w:firstLine="0"/>
        <w:rPr>
          <w:rFonts w:ascii="Times New Roman" w:hAnsi="Times New Roman" w:cs="Times New Roman"/>
        </w:rPr>
      </w:pPr>
      <w:r>
        <w:rPr>
          <w:rFonts w:ascii="Times New Roman" w:hAnsi="Times New Roman" w:cs="Times New Roman"/>
        </w:rPr>
        <w:t>Lot</w:t>
      </w:r>
    </w:p>
    <w:p w14:paraId="76CD6214" w14:textId="77777777" w:rsidR="008F7970" w:rsidRDefault="008F7970">
      <w:pPr>
        <w:widowControl w:val="0"/>
        <w:ind w:left="0" w:firstLine="0"/>
        <w:rPr>
          <w:rFonts w:ascii="Times New Roman" w:hAnsi="Times New Roman" w:cs="Times New Roman"/>
        </w:rPr>
      </w:pPr>
    </w:p>
    <w:p w14:paraId="40389EA3" w14:textId="77777777" w:rsidR="008F7970" w:rsidRDefault="008F7970">
      <w:pPr>
        <w:widowControl w:val="0"/>
        <w:ind w:left="540" w:hanging="540"/>
        <w:rPr>
          <w:rFonts w:ascii="Times New Roman" w:hAnsi="Times New Roman" w:cs="Times New Roman"/>
        </w:rPr>
      </w:pPr>
    </w:p>
    <w:p w14:paraId="572AB957" w14:textId="77777777" w:rsidR="008F7970" w:rsidRDefault="00AD4BB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14.</w:t>
      </w:r>
      <w:r>
        <w:rPr>
          <w:rFonts w:ascii="Times New Roman" w:hAnsi="Times New Roman" w:cs="Times New Roman"/>
          <w:b/>
        </w:rPr>
        <w:tab/>
      </w:r>
      <w:r>
        <w:rPr>
          <w:rFonts w:ascii="Times New Roman" w:hAnsi="Times New Roman" w:cs="Times New Roman"/>
          <w:b/>
          <w:caps/>
        </w:rPr>
        <w:t>Pardavimo (išdavimo) tvarka</w:t>
      </w:r>
    </w:p>
    <w:p w14:paraId="1D152E8D" w14:textId="77777777" w:rsidR="008F7970" w:rsidRDefault="008F7970">
      <w:pPr>
        <w:widowControl w:val="0"/>
        <w:ind w:left="0" w:firstLine="0"/>
        <w:rPr>
          <w:rFonts w:ascii="Times New Roman" w:hAnsi="Times New Roman" w:cs="Times New Roman"/>
        </w:rPr>
      </w:pPr>
    </w:p>
    <w:p w14:paraId="50A798EF" w14:textId="77777777" w:rsidR="008F7970" w:rsidRDefault="00AD4BB2">
      <w:pPr>
        <w:widowControl w:val="0"/>
        <w:ind w:left="0" w:firstLine="0"/>
        <w:rPr>
          <w:rFonts w:ascii="Times New Roman" w:hAnsi="Times New Roman" w:cs="Times New Roman"/>
        </w:rPr>
      </w:pPr>
      <w:r>
        <w:rPr>
          <w:rFonts w:ascii="Times New Roman" w:hAnsi="Times New Roman" w:cs="Times New Roman"/>
        </w:rPr>
        <w:t>Receptinis vaistas</w:t>
      </w:r>
    </w:p>
    <w:p w14:paraId="48A2EE21" w14:textId="77777777" w:rsidR="008F7970" w:rsidRDefault="008F7970">
      <w:pPr>
        <w:widowControl w:val="0"/>
        <w:ind w:left="0" w:firstLine="0"/>
        <w:rPr>
          <w:rFonts w:ascii="Times New Roman" w:hAnsi="Times New Roman" w:cs="Times New Roman"/>
          <w:sz w:val="18"/>
          <w:szCs w:val="18"/>
        </w:rPr>
      </w:pPr>
    </w:p>
    <w:p w14:paraId="2D9631A5" w14:textId="77777777" w:rsidR="008F7970" w:rsidRDefault="008F7970">
      <w:pPr>
        <w:widowControl w:val="0"/>
        <w:ind w:left="0" w:firstLine="0"/>
        <w:rPr>
          <w:rFonts w:ascii="Times New Roman" w:hAnsi="Times New Roman" w:cs="Times New Roman"/>
        </w:rPr>
      </w:pPr>
    </w:p>
    <w:p w14:paraId="75FB4F9E" w14:textId="77777777" w:rsidR="008F7970" w:rsidRDefault="00AD4BB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452A67F2" w14:textId="77777777" w:rsidR="008F7970" w:rsidRDefault="008F7970">
      <w:pPr>
        <w:widowControl w:val="0"/>
        <w:ind w:left="0" w:firstLine="0"/>
        <w:rPr>
          <w:rFonts w:ascii="Times New Roman" w:hAnsi="Times New Roman" w:cs="Times New Roman"/>
          <w:sz w:val="18"/>
          <w:szCs w:val="18"/>
        </w:rPr>
      </w:pPr>
    </w:p>
    <w:p w14:paraId="06E27906" w14:textId="77777777" w:rsidR="008F7970" w:rsidRDefault="008F7970">
      <w:pPr>
        <w:widowControl w:val="0"/>
        <w:ind w:left="0" w:firstLine="0"/>
        <w:rPr>
          <w:rFonts w:ascii="Times New Roman" w:hAnsi="Times New Roman" w:cs="Times New Roman"/>
        </w:rPr>
      </w:pPr>
    </w:p>
    <w:p w14:paraId="394980F2" w14:textId="77777777" w:rsidR="008F7970" w:rsidRDefault="008F7970">
      <w:pPr>
        <w:widowControl w:val="0"/>
        <w:ind w:left="0" w:firstLine="0"/>
        <w:rPr>
          <w:rFonts w:ascii="Times New Roman" w:hAnsi="Times New Roman" w:cs="Times New Roman"/>
        </w:rPr>
      </w:pPr>
    </w:p>
    <w:p w14:paraId="53E48C5E" w14:textId="77777777" w:rsidR="008F7970" w:rsidRDefault="00AD4BB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01E9E4CB" w14:textId="77777777" w:rsidR="008F7970" w:rsidRDefault="008F7970">
      <w:pPr>
        <w:widowControl w:val="0"/>
        <w:ind w:left="0" w:firstLine="0"/>
        <w:rPr>
          <w:rFonts w:ascii="Times New Roman" w:hAnsi="Times New Roman" w:cs="Times New Roman"/>
        </w:rPr>
      </w:pPr>
    </w:p>
    <w:p w14:paraId="04FAEFC7"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rPr>
        <w:t>Pitezenib</w:t>
      </w:r>
      <w:proofErr w:type="spellEnd"/>
      <w:r>
        <w:rPr>
          <w:rFonts w:ascii="Times New Roman" w:hAnsi="Times New Roman" w:cs="Times New Roman"/>
        </w:rPr>
        <w:t xml:space="preserve"> 2 mg/10 mg tabletės</w:t>
      </w:r>
    </w:p>
    <w:p w14:paraId="29CD6955"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highlight w:val="lightGray"/>
        </w:rPr>
        <w:t>Pitezenib</w:t>
      </w:r>
      <w:proofErr w:type="spellEnd"/>
      <w:r>
        <w:rPr>
          <w:rFonts w:ascii="Times New Roman" w:hAnsi="Times New Roman" w:cs="Times New Roman"/>
          <w:highlight w:val="lightGray"/>
        </w:rPr>
        <w:t xml:space="preserve"> 4 mg/10 mg tabletės</w:t>
      </w:r>
    </w:p>
    <w:p w14:paraId="484EA9A7" w14:textId="77777777" w:rsidR="008F7970" w:rsidRDefault="008F7970">
      <w:pPr>
        <w:widowControl w:val="0"/>
        <w:ind w:left="0" w:firstLine="0"/>
        <w:rPr>
          <w:rFonts w:ascii="Times New Roman" w:hAnsi="Times New Roman" w:cs="Times New Roman"/>
        </w:rPr>
      </w:pPr>
    </w:p>
    <w:p w14:paraId="0CCF36B6" w14:textId="77777777" w:rsidR="008F7970" w:rsidRDefault="008F7970">
      <w:pPr>
        <w:widowControl w:val="0"/>
        <w:ind w:left="0" w:firstLine="0"/>
        <w:rPr>
          <w:rFonts w:ascii="Times New Roman" w:hAnsi="Times New Roman" w:cs="Times New Roman"/>
          <w:caps/>
        </w:rPr>
      </w:pPr>
    </w:p>
    <w:p w14:paraId="0472A768" w14:textId="77777777" w:rsidR="008F7970" w:rsidRDefault="00AD4BB2">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3D8CF89A" w14:textId="77777777" w:rsidR="008F7970" w:rsidRDefault="008F7970">
      <w:pPr>
        <w:widowControl w:val="0"/>
        <w:ind w:left="539" w:hanging="539"/>
        <w:rPr>
          <w:rFonts w:ascii="Times New Roman" w:hAnsi="Times New Roman" w:cs="Times New Roman"/>
          <w:lang w:val="sl-SI"/>
        </w:rPr>
      </w:pPr>
    </w:p>
    <w:p w14:paraId="642A1225" w14:textId="77777777" w:rsidR="008F7970" w:rsidRDefault="00AD4BB2">
      <w:pPr>
        <w:ind w:left="0" w:firstLine="0"/>
        <w:rPr>
          <w:rFonts w:ascii="Times New Roman" w:eastAsia="Calibri" w:hAnsi="Times New Roman" w:cs="Times New Roman"/>
          <w:shd w:val="clear" w:color="auto" w:fill="CCCCCC"/>
        </w:rPr>
      </w:pPr>
      <w:r>
        <w:rPr>
          <w:rFonts w:ascii="Times New Roman" w:eastAsia="Calibri" w:hAnsi="Times New Roman" w:cs="Times New Roman"/>
          <w:highlight w:val="lightGray"/>
        </w:rPr>
        <w:t>2D brūkšninis kodas su nurodytu unikaliu identifikatoriumi.</w:t>
      </w:r>
    </w:p>
    <w:p w14:paraId="3D070C5A" w14:textId="77777777" w:rsidR="008F7970" w:rsidRDefault="008F7970">
      <w:pPr>
        <w:widowControl w:val="0"/>
        <w:tabs>
          <w:tab w:val="left" w:pos="567"/>
        </w:tabs>
        <w:ind w:left="539" w:hanging="539"/>
        <w:rPr>
          <w:rFonts w:ascii="Times New Roman" w:hAnsi="Times New Roman" w:cs="Times New Roman"/>
          <w:lang w:val="sl-SI"/>
        </w:rPr>
      </w:pPr>
    </w:p>
    <w:p w14:paraId="5271BCA6" w14:textId="77777777" w:rsidR="008F7970" w:rsidRDefault="008F7970">
      <w:pPr>
        <w:widowControl w:val="0"/>
        <w:tabs>
          <w:tab w:val="left" w:pos="567"/>
        </w:tabs>
        <w:ind w:left="539" w:hanging="539"/>
        <w:rPr>
          <w:rFonts w:ascii="Times New Roman" w:hAnsi="Times New Roman" w:cs="Times New Roman"/>
          <w:lang w:val="sl-SI"/>
        </w:rPr>
      </w:pPr>
    </w:p>
    <w:p w14:paraId="705F11FB" w14:textId="77777777" w:rsidR="008F7970" w:rsidRDefault="00AD4BB2">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0A41B6AF" w14:textId="77777777" w:rsidR="008F7970" w:rsidRDefault="008F7970">
      <w:pPr>
        <w:widowControl w:val="0"/>
        <w:ind w:left="539" w:hanging="539"/>
        <w:rPr>
          <w:rFonts w:ascii="Times New Roman" w:hAnsi="Times New Roman" w:cs="Times New Roman"/>
          <w:lang w:val="sl-SI"/>
        </w:rPr>
      </w:pPr>
    </w:p>
    <w:p w14:paraId="160A0BA7" w14:textId="77777777" w:rsidR="008F7970" w:rsidRDefault="00AD4BB2">
      <w:pPr>
        <w:ind w:left="0" w:firstLine="0"/>
        <w:rPr>
          <w:rFonts w:ascii="Times New Roman" w:eastAsia="Calibri" w:hAnsi="Times New Roman" w:cs="Times New Roman"/>
        </w:rPr>
      </w:pPr>
      <w:r>
        <w:rPr>
          <w:rFonts w:ascii="Times New Roman" w:eastAsia="Calibri" w:hAnsi="Times New Roman" w:cs="Times New Roman"/>
        </w:rPr>
        <w:t>PC</w:t>
      </w:r>
    </w:p>
    <w:p w14:paraId="1A6DC25D" w14:textId="77777777" w:rsidR="008F7970" w:rsidRDefault="00AD4BB2">
      <w:pPr>
        <w:ind w:left="0" w:firstLine="0"/>
        <w:rPr>
          <w:rFonts w:ascii="Times New Roman" w:eastAsia="Calibri" w:hAnsi="Times New Roman" w:cs="Times New Roman"/>
        </w:rPr>
      </w:pPr>
      <w:r>
        <w:rPr>
          <w:rFonts w:ascii="Times New Roman" w:eastAsia="Calibri" w:hAnsi="Times New Roman" w:cs="Times New Roman"/>
        </w:rPr>
        <w:t>SN</w:t>
      </w:r>
    </w:p>
    <w:p w14:paraId="7FC62234" w14:textId="77777777" w:rsidR="008F7970" w:rsidRDefault="00AD4BB2">
      <w:pPr>
        <w:ind w:left="0" w:firstLine="0"/>
        <w:rPr>
          <w:rFonts w:ascii="Times New Roman" w:eastAsia="Calibri" w:hAnsi="Times New Roman" w:cs="Times New Roman"/>
        </w:rPr>
      </w:pPr>
      <w:r>
        <w:rPr>
          <w:rFonts w:ascii="Times New Roman" w:eastAsia="Calibri" w:hAnsi="Times New Roman" w:cs="Times New Roman"/>
          <w:highlight w:val="lightGray"/>
        </w:rPr>
        <w:t>NN</w:t>
      </w:r>
    </w:p>
    <w:p w14:paraId="6F1B1C79" w14:textId="77777777" w:rsidR="008F7970" w:rsidRDefault="008F7970">
      <w:pPr>
        <w:widowControl w:val="0"/>
        <w:ind w:left="539" w:hanging="539"/>
        <w:rPr>
          <w:rFonts w:ascii="Times New Roman" w:hAnsi="Times New Roman" w:cs="Times New Roman"/>
          <w:lang w:val="sl-SI"/>
        </w:rPr>
      </w:pPr>
    </w:p>
    <w:p w14:paraId="7E204A42" w14:textId="77777777" w:rsidR="008F7970" w:rsidRDefault="008F7970">
      <w:pPr>
        <w:widowControl w:val="0"/>
        <w:ind w:left="539" w:hanging="539"/>
        <w:rPr>
          <w:rFonts w:ascii="Times New Roman" w:hAnsi="Times New Roman" w:cs="Times New Roman"/>
          <w:highlight w:val="lightGray"/>
          <w:lang w:val="sl-SI"/>
        </w:rPr>
      </w:pPr>
    </w:p>
    <w:p w14:paraId="37CDD35E" w14:textId="77777777" w:rsidR="008F7970" w:rsidRDefault="00AD4BB2">
      <w:pPr>
        <w:widowControl w:val="0"/>
        <w:ind w:left="0" w:firstLine="0"/>
        <w:rPr>
          <w:rFonts w:ascii="Times New Roman" w:hAnsi="Times New Roman" w:cs="Times New Roman"/>
        </w:rPr>
      </w:pPr>
      <w:r>
        <w:rPr>
          <w:rFonts w:ascii="Times New Roman" w:hAnsi="Times New Roman" w:cs="Times New Roman"/>
          <w:b/>
        </w:rPr>
        <w:br w:type="page"/>
      </w:r>
    </w:p>
    <w:p w14:paraId="6E328DB2" w14:textId="77777777" w:rsidR="008F7970" w:rsidRDefault="008F7970">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7970" w14:paraId="2F25E04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472C99F" w14:textId="77777777" w:rsidR="008F7970" w:rsidRDefault="00AD4BB2">
            <w:pPr>
              <w:widowControl w:val="0"/>
              <w:ind w:left="0" w:firstLine="0"/>
              <w:rPr>
                <w:rFonts w:ascii="Times New Roman" w:hAnsi="Times New Roman" w:cs="Times New Roman"/>
                <w:b/>
              </w:rPr>
            </w:pPr>
            <w:r>
              <w:rPr>
                <w:rFonts w:ascii="Times New Roman" w:hAnsi="Times New Roman" w:cs="Times New Roman"/>
                <w:b/>
              </w:rPr>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62AD9839" w14:textId="77777777" w:rsidR="008F7970" w:rsidRDefault="008F7970">
            <w:pPr>
              <w:widowControl w:val="0"/>
              <w:ind w:left="0" w:firstLine="0"/>
              <w:rPr>
                <w:rFonts w:ascii="Times New Roman" w:hAnsi="Times New Roman" w:cs="Times New Roman"/>
                <w:b/>
              </w:rPr>
            </w:pPr>
          </w:p>
          <w:p w14:paraId="38B5BD24" w14:textId="77777777" w:rsidR="008F7970" w:rsidRDefault="00AD4BB2">
            <w:pPr>
              <w:widowControl w:val="0"/>
              <w:ind w:left="0" w:firstLine="0"/>
              <w:rPr>
                <w:rFonts w:ascii="Times New Roman" w:hAnsi="Times New Roman" w:cs="Times New Roman"/>
                <w:b/>
              </w:rPr>
            </w:pPr>
            <w:r>
              <w:rPr>
                <w:rFonts w:ascii="Times New Roman" w:hAnsi="Times New Roman" w:cs="Times New Roman"/>
                <w:b/>
              </w:rPr>
              <w:t>LIZDINĖ PLOKŠTELĖ</w:t>
            </w:r>
          </w:p>
        </w:tc>
      </w:tr>
    </w:tbl>
    <w:p w14:paraId="5B19C13C" w14:textId="77777777" w:rsidR="008F7970" w:rsidRDefault="008F7970">
      <w:pPr>
        <w:widowControl w:val="0"/>
        <w:ind w:left="0" w:firstLine="0"/>
        <w:rPr>
          <w:rFonts w:ascii="Times New Roman" w:hAnsi="Times New Roman" w:cs="Times New Roman"/>
          <w:b/>
        </w:rPr>
      </w:pPr>
    </w:p>
    <w:p w14:paraId="0616F28B" w14:textId="77777777" w:rsidR="008F7970" w:rsidRDefault="008F7970">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7970" w14:paraId="356062EB" w14:textId="77777777">
        <w:tc>
          <w:tcPr>
            <w:tcW w:w="9287" w:type="dxa"/>
            <w:tcBorders>
              <w:top w:val="single" w:sz="4" w:space="0" w:color="auto"/>
              <w:left w:val="single" w:sz="4" w:space="0" w:color="auto"/>
              <w:bottom w:val="single" w:sz="4" w:space="0" w:color="auto"/>
              <w:right w:val="single" w:sz="4" w:space="0" w:color="auto"/>
            </w:tcBorders>
            <w:hideMark/>
          </w:tcPr>
          <w:p w14:paraId="39636682" w14:textId="77777777" w:rsidR="008F7970" w:rsidRDefault="00AD4BB2">
            <w:pPr>
              <w:widowControl w:val="0"/>
              <w:tabs>
                <w:tab w:val="left" w:pos="14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 preparato pavadinimas</w:t>
            </w:r>
          </w:p>
        </w:tc>
      </w:tr>
    </w:tbl>
    <w:p w14:paraId="4DBF951B" w14:textId="77777777" w:rsidR="008F7970" w:rsidRDefault="008F7970">
      <w:pPr>
        <w:widowControl w:val="0"/>
        <w:rPr>
          <w:rFonts w:ascii="Times New Roman" w:hAnsi="Times New Roman" w:cs="Times New Roman"/>
        </w:rPr>
      </w:pPr>
    </w:p>
    <w:p w14:paraId="49C80E71"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rPr>
        <w:t>Pitezenib</w:t>
      </w:r>
      <w:proofErr w:type="spellEnd"/>
      <w:r>
        <w:rPr>
          <w:rFonts w:ascii="Times New Roman" w:hAnsi="Times New Roman" w:cs="Times New Roman"/>
        </w:rPr>
        <w:t xml:space="preserve"> 2 mg/10 mg tabletės</w:t>
      </w:r>
    </w:p>
    <w:p w14:paraId="1ADED287" w14:textId="77777777" w:rsidR="008F7970" w:rsidRDefault="00AD4BB2">
      <w:pPr>
        <w:widowControl w:val="0"/>
        <w:ind w:left="0" w:firstLine="0"/>
        <w:rPr>
          <w:rFonts w:ascii="Times New Roman" w:hAnsi="Times New Roman" w:cs="Times New Roman"/>
          <w:lang w:val="sl-SI"/>
        </w:rPr>
      </w:pPr>
      <w:proofErr w:type="spellStart"/>
      <w:r>
        <w:rPr>
          <w:rFonts w:ascii="Times New Roman" w:hAnsi="Times New Roman" w:cs="Times New Roman"/>
          <w:highlight w:val="lightGray"/>
        </w:rPr>
        <w:t>Pitezenib</w:t>
      </w:r>
      <w:proofErr w:type="spellEnd"/>
      <w:r>
        <w:rPr>
          <w:rFonts w:ascii="Times New Roman" w:hAnsi="Times New Roman" w:cs="Times New Roman"/>
          <w:highlight w:val="lightGray"/>
        </w:rPr>
        <w:t xml:space="preserve"> 4 mg/10 mg tabletės</w:t>
      </w:r>
    </w:p>
    <w:p w14:paraId="713F57D6" w14:textId="77777777" w:rsidR="008F7970" w:rsidRDefault="008F7970">
      <w:pPr>
        <w:widowControl w:val="0"/>
        <w:ind w:left="0" w:firstLine="0"/>
        <w:rPr>
          <w:rFonts w:ascii="Times New Roman" w:hAnsi="Times New Roman" w:cs="Times New Roman"/>
        </w:rPr>
      </w:pPr>
    </w:p>
    <w:p w14:paraId="2619A1EF"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pitavastatinas</w:t>
      </w:r>
      <w:proofErr w:type="spellEnd"/>
      <w:r>
        <w:rPr>
          <w:rFonts w:ascii="Times New Roman" w:hAnsi="Times New Roman" w:cs="Times New Roman"/>
        </w:rPr>
        <w:t>/</w:t>
      </w:r>
      <w:proofErr w:type="spellStart"/>
      <w:r>
        <w:rPr>
          <w:rFonts w:ascii="Times New Roman" w:hAnsi="Times New Roman" w:cs="Times New Roman"/>
        </w:rPr>
        <w:t>ezetimibas</w:t>
      </w:r>
      <w:proofErr w:type="spellEnd"/>
    </w:p>
    <w:p w14:paraId="40660499" w14:textId="77777777" w:rsidR="008F7970" w:rsidRDefault="008F7970">
      <w:pPr>
        <w:widowControl w:val="0"/>
        <w:ind w:left="0" w:firstLine="0"/>
        <w:rPr>
          <w:rFonts w:ascii="Times New Roman" w:hAnsi="Times New Roman" w:cs="Times New Roman"/>
          <w:b/>
        </w:rPr>
      </w:pPr>
    </w:p>
    <w:p w14:paraId="24CB32F5" w14:textId="77777777" w:rsidR="008F7970" w:rsidRDefault="008F7970">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7970" w14:paraId="08C43308" w14:textId="77777777">
        <w:tc>
          <w:tcPr>
            <w:tcW w:w="9287" w:type="dxa"/>
            <w:tcBorders>
              <w:top w:val="single" w:sz="4" w:space="0" w:color="auto"/>
              <w:left w:val="single" w:sz="4" w:space="0" w:color="auto"/>
              <w:bottom w:val="single" w:sz="4" w:space="0" w:color="auto"/>
              <w:right w:val="single" w:sz="4" w:space="0" w:color="auto"/>
            </w:tcBorders>
            <w:hideMark/>
          </w:tcPr>
          <w:p w14:paraId="226E9E86" w14:textId="77777777" w:rsidR="008F7970" w:rsidRDefault="00AD4BB2">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69E65DCB" w14:textId="77777777" w:rsidR="008F7970" w:rsidRDefault="008F7970">
      <w:pPr>
        <w:widowControl w:val="0"/>
        <w:ind w:left="0" w:firstLine="0"/>
        <w:rPr>
          <w:rFonts w:ascii="Times New Roman" w:hAnsi="Times New Roman" w:cs="Times New Roman"/>
          <w:b/>
        </w:rPr>
      </w:pPr>
    </w:p>
    <w:p w14:paraId="45A9352C" w14:textId="77777777" w:rsidR="008F7970" w:rsidRDefault="00AD4BB2">
      <w:pPr>
        <w:widowControl w:val="0"/>
        <w:ind w:left="0" w:firstLine="0"/>
        <w:rPr>
          <w:rFonts w:ascii="Times New Roman" w:hAnsi="Times New Roman" w:cs="Times New Roman"/>
        </w:rPr>
      </w:pPr>
      <w:r>
        <w:rPr>
          <w:rFonts w:ascii="Times New Roman" w:hAnsi="Times New Roman" w:cs="Times New Roman"/>
        </w:rPr>
        <w:t>KRKA</w:t>
      </w:r>
    </w:p>
    <w:p w14:paraId="0769BF91" w14:textId="77777777" w:rsidR="008F7970" w:rsidRDefault="008F7970">
      <w:pPr>
        <w:widowControl w:val="0"/>
        <w:ind w:left="0" w:firstLine="0"/>
        <w:rPr>
          <w:rFonts w:ascii="Times New Roman" w:hAnsi="Times New Roman" w:cs="Times New Roman"/>
        </w:rPr>
      </w:pPr>
    </w:p>
    <w:p w14:paraId="7EE6C456" w14:textId="77777777" w:rsidR="008F7970" w:rsidRDefault="008F7970">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7970" w14:paraId="0788D445" w14:textId="77777777">
        <w:tc>
          <w:tcPr>
            <w:tcW w:w="9287" w:type="dxa"/>
            <w:tcBorders>
              <w:top w:val="single" w:sz="4" w:space="0" w:color="auto"/>
              <w:left w:val="single" w:sz="4" w:space="0" w:color="auto"/>
              <w:bottom w:val="single" w:sz="4" w:space="0" w:color="auto"/>
              <w:right w:val="single" w:sz="4" w:space="0" w:color="auto"/>
            </w:tcBorders>
            <w:hideMark/>
          </w:tcPr>
          <w:p w14:paraId="76070CF4" w14:textId="77777777" w:rsidR="008F7970" w:rsidRDefault="00AD4BB2">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274416A3" w14:textId="77777777" w:rsidR="008F7970" w:rsidRDefault="008F7970">
      <w:pPr>
        <w:widowControl w:val="0"/>
        <w:ind w:left="0" w:firstLine="0"/>
        <w:rPr>
          <w:rFonts w:ascii="Times New Roman" w:hAnsi="Times New Roman" w:cs="Times New Roman"/>
          <w:b/>
        </w:rPr>
      </w:pPr>
    </w:p>
    <w:p w14:paraId="7A252E33" w14:textId="77777777" w:rsidR="008F7970" w:rsidRDefault="00AD4BB2">
      <w:pPr>
        <w:widowControl w:val="0"/>
        <w:ind w:left="0" w:firstLine="0"/>
        <w:rPr>
          <w:rFonts w:ascii="Times New Roman" w:hAnsi="Times New Roman" w:cs="Times New Roman"/>
        </w:rPr>
      </w:pPr>
      <w:r>
        <w:rPr>
          <w:rFonts w:ascii="Times New Roman" w:hAnsi="Times New Roman" w:cs="Times New Roman"/>
        </w:rPr>
        <w:t>EXP (mm/MMMM)</w:t>
      </w:r>
    </w:p>
    <w:p w14:paraId="7F6A4333" w14:textId="77777777" w:rsidR="008F7970" w:rsidRDefault="008F7970">
      <w:pPr>
        <w:widowControl w:val="0"/>
        <w:ind w:left="0" w:firstLine="0"/>
        <w:rPr>
          <w:rFonts w:ascii="Times New Roman" w:hAnsi="Times New Roman" w:cs="Times New Roman"/>
          <w:b/>
        </w:rPr>
      </w:pPr>
    </w:p>
    <w:p w14:paraId="2AA0F24A" w14:textId="77777777" w:rsidR="008F7970" w:rsidRDefault="008F7970">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7970" w14:paraId="58F30358" w14:textId="77777777">
        <w:tc>
          <w:tcPr>
            <w:tcW w:w="9287" w:type="dxa"/>
            <w:tcBorders>
              <w:top w:val="single" w:sz="4" w:space="0" w:color="auto"/>
              <w:left w:val="single" w:sz="4" w:space="0" w:color="auto"/>
              <w:bottom w:val="single" w:sz="4" w:space="0" w:color="auto"/>
              <w:right w:val="single" w:sz="4" w:space="0" w:color="auto"/>
            </w:tcBorders>
            <w:hideMark/>
          </w:tcPr>
          <w:p w14:paraId="7B7BD6F9" w14:textId="77777777" w:rsidR="008F7970" w:rsidRDefault="00AD4BB2">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7DD42E97" w14:textId="77777777" w:rsidR="008F7970" w:rsidRDefault="008F7970">
      <w:pPr>
        <w:widowControl w:val="0"/>
        <w:ind w:left="0" w:right="113" w:firstLine="0"/>
        <w:rPr>
          <w:rFonts w:ascii="Times New Roman" w:hAnsi="Times New Roman" w:cs="Times New Roman"/>
        </w:rPr>
      </w:pPr>
    </w:p>
    <w:p w14:paraId="500C5F13" w14:textId="77777777" w:rsidR="008F7970" w:rsidRDefault="00AD4BB2">
      <w:pPr>
        <w:widowControl w:val="0"/>
        <w:ind w:left="0" w:right="113" w:firstLine="0"/>
        <w:rPr>
          <w:rFonts w:ascii="Times New Roman" w:hAnsi="Times New Roman" w:cs="Times New Roman"/>
          <w:lang w:val="sl-SI"/>
        </w:rPr>
      </w:pPr>
      <w:r>
        <w:rPr>
          <w:rFonts w:ascii="Times New Roman" w:hAnsi="Times New Roman" w:cs="Times New Roman"/>
        </w:rPr>
        <w:t>Lot</w:t>
      </w:r>
    </w:p>
    <w:p w14:paraId="05A83E70" w14:textId="77777777" w:rsidR="008F7970" w:rsidRDefault="008F7970">
      <w:pPr>
        <w:widowControl w:val="0"/>
        <w:ind w:left="0" w:right="113" w:firstLine="0"/>
        <w:rPr>
          <w:rFonts w:ascii="Times New Roman" w:hAnsi="Times New Roman" w:cs="Times New Roman"/>
        </w:rPr>
      </w:pPr>
    </w:p>
    <w:p w14:paraId="226FFCB2" w14:textId="77777777" w:rsidR="008F7970" w:rsidRDefault="008F7970">
      <w:pPr>
        <w:widowControl w:val="0"/>
        <w:ind w:left="0" w:right="113" w:firstLine="0"/>
        <w:rPr>
          <w:rFonts w:ascii="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8F7970" w14:paraId="0EA10FD6" w14:textId="77777777">
        <w:tc>
          <w:tcPr>
            <w:tcW w:w="9287" w:type="dxa"/>
            <w:tcBorders>
              <w:top w:val="single" w:sz="4" w:space="0" w:color="auto"/>
              <w:left w:val="single" w:sz="4" w:space="0" w:color="auto"/>
              <w:bottom w:val="single" w:sz="4" w:space="0" w:color="auto"/>
              <w:right w:val="single" w:sz="4" w:space="0" w:color="auto"/>
            </w:tcBorders>
            <w:hideMark/>
          </w:tcPr>
          <w:p w14:paraId="3D3E005F" w14:textId="77777777" w:rsidR="008F7970" w:rsidRDefault="00AD4BB2">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53E9379E" w14:textId="77777777" w:rsidR="008F7970" w:rsidRDefault="008F7970">
      <w:pPr>
        <w:widowControl w:val="0"/>
        <w:ind w:left="0" w:firstLine="0"/>
        <w:rPr>
          <w:rFonts w:ascii="Times New Roman" w:hAnsi="Times New Roman" w:cs="Times New Roman"/>
        </w:rPr>
      </w:pPr>
    </w:p>
    <w:p w14:paraId="35078F0D" w14:textId="77777777" w:rsidR="008F7970" w:rsidRDefault="00AD4BB2">
      <w:pPr>
        <w:tabs>
          <w:tab w:val="left" w:pos="567"/>
        </w:tabs>
        <w:snapToGrid w:val="0"/>
        <w:spacing w:line="260" w:lineRule="exact"/>
        <w:ind w:left="0" w:firstLine="0"/>
        <w:rPr>
          <w:rFonts w:ascii="Times New Roman" w:eastAsia="Times New Roman" w:hAnsi="Times New Roman" w:cs="Times New Roman"/>
          <w:i/>
          <w:iCs/>
        </w:rPr>
      </w:pPr>
      <w:r>
        <w:rPr>
          <w:rFonts w:ascii="Times New Roman" w:eastAsia="Times New Roman" w:hAnsi="Times New Roman" w:cs="Times New Roman"/>
          <w:i/>
          <w:iCs/>
          <w:highlight w:val="lightGray"/>
        </w:rPr>
        <w:t>Kalendorinė pakuotė (28, 56 ir 84 tablečių pakuotėms):</w:t>
      </w:r>
    </w:p>
    <w:p w14:paraId="7E07B9B7"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P.</w:t>
      </w:r>
    </w:p>
    <w:p w14:paraId="096C9313"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A.</w:t>
      </w:r>
    </w:p>
    <w:p w14:paraId="25530177"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T.</w:t>
      </w:r>
    </w:p>
    <w:p w14:paraId="7C6C0998"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K.</w:t>
      </w:r>
    </w:p>
    <w:p w14:paraId="57B9047A"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Pn</w:t>
      </w:r>
      <w:proofErr w:type="spellEnd"/>
      <w:r>
        <w:rPr>
          <w:rFonts w:ascii="Times New Roman" w:eastAsia="Times New Roman" w:hAnsi="Times New Roman" w:cs="Times New Roman"/>
          <w:highlight w:val="lightGray"/>
        </w:rPr>
        <w:t>.</w:t>
      </w:r>
    </w:p>
    <w:p w14:paraId="6FEDAAB0"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Š.</w:t>
      </w:r>
    </w:p>
    <w:p w14:paraId="0BBA1122" w14:textId="77777777" w:rsidR="008F7970" w:rsidRDefault="00AD4BB2">
      <w:pPr>
        <w:tabs>
          <w:tab w:val="left" w:pos="567"/>
        </w:tabs>
        <w:snapToGrid w:val="0"/>
        <w:spacing w:line="260" w:lineRule="exact"/>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S.</w:t>
      </w:r>
    </w:p>
    <w:p w14:paraId="7C300E1B" w14:textId="77777777" w:rsidR="008F7970" w:rsidRDefault="008F7970">
      <w:pPr>
        <w:widowControl w:val="0"/>
        <w:ind w:left="0" w:right="113" w:firstLine="0"/>
        <w:rPr>
          <w:rFonts w:ascii="Times New Roman" w:hAnsi="Times New Roman" w:cs="Times New Roman"/>
        </w:rPr>
      </w:pPr>
    </w:p>
    <w:p w14:paraId="5A9A09F5" w14:textId="77777777" w:rsidR="008F7970" w:rsidRDefault="00AD4BB2">
      <w:pPr>
        <w:widowControl w:val="0"/>
        <w:ind w:left="0" w:firstLine="0"/>
        <w:rPr>
          <w:rFonts w:ascii="Times New Roman" w:hAnsi="Times New Roman" w:cs="Times New Roman"/>
        </w:rPr>
      </w:pPr>
      <w:r>
        <w:rPr>
          <w:rFonts w:ascii="Times New Roman" w:hAnsi="Times New Roman" w:cs="Times New Roman"/>
        </w:rPr>
        <w:br w:type="page"/>
      </w:r>
    </w:p>
    <w:p w14:paraId="627CE86C" w14:textId="77777777" w:rsidR="008F7970" w:rsidRDefault="008F7970">
      <w:pPr>
        <w:widowControl w:val="0"/>
        <w:tabs>
          <w:tab w:val="left" w:pos="567"/>
        </w:tabs>
        <w:jc w:val="center"/>
        <w:outlineLvl w:val="0"/>
        <w:rPr>
          <w:rFonts w:ascii="Times New Roman" w:hAnsi="Times New Roman" w:cs="Times New Roman"/>
          <w:b/>
          <w:caps/>
        </w:rPr>
      </w:pPr>
    </w:p>
    <w:p w14:paraId="6CED7111" w14:textId="77777777" w:rsidR="008F7970" w:rsidRDefault="008F7970">
      <w:pPr>
        <w:widowControl w:val="0"/>
        <w:tabs>
          <w:tab w:val="left" w:pos="567"/>
        </w:tabs>
        <w:jc w:val="center"/>
        <w:outlineLvl w:val="0"/>
        <w:rPr>
          <w:rFonts w:ascii="Times New Roman" w:hAnsi="Times New Roman" w:cs="Times New Roman"/>
          <w:b/>
          <w:caps/>
        </w:rPr>
      </w:pPr>
    </w:p>
    <w:p w14:paraId="6C17805A" w14:textId="77777777" w:rsidR="008F7970" w:rsidRDefault="008F7970">
      <w:pPr>
        <w:widowControl w:val="0"/>
        <w:tabs>
          <w:tab w:val="left" w:pos="567"/>
        </w:tabs>
        <w:jc w:val="center"/>
        <w:outlineLvl w:val="0"/>
        <w:rPr>
          <w:rFonts w:ascii="Times New Roman" w:hAnsi="Times New Roman" w:cs="Times New Roman"/>
          <w:b/>
          <w:caps/>
        </w:rPr>
      </w:pPr>
    </w:p>
    <w:p w14:paraId="5CA3DB2E" w14:textId="77777777" w:rsidR="008F7970" w:rsidRDefault="008F7970">
      <w:pPr>
        <w:widowControl w:val="0"/>
        <w:tabs>
          <w:tab w:val="left" w:pos="567"/>
        </w:tabs>
        <w:jc w:val="center"/>
        <w:outlineLvl w:val="0"/>
        <w:rPr>
          <w:rFonts w:ascii="Times New Roman" w:hAnsi="Times New Roman" w:cs="Times New Roman"/>
          <w:b/>
          <w:caps/>
        </w:rPr>
      </w:pPr>
    </w:p>
    <w:p w14:paraId="151C4F80" w14:textId="77777777" w:rsidR="008F7970" w:rsidRDefault="008F7970">
      <w:pPr>
        <w:widowControl w:val="0"/>
        <w:tabs>
          <w:tab w:val="left" w:pos="567"/>
        </w:tabs>
        <w:jc w:val="center"/>
        <w:outlineLvl w:val="0"/>
        <w:rPr>
          <w:rFonts w:ascii="Times New Roman" w:hAnsi="Times New Roman" w:cs="Times New Roman"/>
          <w:b/>
          <w:caps/>
        </w:rPr>
      </w:pPr>
    </w:p>
    <w:p w14:paraId="7A22A887" w14:textId="77777777" w:rsidR="008F7970" w:rsidRDefault="008F7970">
      <w:pPr>
        <w:widowControl w:val="0"/>
        <w:tabs>
          <w:tab w:val="left" w:pos="567"/>
        </w:tabs>
        <w:jc w:val="center"/>
        <w:outlineLvl w:val="0"/>
        <w:rPr>
          <w:rFonts w:ascii="Times New Roman" w:hAnsi="Times New Roman" w:cs="Times New Roman"/>
          <w:b/>
          <w:caps/>
        </w:rPr>
      </w:pPr>
    </w:p>
    <w:p w14:paraId="1EA84ABE" w14:textId="77777777" w:rsidR="008F7970" w:rsidRDefault="008F7970">
      <w:pPr>
        <w:widowControl w:val="0"/>
        <w:tabs>
          <w:tab w:val="left" w:pos="567"/>
        </w:tabs>
        <w:jc w:val="center"/>
        <w:outlineLvl w:val="0"/>
        <w:rPr>
          <w:rFonts w:ascii="Times New Roman" w:hAnsi="Times New Roman" w:cs="Times New Roman"/>
          <w:b/>
          <w:caps/>
        </w:rPr>
      </w:pPr>
    </w:p>
    <w:p w14:paraId="39480CB4" w14:textId="77777777" w:rsidR="008F7970" w:rsidRDefault="008F7970">
      <w:pPr>
        <w:widowControl w:val="0"/>
        <w:tabs>
          <w:tab w:val="left" w:pos="567"/>
        </w:tabs>
        <w:jc w:val="center"/>
        <w:outlineLvl w:val="0"/>
        <w:rPr>
          <w:rFonts w:ascii="Times New Roman" w:hAnsi="Times New Roman" w:cs="Times New Roman"/>
          <w:b/>
          <w:caps/>
        </w:rPr>
      </w:pPr>
    </w:p>
    <w:p w14:paraId="1C1C1947" w14:textId="77777777" w:rsidR="008F7970" w:rsidRDefault="008F7970">
      <w:pPr>
        <w:widowControl w:val="0"/>
        <w:tabs>
          <w:tab w:val="left" w:pos="567"/>
        </w:tabs>
        <w:jc w:val="center"/>
        <w:outlineLvl w:val="0"/>
        <w:rPr>
          <w:rFonts w:ascii="Times New Roman" w:hAnsi="Times New Roman" w:cs="Times New Roman"/>
          <w:b/>
          <w:caps/>
        </w:rPr>
      </w:pPr>
    </w:p>
    <w:p w14:paraId="7D0281FF" w14:textId="77777777" w:rsidR="008F7970" w:rsidRDefault="008F7970">
      <w:pPr>
        <w:widowControl w:val="0"/>
        <w:tabs>
          <w:tab w:val="left" w:pos="567"/>
        </w:tabs>
        <w:jc w:val="center"/>
        <w:outlineLvl w:val="0"/>
        <w:rPr>
          <w:rFonts w:ascii="Times New Roman" w:hAnsi="Times New Roman" w:cs="Times New Roman"/>
          <w:b/>
          <w:caps/>
        </w:rPr>
      </w:pPr>
    </w:p>
    <w:p w14:paraId="6441FF3B" w14:textId="77777777" w:rsidR="008F7970" w:rsidRDefault="008F7970">
      <w:pPr>
        <w:widowControl w:val="0"/>
        <w:tabs>
          <w:tab w:val="left" w:pos="567"/>
        </w:tabs>
        <w:jc w:val="center"/>
        <w:outlineLvl w:val="0"/>
        <w:rPr>
          <w:rFonts w:ascii="Times New Roman" w:hAnsi="Times New Roman" w:cs="Times New Roman"/>
          <w:b/>
          <w:caps/>
        </w:rPr>
      </w:pPr>
    </w:p>
    <w:p w14:paraId="52E97457" w14:textId="77777777" w:rsidR="008F7970" w:rsidRDefault="008F7970">
      <w:pPr>
        <w:widowControl w:val="0"/>
        <w:tabs>
          <w:tab w:val="left" w:pos="567"/>
        </w:tabs>
        <w:jc w:val="center"/>
        <w:outlineLvl w:val="0"/>
        <w:rPr>
          <w:rFonts w:ascii="Times New Roman" w:hAnsi="Times New Roman" w:cs="Times New Roman"/>
          <w:b/>
          <w:caps/>
        </w:rPr>
      </w:pPr>
    </w:p>
    <w:p w14:paraId="61211BC0" w14:textId="77777777" w:rsidR="008F7970" w:rsidRDefault="008F7970">
      <w:pPr>
        <w:widowControl w:val="0"/>
        <w:tabs>
          <w:tab w:val="left" w:pos="567"/>
        </w:tabs>
        <w:jc w:val="center"/>
        <w:outlineLvl w:val="0"/>
        <w:rPr>
          <w:rFonts w:ascii="Times New Roman" w:hAnsi="Times New Roman" w:cs="Times New Roman"/>
          <w:b/>
          <w:caps/>
        </w:rPr>
      </w:pPr>
    </w:p>
    <w:p w14:paraId="4E326F0A" w14:textId="77777777" w:rsidR="008F7970" w:rsidRDefault="008F7970">
      <w:pPr>
        <w:widowControl w:val="0"/>
        <w:tabs>
          <w:tab w:val="left" w:pos="567"/>
        </w:tabs>
        <w:jc w:val="center"/>
        <w:outlineLvl w:val="0"/>
        <w:rPr>
          <w:rFonts w:ascii="Times New Roman" w:hAnsi="Times New Roman" w:cs="Times New Roman"/>
          <w:b/>
          <w:caps/>
        </w:rPr>
      </w:pPr>
    </w:p>
    <w:p w14:paraId="7FDAA7BF" w14:textId="77777777" w:rsidR="008F7970" w:rsidRDefault="008F7970">
      <w:pPr>
        <w:widowControl w:val="0"/>
        <w:tabs>
          <w:tab w:val="left" w:pos="567"/>
        </w:tabs>
        <w:jc w:val="center"/>
        <w:outlineLvl w:val="0"/>
        <w:rPr>
          <w:rFonts w:ascii="Times New Roman" w:hAnsi="Times New Roman" w:cs="Times New Roman"/>
          <w:b/>
          <w:caps/>
        </w:rPr>
      </w:pPr>
    </w:p>
    <w:p w14:paraId="026257C8" w14:textId="77777777" w:rsidR="008F7970" w:rsidRDefault="008F7970">
      <w:pPr>
        <w:widowControl w:val="0"/>
        <w:tabs>
          <w:tab w:val="left" w:pos="567"/>
        </w:tabs>
        <w:jc w:val="center"/>
        <w:outlineLvl w:val="0"/>
        <w:rPr>
          <w:rFonts w:ascii="Times New Roman" w:hAnsi="Times New Roman" w:cs="Times New Roman"/>
          <w:b/>
          <w:caps/>
        </w:rPr>
      </w:pPr>
    </w:p>
    <w:p w14:paraId="11CE3DD8" w14:textId="77777777" w:rsidR="008F7970" w:rsidRDefault="008F7970">
      <w:pPr>
        <w:widowControl w:val="0"/>
        <w:tabs>
          <w:tab w:val="left" w:pos="567"/>
        </w:tabs>
        <w:jc w:val="center"/>
        <w:outlineLvl w:val="0"/>
        <w:rPr>
          <w:rFonts w:ascii="Times New Roman" w:hAnsi="Times New Roman" w:cs="Times New Roman"/>
          <w:b/>
          <w:caps/>
        </w:rPr>
      </w:pPr>
    </w:p>
    <w:p w14:paraId="30274510" w14:textId="77777777" w:rsidR="008F7970" w:rsidRDefault="008F7970">
      <w:pPr>
        <w:widowControl w:val="0"/>
        <w:tabs>
          <w:tab w:val="left" w:pos="567"/>
        </w:tabs>
        <w:jc w:val="center"/>
        <w:outlineLvl w:val="0"/>
        <w:rPr>
          <w:rFonts w:ascii="Times New Roman" w:hAnsi="Times New Roman" w:cs="Times New Roman"/>
          <w:b/>
          <w:caps/>
        </w:rPr>
      </w:pPr>
    </w:p>
    <w:p w14:paraId="6D914D21" w14:textId="77777777" w:rsidR="008F7970" w:rsidRDefault="008F7970">
      <w:pPr>
        <w:widowControl w:val="0"/>
        <w:tabs>
          <w:tab w:val="left" w:pos="567"/>
        </w:tabs>
        <w:jc w:val="center"/>
        <w:outlineLvl w:val="0"/>
        <w:rPr>
          <w:rFonts w:ascii="Times New Roman" w:hAnsi="Times New Roman" w:cs="Times New Roman"/>
          <w:b/>
          <w:caps/>
        </w:rPr>
      </w:pPr>
    </w:p>
    <w:p w14:paraId="7A48CE6A" w14:textId="77777777" w:rsidR="008F7970" w:rsidRDefault="008F7970">
      <w:pPr>
        <w:widowControl w:val="0"/>
        <w:tabs>
          <w:tab w:val="left" w:pos="567"/>
        </w:tabs>
        <w:jc w:val="center"/>
        <w:outlineLvl w:val="0"/>
        <w:rPr>
          <w:rFonts w:ascii="Times New Roman" w:hAnsi="Times New Roman" w:cs="Times New Roman"/>
          <w:b/>
          <w:caps/>
        </w:rPr>
      </w:pPr>
    </w:p>
    <w:p w14:paraId="5623BA35" w14:textId="77777777" w:rsidR="008F7970" w:rsidRDefault="008F7970">
      <w:pPr>
        <w:widowControl w:val="0"/>
        <w:tabs>
          <w:tab w:val="left" w:pos="567"/>
        </w:tabs>
        <w:jc w:val="center"/>
        <w:outlineLvl w:val="0"/>
        <w:rPr>
          <w:rFonts w:ascii="Times New Roman" w:hAnsi="Times New Roman" w:cs="Times New Roman"/>
          <w:b/>
          <w:caps/>
        </w:rPr>
      </w:pPr>
    </w:p>
    <w:p w14:paraId="33AB6D47" w14:textId="77777777" w:rsidR="008F7970" w:rsidRDefault="008F7970">
      <w:pPr>
        <w:widowControl w:val="0"/>
        <w:tabs>
          <w:tab w:val="left" w:pos="567"/>
        </w:tabs>
        <w:jc w:val="center"/>
        <w:outlineLvl w:val="0"/>
        <w:rPr>
          <w:rFonts w:ascii="Times New Roman" w:hAnsi="Times New Roman" w:cs="Times New Roman"/>
          <w:b/>
          <w:caps/>
        </w:rPr>
      </w:pPr>
    </w:p>
    <w:p w14:paraId="528C1775" w14:textId="77777777" w:rsidR="008F7970" w:rsidRDefault="008F7970">
      <w:pPr>
        <w:widowControl w:val="0"/>
        <w:tabs>
          <w:tab w:val="left" w:pos="567"/>
        </w:tabs>
        <w:jc w:val="center"/>
        <w:outlineLvl w:val="0"/>
        <w:rPr>
          <w:rFonts w:ascii="Times New Roman" w:hAnsi="Times New Roman" w:cs="Times New Roman"/>
          <w:b/>
          <w:caps/>
        </w:rPr>
      </w:pPr>
    </w:p>
    <w:p w14:paraId="636CB519" w14:textId="77777777" w:rsidR="008F7970" w:rsidRDefault="00AD4BB2">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B. PAKUOTĖS LAPELIS</w:t>
      </w:r>
    </w:p>
    <w:p w14:paraId="5C6C78DD" w14:textId="77777777" w:rsidR="008F7970" w:rsidRDefault="00AD4BB2">
      <w:pPr>
        <w:widowControl w:val="0"/>
        <w:tabs>
          <w:tab w:val="left" w:pos="567"/>
        </w:tabs>
        <w:jc w:val="center"/>
        <w:outlineLv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Pakuotės lapelis: informacija pacientui</w:t>
      </w:r>
    </w:p>
    <w:p w14:paraId="4865AEFF" w14:textId="77777777" w:rsidR="008F7970" w:rsidRDefault="008F7970">
      <w:pPr>
        <w:widowControl w:val="0"/>
        <w:ind w:left="0" w:firstLine="0"/>
        <w:rPr>
          <w:rFonts w:ascii="Times New Roman" w:hAnsi="Times New Roman" w:cs="Times New Roman"/>
        </w:rPr>
      </w:pPr>
    </w:p>
    <w:p w14:paraId="7FF73803" w14:textId="77777777" w:rsidR="008F7970" w:rsidRDefault="00AD4BB2">
      <w:pPr>
        <w:widowControl w:val="0"/>
        <w:ind w:left="0" w:firstLine="0"/>
        <w:jc w:val="center"/>
        <w:rPr>
          <w:rFonts w:ascii="Times New Roman" w:hAnsi="Times New Roman" w:cs="Times New Roman"/>
          <w:b/>
          <w:bCs/>
          <w:lang w:val="sl-SI"/>
        </w:rPr>
      </w:pPr>
      <w:proofErr w:type="spellStart"/>
      <w:r>
        <w:rPr>
          <w:rFonts w:ascii="Times New Roman" w:hAnsi="Times New Roman" w:cs="Times New Roman"/>
          <w:b/>
          <w:bCs/>
        </w:rPr>
        <w:t>Pitezenib</w:t>
      </w:r>
      <w:proofErr w:type="spellEnd"/>
      <w:r>
        <w:rPr>
          <w:rFonts w:ascii="Times New Roman" w:hAnsi="Times New Roman" w:cs="Times New Roman"/>
          <w:b/>
          <w:bCs/>
        </w:rPr>
        <w:t xml:space="preserve"> 2 mg/10 mg tabletės</w:t>
      </w:r>
    </w:p>
    <w:p w14:paraId="4A2CC0F4" w14:textId="77777777" w:rsidR="008F7970" w:rsidRDefault="00AD4BB2">
      <w:pPr>
        <w:widowControl w:val="0"/>
        <w:ind w:left="0" w:firstLine="0"/>
        <w:jc w:val="center"/>
        <w:rPr>
          <w:rFonts w:ascii="Times New Roman" w:hAnsi="Times New Roman" w:cs="Times New Roman"/>
          <w:b/>
          <w:bCs/>
          <w:lang w:val="sl-SI"/>
        </w:rPr>
      </w:pPr>
      <w:proofErr w:type="spellStart"/>
      <w:r>
        <w:rPr>
          <w:rFonts w:ascii="Times New Roman" w:hAnsi="Times New Roman" w:cs="Times New Roman"/>
          <w:b/>
          <w:bCs/>
        </w:rPr>
        <w:t>Pitezenib</w:t>
      </w:r>
      <w:proofErr w:type="spellEnd"/>
      <w:r>
        <w:rPr>
          <w:rFonts w:ascii="Times New Roman" w:hAnsi="Times New Roman" w:cs="Times New Roman"/>
          <w:b/>
          <w:bCs/>
        </w:rPr>
        <w:t xml:space="preserve"> 4 mg/10 mg tabletės</w:t>
      </w:r>
    </w:p>
    <w:p w14:paraId="31F31FD7" w14:textId="77777777" w:rsidR="008F7970" w:rsidRDefault="00AD4BB2">
      <w:pPr>
        <w:widowControl w:val="0"/>
        <w:ind w:left="0" w:firstLine="0"/>
        <w:jc w:val="center"/>
        <w:rPr>
          <w:rFonts w:ascii="Times New Roman" w:hAnsi="Times New Roman" w:cs="Times New Roman"/>
        </w:rPr>
      </w:pPr>
      <w:proofErr w:type="spellStart"/>
      <w:r>
        <w:rPr>
          <w:rFonts w:ascii="Times New Roman" w:hAnsi="Times New Roman" w:cs="Times New Roman"/>
        </w:rPr>
        <w:t>pitavastatinas</w:t>
      </w:r>
      <w:proofErr w:type="spellEnd"/>
      <w:r>
        <w:rPr>
          <w:rFonts w:ascii="Times New Roman" w:hAnsi="Times New Roman" w:cs="Times New Roman"/>
        </w:rPr>
        <w:t xml:space="preserve">, </w:t>
      </w:r>
      <w:proofErr w:type="spellStart"/>
      <w:r>
        <w:rPr>
          <w:rFonts w:ascii="Times New Roman" w:hAnsi="Times New Roman" w:cs="Times New Roman"/>
        </w:rPr>
        <w:t>ezetimibas</w:t>
      </w:r>
      <w:proofErr w:type="spellEnd"/>
    </w:p>
    <w:p w14:paraId="571954B8" w14:textId="77777777" w:rsidR="008F7970" w:rsidRDefault="008F7970">
      <w:pPr>
        <w:widowControl w:val="0"/>
        <w:ind w:left="0" w:firstLine="0"/>
        <w:jc w:val="center"/>
        <w:rPr>
          <w:rFonts w:ascii="Times New Roman" w:hAnsi="Times New Roman" w:cs="Times New Roman"/>
        </w:rPr>
      </w:pPr>
    </w:p>
    <w:p w14:paraId="01D3F9FA" w14:textId="77777777" w:rsidR="008F7970" w:rsidRDefault="008F7970">
      <w:pPr>
        <w:widowControl w:val="0"/>
        <w:ind w:left="0" w:firstLine="0"/>
        <w:rPr>
          <w:rFonts w:ascii="Times New Roman" w:hAnsi="Times New Roman" w:cs="Times New Roman"/>
        </w:rPr>
      </w:pPr>
    </w:p>
    <w:p w14:paraId="3C29AB36" w14:textId="77777777" w:rsidR="008F7970" w:rsidRDefault="00AD4BB2">
      <w:pPr>
        <w:ind w:left="0" w:firstLine="0"/>
        <w:rPr>
          <w:rFonts w:ascii="Times New Roman" w:eastAsia="Cambria" w:hAnsi="Times New Roman" w:cs="Times New Roman"/>
          <w:b/>
        </w:rPr>
      </w:pPr>
      <w:r>
        <w:rPr>
          <w:rFonts w:ascii="Times New Roman" w:eastAsia="Cambria" w:hAnsi="Times New Roman" w:cs="Times New Roman"/>
          <w:b/>
        </w:rPr>
        <w:t>Atidžiai perskaitykite visą šį lapelį, prieš pradėdami vartoti vaistą, nes jame pateikiama Jums svarbi informacija.</w:t>
      </w:r>
    </w:p>
    <w:p w14:paraId="259A03B9" w14:textId="77777777" w:rsidR="008F7970" w:rsidRDefault="00AD4BB2">
      <w:pPr>
        <w:numPr>
          <w:ilvl w:val="0"/>
          <w:numId w:val="25"/>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208D972B" w14:textId="77777777" w:rsidR="008F7970" w:rsidRDefault="00AD4BB2">
      <w:pPr>
        <w:numPr>
          <w:ilvl w:val="0"/>
          <w:numId w:val="25"/>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vaistininką arba slaugytoją.</w:t>
      </w:r>
    </w:p>
    <w:p w14:paraId="72ED009E" w14:textId="77777777" w:rsidR="008F7970" w:rsidRDefault="00AD4BB2">
      <w:pPr>
        <w:numPr>
          <w:ilvl w:val="0"/>
          <w:numId w:val="25"/>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093DAFDA" w14:textId="77777777" w:rsidR="008F7970" w:rsidRDefault="00AD4BB2">
      <w:pPr>
        <w:numPr>
          <w:ilvl w:val="0"/>
          <w:numId w:val="25"/>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1E8FFAD1" w14:textId="77777777" w:rsidR="008F7970" w:rsidRDefault="008F7970">
      <w:pPr>
        <w:widowControl w:val="0"/>
        <w:ind w:left="0" w:firstLine="0"/>
        <w:rPr>
          <w:rFonts w:ascii="Times New Roman" w:hAnsi="Times New Roman" w:cs="Times New Roman"/>
        </w:rPr>
      </w:pPr>
    </w:p>
    <w:p w14:paraId="1495D562" w14:textId="77777777" w:rsidR="008F7970" w:rsidRDefault="00AD4BB2">
      <w:pPr>
        <w:widowControl w:val="0"/>
        <w:rPr>
          <w:rFonts w:ascii="Times New Roman" w:hAnsi="Times New Roman" w:cs="Times New Roman"/>
          <w:b/>
        </w:rPr>
      </w:pPr>
      <w:r>
        <w:rPr>
          <w:rFonts w:ascii="Times New Roman" w:hAnsi="Times New Roman" w:cs="Times New Roman"/>
          <w:b/>
        </w:rPr>
        <w:t>Apie ką rašoma šiame lapelyje?</w:t>
      </w:r>
    </w:p>
    <w:p w14:paraId="5327BF95" w14:textId="77777777" w:rsidR="008F7970" w:rsidRDefault="008F7970">
      <w:pPr>
        <w:widowControl w:val="0"/>
        <w:rPr>
          <w:rFonts w:ascii="Times New Roman" w:hAnsi="Times New Roman" w:cs="Times New Roman"/>
          <w:b/>
        </w:rPr>
      </w:pPr>
    </w:p>
    <w:p w14:paraId="36ED8CB3" w14:textId="77777777" w:rsidR="008F7970" w:rsidRDefault="00AD4BB2">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Pitezenib</w:t>
      </w:r>
      <w:proofErr w:type="spellEnd"/>
      <w:r>
        <w:rPr>
          <w:rFonts w:ascii="Times New Roman" w:hAnsi="Times New Roman" w:cs="Times New Roman"/>
        </w:rPr>
        <w:t xml:space="preserve"> ir kam jis vartojamas</w:t>
      </w:r>
    </w:p>
    <w:p w14:paraId="523B7323" w14:textId="77777777" w:rsidR="008F7970" w:rsidRDefault="00AD4BB2">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Pitezenib</w:t>
      </w:r>
      <w:proofErr w:type="spellEnd"/>
    </w:p>
    <w:p w14:paraId="4DBCE3D3" w14:textId="77777777" w:rsidR="008F7970" w:rsidRDefault="00AD4BB2">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Pitezenib</w:t>
      </w:r>
      <w:proofErr w:type="spellEnd"/>
    </w:p>
    <w:p w14:paraId="627CF4E2" w14:textId="77777777" w:rsidR="008F7970" w:rsidRDefault="00AD4BB2">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6ECB7D22" w14:textId="77777777" w:rsidR="008F7970" w:rsidRDefault="00AD4BB2">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Pitezenib</w:t>
      </w:r>
      <w:proofErr w:type="spellEnd"/>
    </w:p>
    <w:p w14:paraId="0F8C64EF" w14:textId="77777777" w:rsidR="008F7970" w:rsidRDefault="00AD4BB2">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1808E7BD" w14:textId="77777777" w:rsidR="008F7970" w:rsidRDefault="008F7970">
      <w:pPr>
        <w:widowControl w:val="0"/>
        <w:ind w:left="0" w:firstLine="0"/>
        <w:rPr>
          <w:rFonts w:ascii="Times New Roman" w:hAnsi="Times New Roman" w:cs="Times New Roman"/>
        </w:rPr>
      </w:pPr>
    </w:p>
    <w:p w14:paraId="28AEF901" w14:textId="77777777" w:rsidR="008F7970" w:rsidRDefault="008F7970">
      <w:pPr>
        <w:widowControl w:val="0"/>
        <w:ind w:left="0" w:firstLine="0"/>
        <w:rPr>
          <w:rFonts w:ascii="Times New Roman" w:hAnsi="Times New Roman" w:cs="Times New Roman"/>
        </w:rPr>
      </w:pPr>
    </w:p>
    <w:p w14:paraId="5B936FCE" w14:textId="77777777" w:rsidR="008F7970" w:rsidRDefault="00AD4BB2">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bCs/>
        </w:rPr>
        <w:t>Pitezenib</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rPr>
        <w:t>ir kam jis vartojamas</w:t>
      </w:r>
    </w:p>
    <w:p w14:paraId="423526E0" w14:textId="77777777" w:rsidR="008F7970" w:rsidRDefault="008F7970">
      <w:pPr>
        <w:widowControl w:val="0"/>
        <w:rPr>
          <w:rFonts w:ascii="Times New Roman" w:eastAsia="Times New Roman" w:hAnsi="Times New Roman" w:cs="Times New Roman"/>
        </w:rPr>
      </w:pPr>
    </w:p>
    <w:p w14:paraId="0C212E94" w14:textId="77777777" w:rsidR="008F7970" w:rsidRDefault="00AD4BB2">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sudėtyje yra du vaistai: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priklauso vaistų, vadinamų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grupei ir vartojamas riebalų, įskaitant cholesterolio, kiekiui kraujyje reguliuoti.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veikia mažindamas cholesterolio pasisavinimą virškinimo trakte.</w:t>
      </w:r>
    </w:p>
    <w:p w14:paraId="70049704" w14:textId="77777777" w:rsidR="008F7970" w:rsidRDefault="008F7970">
      <w:pPr>
        <w:widowControl w:val="0"/>
        <w:numPr>
          <w:ilvl w:val="12"/>
          <w:numId w:val="0"/>
        </w:numPr>
        <w:rPr>
          <w:rFonts w:ascii="Times New Roman" w:eastAsia="Times New Roman" w:hAnsi="Times New Roman" w:cs="Times New Roman"/>
        </w:rPr>
      </w:pPr>
    </w:p>
    <w:p w14:paraId="7B225794" w14:textId="77777777" w:rsidR="008F7970" w:rsidRDefault="00AD4BB2">
      <w:pPr>
        <w:widowControl w:val="0"/>
        <w:numPr>
          <w:ilvl w:val="12"/>
          <w:numId w:val="0"/>
        </w:numPr>
        <w:rPr>
          <w:rFonts w:ascii="Times New Roman" w:eastAsia="Times New Roman" w:hAnsi="Times New Roman" w:cs="Times New Roman"/>
        </w:rPr>
      </w:pPr>
      <w:r>
        <w:rPr>
          <w:rFonts w:ascii="Times New Roman" w:eastAsia="Times New Roman" w:hAnsi="Times New Roman" w:cs="Times New Roman"/>
        </w:rPr>
        <w:t>Riebalų, ypač cholesterolio, pusiausvyros sutrikimas kartais gali sukelti širdies priepuolį ar insultą. Cholesterolis yra viena iš kelių riebalų medžiagų, randamų kraujyje. Bendrą cholesterolio kiekį daugiausia lemia MTL ir DTL cholesterolis. MTL cholesterolis dažnai vadinamas „bloguoju“ cholesteroliu, nes jis gali kauptis arterijų sienelėse ir formuoti aterosklerozines plokšteles. Galiausiai šios sankaupos gali sukelti arterijų susiaurėjimą. Šis susiaurėjimas gali sulėtinti arba užblokuoti kraujo tekėjimą į gyvybiškai svarbius organus, pvz., širdį ir smegenis. Toks kraujo tekėjimo blokavimas gali sukelti širdies priepuolį arba insultą. DTL cholesterolis dažnai vadinamas „geruoju“ cholesteroliu, nes jis padeda išvengti blogojo cholesterolio kaupimosi arterijose ir apsaugo nuo širdies ligų.</w:t>
      </w:r>
    </w:p>
    <w:p w14:paraId="6F86D4F4" w14:textId="77777777" w:rsidR="008F7970" w:rsidRDefault="008F7970">
      <w:pPr>
        <w:widowControl w:val="0"/>
        <w:numPr>
          <w:ilvl w:val="12"/>
          <w:numId w:val="0"/>
        </w:numPr>
        <w:rPr>
          <w:rFonts w:ascii="Times New Roman" w:eastAsia="Times New Roman" w:hAnsi="Times New Roman" w:cs="Times New Roman"/>
        </w:rPr>
      </w:pPr>
    </w:p>
    <w:p w14:paraId="22A48F27" w14:textId="77777777" w:rsidR="008F7970" w:rsidRDefault="00AD4BB2">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Jums buvo paskirtas, nes Jūsų organizme yra riebalų pusiausvyros sutrikimas, o mitybos ir gyvenimo būdo pokyčiai nebuvo pakankami jam koreguoti. Vartodami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turite toliau laikytis cholesterolio kiekį mažinančios dietos ir gyvenimo būdo pokyčių.</w:t>
      </w:r>
    </w:p>
    <w:p w14:paraId="1E147E0C" w14:textId="77777777" w:rsidR="008F7970" w:rsidRDefault="008F7970">
      <w:pPr>
        <w:widowControl w:val="0"/>
        <w:numPr>
          <w:ilvl w:val="12"/>
          <w:numId w:val="0"/>
        </w:numPr>
        <w:rPr>
          <w:rFonts w:ascii="Times New Roman" w:eastAsia="Times New Roman" w:hAnsi="Times New Roman" w:cs="Times New Roman"/>
        </w:rPr>
      </w:pPr>
    </w:p>
    <w:p w14:paraId="133452A7" w14:textId="77777777" w:rsidR="008F7970" w:rsidRDefault="00AD4BB2">
      <w:pPr>
        <w:widowControl w:val="0"/>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Gydytojas Jums skiria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jei jau vartojate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tokiomis pačiomis dozėmis atskiromis tabletėmis.</w:t>
      </w:r>
    </w:p>
    <w:p w14:paraId="59537E4C" w14:textId="77777777" w:rsidR="008F7970" w:rsidRDefault="008F7970">
      <w:pPr>
        <w:widowControl w:val="0"/>
        <w:numPr>
          <w:ilvl w:val="12"/>
          <w:numId w:val="0"/>
        </w:numPr>
        <w:rPr>
          <w:rFonts w:ascii="Times New Roman" w:eastAsia="Times New Roman" w:hAnsi="Times New Roman" w:cs="Times New Roman"/>
        </w:rPr>
      </w:pPr>
    </w:p>
    <w:p w14:paraId="73211B33" w14:textId="77777777" w:rsidR="008F7970" w:rsidRDefault="00AD4BB2">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nepadeda sumažinti kūno svorio.</w:t>
      </w:r>
    </w:p>
    <w:p w14:paraId="581D5B74" w14:textId="77777777" w:rsidR="008F7970" w:rsidRDefault="008F7970">
      <w:pPr>
        <w:widowControl w:val="0"/>
        <w:autoSpaceDE w:val="0"/>
        <w:autoSpaceDN w:val="0"/>
        <w:adjustRightInd w:val="0"/>
        <w:ind w:left="0" w:firstLine="0"/>
        <w:rPr>
          <w:rFonts w:ascii="Times New Roman" w:eastAsia="Times New Roman" w:hAnsi="Times New Roman" w:cs="Times New Roman"/>
        </w:rPr>
      </w:pPr>
    </w:p>
    <w:p w14:paraId="794A4894" w14:textId="77777777" w:rsidR="008F7970" w:rsidRDefault="008F7970">
      <w:pPr>
        <w:widowControl w:val="0"/>
        <w:numPr>
          <w:ilvl w:val="12"/>
          <w:numId w:val="0"/>
        </w:numPr>
        <w:rPr>
          <w:rFonts w:ascii="Times New Roman" w:eastAsia="Times New Roman" w:hAnsi="Times New Roman" w:cs="Times New Roman"/>
        </w:rPr>
      </w:pPr>
    </w:p>
    <w:p w14:paraId="31CF54FF" w14:textId="77777777" w:rsidR="008F7970" w:rsidRDefault="00AD4BB2">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bCs/>
        </w:rPr>
        <w:t>Pitezenib</w:t>
      </w:r>
      <w:proofErr w:type="spellEnd"/>
    </w:p>
    <w:p w14:paraId="79FC7E98" w14:textId="77777777" w:rsidR="008F7970" w:rsidRDefault="008F7970">
      <w:pPr>
        <w:widowControl w:val="0"/>
        <w:rPr>
          <w:rFonts w:ascii="Times New Roman" w:eastAsia="Times New Roman" w:hAnsi="Times New Roman" w:cs="Times New Roman"/>
        </w:rPr>
      </w:pPr>
    </w:p>
    <w:p w14:paraId="669183C1" w14:textId="77777777" w:rsidR="008F7970" w:rsidRDefault="00AD4BB2">
      <w:pPr>
        <w:widowControl w:val="0"/>
        <w:rPr>
          <w:rFonts w:ascii="Times New Roman" w:eastAsia="Times New Roman" w:hAnsi="Times New Roman" w:cs="Times New Roman"/>
          <w:b/>
          <w:bCs/>
          <w:caps/>
        </w:rPr>
      </w:pPr>
      <w:proofErr w:type="spellStart"/>
      <w:r>
        <w:rPr>
          <w:rFonts w:ascii="Times New Roman" w:eastAsia="Times New Roman" w:hAnsi="Times New Roman" w:cs="Times New Roman"/>
          <w:b/>
          <w:bCs/>
        </w:rPr>
        <w:t>Pitezenib</w:t>
      </w:r>
      <w:proofErr w:type="spellEnd"/>
      <w:r>
        <w:rPr>
          <w:rFonts w:ascii="Times New Roman" w:eastAsia="Times New Roman" w:hAnsi="Times New Roman" w:cs="Times New Roman"/>
          <w:b/>
          <w:bCs/>
        </w:rPr>
        <w:t xml:space="preserve"> vartoti draudžiama:</w:t>
      </w:r>
    </w:p>
    <w:p w14:paraId="77786ABC" w14:textId="75245224" w:rsidR="008F7970" w:rsidRDefault="00AD4BB2">
      <w:pPr>
        <w:widowControl w:val="0"/>
        <w:numPr>
          <w:ilvl w:val="0"/>
          <w:numId w:val="10"/>
        </w:numPr>
        <w:tabs>
          <w:tab w:val="left" w:pos="567"/>
        </w:tabs>
        <w:spacing w:line="260" w:lineRule="exact"/>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pitavastatinui</w:t>
      </w:r>
      <w:proofErr w:type="spellEnd"/>
      <w:r>
        <w:rPr>
          <w:rFonts w:ascii="Times New Roman" w:eastAsia="Times New Roman" w:hAnsi="Times New Roman" w:cs="Times New Roman"/>
          <w:lang w:eastAsia="sl-SI"/>
        </w:rPr>
        <w:t xml:space="preserve">, bet kuriam kitam </w:t>
      </w:r>
      <w:proofErr w:type="spellStart"/>
      <w:r>
        <w:rPr>
          <w:rFonts w:ascii="Times New Roman" w:eastAsia="Times New Roman" w:hAnsi="Times New Roman" w:cs="Times New Roman"/>
          <w:lang w:eastAsia="sl-SI"/>
        </w:rPr>
        <w:t>statinui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ezetimibui</w:t>
      </w:r>
      <w:proofErr w:type="spellEnd"/>
      <w:r>
        <w:rPr>
          <w:rFonts w:ascii="Times New Roman" w:eastAsia="Times New Roman" w:hAnsi="Times New Roman" w:cs="Times New Roman"/>
          <w:lang w:eastAsia="sl-SI"/>
        </w:rPr>
        <w:t xml:space="preserve"> arba bet kuriai pagalbinei šio vaisto medžiagai (jos išvardytos 6 skyriuje);</w:t>
      </w:r>
    </w:p>
    <w:p w14:paraId="61A3B684" w14:textId="77777777" w:rsidR="008F7970" w:rsidRDefault="00AD4BB2">
      <w:pPr>
        <w:widowControl w:val="0"/>
        <w:numPr>
          <w:ilvl w:val="0"/>
          <w:numId w:val="10"/>
        </w:numPr>
        <w:tabs>
          <w:tab w:val="left" w:pos="567"/>
        </w:tabs>
        <w:spacing w:line="260" w:lineRule="exact"/>
        <w:ind w:left="567" w:hanging="567"/>
        <w:jc w:val="both"/>
        <w:outlineLvl w:val="3"/>
        <w:rPr>
          <w:rFonts w:ascii="Times New Roman" w:eastAsia="Times New Roman" w:hAnsi="Times New Roman" w:cs="Times New Roman"/>
          <w:szCs w:val="20"/>
        </w:rPr>
      </w:pPr>
      <w:r>
        <w:rPr>
          <w:rFonts w:ascii="Times New Roman" w:eastAsia="Times New Roman" w:hAnsi="Times New Roman" w:cs="Times New Roman"/>
          <w:snapToGrid w:val="0"/>
          <w:szCs w:val="20"/>
        </w:rPr>
        <w:t>jeigu esate nėščia arba maitinate krūtimi;</w:t>
      </w:r>
    </w:p>
    <w:p w14:paraId="609DC87B" w14:textId="77777777" w:rsidR="008F7970" w:rsidRDefault="00AD4BB2">
      <w:pPr>
        <w:widowControl w:val="0"/>
        <w:numPr>
          <w:ilvl w:val="0"/>
          <w:numId w:val="10"/>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jeigu esate moteris, galinti turėti vaikų ir nenaudojate patikimo kontracepcijos metodo (žr. poskyrį „Nėštumas, žindymo laikotarpis ir vaisingumas“);</w:t>
      </w:r>
    </w:p>
    <w:p w14:paraId="2021116B" w14:textId="77777777" w:rsidR="008F7970" w:rsidRDefault="00AD4BB2">
      <w:pPr>
        <w:widowControl w:val="0"/>
        <w:numPr>
          <w:ilvl w:val="0"/>
          <w:numId w:val="10"/>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yra kepenų sutrikimų;</w:t>
      </w:r>
    </w:p>
    <w:p w14:paraId="2FA5FD94" w14:textId="77777777" w:rsidR="008F7970" w:rsidRDefault="00AD4BB2">
      <w:pPr>
        <w:widowControl w:val="0"/>
        <w:numPr>
          <w:ilvl w:val="0"/>
          <w:numId w:val="10"/>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vartojate </w:t>
      </w:r>
      <w:proofErr w:type="spellStart"/>
      <w:r>
        <w:rPr>
          <w:rFonts w:ascii="Times New Roman" w:eastAsia="Times New Roman" w:hAnsi="Times New Roman" w:cs="Times New Roman"/>
          <w:snapToGrid w:val="0"/>
          <w:szCs w:val="20"/>
        </w:rPr>
        <w:t>ciklosporino</w:t>
      </w:r>
      <w:proofErr w:type="spellEnd"/>
      <w:r>
        <w:rPr>
          <w:rFonts w:ascii="Times New Roman" w:eastAsia="Times New Roman" w:hAnsi="Times New Roman" w:cs="Times New Roman"/>
          <w:snapToGrid w:val="0"/>
          <w:szCs w:val="20"/>
        </w:rPr>
        <w:t xml:space="preserve"> (vaisto, skiriamo po organų persodinimo);</w:t>
      </w:r>
    </w:p>
    <w:p w14:paraId="0DFDEA17" w14:textId="77777777" w:rsidR="008F7970" w:rsidRDefault="00AD4BB2">
      <w:pPr>
        <w:widowControl w:val="0"/>
        <w:numPr>
          <w:ilvl w:val="0"/>
          <w:numId w:val="10"/>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Jums kartojasi ar pasireiškia neaiškios priežasties sukeltas raumenų maudimas ar skausmas.</w:t>
      </w:r>
    </w:p>
    <w:p w14:paraId="610A273B" w14:textId="77777777" w:rsidR="008F7970" w:rsidRDefault="00AD4BB2">
      <w:pPr>
        <w:widowControl w:val="0"/>
        <w:tabs>
          <w:tab w:val="left" w:pos="567"/>
        </w:tabs>
        <w:spacing w:line="260" w:lineRule="exact"/>
        <w:ind w:firstLine="0"/>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nesate tikri, prieš pradėdami vartoti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snapToGrid w:val="0"/>
          <w:szCs w:val="20"/>
        </w:rPr>
        <w:t>, pasitarkite su gydytoju arba vaistininku.</w:t>
      </w:r>
    </w:p>
    <w:p w14:paraId="5D8FE915" w14:textId="77777777" w:rsidR="008F7970" w:rsidRDefault="008F7970">
      <w:pPr>
        <w:widowControl w:val="0"/>
        <w:autoSpaceDE w:val="0"/>
        <w:autoSpaceDN w:val="0"/>
        <w:adjustRightInd w:val="0"/>
        <w:ind w:left="0" w:firstLine="0"/>
        <w:rPr>
          <w:rFonts w:ascii="Times New Roman" w:eastAsia="Times New Roman" w:hAnsi="Times New Roman" w:cs="Times New Roman"/>
        </w:rPr>
      </w:pPr>
    </w:p>
    <w:p w14:paraId="74EDC4FC" w14:textId="77777777" w:rsidR="008F7970" w:rsidRDefault="00AD4BB2">
      <w:pPr>
        <w:widowControl w:val="0"/>
        <w:rPr>
          <w:rFonts w:ascii="Times New Roman" w:eastAsia="Times New Roman" w:hAnsi="Times New Roman" w:cs="Times New Roman"/>
          <w:b/>
        </w:rPr>
      </w:pPr>
      <w:r>
        <w:rPr>
          <w:rFonts w:ascii="Times New Roman" w:eastAsia="Times New Roman" w:hAnsi="Times New Roman" w:cs="Times New Roman"/>
          <w:b/>
        </w:rPr>
        <w:t>Įspėjimai ir atsargumo priemonės</w:t>
      </w:r>
    </w:p>
    <w:p w14:paraId="60AAE923"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w:t>
      </w:r>
    </w:p>
    <w:p w14:paraId="17BECBA5"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yra sunkus kvėpavimo nepakankamumas (sunkus kvėpavimo sutrikimas);</w:t>
      </w:r>
    </w:p>
    <w:p w14:paraId="0D9729F3"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kada nors yra buvę inkstų sutrikimų;</w:t>
      </w:r>
    </w:p>
    <w:p w14:paraId="7B30FACF"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anksčiau yra buvę kepenų sutrikimų.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nedideliam skaičiui žmonių gali paveikti kepenis. Paprastai gydytojas prieš gydymą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ir jo metu atlieka kraujo tyrimą (kepenų funkcijos tyrimą);</w:t>
      </w:r>
    </w:p>
    <w:p w14:paraId="2112C57F"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kada nors yra buvę skydliaukės sutrikimų;</w:t>
      </w:r>
    </w:p>
    <w:p w14:paraId="682F5AFF"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Jums ar kuriam nors Jūsų kraujo giminaičių yra buvę raumenų sutrikimų;</w:t>
      </w:r>
    </w:p>
    <w:p w14:paraId="7BC2DBE0"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lang w:eastAsia="sl-SI"/>
        </w:rPr>
        <w:t xml:space="preserve">jeigu anksčiau vartojant kitokių cholesterolio kiekį mažinančių vaistų (pvz., </w:t>
      </w:r>
      <w:proofErr w:type="spellStart"/>
      <w:r>
        <w:rPr>
          <w:rFonts w:ascii="Times New Roman" w:eastAsia="Times New Roman" w:hAnsi="Times New Roman" w:cs="Times New Roman"/>
          <w:lang w:eastAsia="sl-SI"/>
        </w:rPr>
        <w:t>statinų</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fibratų</w:t>
      </w:r>
      <w:proofErr w:type="spellEnd"/>
      <w:r>
        <w:rPr>
          <w:rFonts w:ascii="Times New Roman" w:eastAsia="Times New Roman" w:hAnsi="Times New Roman" w:cs="Times New Roman"/>
          <w:lang w:eastAsia="sl-SI"/>
        </w:rPr>
        <w:t>) buvo pasireiškę raumenų sutrikimų;</w:t>
      </w:r>
    </w:p>
    <w:p w14:paraId="7D7A0826"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lang w:eastAsia="sl-SI"/>
        </w:rPr>
        <w:t>jeigu vartojate daug alkoholio;</w:t>
      </w:r>
    </w:p>
    <w:p w14:paraId="4D9789AC" w14:textId="77777777" w:rsidR="008F7970" w:rsidRDefault="00AD4BB2">
      <w:pPr>
        <w:numPr>
          <w:ilvl w:val="0"/>
          <w:numId w:val="7"/>
        </w:numPr>
        <w:tabs>
          <w:tab w:val="left" w:pos="567"/>
        </w:tabs>
        <w:spacing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vartojate arba paskutinių 7 dienų laikotarpiu vartojote geriamosios ar injekcinės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(vaisto nuo bakterijų sukeltos infekcinės ligos).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derinys gali sukelti sunkių raumenų sutrikimų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w:t>
      </w:r>
    </w:p>
    <w:p w14:paraId="49896CAB" w14:textId="77777777" w:rsidR="008F7970" w:rsidRDefault="00AD4BB2">
      <w:pPr>
        <w:numPr>
          <w:ilvl w:val="0"/>
          <w:numId w:val="7"/>
        </w:numPr>
        <w:tabs>
          <w:tab w:val="left" w:pos="567"/>
        </w:tabs>
        <w:spacing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vartojate vaistų, kurių sudėtyje yra </w:t>
      </w:r>
      <w:proofErr w:type="spellStart"/>
      <w:r>
        <w:rPr>
          <w:rFonts w:ascii="Times New Roman" w:eastAsia="Times New Roman" w:hAnsi="Times New Roman" w:cs="Times New Roman"/>
        </w:rPr>
        <w:t>glekapreviro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pibrentasviro</w:t>
      </w:r>
      <w:proofErr w:type="spellEnd"/>
      <w:r>
        <w:rPr>
          <w:rFonts w:ascii="Times New Roman" w:eastAsia="Times New Roman" w:hAnsi="Times New Roman" w:cs="Times New Roman"/>
        </w:rPr>
        <w:t xml:space="preserve"> (vaistų, kuriais gydomas hepatitas C). Gydytojui gali tekti pakeisti Jums skiriamą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dozę;</w:t>
      </w:r>
    </w:p>
    <w:p w14:paraId="381AA627" w14:textId="77777777" w:rsidR="008F7970" w:rsidRDefault="00AD4BB2">
      <w:pPr>
        <w:numPr>
          <w:ilvl w:val="0"/>
          <w:numId w:val="7"/>
        </w:numPr>
        <w:tabs>
          <w:tab w:val="left" w:pos="567"/>
        </w:tabs>
        <w:spacing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sergate arba sirgote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(liga, pasireiškianti bendru raumenų silpnumu, kai kuriais atvejais įskaitant raumenis, naudojamus kvėpuojant) arba akių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(liga, sukelianti akių raumenų silpnumą), nes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kartais gali pasunkinti tokią būklę arba sukelti </w:t>
      </w:r>
      <w:proofErr w:type="spellStart"/>
      <w:r>
        <w:rPr>
          <w:rFonts w:ascii="Times New Roman" w:eastAsia="Times New Roman" w:hAnsi="Times New Roman" w:cs="Times New Roman"/>
        </w:rPr>
        <w:t>miasteniją</w:t>
      </w:r>
      <w:proofErr w:type="spellEnd"/>
      <w:r>
        <w:rPr>
          <w:rFonts w:ascii="Times New Roman" w:eastAsia="Times New Roman" w:hAnsi="Times New Roman" w:cs="Times New Roman"/>
        </w:rPr>
        <w:t xml:space="preserve"> (žr. 4 skyrių);</w:t>
      </w:r>
    </w:p>
    <w:p w14:paraId="7164EB53" w14:textId="77777777" w:rsidR="008F7970" w:rsidRDefault="00AD4BB2">
      <w:pPr>
        <w:numPr>
          <w:ilvl w:val="0"/>
          <w:numId w:val="7"/>
        </w:numPr>
        <w:tabs>
          <w:tab w:val="left" w:pos="567"/>
        </w:tabs>
        <w:spacing w:line="260" w:lineRule="exact"/>
        <w:ind w:left="567" w:hanging="567"/>
        <w:contextualSpacing/>
        <w:rPr>
          <w:rFonts w:ascii="Times New Roman" w:eastAsia="Times New Roman" w:hAnsi="Times New Roman" w:cs="Times New Roman"/>
          <w:sz w:val="24"/>
        </w:rPr>
      </w:pPr>
      <w:r>
        <w:rPr>
          <w:rFonts w:ascii="Times New Roman" w:eastAsia="Times New Roman" w:hAnsi="Times New Roman" w:cs="Times New Roman"/>
        </w:rPr>
        <w:t>jeigu yra bet kokia alergija;</w:t>
      </w:r>
    </w:p>
    <w:p w14:paraId="47A4C218"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jeigu vartojate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(vaistų cholesterolio kiekiui mažinti).</w:t>
      </w:r>
    </w:p>
    <w:p w14:paraId="16B6DEC6"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008D136C" w14:textId="77777777" w:rsidR="008F7970" w:rsidRDefault="00AD4BB2">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bet kuri iš pirmiau nurodytų būklių Jums tinka (arba nesate tikri), prieš pradėdami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snapToGrid w:val="0"/>
        </w:rPr>
        <w:t>, pasitarkite su gydytoju arba vaistininku. Taip pat pasakykite gydytojui arba vaistininkui, jeigu Jums yra nuolatinis raumenų silpnumas. Diagnozei nustatyti ir gydyti gali prireikti papildomų tyrimų ir vaistų.</w:t>
      </w:r>
    </w:p>
    <w:p w14:paraId="3F2EC045" w14:textId="77777777" w:rsidR="008F7970" w:rsidRDefault="008F7970">
      <w:pPr>
        <w:widowControl w:val="0"/>
        <w:numPr>
          <w:ilvl w:val="12"/>
          <w:numId w:val="0"/>
        </w:numPr>
        <w:ind w:right="-2"/>
        <w:rPr>
          <w:rFonts w:ascii="Times New Roman" w:eastAsia="Times New Roman" w:hAnsi="Times New Roman" w:cs="Times New Roman"/>
          <w:snapToGrid w:val="0"/>
        </w:rPr>
      </w:pPr>
    </w:p>
    <w:p w14:paraId="7F92ED15" w14:textId="77777777" w:rsidR="008F7970" w:rsidRDefault="00AD4BB2">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Kol vartosite šio vaisto, Jūsų gydytojas atidžiai Jus stebės, jeigu sergate cukriniu diabetu arba yra rizika susirgti cukriniu diabetu. Tikėtina, kad Jums yra rizika susirgti cukriniu diabetu, jeigu Jūsų kraujyje yra didelis cukraus ir riebalų kiekis, turite antsvorio ir aukštą kraujospūdį.</w:t>
      </w:r>
    </w:p>
    <w:p w14:paraId="429E3803" w14:textId="77777777" w:rsidR="008F7970" w:rsidRDefault="008F7970">
      <w:pPr>
        <w:widowControl w:val="0"/>
        <w:numPr>
          <w:ilvl w:val="12"/>
          <w:numId w:val="0"/>
        </w:numPr>
        <w:ind w:right="-2"/>
        <w:rPr>
          <w:rFonts w:ascii="Times New Roman" w:eastAsia="Times New Roman" w:hAnsi="Times New Roman" w:cs="Times New Roman"/>
          <w:snapToGrid w:val="0"/>
        </w:rPr>
      </w:pPr>
    </w:p>
    <w:p w14:paraId="4AD7AED2" w14:textId="77777777" w:rsidR="008F7970" w:rsidRDefault="00AD4BB2">
      <w:pPr>
        <w:widowControl w:val="0"/>
        <w:tabs>
          <w:tab w:val="left" w:pos="567"/>
        </w:tabs>
        <w:ind w:left="0" w:firstLine="0"/>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4F5A7F10" w14:textId="77777777" w:rsidR="008F7970" w:rsidRDefault="00AD4BB2">
      <w:pPr>
        <w:widowControl w:val="0"/>
        <w:numPr>
          <w:ilvl w:val="12"/>
          <w:numId w:val="0"/>
        </w:numPr>
        <w:ind w:right="-2"/>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nerekomenduojamam vartoti vaikams ir jaunesniems nei 18 metų paaugliams.</w:t>
      </w:r>
    </w:p>
    <w:p w14:paraId="5DC95B4F" w14:textId="77777777" w:rsidR="008F7970" w:rsidRDefault="008F7970">
      <w:pPr>
        <w:widowControl w:val="0"/>
        <w:numPr>
          <w:ilvl w:val="12"/>
          <w:numId w:val="0"/>
        </w:numPr>
        <w:ind w:right="-2"/>
        <w:rPr>
          <w:rFonts w:ascii="Times New Roman" w:eastAsia="Times New Roman" w:hAnsi="Times New Roman" w:cs="Times New Roman"/>
          <w:bCs/>
        </w:rPr>
      </w:pPr>
    </w:p>
    <w:p w14:paraId="10C0BF04" w14:textId="77777777" w:rsidR="008F7970" w:rsidRDefault="00AD4BB2">
      <w:pPr>
        <w:widowControl w:val="0"/>
        <w:numPr>
          <w:ilvl w:val="12"/>
          <w:numId w:val="0"/>
        </w:numPr>
        <w:rPr>
          <w:rFonts w:ascii="Times New Roman" w:eastAsia="Times New Roman" w:hAnsi="Times New Roman" w:cs="Times New Roman"/>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Pitezenib</w:t>
      </w:r>
      <w:proofErr w:type="spellEnd"/>
    </w:p>
    <w:p w14:paraId="4D6CC3B6" w14:textId="77777777" w:rsidR="008F7970" w:rsidRDefault="00AD4BB2">
      <w:pPr>
        <w:widowControl w:val="0"/>
        <w:numPr>
          <w:ilvl w:val="12"/>
          <w:numId w:val="0"/>
        </w:numPr>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įskaitant įsigytus be recepto bei augalinius preparatus arba dėl to nesate tikri, apie tai pasakykite gydytojui. Kai kurie vaistai gali trikdyti tinkamą vienas kito poveikį. Ypač svarbu pasakyti gydytojui arba vaistininkui, jei vartojate bet kurį iš toliau išvardytų vaistų:</w:t>
      </w:r>
    </w:p>
    <w:p w14:paraId="609CECFD"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kitų vaistų, vadinamų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gemfibrozilio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w:t>
      </w:r>
    </w:p>
    <w:p w14:paraId="7F3C97DF"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rifampicino</w:t>
      </w:r>
      <w:proofErr w:type="spellEnd"/>
      <w:r>
        <w:rPr>
          <w:rFonts w:ascii="Times New Roman" w:eastAsia="Times New Roman" w:hAnsi="Times New Roman" w:cs="Times New Roman"/>
        </w:rPr>
        <w:t xml:space="preserve"> (tam tikrų antibiotikų, vartojamų infekcinėms ligoms gydyti);</w:t>
      </w:r>
    </w:p>
    <w:p w14:paraId="529B50C7"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varfarino,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acenokumarolio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fluindiono</w:t>
      </w:r>
      <w:proofErr w:type="spellEnd"/>
      <w:r>
        <w:rPr>
          <w:rFonts w:ascii="Times New Roman" w:eastAsia="Times New Roman" w:hAnsi="Times New Roman" w:cs="Times New Roman"/>
        </w:rPr>
        <w:t xml:space="preserve"> ar bet kokio kito vaisto, vartojamo kraujui skystinti;</w:t>
      </w:r>
    </w:p>
    <w:p w14:paraId="2B76CB6B"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vaistų skirtų ŽIV infekcijai gydyti ir vadinamų proteazės inhibitoriais (pvz., ritonaviro, lopinaviro, </w:t>
      </w:r>
      <w:proofErr w:type="spellStart"/>
      <w:r>
        <w:rPr>
          <w:rFonts w:ascii="Times New Roman" w:eastAsia="Times New Roman" w:hAnsi="Times New Roman" w:cs="Times New Roman"/>
        </w:rPr>
        <w:t>darunaviro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 ir ne nukleozidiniais atvirkštinės </w:t>
      </w:r>
      <w:proofErr w:type="spellStart"/>
      <w:r>
        <w:rPr>
          <w:rFonts w:ascii="Times New Roman" w:eastAsia="Times New Roman" w:hAnsi="Times New Roman" w:cs="Times New Roman"/>
        </w:rPr>
        <w:t>transkriptazės</w:t>
      </w:r>
      <w:proofErr w:type="spellEnd"/>
      <w:r>
        <w:rPr>
          <w:rFonts w:ascii="Times New Roman" w:eastAsia="Times New Roman" w:hAnsi="Times New Roman" w:cs="Times New Roman"/>
        </w:rPr>
        <w:t xml:space="preserve"> inhibitoriais (pvz., </w:t>
      </w:r>
      <w:proofErr w:type="spellStart"/>
      <w:r>
        <w:rPr>
          <w:rFonts w:ascii="Times New Roman" w:eastAsia="Times New Roman" w:hAnsi="Times New Roman" w:cs="Times New Roman"/>
        </w:rPr>
        <w:t>efavirenzo</w:t>
      </w:r>
      <w:proofErr w:type="spellEnd"/>
      <w:r>
        <w:rPr>
          <w:rFonts w:ascii="Times New Roman" w:eastAsia="Times New Roman" w:hAnsi="Times New Roman" w:cs="Times New Roman"/>
        </w:rPr>
        <w:t>);</w:t>
      </w:r>
    </w:p>
    <w:p w14:paraId="07669BA5"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niacino</w:t>
      </w:r>
      <w:proofErr w:type="spellEnd"/>
      <w:r>
        <w:rPr>
          <w:rFonts w:ascii="Times New Roman" w:eastAsia="Times New Roman" w:hAnsi="Times New Roman" w:cs="Times New Roman"/>
        </w:rPr>
        <w:t xml:space="preserve"> (vitamino B</w:t>
      </w:r>
      <w:r>
        <w:rPr>
          <w:rFonts w:ascii="Times New Roman" w:eastAsia="Times New Roman" w:hAnsi="Times New Roman" w:cs="Times New Roman"/>
          <w:vertAlign w:val="subscript"/>
        </w:rPr>
        <w:t>3</w:t>
      </w:r>
      <w:r>
        <w:rPr>
          <w:rFonts w:ascii="Times New Roman" w:eastAsia="Times New Roman" w:hAnsi="Times New Roman" w:cs="Times New Roman"/>
        </w:rPr>
        <w:t>);</w:t>
      </w:r>
    </w:p>
    <w:p w14:paraId="066DBF45"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lastRenderedPageBreak/>
        <w:t>kolestiramino</w:t>
      </w:r>
      <w:proofErr w:type="spellEnd"/>
      <w:r>
        <w:rPr>
          <w:rFonts w:ascii="Times New Roman" w:eastAsia="Times New Roman" w:hAnsi="Times New Roman" w:cs="Times New Roman"/>
        </w:rPr>
        <w:t xml:space="preserve"> (cholesterolio kiekį mažinančio vaisto), nes jis keičia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poveikį;</w:t>
      </w:r>
    </w:p>
    <w:p w14:paraId="3B4F61A1"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jeigu Jums reikia vartoti geriamąją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rūgštį bakterijų sukeltai infekcinei ligai gydyti, reikės laikinai nutraukti šio vaisto vartojimą. Gydytojas pasakys, kada bus saugu vėl pradėti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Vartojant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su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retai gali atsirasti raumenų silpnumas, jautrumas ar skausmas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xml:space="preserve">). Daugiau informacijos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pateikiama 4 skyriuje.</w:t>
      </w:r>
    </w:p>
    <w:p w14:paraId="6F6133BA" w14:textId="77777777" w:rsidR="008F7970" w:rsidRDefault="00AD4BB2">
      <w:pPr>
        <w:widowControl w:val="0"/>
        <w:numPr>
          <w:ilvl w:val="12"/>
          <w:numId w:val="0"/>
        </w:numPr>
        <w:ind w:right="-2"/>
        <w:outlineLvl w:val="0"/>
        <w:rPr>
          <w:rFonts w:ascii="Times New Roman" w:eastAsia="Times New Roman" w:hAnsi="Times New Roman" w:cs="Times New Roman"/>
          <w:vertAlign w:val="superscript"/>
          <w:lang w:eastAsia="sl-SI"/>
        </w:rPr>
      </w:pPr>
      <w:r>
        <w:rPr>
          <w:rFonts w:ascii="Times New Roman" w:eastAsia="Times New Roman" w:hAnsi="Times New Roman" w:cs="Times New Roman"/>
          <w:lang w:eastAsia="sl-SI"/>
        </w:rPr>
        <w:t xml:space="preserve">Jei bet kuri iš pirmiau nurodytų būklių Jums tinka (arba nesate tikri), prieš pradėdami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lang w:eastAsia="sl-SI"/>
        </w:rPr>
        <w:t>, pasitarkite su gydytoju arba vaistininku.</w:t>
      </w:r>
    </w:p>
    <w:p w14:paraId="7F0A6964" w14:textId="77777777" w:rsidR="008F7970" w:rsidRDefault="008F7970">
      <w:pPr>
        <w:widowControl w:val="0"/>
        <w:numPr>
          <w:ilvl w:val="12"/>
          <w:numId w:val="0"/>
        </w:numPr>
        <w:ind w:right="-2"/>
        <w:rPr>
          <w:rFonts w:ascii="Times New Roman" w:eastAsia="Times New Roman" w:hAnsi="Times New Roman" w:cs="Times New Roman"/>
          <w:color w:val="000000"/>
          <w:lang w:eastAsia="sl-SI"/>
        </w:rPr>
      </w:pPr>
    </w:p>
    <w:p w14:paraId="4D7A2739" w14:textId="77777777" w:rsidR="008F7970" w:rsidRDefault="00AD4BB2">
      <w:pPr>
        <w:widowControl w:val="0"/>
        <w:numPr>
          <w:ilvl w:val="12"/>
          <w:numId w:val="0"/>
        </w:numPr>
        <w:ind w:right="-2"/>
        <w:outlineLvl w:val="0"/>
        <w:rPr>
          <w:rFonts w:ascii="Times New Roman" w:eastAsia="Times New Roman" w:hAnsi="Times New Roman" w:cs="Times New Roman"/>
          <w:b/>
          <w:highlight w:val="yellow"/>
          <w:lang w:eastAsia="sl-SI"/>
        </w:rPr>
      </w:pPr>
      <w:proofErr w:type="spellStart"/>
      <w:r>
        <w:rPr>
          <w:rFonts w:ascii="Times New Roman" w:eastAsia="Times New Roman" w:hAnsi="Times New Roman" w:cs="Times New Roman"/>
          <w:b/>
          <w:lang w:eastAsia="sl-SI"/>
        </w:rPr>
        <w:t>Pitezenib</w:t>
      </w:r>
      <w:proofErr w:type="spellEnd"/>
      <w:r>
        <w:rPr>
          <w:rFonts w:ascii="Times New Roman" w:eastAsia="Times New Roman" w:hAnsi="Times New Roman" w:cs="Times New Roman"/>
          <w:b/>
          <w:lang w:eastAsia="sl-SI"/>
        </w:rPr>
        <w:t xml:space="preserve"> vartojimas su maistu ir gėrimais</w:t>
      </w:r>
    </w:p>
    <w:p w14:paraId="623FA653" w14:textId="77777777" w:rsidR="008F7970" w:rsidRDefault="00AD4BB2">
      <w:pPr>
        <w:widowControl w:val="0"/>
        <w:numPr>
          <w:ilvl w:val="12"/>
          <w:numId w:val="0"/>
        </w:numPr>
        <w:ind w:right="-2"/>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snapToGrid w:val="0"/>
          <w:lang w:eastAsia="x-none"/>
        </w:rPr>
        <w:t xml:space="preserve"> </w:t>
      </w:r>
      <w:r>
        <w:rPr>
          <w:rFonts w:ascii="Times New Roman" w:eastAsia="Times New Roman" w:hAnsi="Times New Roman" w:cs="Times New Roman"/>
        </w:rPr>
        <w:t>galima vartoti su maistu arba nevalgius.</w:t>
      </w:r>
    </w:p>
    <w:p w14:paraId="3EDC9837" w14:textId="77777777" w:rsidR="008F7970" w:rsidRDefault="008F7970">
      <w:pPr>
        <w:widowControl w:val="0"/>
        <w:autoSpaceDE w:val="0"/>
        <w:autoSpaceDN w:val="0"/>
        <w:adjustRightInd w:val="0"/>
        <w:ind w:left="0" w:firstLine="0"/>
        <w:rPr>
          <w:rFonts w:ascii="Times New Roman" w:eastAsia="Times New Roman" w:hAnsi="Times New Roman" w:cs="Times New Roman"/>
          <w:lang w:eastAsia="sl-SI"/>
        </w:rPr>
      </w:pPr>
    </w:p>
    <w:p w14:paraId="2FC85C8F" w14:textId="77777777" w:rsidR="008F7970" w:rsidRDefault="00AD4BB2">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Nėštumas ir žindymo laikotarpis</w:t>
      </w:r>
    </w:p>
    <w:p w14:paraId="3493A6FA" w14:textId="77777777" w:rsidR="008F7970" w:rsidRDefault="00AD4BB2">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Jeigu esate nėščia, žindote kūdikį, bandote pastoti arba manote, kad galbūt esate nėščia, </w:t>
      </w: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vartoti draudžiama. </w:t>
      </w:r>
    </w:p>
    <w:p w14:paraId="1F79942C" w14:textId="77777777" w:rsidR="008F7970" w:rsidRDefault="008F7970">
      <w:pPr>
        <w:widowControl w:val="0"/>
        <w:numPr>
          <w:ilvl w:val="12"/>
          <w:numId w:val="0"/>
        </w:numPr>
        <w:tabs>
          <w:tab w:val="left" w:pos="567"/>
        </w:tabs>
        <w:rPr>
          <w:rFonts w:ascii="Times New Roman" w:eastAsia="Times New Roman" w:hAnsi="Times New Roman" w:cs="Times New Roman"/>
          <w:snapToGrid w:val="0"/>
          <w:color w:val="000000"/>
        </w:rPr>
      </w:pPr>
    </w:p>
    <w:p w14:paraId="16361D2D" w14:textId="77777777" w:rsidR="008F7970" w:rsidRDefault="00AD4BB2">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 esate moteris, galinti turėti vaikų, vartodama </w:t>
      </w: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turite naudoti patikimą kontracepcijos metodą. Jei vartodama </w:t>
      </w: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pastosite, nedelsdama nutraukite jo vartojimą ir kreipkitės į gydytoją.</w:t>
      </w:r>
    </w:p>
    <w:p w14:paraId="3509FBE0" w14:textId="77777777" w:rsidR="008F7970" w:rsidRDefault="008F7970">
      <w:pPr>
        <w:widowControl w:val="0"/>
        <w:numPr>
          <w:ilvl w:val="12"/>
          <w:numId w:val="0"/>
        </w:numPr>
        <w:tabs>
          <w:tab w:val="left" w:pos="567"/>
        </w:tabs>
        <w:rPr>
          <w:rFonts w:ascii="Times New Roman" w:eastAsia="Times New Roman" w:hAnsi="Times New Roman" w:cs="Times New Roman"/>
          <w:snapToGrid w:val="0"/>
          <w:color w:val="000000"/>
        </w:rPr>
      </w:pPr>
    </w:p>
    <w:p w14:paraId="5B108083" w14:textId="77777777" w:rsidR="008F7970" w:rsidRDefault="00AD4BB2">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Nežinoma, ar </w:t>
      </w:r>
      <w:proofErr w:type="spellStart"/>
      <w:r>
        <w:rPr>
          <w:rFonts w:ascii="Times New Roman" w:eastAsia="Times New Roman" w:hAnsi="Times New Roman" w:cs="Times New Roman"/>
          <w:snapToGrid w:val="0"/>
          <w:color w:val="000000"/>
        </w:rPr>
        <w:t>pitavastatino</w:t>
      </w:r>
      <w:proofErr w:type="spellEnd"/>
      <w:r>
        <w:rPr>
          <w:rFonts w:ascii="Times New Roman" w:eastAsia="Times New Roman" w:hAnsi="Times New Roman" w:cs="Times New Roman"/>
          <w:snapToGrid w:val="0"/>
          <w:color w:val="000000"/>
        </w:rPr>
        <w:t xml:space="preserve"> ir </w:t>
      </w:r>
      <w:proofErr w:type="spellStart"/>
      <w:r>
        <w:rPr>
          <w:rFonts w:ascii="Times New Roman" w:eastAsia="Times New Roman" w:hAnsi="Times New Roman" w:cs="Times New Roman"/>
          <w:snapToGrid w:val="0"/>
          <w:color w:val="000000"/>
        </w:rPr>
        <w:t>ezetimibo</w:t>
      </w:r>
      <w:proofErr w:type="spellEnd"/>
      <w:r>
        <w:rPr>
          <w:rFonts w:ascii="Times New Roman" w:eastAsia="Times New Roman" w:hAnsi="Times New Roman" w:cs="Times New Roman"/>
          <w:snapToGrid w:val="0"/>
          <w:color w:val="000000"/>
        </w:rPr>
        <w:t xml:space="preserve"> išsiskiria į gydytų moterų pieną.</w:t>
      </w:r>
    </w:p>
    <w:p w14:paraId="231F0E03" w14:textId="77777777" w:rsidR="008F7970" w:rsidRDefault="008F7970">
      <w:pPr>
        <w:widowControl w:val="0"/>
        <w:numPr>
          <w:ilvl w:val="12"/>
          <w:numId w:val="0"/>
        </w:numPr>
        <w:tabs>
          <w:tab w:val="left" w:pos="567"/>
        </w:tabs>
        <w:rPr>
          <w:rFonts w:ascii="Times New Roman" w:eastAsia="Times New Roman" w:hAnsi="Times New Roman" w:cs="Times New Roman"/>
          <w:snapToGrid w:val="0"/>
          <w:color w:val="000000"/>
        </w:rPr>
      </w:pPr>
    </w:p>
    <w:p w14:paraId="79695C8F" w14:textId="77777777" w:rsidR="008F7970" w:rsidRDefault="00AD4BB2">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Jei esate nėščia arba žindote kūdikį, prieš vartodama bet kokį vaistą pasitarkite su gydytoju arba vaistininku.</w:t>
      </w:r>
    </w:p>
    <w:p w14:paraId="5A10C120" w14:textId="77777777" w:rsidR="008F7970" w:rsidRDefault="008F7970">
      <w:pPr>
        <w:widowControl w:val="0"/>
        <w:tabs>
          <w:tab w:val="left" w:pos="567"/>
        </w:tabs>
        <w:ind w:left="0" w:firstLine="0"/>
        <w:rPr>
          <w:rFonts w:ascii="Times New Roman" w:eastAsia="Times New Roman" w:hAnsi="Times New Roman" w:cs="Times New Roman"/>
          <w:lang w:eastAsia="sl-SI"/>
        </w:rPr>
      </w:pPr>
    </w:p>
    <w:p w14:paraId="4FCDC71C" w14:textId="77777777" w:rsidR="008F7970" w:rsidRDefault="00AD4BB2">
      <w:pPr>
        <w:widowControl w:val="0"/>
        <w:numPr>
          <w:ilvl w:val="12"/>
          <w:numId w:val="0"/>
        </w:numPr>
        <w:tabs>
          <w:tab w:val="left" w:pos="8505"/>
        </w:tabs>
        <w:ind w:right="-2"/>
        <w:rPr>
          <w:rFonts w:ascii="Times New Roman" w:eastAsia="TimesNewRoman,Bold" w:hAnsi="Times New Roman" w:cs="Times New Roman"/>
          <w:b/>
          <w:bCs/>
        </w:rPr>
      </w:pPr>
      <w:r>
        <w:rPr>
          <w:rFonts w:ascii="Times New Roman" w:eastAsia="TimesNewRoman,Bold" w:hAnsi="Times New Roman" w:cs="Times New Roman"/>
          <w:b/>
          <w:bCs/>
        </w:rPr>
        <w:t>Vairavimas ir mechanizmų valdymas</w:t>
      </w:r>
    </w:p>
    <w:p w14:paraId="245C58E3"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Nėra tikėtina, kad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 xml:space="preserve"> veikia gebėjimą vairuoti ar valdyti mechanizmus. Vis dėlto, jei vartodami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 xml:space="preserve"> jaučiate svaigulį ar mieguistumą, nevairuokite, nevaldykite jokių mechanizmų ir nenaudokite jokių įrankių.</w:t>
      </w:r>
    </w:p>
    <w:p w14:paraId="05CABC88" w14:textId="77777777" w:rsidR="008F7970" w:rsidRDefault="008F7970">
      <w:pPr>
        <w:widowControl w:val="0"/>
        <w:numPr>
          <w:ilvl w:val="12"/>
          <w:numId w:val="0"/>
        </w:numPr>
        <w:ind w:right="-2"/>
        <w:rPr>
          <w:rFonts w:ascii="Times New Roman" w:eastAsia="Times New Roman" w:hAnsi="Times New Roman" w:cs="Times New Roman"/>
          <w:bCs/>
        </w:rPr>
      </w:pPr>
    </w:p>
    <w:p w14:paraId="4DAF6C7F" w14:textId="77777777" w:rsidR="008F7970" w:rsidRDefault="00AD4BB2">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b/>
        </w:rPr>
        <w:t>Pitezenib</w:t>
      </w:r>
      <w:proofErr w:type="spellEnd"/>
      <w:r>
        <w:rPr>
          <w:rFonts w:ascii="Times New Roman" w:eastAsia="Times New Roman" w:hAnsi="Times New Roman" w:cs="Times New Roman"/>
          <w:b/>
        </w:rPr>
        <w:t xml:space="preserve"> sudėtyje yra laktozės ir natrio</w:t>
      </w:r>
    </w:p>
    <w:p w14:paraId="5DE21BBA" w14:textId="77777777" w:rsidR="008F7970" w:rsidRDefault="00AD4BB2">
      <w:pPr>
        <w:widowControl w:val="0"/>
        <w:numPr>
          <w:ilvl w:val="12"/>
          <w:numId w:val="0"/>
        </w:numPr>
        <w:tabs>
          <w:tab w:val="left" w:pos="567"/>
        </w:tabs>
        <w:ind w:right="-2"/>
        <w:outlineLvl w:val="0"/>
        <w:rPr>
          <w:rFonts w:ascii="Times New Roman" w:eastAsia="Times New Roman" w:hAnsi="Times New Roman" w:cs="Times New Roman"/>
          <w:snapToGrid w:val="0"/>
        </w:rPr>
      </w:pPr>
      <w:r>
        <w:rPr>
          <w:rFonts w:ascii="Times New Roman" w:eastAsia="Times New Roman" w:hAnsi="Times New Roman" w:cs="Times New Roman"/>
          <w:bCs/>
          <w:lang w:eastAsia="sl-SI"/>
        </w:rPr>
        <w:t>Šio vaisto</w:t>
      </w:r>
      <w:r>
        <w:rPr>
          <w:rFonts w:ascii="Times New Roman" w:eastAsia="Times New Roman" w:hAnsi="Times New Roman" w:cs="Times New Roman"/>
          <w:snapToGrid w:val="0"/>
        </w:rPr>
        <w:t xml:space="preserve"> kiekvienoje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14:paraId="464E955F" w14:textId="77777777" w:rsidR="008F7970" w:rsidRDefault="008F7970">
      <w:pPr>
        <w:widowControl w:val="0"/>
        <w:ind w:left="0" w:firstLine="0"/>
        <w:rPr>
          <w:rFonts w:ascii="Times New Roman" w:eastAsia="Times New Roman" w:hAnsi="Times New Roman" w:cs="Times New Roman"/>
        </w:rPr>
      </w:pPr>
    </w:p>
    <w:p w14:paraId="4FC53F71" w14:textId="77777777" w:rsidR="008F7970" w:rsidRDefault="00AD4BB2">
      <w:pPr>
        <w:widowControl w:val="0"/>
        <w:ind w:left="0" w:firstLine="0"/>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5D1FBB66" w14:textId="77777777" w:rsidR="008F7970" w:rsidRDefault="008F7970">
      <w:pPr>
        <w:widowControl w:val="0"/>
        <w:numPr>
          <w:ilvl w:val="12"/>
          <w:numId w:val="0"/>
        </w:numPr>
        <w:ind w:right="-2"/>
        <w:rPr>
          <w:rFonts w:ascii="Times New Roman" w:eastAsia="Times New Roman" w:hAnsi="Times New Roman" w:cs="Times New Roman"/>
        </w:rPr>
      </w:pPr>
    </w:p>
    <w:p w14:paraId="256520BB" w14:textId="77777777" w:rsidR="008F7970" w:rsidRDefault="008F7970">
      <w:pPr>
        <w:widowControl w:val="0"/>
        <w:numPr>
          <w:ilvl w:val="12"/>
          <w:numId w:val="0"/>
        </w:numPr>
        <w:ind w:right="-2"/>
        <w:rPr>
          <w:rFonts w:ascii="Times New Roman" w:eastAsia="Times New Roman" w:hAnsi="Times New Roman" w:cs="Times New Roman"/>
        </w:rPr>
      </w:pPr>
    </w:p>
    <w:p w14:paraId="33A57642" w14:textId="77777777" w:rsidR="008F7970" w:rsidRDefault="00AD4BB2">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Pitezenib</w:t>
      </w:r>
      <w:proofErr w:type="spellEnd"/>
    </w:p>
    <w:p w14:paraId="6DB69106" w14:textId="77777777" w:rsidR="008F7970" w:rsidRDefault="008F7970">
      <w:pPr>
        <w:widowControl w:val="0"/>
        <w:rPr>
          <w:rFonts w:ascii="Times New Roman" w:eastAsia="Times New Roman" w:hAnsi="Times New Roman" w:cs="Times New Roman"/>
        </w:rPr>
      </w:pPr>
    </w:p>
    <w:p w14:paraId="0FE68539"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1991A0DE" w14:textId="77777777" w:rsidR="008F7970" w:rsidRDefault="008F7970">
      <w:pPr>
        <w:widowControl w:val="0"/>
        <w:ind w:left="0" w:firstLine="0"/>
        <w:rPr>
          <w:rFonts w:ascii="Times New Roman" w:eastAsia="Times New Roman" w:hAnsi="Times New Roman" w:cs="Times New Roman"/>
          <w:lang w:eastAsia="sl-SI"/>
        </w:rPr>
      </w:pPr>
    </w:p>
    <w:p w14:paraId="02D5313B" w14:textId="77777777" w:rsidR="008F7970" w:rsidRDefault="00AD4BB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w:t>
      </w:r>
      <w:proofErr w:type="spellStart"/>
      <w:r>
        <w:rPr>
          <w:rFonts w:ascii="Times New Roman" w:eastAsia="Times New Roman" w:hAnsi="Times New Roman" w:cs="Times New Roman"/>
          <w:bCs/>
        </w:rPr>
        <w:t>Pitezenib</w:t>
      </w:r>
      <w:proofErr w:type="spellEnd"/>
      <w:r>
        <w:rPr>
          <w:rFonts w:ascii="Times New Roman" w:eastAsia="Times New Roman" w:hAnsi="Times New Roman" w:cs="Times New Roman"/>
          <w:lang w:eastAsia="sl-SI"/>
        </w:rPr>
        <w:t xml:space="preserve"> dozė yra viena tabletė per parą.</w:t>
      </w:r>
    </w:p>
    <w:p w14:paraId="47CE49F9" w14:textId="77777777" w:rsidR="008F7970" w:rsidRDefault="008F7970">
      <w:pPr>
        <w:widowControl w:val="0"/>
        <w:ind w:left="0" w:firstLine="0"/>
        <w:rPr>
          <w:rFonts w:ascii="Times New Roman" w:eastAsia="Times New Roman" w:hAnsi="Times New Roman" w:cs="Times New Roman"/>
          <w:lang w:eastAsia="sl-SI"/>
        </w:rPr>
      </w:pPr>
    </w:p>
    <w:p w14:paraId="4FF8AF5F" w14:textId="77777777" w:rsidR="008F7970" w:rsidRDefault="00AD4BB2">
      <w:pPr>
        <w:widowControl w:val="0"/>
        <w:autoSpaceDE w:val="0"/>
        <w:autoSpaceDN w:val="0"/>
        <w:adjustRightInd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Tabletę nurykite sveiką, užgerdami vandeniu, valgant arba nevalgius. Tabletę galite suvartoti bet kuriuo paros metu. Vis dėlto stenkitės tabletę išgerti kasdien tuo pačiu laiku.</w:t>
      </w:r>
    </w:p>
    <w:p w14:paraId="126CBF28" w14:textId="77777777" w:rsidR="008F7970" w:rsidRDefault="008F7970">
      <w:pPr>
        <w:widowControl w:val="0"/>
        <w:autoSpaceDE w:val="0"/>
        <w:autoSpaceDN w:val="0"/>
        <w:adjustRightInd w:val="0"/>
        <w:ind w:left="0" w:firstLine="0"/>
        <w:rPr>
          <w:rFonts w:ascii="Times New Roman" w:eastAsia="Times New Roman" w:hAnsi="Times New Roman" w:cs="Times New Roman"/>
        </w:rPr>
      </w:pPr>
    </w:p>
    <w:p w14:paraId="70EE2DBB" w14:textId="77777777" w:rsidR="008F7970" w:rsidRDefault="00AD4BB2">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 xml:space="preserve">Ką daryti pavartojus per didelę </w:t>
      </w:r>
      <w:proofErr w:type="spellStart"/>
      <w:r>
        <w:rPr>
          <w:rFonts w:ascii="Times New Roman" w:eastAsia="TimesNewRoman,Bold" w:hAnsi="Times New Roman" w:cs="Times New Roman"/>
          <w:b/>
          <w:bCs/>
        </w:rPr>
        <w:t>Pitezenib</w:t>
      </w:r>
      <w:proofErr w:type="spellEnd"/>
      <w:r>
        <w:rPr>
          <w:rFonts w:ascii="Times New Roman" w:eastAsia="TimesNewRoman,Bold" w:hAnsi="Times New Roman" w:cs="Times New Roman"/>
          <w:b/>
          <w:bCs/>
        </w:rPr>
        <w:t xml:space="preserve"> dozę</w:t>
      </w:r>
    </w:p>
    <w:p w14:paraId="7C5D54B8" w14:textId="77777777" w:rsidR="008F7970" w:rsidRDefault="00AD4BB2">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daugiau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 xml:space="preserve"> nei reikia, kreipkitės į gydytoją arba nedelsdami vykite į ligoninę. Su savimi pasiimkite vaisto pakuotę.</w:t>
      </w:r>
    </w:p>
    <w:p w14:paraId="2388055D" w14:textId="77777777" w:rsidR="008F7970" w:rsidRDefault="008F7970">
      <w:pPr>
        <w:widowControl w:val="0"/>
        <w:autoSpaceDE w:val="0"/>
        <w:autoSpaceDN w:val="0"/>
        <w:adjustRightInd w:val="0"/>
        <w:ind w:left="0" w:firstLine="0"/>
        <w:rPr>
          <w:rFonts w:ascii="Times New Roman" w:eastAsia="TimesNewRoman,Bold" w:hAnsi="Times New Roman" w:cs="Times New Roman"/>
        </w:rPr>
      </w:pPr>
    </w:p>
    <w:p w14:paraId="344297A1" w14:textId="77777777" w:rsidR="008F7970" w:rsidRDefault="00AD4BB2">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 xml:space="preserve">Pamiršus pavartoti </w:t>
      </w:r>
      <w:proofErr w:type="spellStart"/>
      <w:r>
        <w:rPr>
          <w:rFonts w:ascii="Times New Roman" w:eastAsia="TimesNewRoman,Bold" w:hAnsi="Times New Roman" w:cs="Times New Roman"/>
          <w:b/>
          <w:bCs/>
        </w:rPr>
        <w:t>Pitezenib</w:t>
      </w:r>
      <w:proofErr w:type="spellEnd"/>
    </w:p>
    <w:p w14:paraId="79BFC2F7" w14:textId="77777777" w:rsidR="008F7970" w:rsidRDefault="00AD4BB2">
      <w:pPr>
        <w:widowControl w:val="0"/>
        <w:numPr>
          <w:ilvl w:val="12"/>
          <w:numId w:val="0"/>
        </w:numPr>
        <w:ind w:right="-2"/>
        <w:rPr>
          <w:rFonts w:ascii="Times New Roman" w:eastAsia="TimesNewRoman,Bold" w:hAnsi="Times New Roman" w:cs="Times New Roman"/>
        </w:rPr>
      </w:pPr>
      <w:r>
        <w:rPr>
          <w:rFonts w:ascii="Times New Roman" w:eastAsia="TimesNewRoman,Bold" w:hAnsi="Times New Roman" w:cs="Times New Roman"/>
        </w:rPr>
        <w:t xml:space="preserve">Pamiršę išgerti </w:t>
      </w:r>
      <w:proofErr w:type="spellStart"/>
      <w:r>
        <w:rPr>
          <w:rFonts w:ascii="Times New Roman" w:eastAsia="TimesNewRoman,Bold" w:hAnsi="Times New Roman" w:cs="Times New Roman"/>
        </w:rPr>
        <w:t>Pitezenib</w:t>
      </w:r>
      <w:proofErr w:type="spellEnd"/>
      <w:r>
        <w:rPr>
          <w:rFonts w:ascii="Times New Roman" w:eastAsia="TimesNewRoman,Bold" w:hAnsi="Times New Roman" w:cs="Times New Roman"/>
        </w:rPr>
        <w:t>, kitą dozę vartokite tinkamu laiku. Negalima vartoti dvigubos dozės norint kompensuoti praleistą tabletę.</w:t>
      </w:r>
    </w:p>
    <w:p w14:paraId="4CA788DF" w14:textId="77777777" w:rsidR="008F7970" w:rsidRDefault="008F7970">
      <w:pPr>
        <w:widowControl w:val="0"/>
        <w:numPr>
          <w:ilvl w:val="12"/>
          <w:numId w:val="0"/>
        </w:numPr>
        <w:ind w:right="-2"/>
        <w:rPr>
          <w:rFonts w:ascii="Times New Roman" w:eastAsia="TimesNewRoman,Bold" w:hAnsi="Times New Roman" w:cs="Times New Roman"/>
        </w:rPr>
      </w:pPr>
    </w:p>
    <w:p w14:paraId="523AB8B0" w14:textId="77777777" w:rsidR="008F7970" w:rsidRDefault="00AD4BB2">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 xml:space="preserve">Nustojus vartoti </w:t>
      </w:r>
      <w:proofErr w:type="spellStart"/>
      <w:r>
        <w:rPr>
          <w:rFonts w:ascii="Times New Roman" w:eastAsia="TimesNewRoman,Bold" w:hAnsi="Times New Roman" w:cs="Times New Roman"/>
          <w:b/>
          <w:bCs/>
        </w:rPr>
        <w:t>Pitezenib</w:t>
      </w:r>
      <w:proofErr w:type="spellEnd"/>
    </w:p>
    <w:p w14:paraId="31CC246F" w14:textId="77777777" w:rsidR="008F7970" w:rsidRDefault="00AD4BB2">
      <w:pPr>
        <w:widowControl w:val="0"/>
        <w:numPr>
          <w:ilvl w:val="12"/>
          <w:numId w:val="0"/>
        </w:numPr>
        <w:ind w:right="-2"/>
        <w:rPr>
          <w:rFonts w:ascii="Times New Roman" w:eastAsia="TimesNewRoman,Bold" w:hAnsi="Times New Roman" w:cs="Times New Roman"/>
        </w:rPr>
      </w:pPr>
      <w:r>
        <w:rPr>
          <w:rFonts w:ascii="Times New Roman" w:eastAsia="TimesNewRoman,Bold" w:hAnsi="Times New Roman" w:cs="Times New Roman"/>
        </w:rPr>
        <w:t xml:space="preserve">Jei nustosite vartoti </w:t>
      </w:r>
      <w:proofErr w:type="spellStart"/>
      <w:r>
        <w:rPr>
          <w:rFonts w:ascii="Times New Roman" w:eastAsia="TimesNewRoman,Bold" w:hAnsi="Times New Roman" w:cs="Times New Roman"/>
        </w:rPr>
        <w:t>Pitezenib</w:t>
      </w:r>
      <w:proofErr w:type="spellEnd"/>
      <w:r>
        <w:rPr>
          <w:rFonts w:ascii="Times New Roman" w:eastAsia="TimesNewRoman,Bold" w:hAnsi="Times New Roman" w:cs="Times New Roman"/>
        </w:rPr>
        <w:t xml:space="preserve">, cholesterolio kiekis kraujyje gali vėl padidėti, o tai gali padidinti širdies </w:t>
      </w:r>
      <w:r>
        <w:rPr>
          <w:rFonts w:ascii="Times New Roman" w:eastAsia="TimesNewRoman,Bold" w:hAnsi="Times New Roman" w:cs="Times New Roman"/>
        </w:rPr>
        <w:lastRenderedPageBreak/>
        <w:t>ir kraujagyslių ligų riziką.</w:t>
      </w:r>
    </w:p>
    <w:p w14:paraId="7F9E90C2" w14:textId="77777777" w:rsidR="008F7970" w:rsidRDefault="008F7970">
      <w:pPr>
        <w:widowControl w:val="0"/>
        <w:numPr>
          <w:ilvl w:val="12"/>
          <w:numId w:val="0"/>
        </w:numPr>
        <w:ind w:right="-2"/>
        <w:rPr>
          <w:rFonts w:ascii="Times New Roman" w:eastAsia="TimesNewRoman,Bold" w:hAnsi="Times New Roman" w:cs="Times New Roman"/>
        </w:rPr>
      </w:pPr>
    </w:p>
    <w:p w14:paraId="01246BE6" w14:textId="77777777" w:rsidR="008F7970" w:rsidRDefault="00AD4BB2">
      <w:pPr>
        <w:widowControl w:val="0"/>
        <w:numPr>
          <w:ilvl w:val="12"/>
          <w:numId w:val="0"/>
        </w:numPr>
        <w:ind w:right="-2"/>
        <w:rPr>
          <w:rFonts w:ascii="Times New Roman" w:eastAsia="Times New Roman" w:hAnsi="Times New Roman" w:cs="Times New Roman"/>
        </w:rPr>
      </w:pPr>
      <w:r>
        <w:rPr>
          <w:rFonts w:ascii="Times New Roman" w:eastAsia="TimesNewRoman,Bold" w:hAnsi="Times New Roman" w:cs="Times New Roman"/>
        </w:rPr>
        <w:t>Jei kiltų daugiau klausimų dėl šio vaisto vartojimo, kreipkitės į gydytoją arba vaistininką.</w:t>
      </w:r>
    </w:p>
    <w:p w14:paraId="6D4C0F20" w14:textId="77777777" w:rsidR="008F7970" w:rsidRDefault="008F7970">
      <w:pPr>
        <w:widowControl w:val="0"/>
        <w:numPr>
          <w:ilvl w:val="12"/>
          <w:numId w:val="0"/>
        </w:numPr>
        <w:ind w:right="-2"/>
        <w:rPr>
          <w:rFonts w:ascii="Times New Roman" w:eastAsia="Times New Roman" w:hAnsi="Times New Roman" w:cs="Times New Roman"/>
        </w:rPr>
      </w:pPr>
    </w:p>
    <w:p w14:paraId="19ED1DCA" w14:textId="77777777" w:rsidR="008F7970" w:rsidRDefault="008F7970">
      <w:pPr>
        <w:widowControl w:val="0"/>
        <w:numPr>
          <w:ilvl w:val="12"/>
          <w:numId w:val="0"/>
        </w:numPr>
        <w:ind w:right="-2"/>
        <w:rPr>
          <w:rFonts w:ascii="Times New Roman" w:eastAsia="Times New Roman" w:hAnsi="Times New Roman" w:cs="Times New Roman"/>
        </w:rPr>
      </w:pPr>
    </w:p>
    <w:p w14:paraId="389C8143" w14:textId="77777777" w:rsidR="008F7970" w:rsidRDefault="00AD4BB2">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Galimas šalutinis poveikis</w:t>
      </w:r>
    </w:p>
    <w:p w14:paraId="6717A7A0" w14:textId="77777777" w:rsidR="008F7970" w:rsidRDefault="008F7970">
      <w:pPr>
        <w:widowControl w:val="0"/>
        <w:rPr>
          <w:rFonts w:ascii="Times New Roman" w:eastAsia="Times New Roman" w:hAnsi="Times New Roman" w:cs="Times New Roman"/>
        </w:rPr>
      </w:pPr>
    </w:p>
    <w:p w14:paraId="11869F7C" w14:textId="77777777" w:rsidR="008F7970" w:rsidRDefault="00AD4BB2">
      <w:pPr>
        <w:widowControl w:val="0"/>
        <w:numPr>
          <w:ilvl w:val="12"/>
          <w:numId w:val="0"/>
        </w:numPr>
        <w:tabs>
          <w:tab w:val="left" w:pos="567"/>
        </w:tabs>
        <w:spacing w:line="260" w:lineRule="exact"/>
        <w:ind w:right="-2"/>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74A12346" w14:textId="77777777" w:rsidR="008F7970" w:rsidRDefault="008F7970">
      <w:pPr>
        <w:widowControl w:val="0"/>
        <w:numPr>
          <w:ilvl w:val="12"/>
          <w:numId w:val="0"/>
        </w:numPr>
        <w:tabs>
          <w:tab w:val="left" w:pos="567"/>
        </w:tabs>
        <w:spacing w:line="260" w:lineRule="exact"/>
        <w:ind w:right="-2"/>
        <w:rPr>
          <w:rFonts w:ascii="Times New Roman" w:eastAsia="Times New Roman" w:hAnsi="Times New Roman" w:cs="Times New Roman"/>
        </w:rPr>
      </w:pPr>
    </w:p>
    <w:p w14:paraId="64D31C5A" w14:textId="77777777" w:rsidR="008F7970" w:rsidRDefault="00AD4BB2">
      <w:pPr>
        <w:widowControl w:val="0"/>
        <w:numPr>
          <w:ilvl w:val="12"/>
          <w:numId w:val="0"/>
        </w:numPr>
        <w:tabs>
          <w:tab w:val="left" w:pos="567"/>
        </w:tabs>
        <w:spacing w:line="260" w:lineRule="exact"/>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Jei pastebėsite bet kurį toliau paminėtą sunkų šalutinį poveikį, nutraukite </w:t>
      </w:r>
      <w:proofErr w:type="spellStart"/>
      <w:r>
        <w:rPr>
          <w:rFonts w:ascii="Times New Roman" w:eastAsia="TimesNewRoman,Bold" w:hAnsi="Times New Roman" w:cs="Times New Roman"/>
          <w:b/>
          <w:bCs/>
        </w:rPr>
        <w:t>Pitezenib</w:t>
      </w:r>
      <w:proofErr w:type="spellEnd"/>
      <w:r>
        <w:rPr>
          <w:rFonts w:ascii="Times New Roman" w:eastAsia="Times New Roman" w:hAnsi="Times New Roman" w:cs="Times New Roman"/>
          <w:b/>
          <w:lang w:eastAsia="sl-SI"/>
        </w:rPr>
        <w:t xml:space="preserve"> vartojimą ir nedelsdami kreipkitės į gydytoją, nes Jums gali prireikti skubios medicininės pagalbos.</w:t>
      </w:r>
    </w:p>
    <w:p w14:paraId="11F3A681"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Alerginė reakcija, kurios galimi požymiai yra pasunkėjęs kvėpavimas, veido, lūpų, liežuvio ar gerklės patinimas, rijimo sutrikimai, stiprus odos niežėjimas (su iškilusiais gumbeliais) </w:t>
      </w:r>
      <w:r>
        <w:rPr>
          <w:rFonts w:ascii="Times New Roman" w:eastAsia="Times New Roman" w:hAnsi="Times New Roman" w:cs="Times New Roman"/>
          <w:i/>
          <w:iCs/>
        </w:rPr>
        <w:t>(dažnis nežinomas ( negali būti apskaičiuotas pagal turimus duomenis)).</w:t>
      </w:r>
    </w:p>
    <w:p w14:paraId="4B47555D"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Neaiškios priežasties sukeltas raumenų skausmas ar silpnumas, ypač jei blogai jaučiatės, karščiuojate ar šlapimas yra rausvai rudos spalvos.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retai gali sukelti nepalankų poveikį raumenims. Neatlikus reikiamų tyrimų, toks poveikis gali sukelti rimtų problemų, tokių kaip nenormalus raumenų irimas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dėl kurio gali atsirasti inkstų sutrikimų ir kuris gali kelti pavojų gyvybei</w:t>
      </w:r>
      <w:r>
        <w:rPr>
          <w:rFonts w:ascii="Times New Roman" w:eastAsia="Times New Roman" w:hAnsi="Times New Roman" w:cs="Times New Roman"/>
          <w:i/>
          <w:iCs/>
        </w:rPr>
        <w:t xml:space="preserve"> (retas – gali pasireikšti rečiau kaip 1 iš 1 000 asmenų).</w:t>
      </w:r>
    </w:p>
    <w:p w14:paraId="0AA2BAF6"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Kvėpavimo sutrikimai, įskaitant nuolatinį kosulį ir (arba) dusulį ar karščiavimą </w:t>
      </w:r>
      <w:r>
        <w:rPr>
          <w:rFonts w:ascii="Times New Roman" w:eastAsia="Times New Roman" w:hAnsi="Times New Roman" w:cs="Times New Roman"/>
          <w:i/>
          <w:iCs/>
        </w:rPr>
        <w:t>(dažnis nežinomas (negali būti apskaičiuotas pagal turimus duomenis)).</w:t>
      </w:r>
    </w:p>
    <w:p w14:paraId="1FEB319B"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Kepenų sutrikimai, dėl kurių gali pagelsti oda ir akys (gelta)</w:t>
      </w:r>
      <w:r>
        <w:rPr>
          <w:rFonts w:ascii="Times New Roman" w:eastAsia="Times New Roman" w:hAnsi="Times New Roman" w:cs="Times New Roman"/>
          <w:i/>
          <w:iCs/>
        </w:rPr>
        <w:t xml:space="preserve"> (retas – gali pasireikšti rečiau kaip 1 iš 1 000 asmenų).</w:t>
      </w:r>
    </w:p>
    <w:p w14:paraId="1CDAD0AA"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Pankreatitas (stiprus pilvo ir nugaros skausmas)</w:t>
      </w:r>
      <w:r>
        <w:rPr>
          <w:rFonts w:ascii="Times New Roman" w:eastAsia="Times New Roman" w:hAnsi="Times New Roman" w:cs="Times New Roman"/>
          <w:i/>
          <w:iCs/>
        </w:rPr>
        <w:t xml:space="preserve"> (retas – gali pasireikšti rečiau kaip 1 iš 1 000 asmenų).</w:t>
      </w:r>
    </w:p>
    <w:p w14:paraId="1183DCEE" w14:textId="77777777" w:rsidR="008F7970" w:rsidRDefault="008F7970">
      <w:pPr>
        <w:widowControl w:val="0"/>
        <w:numPr>
          <w:ilvl w:val="12"/>
          <w:numId w:val="0"/>
        </w:numPr>
        <w:ind w:right="-2"/>
        <w:rPr>
          <w:rFonts w:ascii="Times New Roman" w:eastAsia="Times New Roman" w:hAnsi="Times New Roman" w:cs="Times New Roman"/>
          <w:lang w:eastAsia="sl-SI"/>
        </w:rPr>
      </w:pPr>
    </w:p>
    <w:p w14:paraId="0ABF61C4" w14:textId="77777777" w:rsidR="008F7970" w:rsidRDefault="00AD4BB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Toliau yra išvardytas kitas galimas šalutinis poveikis.</w:t>
      </w:r>
    </w:p>
    <w:p w14:paraId="6B1664BB" w14:textId="77777777" w:rsidR="008F7970" w:rsidRDefault="008F7970">
      <w:pPr>
        <w:widowControl w:val="0"/>
        <w:numPr>
          <w:ilvl w:val="12"/>
          <w:numId w:val="0"/>
        </w:numPr>
        <w:ind w:right="-2"/>
        <w:rPr>
          <w:rFonts w:ascii="Times New Roman" w:eastAsia="Times New Roman" w:hAnsi="Times New Roman" w:cs="Times New Roman"/>
          <w:lang w:eastAsia="sl-SI"/>
        </w:rPr>
      </w:pPr>
    </w:p>
    <w:p w14:paraId="5523538B" w14:textId="77777777" w:rsidR="008F7970" w:rsidRDefault="00AD4BB2">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 xml:space="preserve">Dažni šalutinio poveikio reiškiniai (gali pasireikšti rečiau kaip 1 iš 10 asmenų): </w:t>
      </w:r>
      <w:r>
        <w:rPr>
          <w:rFonts w:ascii="Times New Roman" w:eastAsia="Times New Roman" w:hAnsi="Times New Roman" w:cs="Times New Roman"/>
          <w:lang w:eastAsia="sl-SI"/>
        </w:rPr>
        <w:t>galvos skausmas, viduriavimas, pilvo pūtimas, pilvo skausmas, virškinimo sutrikimas, pykinimas, vidurių užkietėjimas, raumenų skausmas, sąnarių skausmas, nuovargis, kai kurių kepenų funkciją rodančių laboratorinių kraujo tyrimų rodmenų (</w:t>
      </w:r>
      <w:proofErr w:type="spellStart"/>
      <w:r>
        <w:rPr>
          <w:rFonts w:ascii="Times New Roman" w:eastAsia="Times New Roman" w:hAnsi="Times New Roman" w:cs="Times New Roman"/>
          <w:lang w:eastAsia="sl-SI"/>
        </w:rPr>
        <w:t>transaminazių</w:t>
      </w:r>
      <w:proofErr w:type="spellEnd"/>
      <w:r>
        <w:rPr>
          <w:rFonts w:ascii="Times New Roman" w:eastAsia="Times New Roman" w:hAnsi="Times New Roman" w:cs="Times New Roman"/>
          <w:lang w:eastAsia="sl-SI"/>
        </w:rPr>
        <w:t>) padidėjimas.</w:t>
      </w:r>
    </w:p>
    <w:p w14:paraId="4748CDD8" w14:textId="77777777" w:rsidR="008F7970" w:rsidRDefault="008F7970">
      <w:pPr>
        <w:widowControl w:val="0"/>
        <w:numPr>
          <w:ilvl w:val="12"/>
          <w:numId w:val="0"/>
        </w:numPr>
        <w:ind w:right="-2"/>
        <w:rPr>
          <w:rFonts w:ascii="Times New Roman" w:eastAsia="Times New Roman" w:hAnsi="Times New Roman" w:cs="Times New Roman"/>
          <w:lang w:eastAsia="sl-SI"/>
        </w:rPr>
      </w:pPr>
    </w:p>
    <w:p w14:paraId="4F0DA2D9" w14:textId="77777777" w:rsidR="008F7970" w:rsidRDefault="00AD4BB2">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 xml:space="preserve">Nedažni šalutinio poveikio reiškiniai (gali pasireikšti rečiau kaip 1 iš 100 asmenų): </w:t>
      </w:r>
      <w:r>
        <w:rPr>
          <w:rFonts w:ascii="Times New Roman" w:eastAsia="Times New Roman" w:hAnsi="Times New Roman" w:cs="Times New Roman"/>
          <w:lang w:eastAsia="sl-SI"/>
        </w:rPr>
        <w:t>blyški oda ir silpnumas ar dusulys (mažakraujystė), apetito praradimas, apetito sumažėjimas, nemiga, tirpimo pojūtis ir jutimo sumažėjimas rankų ir kojų pirštuose, kojose ir veide, svaigulys, skonio pokyčiai, mieguistumas, ūžesys ausyse, karščio pylimas, padidėjęs kraujospūdis, kosulys, rėmuo, gastritas, sausa burna, vėmimas, niežėjimas, bėrimas, dilgėlinė, raumenų spazmai, kaklo skausmas, nugaros skausmas, raumenų silpnumas, galūnių skausmas, dažnas šlapinimasis, silpnumo pojūtis, kulkšnių, pėdų ar pirštų patinimas, bendras diskomforto pojūtis, krūtinės skausmas, skausmas, kai kurių laboratorinių kraujo tyrimų, susijusių su raumenų ir kepenų funkcija, rodmenų padidėjimas.</w:t>
      </w:r>
    </w:p>
    <w:p w14:paraId="592D2E54" w14:textId="77777777" w:rsidR="008F7970" w:rsidRDefault="008F7970">
      <w:pPr>
        <w:widowControl w:val="0"/>
        <w:numPr>
          <w:ilvl w:val="12"/>
          <w:numId w:val="0"/>
        </w:numPr>
        <w:ind w:right="-2"/>
        <w:rPr>
          <w:rFonts w:ascii="Times New Roman" w:eastAsia="Times New Roman" w:hAnsi="Times New Roman" w:cs="Times New Roman"/>
          <w:lang w:eastAsia="sl-SI"/>
        </w:rPr>
      </w:pPr>
    </w:p>
    <w:p w14:paraId="35574201" w14:textId="77777777" w:rsidR="008F7970" w:rsidRDefault="00AD4BB2">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 xml:space="preserve">Reti šalutinio poveikio reiškiniai (gali pasireikšti rečiau kaip 1 iš 1 000 asmenų): </w:t>
      </w:r>
      <w:r>
        <w:rPr>
          <w:rFonts w:ascii="Times New Roman" w:eastAsia="Times New Roman" w:hAnsi="Times New Roman" w:cs="Times New Roman"/>
          <w:lang w:eastAsia="sl-SI"/>
        </w:rPr>
        <w:t>regos pablogėjimas, liežuvio skausmas, nemalonus pojūtis skrandyje, sutrikusi kepenų funkcija, kepenų sutrikimas, odos paraudimas, vyrų krūtų padidėjimas.</w:t>
      </w:r>
    </w:p>
    <w:p w14:paraId="6F8BF302" w14:textId="77777777" w:rsidR="008F7970" w:rsidRDefault="008F7970">
      <w:pPr>
        <w:widowControl w:val="0"/>
        <w:numPr>
          <w:ilvl w:val="12"/>
          <w:numId w:val="0"/>
        </w:numPr>
        <w:ind w:right="-2"/>
        <w:rPr>
          <w:rFonts w:ascii="Times New Roman" w:eastAsia="Times New Roman" w:hAnsi="Times New Roman" w:cs="Times New Roman"/>
          <w:lang w:eastAsia="sl-SI"/>
        </w:rPr>
      </w:pPr>
    </w:p>
    <w:p w14:paraId="66F67AFA" w14:textId="77777777" w:rsidR="008F7970" w:rsidRDefault="00AD4BB2">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Šalutinio poveikio reiškiniai, kurių dažnis nežinomas (negali būti apskaičiuotas pagal turimus duomenis):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 xml:space="preserve"> (trombocitų kiekio sumažėjimas kraujyje, dėl kurio gali atsirasti neįprastų kraujosruvų ar lengvai prasidėti kraujavimas), depresija, kepenų uždegimas, tulžies akmenys ar tulžies pūslės uždegimas (dėl kurio gali atsirasti pilvo skausmas, pykinimas, vėmimas), daugiaformė </w:t>
      </w:r>
      <w:proofErr w:type="spellStart"/>
      <w:r>
        <w:rPr>
          <w:rFonts w:ascii="Times New Roman" w:eastAsia="Times New Roman" w:hAnsi="Times New Roman" w:cs="Times New Roman"/>
          <w:lang w:eastAsia="sl-SI"/>
        </w:rPr>
        <w:t>eritema</w:t>
      </w:r>
      <w:proofErr w:type="spellEnd"/>
      <w:r>
        <w:rPr>
          <w:rFonts w:ascii="Times New Roman" w:eastAsia="Times New Roman" w:hAnsi="Times New Roman" w:cs="Times New Roman"/>
          <w:lang w:eastAsia="sl-SI"/>
        </w:rPr>
        <w:t xml:space="preserve"> (iškilęs raudonas bėrimas, kartais su taikinio formos pažeidimais), vilkligės tipo sindromas (įskaitant bėrimą, sąnarių sutrikimus ir poveikį kraujo ląstelėms), </w:t>
      </w:r>
      <w:proofErr w:type="spellStart"/>
      <w:r>
        <w:rPr>
          <w:rFonts w:ascii="Times New Roman" w:eastAsia="Times New Roman" w:hAnsi="Times New Roman" w:cs="Times New Roman"/>
          <w:lang w:eastAsia="sl-SI"/>
        </w:rPr>
        <w:t>generalizuota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miastenija</w:t>
      </w:r>
      <w:proofErr w:type="spellEnd"/>
      <w:r>
        <w:rPr>
          <w:rFonts w:ascii="Times New Roman" w:eastAsia="Times New Roman" w:hAnsi="Times New Roman" w:cs="Times New Roman"/>
          <w:lang w:eastAsia="sl-SI"/>
        </w:rPr>
        <w:t xml:space="preserve"> (liga, sukelianti bendrą raumenų silpnumą, įskaitant kai kuriais atvejais raumenis, naudojamus kvėpavimui), akių </w:t>
      </w:r>
      <w:proofErr w:type="spellStart"/>
      <w:r>
        <w:rPr>
          <w:rFonts w:ascii="Times New Roman" w:eastAsia="Times New Roman" w:hAnsi="Times New Roman" w:cs="Times New Roman"/>
          <w:lang w:eastAsia="sl-SI"/>
        </w:rPr>
        <w:t>miastenija</w:t>
      </w:r>
      <w:proofErr w:type="spellEnd"/>
      <w:r>
        <w:rPr>
          <w:rFonts w:ascii="Times New Roman" w:eastAsia="Times New Roman" w:hAnsi="Times New Roman" w:cs="Times New Roman"/>
          <w:lang w:eastAsia="sl-SI"/>
        </w:rPr>
        <w:t xml:space="preserve"> (liga, sukelianti akių raumenų silpnumą) – pasitarkite su gydytoju, jei pasireiškia rankų ar kojų silpnumas, kuris sustiprėja po fizinio aktyvumo, dvejinimasis akyse ar vokų nusileidimas, rijimo pasunkėjimas ar dusulys.</w:t>
      </w:r>
    </w:p>
    <w:p w14:paraId="18D8AE5A" w14:textId="77777777" w:rsidR="008F7970" w:rsidRDefault="008F7970">
      <w:pPr>
        <w:widowControl w:val="0"/>
        <w:tabs>
          <w:tab w:val="left" w:pos="567"/>
        </w:tabs>
        <w:spacing w:line="260" w:lineRule="exact"/>
        <w:ind w:left="0" w:firstLine="0"/>
        <w:rPr>
          <w:rFonts w:ascii="Times New Roman" w:eastAsia="Times New Roman" w:hAnsi="Times New Roman" w:cs="Times New Roman"/>
        </w:rPr>
      </w:pPr>
    </w:p>
    <w:p w14:paraId="4BA56AE4" w14:textId="77777777" w:rsidR="008F7970" w:rsidRDefault="00AD4BB2">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Galimas šalutinis poveikis, apie kurį pranešta vartojant kitų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w:t>
      </w:r>
    </w:p>
    <w:p w14:paraId="24028F83"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miego sutrikimai, įskaitant košmariškus sapnus;</w:t>
      </w:r>
    </w:p>
    <w:p w14:paraId="11485089"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atminties netekimas;</w:t>
      </w:r>
    </w:p>
    <w:p w14:paraId="1E46573C"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lytinės veiklos sutrikimas;</w:t>
      </w:r>
    </w:p>
    <w:p w14:paraId="0B8D6CDF"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depresija;</w:t>
      </w:r>
    </w:p>
    <w:p w14:paraId="4B9652D8"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kvėpavimo sutrikimai, įskaitant išliekantį kosulį ir (arba) dusulį ar karščiavimą;</w:t>
      </w:r>
    </w:p>
    <w:p w14:paraId="60F50C46" w14:textId="77777777" w:rsidR="008F7970" w:rsidRDefault="00AD4BB2">
      <w:pPr>
        <w:widowControl w:val="0"/>
        <w:numPr>
          <w:ilvl w:val="0"/>
          <w:numId w:val="7"/>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cukrinis diabetas. Tai labiau tikėtina, jei Jūsų kraujyje yra didelis cukraus ir riebalų kiekis, turite antsvorio ir aukštą kraujospūdį. Gydytojas gali Jus stebėti, kol vartosite šio vaisto.</w:t>
      </w:r>
    </w:p>
    <w:p w14:paraId="33E4B12C" w14:textId="77777777" w:rsidR="008F7970" w:rsidRDefault="008F7970">
      <w:pPr>
        <w:widowControl w:val="0"/>
        <w:ind w:left="0" w:firstLine="0"/>
        <w:rPr>
          <w:rFonts w:ascii="Times New Roman" w:hAnsi="Times New Roman" w:cs="Times New Roman"/>
        </w:rPr>
      </w:pPr>
    </w:p>
    <w:p w14:paraId="676DB35B" w14:textId="77777777" w:rsidR="008F7970" w:rsidRDefault="00AD4BB2">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7686AA1C" w14:textId="77777777" w:rsidR="008F7970" w:rsidRDefault="00AD4BB2">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5"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5"/>
    </w:p>
    <w:p w14:paraId="2738DE46" w14:textId="77777777" w:rsidR="008F7970" w:rsidRDefault="008F7970">
      <w:pPr>
        <w:widowControl w:val="0"/>
        <w:tabs>
          <w:tab w:val="left" w:pos="567"/>
        </w:tabs>
        <w:outlineLvl w:val="1"/>
        <w:rPr>
          <w:rFonts w:ascii="Times New Roman" w:hAnsi="Times New Roman" w:cs="Times New Roman"/>
          <w:b/>
        </w:rPr>
      </w:pPr>
    </w:p>
    <w:p w14:paraId="4BB3DEB3" w14:textId="77777777" w:rsidR="008F7970" w:rsidRDefault="008F7970">
      <w:pPr>
        <w:widowControl w:val="0"/>
        <w:tabs>
          <w:tab w:val="left" w:pos="567"/>
        </w:tabs>
        <w:outlineLvl w:val="1"/>
        <w:rPr>
          <w:rFonts w:ascii="Times New Roman" w:hAnsi="Times New Roman" w:cs="Times New Roman"/>
          <w:b/>
        </w:rPr>
      </w:pPr>
    </w:p>
    <w:p w14:paraId="4E734681" w14:textId="77777777" w:rsidR="008F7970" w:rsidRDefault="00AD4BB2">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Pitezenib</w:t>
      </w:r>
      <w:proofErr w:type="spellEnd"/>
    </w:p>
    <w:p w14:paraId="376495A9" w14:textId="77777777" w:rsidR="008F7970" w:rsidRDefault="008F7970">
      <w:pPr>
        <w:widowControl w:val="0"/>
        <w:ind w:left="0" w:firstLine="0"/>
        <w:rPr>
          <w:rFonts w:ascii="Times New Roman" w:hAnsi="Times New Roman" w:cs="Times New Roman"/>
        </w:rPr>
      </w:pPr>
    </w:p>
    <w:p w14:paraId="28CE4339" w14:textId="77777777" w:rsidR="008F7970" w:rsidRDefault="00AD4BB2">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0BF5987C" w14:textId="77777777" w:rsidR="008F7970" w:rsidRDefault="008F7970">
      <w:pPr>
        <w:widowControl w:val="0"/>
        <w:ind w:left="0" w:firstLine="0"/>
        <w:rPr>
          <w:rFonts w:ascii="Times New Roman" w:hAnsi="Times New Roman" w:cs="Times New Roman"/>
        </w:rPr>
      </w:pPr>
    </w:p>
    <w:p w14:paraId="67E7780E" w14:textId="77777777" w:rsidR="008F7970" w:rsidRDefault="00AD4BB2">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35F594F7" w14:textId="77777777" w:rsidR="008F7970" w:rsidRDefault="008F7970">
      <w:pPr>
        <w:widowControl w:val="0"/>
        <w:ind w:left="0" w:firstLine="0"/>
        <w:rPr>
          <w:rFonts w:ascii="Times New Roman" w:hAnsi="Times New Roman" w:cs="Times New Roman"/>
        </w:rPr>
      </w:pPr>
    </w:p>
    <w:p w14:paraId="2960A671" w14:textId="77777777" w:rsidR="008F7970" w:rsidRDefault="00AD4BB2">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7BDE074D" w14:textId="77777777" w:rsidR="008F7970" w:rsidRDefault="00AD4BB2">
      <w:pPr>
        <w:numPr>
          <w:ilvl w:val="12"/>
          <w:numId w:val="0"/>
        </w:numPr>
        <w:ind w:right="-2"/>
        <w:rPr>
          <w:rFonts w:ascii="Times New Roman" w:eastAsia="Times New Roman" w:hAnsi="Times New Roman" w:cs="Times New Roman"/>
          <w:szCs w:val="24"/>
        </w:rPr>
      </w:pPr>
      <w:r>
        <w:rPr>
          <w:rFonts w:ascii="Times New Roman" w:eastAsia="Times New Roman" w:hAnsi="Times New Roman" w:cs="Times New Roman"/>
          <w:szCs w:val="24"/>
        </w:rPr>
        <w:t>Šio vaisto laikymui specialių temperatūros sąlygų nereikalaujama.</w:t>
      </w:r>
    </w:p>
    <w:p w14:paraId="0FCB1567" w14:textId="77777777" w:rsidR="008F7970" w:rsidRDefault="008F7970">
      <w:pPr>
        <w:widowControl w:val="0"/>
        <w:ind w:left="0" w:firstLine="0"/>
        <w:rPr>
          <w:rFonts w:ascii="Times New Roman" w:hAnsi="Times New Roman" w:cs="Times New Roman"/>
        </w:rPr>
      </w:pPr>
    </w:p>
    <w:p w14:paraId="7D00D0C7" w14:textId="77777777" w:rsidR="008F7970" w:rsidRDefault="00AD4BB2">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356639F" w14:textId="77777777" w:rsidR="008F7970" w:rsidRDefault="008F7970">
      <w:pPr>
        <w:widowControl w:val="0"/>
        <w:ind w:left="0" w:firstLine="0"/>
        <w:rPr>
          <w:rFonts w:ascii="Times New Roman" w:hAnsi="Times New Roman" w:cs="Times New Roman"/>
        </w:rPr>
      </w:pPr>
    </w:p>
    <w:p w14:paraId="44389205" w14:textId="77777777" w:rsidR="008F7970" w:rsidRDefault="008F7970">
      <w:pPr>
        <w:widowControl w:val="0"/>
        <w:ind w:left="0" w:firstLine="0"/>
        <w:rPr>
          <w:rFonts w:ascii="Times New Roman" w:hAnsi="Times New Roman" w:cs="Times New Roman"/>
        </w:rPr>
      </w:pPr>
    </w:p>
    <w:p w14:paraId="494699B1" w14:textId="77777777" w:rsidR="008F7970" w:rsidRDefault="00AD4BB2">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3482E6E8" w14:textId="77777777" w:rsidR="008F7970" w:rsidRDefault="008F7970">
      <w:pPr>
        <w:widowControl w:val="0"/>
        <w:ind w:left="0" w:firstLine="0"/>
        <w:rPr>
          <w:rFonts w:ascii="Times New Roman" w:hAnsi="Times New Roman" w:cs="Times New Roman"/>
        </w:rPr>
      </w:pPr>
    </w:p>
    <w:p w14:paraId="1CE11053" w14:textId="77777777" w:rsidR="008F7970" w:rsidRDefault="00AD4BB2">
      <w:pPr>
        <w:widowControl w:val="0"/>
        <w:ind w:left="0" w:firstLine="0"/>
        <w:rPr>
          <w:rFonts w:ascii="Times New Roman" w:hAnsi="Times New Roman" w:cs="Times New Roman"/>
          <w:b/>
        </w:rPr>
      </w:pPr>
      <w:proofErr w:type="spellStart"/>
      <w:r>
        <w:rPr>
          <w:rFonts w:ascii="Times New Roman" w:hAnsi="Times New Roman" w:cs="Times New Roman"/>
          <w:b/>
        </w:rPr>
        <w:t>Pitezenib</w:t>
      </w:r>
      <w:proofErr w:type="spellEnd"/>
      <w:r>
        <w:rPr>
          <w:rFonts w:ascii="Times New Roman" w:hAnsi="Times New Roman" w:cs="Times New Roman"/>
          <w:b/>
        </w:rPr>
        <w:t xml:space="preserve"> sudėtis</w:t>
      </w:r>
    </w:p>
    <w:p w14:paraId="013C02EB" w14:textId="77777777" w:rsidR="008F7970" w:rsidRDefault="00AD4BB2">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pitavastatinas</w:t>
      </w:r>
      <w:proofErr w:type="spellEnd"/>
      <w:r>
        <w:rPr>
          <w:rFonts w:ascii="Times New Roman" w:hAnsi="Times New Roman" w:cs="Times New Roman"/>
        </w:rPr>
        <w:t xml:space="preserve"> ir </w:t>
      </w:r>
      <w:proofErr w:type="spellStart"/>
      <w:r>
        <w:rPr>
          <w:rFonts w:ascii="Times New Roman" w:hAnsi="Times New Roman" w:cs="Times New Roman"/>
        </w:rPr>
        <w:t>ezetimibas</w:t>
      </w:r>
      <w:proofErr w:type="spellEnd"/>
      <w:r>
        <w:rPr>
          <w:rFonts w:ascii="Times New Roman" w:hAnsi="Times New Roman" w:cs="Times New Roman"/>
        </w:rPr>
        <w:t>.</w:t>
      </w:r>
    </w:p>
    <w:p w14:paraId="76489EC6" w14:textId="77777777" w:rsidR="008F7970" w:rsidRDefault="00AD4BB2">
      <w:pPr>
        <w:widowControl w:val="0"/>
        <w:numPr>
          <w:ilvl w:val="0"/>
          <w:numId w:val="6"/>
        </w:numPr>
        <w:ind w:right="-2"/>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5B0014FB" w14:textId="77777777" w:rsidR="008F7970" w:rsidRDefault="00AD4BB2">
      <w:pPr>
        <w:widowControl w:val="0"/>
        <w:ind w:right="-2" w:firstLine="0"/>
        <w:rPr>
          <w:rFonts w:ascii="Times New Roman" w:hAnsi="Times New Roman" w:cs="Times New Roman"/>
        </w:rPr>
      </w:pPr>
      <w:r>
        <w:rPr>
          <w:rFonts w:ascii="Times New Roman" w:hAnsi="Times New Roman" w:cs="Times New Roman"/>
        </w:rPr>
        <w:t xml:space="preserve">Kiekvienoje tabletėje yra 2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p w14:paraId="2D31BAB9" w14:textId="77777777" w:rsidR="008F7970" w:rsidRDefault="00AD4BB2">
      <w:pPr>
        <w:widowControl w:val="0"/>
        <w:ind w:right="-2"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67D5275E" w14:textId="77777777" w:rsidR="008F7970" w:rsidRDefault="00AD4BB2">
      <w:pPr>
        <w:widowControl w:val="0"/>
        <w:ind w:right="-2" w:firstLine="0"/>
        <w:rPr>
          <w:rFonts w:ascii="Times New Roman" w:hAnsi="Times New Roman" w:cs="Times New Roman"/>
        </w:rPr>
      </w:pPr>
      <w:r>
        <w:rPr>
          <w:rFonts w:ascii="Times New Roman" w:hAnsi="Times New Roman" w:cs="Times New Roman"/>
        </w:rPr>
        <w:t xml:space="preserve">Kiekvienoje tabletėje yra 4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p w14:paraId="77542B05" w14:textId="77777777" w:rsidR="008F7970" w:rsidRDefault="008F7970">
      <w:pPr>
        <w:widowControl w:val="0"/>
        <w:ind w:right="-2" w:firstLine="0"/>
        <w:rPr>
          <w:rFonts w:ascii="Times New Roman" w:hAnsi="Times New Roman" w:cs="Times New Roman"/>
        </w:rPr>
      </w:pPr>
    </w:p>
    <w:p w14:paraId="730351E7" w14:textId="77777777" w:rsidR="008F7970" w:rsidRDefault="00AD4BB2">
      <w:pPr>
        <w:widowControl w:val="0"/>
        <w:numPr>
          <w:ilvl w:val="0"/>
          <w:numId w:val="6"/>
        </w:numPr>
        <w:ind w:right="-2"/>
        <w:rPr>
          <w:rFonts w:ascii="Times New Roman" w:hAnsi="Times New Roman" w:cs="Times New Roman"/>
        </w:rPr>
      </w:pPr>
      <w:r>
        <w:rPr>
          <w:rFonts w:ascii="Times New Roman" w:hAnsi="Times New Roman" w:cs="Times New Roman"/>
        </w:rPr>
        <w:t xml:space="preserve">Pagalbinės medžiagos yra natrio </w:t>
      </w:r>
      <w:proofErr w:type="spellStart"/>
      <w:r>
        <w:rPr>
          <w:rFonts w:ascii="Times New Roman" w:hAnsi="Times New Roman" w:cs="Times New Roman"/>
        </w:rPr>
        <w:t>laurilsulfatas</w:t>
      </w:r>
      <w:proofErr w:type="spellEnd"/>
      <w:r>
        <w:rPr>
          <w:rFonts w:ascii="Times New Roman" w:hAnsi="Times New Roman" w:cs="Times New Roman"/>
        </w:rPr>
        <w:t xml:space="preserve">, </w:t>
      </w:r>
      <w:proofErr w:type="spellStart"/>
      <w:r>
        <w:rPr>
          <w:rFonts w:ascii="Times New Roman" w:hAnsi="Times New Roman" w:cs="Times New Roman"/>
        </w:rPr>
        <w:t>povidonas</w:t>
      </w:r>
      <w:proofErr w:type="spellEnd"/>
      <w:r>
        <w:rPr>
          <w:rFonts w:ascii="Times New Roman" w:hAnsi="Times New Roman" w:cs="Times New Roman"/>
        </w:rPr>
        <w:t xml:space="preserve">, laktozė </w:t>
      </w:r>
      <w:proofErr w:type="spellStart"/>
      <w:r>
        <w:rPr>
          <w:rFonts w:ascii="Times New Roman" w:hAnsi="Times New Roman" w:cs="Times New Roman"/>
        </w:rPr>
        <w:t>monohidratas</w:t>
      </w:r>
      <w:proofErr w:type="spellEnd"/>
      <w:r>
        <w:rPr>
          <w:rFonts w:ascii="Times New Roman" w:hAnsi="Times New Roman" w:cs="Times New Roman"/>
        </w:rPr>
        <w:t xml:space="preserve">, </w:t>
      </w:r>
      <w:proofErr w:type="spellStart"/>
      <w:r>
        <w:rPr>
          <w:rFonts w:ascii="Times New Roman" w:hAnsi="Times New Roman" w:cs="Times New Roman"/>
        </w:rPr>
        <w:t>kroskarmeliozės</w:t>
      </w:r>
      <w:proofErr w:type="spellEnd"/>
      <w:r>
        <w:rPr>
          <w:rFonts w:ascii="Times New Roman" w:hAnsi="Times New Roman" w:cs="Times New Roman"/>
        </w:rPr>
        <w:t xml:space="preserve"> natrio druska,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ir magnio </w:t>
      </w:r>
      <w:proofErr w:type="spellStart"/>
      <w:r>
        <w:rPr>
          <w:rFonts w:ascii="Times New Roman" w:hAnsi="Times New Roman" w:cs="Times New Roman"/>
        </w:rPr>
        <w:t>stearatas</w:t>
      </w:r>
      <w:proofErr w:type="spellEnd"/>
      <w:r>
        <w:rPr>
          <w:rFonts w:ascii="Times New Roman" w:hAnsi="Times New Roman" w:cs="Times New Roman"/>
        </w:rPr>
        <w:t>.</w:t>
      </w:r>
    </w:p>
    <w:p w14:paraId="616A0B1E" w14:textId="77777777" w:rsidR="008F7970" w:rsidRDefault="00AD4BB2">
      <w:pPr>
        <w:widowControl w:val="0"/>
        <w:ind w:right="-2" w:firstLine="0"/>
        <w:rPr>
          <w:rFonts w:ascii="Times New Roman" w:hAnsi="Times New Roman" w:cs="Times New Roman"/>
        </w:rPr>
      </w:pPr>
      <w:r>
        <w:rPr>
          <w:rFonts w:ascii="Times New Roman" w:hAnsi="Times New Roman" w:cs="Times New Roman"/>
          <w:lang w:val="sl-SI"/>
        </w:rPr>
        <w:t>Žr. 2 skyrių „Pitezenib sudėtyje yra laktozės“.</w:t>
      </w:r>
    </w:p>
    <w:p w14:paraId="3C397602" w14:textId="77777777" w:rsidR="008F7970" w:rsidRDefault="008F7970">
      <w:pPr>
        <w:widowControl w:val="0"/>
        <w:ind w:left="0" w:firstLine="0"/>
        <w:rPr>
          <w:rFonts w:ascii="Times New Roman" w:hAnsi="Times New Roman" w:cs="Times New Roman"/>
          <w:highlight w:val="lightGray"/>
        </w:rPr>
      </w:pPr>
    </w:p>
    <w:p w14:paraId="03710B17" w14:textId="77777777" w:rsidR="008F7970" w:rsidRDefault="00AD4BB2">
      <w:pPr>
        <w:widowControl w:val="0"/>
        <w:ind w:left="0" w:firstLine="0"/>
        <w:rPr>
          <w:rFonts w:ascii="Times New Roman" w:hAnsi="Times New Roman" w:cs="Times New Roman"/>
          <w:b/>
        </w:rPr>
      </w:pPr>
      <w:proofErr w:type="spellStart"/>
      <w:r>
        <w:rPr>
          <w:rFonts w:ascii="Times New Roman" w:hAnsi="Times New Roman" w:cs="Times New Roman"/>
          <w:b/>
        </w:rPr>
        <w:t>Pitezenib</w:t>
      </w:r>
      <w:proofErr w:type="spellEnd"/>
      <w:r>
        <w:rPr>
          <w:rFonts w:ascii="Times New Roman" w:hAnsi="Times New Roman" w:cs="Times New Roman"/>
          <w:b/>
        </w:rPr>
        <w:t xml:space="preserve"> išvaizda ir kiekis pakuotėje</w:t>
      </w:r>
    </w:p>
    <w:p w14:paraId="22C31519" w14:textId="77777777" w:rsidR="008F7970" w:rsidRDefault="008F7970">
      <w:pPr>
        <w:widowControl w:val="0"/>
        <w:ind w:left="0" w:firstLine="0"/>
        <w:rPr>
          <w:rFonts w:ascii="Times New Roman" w:hAnsi="Times New Roman" w:cs="Times New Roman"/>
          <w:b/>
        </w:rPr>
      </w:pPr>
    </w:p>
    <w:p w14:paraId="310D2C36" w14:textId="77777777" w:rsidR="008F7970" w:rsidRDefault="00AD4BB2">
      <w:pPr>
        <w:widowControl w:val="0"/>
        <w:ind w:left="0"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6165DC12" w14:textId="77777777" w:rsidR="008F7970" w:rsidRDefault="00AD4BB2">
      <w:pPr>
        <w:widowControl w:val="0"/>
        <w:ind w:left="0" w:firstLine="0"/>
        <w:rPr>
          <w:rFonts w:ascii="Times New Roman" w:hAnsi="Times New Roman" w:cs="Times New Roman"/>
          <w:lang w:val="sl-SI"/>
        </w:rPr>
      </w:pPr>
      <w:r>
        <w:rPr>
          <w:rFonts w:ascii="Times New Roman" w:hAnsi="Times New Roman" w:cs="Times New Roman"/>
          <w:lang w:val="sl-SI"/>
        </w:rPr>
        <w:t>Baltos arba beveik baltos, ovalios, abipus išgaubtos tabletės, kurių vienoje pusėje pažymėta B2.</w:t>
      </w:r>
    </w:p>
    <w:p w14:paraId="1BB8912F" w14:textId="77777777" w:rsidR="008F7970" w:rsidRDefault="00AD4BB2">
      <w:pPr>
        <w:widowControl w:val="0"/>
        <w:ind w:left="0" w:firstLine="0"/>
        <w:rPr>
          <w:rFonts w:ascii="Times New Roman" w:hAnsi="Times New Roman" w:cs="Times New Roman"/>
          <w:lang w:val="sl-SI"/>
        </w:rPr>
      </w:pPr>
      <w:r>
        <w:rPr>
          <w:rFonts w:ascii="Times New Roman" w:hAnsi="Times New Roman" w:cs="Times New Roman"/>
          <w:lang w:val="sl-SI"/>
        </w:rPr>
        <w:t>Tabletės matmenys: maždaug 13 mm × 6 mm.</w:t>
      </w:r>
    </w:p>
    <w:p w14:paraId="12A6681B" w14:textId="77777777" w:rsidR="008F7970" w:rsidRDefault="008F7970">
      <w:pPr>
        <w:widowControl w:val="0"/>
        <w:ind w:left="0" w:firstLine="0"/>
        <w:rPr>
          <w:rFonts w:ascii="Times New Roman" w:hAnsi="Times New Roman" w:cs="Times New Roman"/>
          <w:lang w:val="sl-SI"/>
        </w:rPr>
      </w:pPr>
    </w:p>
    <w:p w14:paraId="14F497D9" w14:textId="77777777" w:rsidR="008F7970" w:rsidRDefault="00AD4BB2">
      <w:pPr>
        <w:widowControl w:val="0"/>
        <w:ind w:left="0" w:firstLine="0"/>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0672109D" w14:textId="77777777" w:rsidR="008F7970" w:rsidRDefault="00AD4BB2">
      <w:pPr>
        <w:widowControl w:val="0"/>
        <w:ind w:left="0" w:firstLine="0"/>
        <w:rPr>
          <w:rFonts w:ascii="Times New Roman" w:hAnsi="Times New Roman" w:cs="Times New Roman"/>
          <w:lang w:val="sl-SI"/>
        </w:rPr>
      </w:pPr>
      <w:r>
        <w:rPr>
          <w:rFonts w:ascii="Times New Roman" w:hAnsi="Times New Roman" w:cs="Times New Roman"/>
          <w:lang w:val="sl-SI"/>
        </w:rPr>
        <w:t>Baltos arba beveik baltos, apvalios, abipus išgaubtos tabletės, kurių vienoje pusėje yra žyma B4.</w:t>
      </w:r>
    </w:p>
    <w:p w14:paraId="60F41406" w14:textId="77777777" w:rsidR="008F7970" w:rsidRDefault="00AD4BB2">
      <w:pPr>
        <w:widowControl w:val="0"/>
        <w:ind w:left="0" w:firstLine="0"/>
        <w:rPr>
          <w:rFonts w:ascii="Times New Roman" w:hAnsi="Times New Roman" w:cs="Times New Roman"/>
        </w:rPr>
      </w:pPr>
      <w:r>
        <w:rPr>
          <w:rFonts w:ascii="Times New Roman" w:eastAsia="Times New Roman" w:hAnsi="Times New Roman" w:cs="Times New Roman"/>
          <w:lang w:eastAsia="en-GB"/>
        </w:rPr>
        <w:t>Tabletės matmenys: skersmuo apie 9 mm.</w:t>
      </w:r>
    </w:p>
    <w:p w14:paraId="0EB124D7" w14:textId="77777777" w:rsidR="008F7970" w:rsidRDefault="008F7970">
      <w:pPr>
        <w:widowControl w:val="0"/>
        <w:rPr>
          <w:rFonts w:ascii="Times New Roman" w:hAnsi="Times New Roman" w:cs="Times New Roman"/>
        </w:rPr>
      </w:pPr>
    </w:p>
    <w:p w14:paraId="3CDF0CD8"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Pitezenib</w:t>
      </w:r>
      <w:proofErr w:type="spellEnd"/>
      <w:r>
        <w:rPr>
          <w:rFonts w:ascii="Times New Roman" w:hAnsi="Times New Roman" w:cs="Times New Roman"/>
        </w:rPr>
        <w:t xml:space="preserve"> tiekiamas dėžutėse po:</w:t>
      </w:r>
    </w:p>
    <w:p w14:paraId="53FC91E9" w14:textId="77777777" w:rsidR="008F7970" w:rsidRDefault="00AD4BB2">
      <w:pPr>
        <w:widowControl w:val="0"/>
        <w:numPr>
          <w:ilvl w:val="0"/>
          <w:numId w:val="7"/>
        </w:numPr>
        <w:ind w:right="-2"/>
        <w:contextualSpacing/>
        <w:rPr>
          <w:rFonts w:ascii="Times New Roman" w:eastAsia="Times New Roman" w:hAnsi="Times New Roman" w:cs="Times New Roman"/>
          <w:noProof/>
        </w:rPr>
      </w:pPr>
      <w:r>
        <w:rPr>
          <w:rFonts w:ascii="Times New Roman" w:eastAsia="Times New Roman" w:hAnsi="Times New Roman" w:cs="Times New Roman"/>
        </w:rPr>
        <w:lastRenderedPageBreak/>
        <w:t xml:space="preserve">28, 30, 56, 60, 84, 90 arba 100 tablečių, </w:t>
      </w:r>
      <w:r>
        <w:rPr>
          <w:rFonts w:ascii="Times New Roman" w:hAnsi="Times New Roman" w:cs="Times New Roman"/>
        </w:rPr>
        <w:t>kurios yra lizdinėse plokštelėse</w:t>
      </w:r>
      <w:r>
        <w:rPr>
          <w:rFonts w:ascii="Times New Roman" w:eastAsia="Times New Roman" w:hAnsi="Times New Roman" w:cs="Times New Roman"/>
          <w:noProof/>
        </w:rPr>
        <w:t>.</w:t>
      </w:r>
    </w:p>
    <w:p w14:paraId="1B767083" w14:textId="77777777" w:rsidR="008F7970" w:rsidRDefault="00AD4BB2">
      <w:pPr>
        <w:widowControl w:val="0"/>
        <w:numPr>
          <w:ilvl w:val="0"/>
          <w:numId w:val="7"/>
        </w:numPr>
        <w:ind w:right="-2"/>
        <w:contextualSpacing/>
        <w:rPr>
          <w:rFonts w:ascii="Times New Roman" w:eastAsia="Times New Roman" w:hAnsi="Times New Roman" w:cs="Times New Roman"/>
          <w:noProof/>
        </w:rPr>
      </w:pPr>
      <w:r>
        <w:rPr>
          <w:rFonts w:ascii="Times New Roman" w:eastAsia="Times New Roman" w:hAnsi="Times New Roman" w:cs="Times New Roman"/>
        </w:rPr>
        <w:t xml:space="preserve">28, 56 arba 84 tablečių, </w:t>
      </w:r>
      <w:r>
        <w:rPr>
          <w:rFonts w:ascii="Times New Roman" w:hAnsi="Times New Roman" w:cs="Times New Roman"/>
        </w:rPr>
        <w:t>kurios yra lizdinėse plokštelėse kalendorinėje pakuotėje</w:t>
      </w:r>
      <w:r>
        <w:rPr>
          <w:rFonts w:ascii="Times New Roman" w:eastAsia="Times New Roman" w:hAnsi="Times New Roman" w:cs="Times New Roman"/>
          <w:noProof/>
        </w:rPr>
        <w:t>.</w:t>
      </w:r>
    </w:p>
    <w:p w14:paraId="29C71567" w14:textId="77777777" w:rsidR="008F7970" w:rsidRDefault="008F7970">
      <w:pPr>
        <w:widowControl w:val="0"/>
        <w:ind w:left="0" w:firstLine="0"/>
        <w:rPr>
          <w:rFonts w:ascii="Times New Roman" w:hAnsi="Times New Roman" w:cs="Times New Roman"/>
        </w:rPr>
      </w:pPr>
    </w:p>
    <w:p w14:paraId="558CD2A7" w14:textId="77777777" w:rsidR="008F7970" w:rsidRDefault="00AD4BB2">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167A4064" w14:textId="77777777" w:rsidR="008F7970" w:rsidRDefault="008F7970">
      <w:pPr>
        <w:widowControl w:val="0"/>
        <w:ind w:left="0" w:firstLine="0"/>
        <w:rPr>
          <w:rFonts w:ascii="Times New Roman" w:hAnsi="Times New Roman" w:cs="Times New Roman"/>
        </w:rPr>
      </w:pPr>
    </w:p>
    <w:p w14:paraId="6B04E922" w14:textId="77777777" w:rsidR="008F7970" w:rsidRDefault="00AD4BB2">
      <w:pPr>
        <w:widowControl w:val="0"/>
        <w:ind w:left="0" w:firstLine="0"/>
        <w:rPr>
          <w:rFonts w:ascii="Times New Roman" w:hAnsi="Times New Roman" w:cs="Times New Roman"/>
          <w:b/>
        </w:rPr>
      </w:pPr>
      <w:r>
        <w:rPr>
          <w:rFonts w:ascii="Times New Roman" w:hAnsi="Times New Roman" w:cs="Times New Roman"/>
          <w:b/>
        </w:rPr>
        <w:t>Registruotojas ir gamintojas</w:t>
      </w:r>
    </w:p>
    <w:p w14:paraId="3670AF05" w14:textId="77777777" w:rsidR="008F7970" w:rsidRDefault="008F7970">
      <w:pPr>
        <w:widowControl w:val="0"/>
        <w:ind w:left="0" w:firstLine="0"/>
        <w:rPr>
          <w:rFonts w:ascii="Times New Roman" w:hAnsi="Times New Roman" w:cs="Times New Roman"/>
        </w:rPr>
      </w:pPr>
    </w:p>
    <w:p w14:paraId="1BF71B6D"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71E3D872"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4CF381ED" w14:textId="77777777" w:rsidR="008F7970" w:rsidRDefault="00AD4BB2">
      <w:pPr>
        <w:widowControl w:val="0"/>
        <w:ind w:left="0" w:firstLine="0"/>
        <w:rPr>
          <w:rFonts w:ascii="Times New Roman" w:hAnsi="Times New Roman" w:cs="Times New Roman"/>
        </w:rPr>
      </w:pPr>
      <w:r>
        <w:rPr>
          <w:rFonts w:ascii="Times New Roman" w:hAnsi="Times New Roman" w:cs="Times New Roman"/>
        </w:rPr>
        <w:t>8501 Novo mesto</w:t>
      </w:r>
    </w:p>
    <w:p w14:paraId="34CC4C52" w14:textId="77777777" w:rsidR="008F7970" w:rsidRDefault="00AD4BB2">
      <w:pPr>
        <w:widowControl w:val="0"/>
        <w:ind w:left="0" w:firstLine="0"/>
        <w:rPr>
          <w:rFonts w:ascii="Times New Roman" w:hAnsi="Times New Roman" w:cs="Times New Roman"/>
        </w:rPr>
      </w:pPr>
      <w:r>
        <w:rPr>
          <w:rFonts w:ascii="Times New Roman" w:hAnsi="Times New Roman" w:cs="Times New Roman"/>
        </w:rPr>
        <w:t>Slovėnija</w:t>
      </w:r>
    </w:p>
    <w:p w14:paraId="1C98BCDC" w14:textId="77777777" w:rsidR="008F7970" w:rsidRDefault="008F7970">
      <w:pPr>
        <w:widowControl w:val="0"/>
        <w:numPr>
          <w:ilvl w:val="12"/>
          <w:numId w:val="0"/>
        </w:numPr>
        <w:tabs>
          <w:tab w:val="left" w:pos="567"/>
        </w:tabs>
        <w:ind w:right="-2"/>
        <w:rPr>
          <w:rFonts w:ascii="Times New Roman" w:hAnsi="Times New Roman" w:cs="Times New Roman"/>
          <w:b/>
        </w:rPr>
      </w:pPr>
    </w:p>
    <w:p w14:paraId="2A91F9F2" w14:textId="77777777" w:rsidR="008F7970" w:rsidRDefault="00AD4BB2">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3D2E9154" w14:textId="77777777" w:rsidR="008F7970" w:rsidRDefault="008F7970">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8F7970" w14:paraId="6456EA28" w14:textId="77777777">
        <w:tc>
          <w:tcPr>
            <w:tcW w:w="4678" w:type="dxa"/>
            <w:hideMark/>
          </w:tcPr>
          <w:p w14:paraId="3E8A2A3E" w14:textId="77777777" w:rsidR="008F7970" w:rsidRDefault="00AD4BB2">
            <w:pPr>
              <w:widowControl w:val="0"/>
              <w:ind w:left="0" w:firstLine="0"/>
              <w:rPr>
                <w:rFonts w:ascii="Times New Roman" w:hAnsi="Times New Roman" w:cs="Times New Roman"/>
              </w:rPr>
            </w:pPr>
            <w:r>
              <w:rPr>
                <w:rFonts w:ascii="Times New Roman" w:hAnsi="Times New Roman" w:cs="Times New Roman"/>
              </w:rPr>
              <w:t>UAB KRKA Lietuva</w:t>
            </w:r>
          </w:p>
          <w:p w14:paraId="5583677C" w14:textId="77777777" w:rsidR="008F7970" w:rsidRDefault="00AD4BB2">
            <w:pPr>
              <w:widowControl w:val="0"/>
              <w:ind w:left="0" w:firstLine="0"/>
              <w:rPr>
                <w:rFonts w:ascii="Times New Roman" w:hAnsi="Times New Roman" w:cs="Times New Roman"/>
              </w:rPr>
            </w:pPr>
            <w:r>
              <w:rPr>
                <w:rFonts w:ascii="Times New Roman" w:hAnsi="Times New Roman" w:cs="Times New Roman"/>
              </w:rPr>
              <w:t>Senasis Ukmergės kelias 4</w:t>
            </w:r>
          </w:p>
          <w:p w14:paraId="2D25ED85" w14:textId="77777777" w:rsidR="008F7970" w:rsidRDefault="00AD4BB2">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2315C941" w14:textId="77777777" w:rsidR="008F7970" w:rsidRDefault="00AD4BB2">
            <w:pPr>
              <w:widowControl w:val="0"/>
              <w:ind w:left="0" w:firstLine="0"/>
              <w:rPr>
                <w:rFonts w:ascii="Times New Roman" w:hAnsi="Times New Roman" w:cs="Times New Roman"/>
              </w:rPr>
            </w:pPr>
            <w:r>
              <w:rPr>
                <w:rFonts w:ascii="Times New Roman" w:hAnsi="Times New Roman" w:cs="Times New Roman"/>
              </w:rPr>
              <w:t>LT – 14013</w:t>
            </w:r>
          </w:p>
          <w:p w14:paraId="15D69676" w14:textId="77777777" w:rsidR="008F7970" w:rsidRDefault="00AD4BB2">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7561F0B2" w14:textId="77777777" w:rsidR="008F7970" w:rsidRDefault="008F7970">
      <w:pPr>
        <w:widowControl w:val="0"/>
        <w:numPr>
          <w:ilvl w:val="12"/>
          <w:numId w:val="0"/>
        </w:numPr>
        <w:tabs>
          <w:tab w:val="left" w:pos="567"/>
        </w:tabs>
        <w:ind w:right="-2"/>
        <w:rPr>
          <w:rFonts w:ascii="Times New Roman" w:hAnsi="Times New Roman" w:cs="Times New Roman"/>
          <w:b/>
        </w:rPr>
      </w:pPr>
    </w:p>
    <w:p w14:paraId="495BD9A5" w14:textId="77777777" w:rsidR="008F7970" w:rsidRDefault="00AD4BB2">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0"/>
      </w:tblGrid>
      <w:tr w:rsidR="008F7970" w14:paraId="6EAE8337" w14:textId="77777777">
        <w:trPr>
          <w:trHeight w:val="20"/>
        </w:trPr>
        <w:tc>
          <w:tcPr>
            <w:tcW w:w="4510" w:type="dxa"/>
            <w:tcBorders>
              <w:top w:val="single" w:sz="4" w:space="0" w:color="auto"/>
              <w:left w:val="single" w:sz="4" w:space="0" w:color="auto"/>
              <w:bottom w:val="single" w:sz="4" w:space="0" w:color="auto"/>
              <w:right w:val="single" w:sz="4" w:space="0" w:color="auto"/>
            </w:tcBorders>
            <w:hideMark/>
          </w:tcPr>
          <w:p w14:paraId="63B967E1"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Valstybė narė</w:t>
            </w:r>
          </w:p>
        </w:tc>
        <w:tc>
          <w:tcPr>
            <w:tcW w:w="4550" w:type="dxa"/>
            <w:tcBorders>
              <w:top w:val="single" w:sz="4" w:space="0" w:color="auto"/>
              <w:left w:val="single" w:sz="4" w:space="0" w:color="auto"/>
              <w:bottom w:val="single" w:sz="4" w:space="0" w:color="auto"/>
              <w:right w:val="single" w:sz="4" w:space="0" w:color="auto"/>
            </w:tcBorders>
            <w:hideMark/>
          </w:tcPr>
          <w:p w14:paraId="5AD313E1" w14:textId="77777777" w:rsidR="008F7970" w:rsidRDefault="00AD4BB2">
            <w:pPr>
              <w:widowControl w:val="0"/>
              <w:spacing w:line="254" w:lineRule="auto"/>
              <w:ind w:left="0" w:firstLine="0"/>
              <w:rPr>
                <w:rFonts w:ascii="Times New Roman" w:eastAsia="TimesNewRoman" w:hAnsi="Times New Roman" w:cs="Times New Roman"/>
              </w:rPr>
            </w:pPr>
            <w:r>
              <w:rPr>
                <w:rFonts w:ascii="Times New Roman" w:eastAsia="TimesNewRoman" w:hAnsi="Times New Roman" w:cs="Times New Roman"/>
              </w:rPr>
              <w:t>Vaisto pavadinimas</w:t>
            </w:r>
          </w:p>
        </w:tc>
      </w:tr>
      <w:tr w:rsidR="008F7970" w14:paraId="7419B348" w14:textId="77777777">
        <w:trPr>
          <w:trHeight w:val="20"/>
        </w:trPr>
        <w:tc>
          <w:tcPr>
            <w:tcW w:w="4510" w:type="dxa"/>
            <w:tcBorders>
              <w:top w:val="single" w:sz="4" w:space="0" w:color="auto"/>
              <w:left w:val="single" w:sz="4" w:space="0" w:color="auto"/>
              <w:bottom w:val="single" w:sz="4" w:space="0" w:color="auto"/>
              <w:right w:val="single" w:sz="4" w:space="0" w:color="auto"/>
            </w:tcBorders>
          </w:tcPr>
          <w:p w14:paraId="37ECC513"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Bulgarija, Rumunija</w:t>
            </w:r>
          </w:p>
        </w:tc>
        <w:tc>
          <w:tcPr>
            <w:tcW w:w="4550" w:type="dxa"/>
            <w:tcBorders>
              <w:top w:val="single" w:sz="4" w:space="0" w:color="auto"/>
              <w:left w:val="single" w:sz="4" w:space="0" w:color="auto"/>
              <w:bottom w:val="single" w:sz="4" w:space="0" w:color="auto"/>
              <w:right w:val="single" w:sz="4" w:space="0" w:color="auto"/>
            </w:tcBorders>
          </w:tcPr>
          <w:p w14:paraId="1151398E"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Co-Pitipix</w:t>
            </w:r>
          </w:p>
        </w:tc>
      </w:tr>
      <w:tr w:rsidR="008F7970" w14:paraId="173E8481" w14:textId="77777777">
        <w:trPr>
          <w:trHeight w:val="20"/>
        </w:trPr>
        <w:tc>
          <w:tcPr>
            <w:tcW w:w="4510" w:type="dxa"/>
            <w:tcBorders>
              <w:top w:val="single" w:sz="4" w:space="0" w:color="auto"/>
              <w:left w:val="single" w:sz="4" w:space="0" w:color="auto"/>
              <w:bottom w:val="single" w:sz="4" w:space="0" w:color="auto"/>
              <w:right w:val="single" w:sz="4" w:space="0" w:color="auto"/>
            </w:tcBorders>
          </w:tcPr>
          <w:p w14:paraId="18FFC1ED"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Čekija, Lietuva, Portugalija, Slovakija</w:t>
            </w:r>
          </w:p>
        </w:tc>
        <w:tc>
          <w:tcPr>
            <w:tcW w:w="4550" w:type="dxa"/>
            <w:tcBorders>
              <w:top w:val="single" w:sz="4" w:space="0" w:color="auto"/>
              <w:left w:val="single" w:sz="4" w:space="0" w:color="auto"/>
              <w:bottom w:val="single" w:sz="4" w:space="0" w:color="auto"/>
              <w:right w:val="single" w:sz="4" w:space="0" w:color="auto"/>
            </w:tcBorders>
          </w:tcPr>
          <w:p w14:paraId="26BF62D0"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Pitezenib</w:t>
            </w:r>
          </w:p>
        </w:tc>
      </w:tr>
      <w:tr w:rsidR="008F7970" w14:paraId="4CCF57D1" w14:textId="77777777">
        <w:trPr>
          <w:trHeight w:val="20"/>
        </w:trPr>
        <w:tc>
          <w:tcPr>
            <w:tcW w:w="4510" w:type="dxa"/>
            <w:tcBorders>
              <w:top w:val="single" w:sz="4" w:space="0" w:color="auto"/>
              <w:left w:val="single" w:sz="4" w:space="0" w:color="auto"/>
              <w:bottom w:val="single" w:sz="4" w:space="0" w:color="auto"/>
              <w:right w:val="single" w:sz="4" w:space="0" w:color="auto"/>
            </w:tcBorders>
          </w:tcPr>
          <w:p w14:paraId="546E1284"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Kipras</w:t>
            </w:r>
          </w:p>
        </w:tc>
        <w:tc>
          <w:tcPr>
            <w:tcW w:w="4550" w:type="dxa"/>
            <w:tcBorders>
              <w:top w:val="single" w:sz="4" w:space="0" w:color="auto"/>
              <w:left w:val="single" w:sz="4" w:space="0" w:color="auto"/>
              <w:bottom w:val="single" w:sz="4" w:space="0" w:color="auto"/>
              <w:right w:val="single" w:sz="4" w:space="0" w:color="auto"/>
            </w:tcBorders>
          </w:tcPr>
          <w:p w14:paraId="1DC94100"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Pitavastatin/Ezetimibe TAD</w:t>
            </w:r>
          </w:p>
        </w:tc>
      </w:tr>
      <w:tr w:rsidR="008F7970" w14:paraId="1CDDD1DB" w14:textId="77777777">
        <w:trPr>
          <w:trHeight w:val="20"/>
        </w:trPr>
        <w:tc>
          <w:tcPr>
            <w:tcW w:w="4510" w:type="dxa"/>
            <w:tcBorders>
              <w:top w:val="single" w:sz="4" w:space="0" w:color="auto"/>
              <w:left w:val="single" w:sz="4" w:space="0" w:color="auto"/>
              <w:bottom w:val="single" w:sz="4" w:space="0" w:color="auto"/>
              <w:right w:val="single" w:sz="4" w:space="0" w:color="auto"/>
            </w:tcBorders>
          </w:tcPr>
          <w:p w14:paraId="4968DD51"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Graikija</w:t>
            </w:r>
          </w:p>
        </w:tc>
        <w:tc>
          <w:tcPr>
            <w:tcW w:w="4550" w:type="dxa"/>
            <w:tcBorders>
              <w:top w:val="single" w:sz="4" w:space="0" w:color="auto"/>
              <w:left w:val="single" w:sz="4" w:space="0" w:color="auto"/>
              <w:bottom w:val="single" w:sz="4" w:space="0" w:color="auto"/>
              <w:right w:val="single" w:sz="4" w:space="0" w:color="auto"/>
            </w:tcBorders>
          </w:tcPr>
          <w:p w14:paraId="56FF57F2"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Co-Pitavador</w:t>
            </w:r>
          </w:p>
        </w:tc>
      </w:tr>
      <w:tr w:rsidR="008F7970" w14:paraId="42C8934C" w14:textId="77777777">
        <w:trPr>
          <w:trHeight w:val="20"/>
        </w:trPr>
        <w:tc>
          <w:tcPr>
            <w:tcW w:w="4510" w:type="dxa"/>
            <w:tcBorders>
              <w:top w:val="single" w:sz="4" w:space="0" w:color="auto"/>
              <w:left w:val="single" w:sz="4" w:space="0" w:color="auto"/>
              <w:bottom w:val="single" w:sz="4" w:space="0" w:color="auto"/>
              <w:right w:val="single" w:sz="4" w:space="0" w:color="auto"/>
            </w:tcBorders>
          </w:tcPr>
          <w:p w14:paraId="04C88A77"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Ispanija</w:t>
            </w:r>
          </w:p>
        </w:tc>
        <w:tc>
          <w:tcPr>
            <w:tcW w:w="4550" w:type="dxa"/>
            <w:tcBorders>
              <w:top w:val="single" w:sz="4" w:space="0" w:color="auto"/>
              <w:left w:val="single" w:sz="4" w:space="0" w:color="auto"/>
              <w:bottom w:val="single" w:sz="4" w:space="0" w:color="auto"/>
              <w:right w:val="single" w:sz="4" w:space="0" w:color="auto"/>
            </w:tcBorders>
          </w:tcPr>
          <w:p w14:paraId="1C74AAC9"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Pitavastatina/Ezetimiba Krka</w:t>
            </w:r>
          </w:p>
        </w:tc>
      </w:tr>
      <w:tr w:rsidR="008F7970" w14:paraId="7C0356D5" w14:textId="77777777">
        <w:trPr>
          <w:trHeight w:val="20"/>
        </w:trPr>
        <w:tc>
          <w:tcPr>
            <w:tcW w:w="4510" w:type="dxa"/>
            <w:tcBorders>
              <w:top w:val="single" w:sz="4" w:space="0" w:color="auto"/>
              <w:left w:val="single" w:sz="4" w:space="0" w:color="auto"/>
              <w:bottom w:val="single" w:sz="4" w:space="0" w:color="auto"/>
              <w:right w:val="single" w:sz="4" w:space="0" w:color="auto"/>
            </w:tcBorders>
          </w:tcPr>
          <w:p w14:paraId="23C79FE1" w14:textId="77777777" w:rsidR="008F7970" w:rsidRDefault="00AD4BB2">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Lenkija, Slovėnija</w:t>
            </w:r>
          </w:p>
        </w:tc>
        <w:tc>
          <w:tcPr>
            <w:tcW w:w="4550" w:type="dxa"/>
            <w:tcBorders>
              <w:top w:val="single" w:sz="4" w:space="0" w:color="auto"/>
              <w:left w:val="single" w:sz="4" w:space="0" w:color="auto"/>
              <w:bottom w:val="single" w:sz="4" w:space="0" w:color="auto"/>
              <w:right w:val="single" w:sz="4" w:space="0" w:color="auto"/>
            </w:tcBorders>
          </w:tcPr>
          <w:p w14:paraId="3C4D4957" w14:textId="77777777" w:rsidR="008F7970" w:rsidRDefault="00AD4BB2">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Piteromib</w:t>
            </w:r>
            <w:proofErr w:type="spellEnd"/>
          </w:p>
        </w:tc>
      </w:tr>
    </w:tbl>
    <w:p w14:paraId="27272D7B" w14:textId="77777777" w:rsidR="008F7970" w:rsidRDefault="008F7970">
      <w:pPr>
        <w:widowControl w:val="0"/>
        <w:ind w:left="0" w:firstLine="0"/>
        <w:rPr>
          <w:rFonts w:ascii="Times New Roman" w:hAnsi="Times New Roman" w:cs="Times New Roman"/>
        </w:rPr>
      </w:pPr>
    </w:p>
    <w:p w14:paraId="25088427" w14:textId="77777777" w:rsidR="008F7970" w:rsidRDefault="008F7970">
      <w:pPr>
        <w:widowControl w:val="0"/>
        <w:ind w:left="0" w:firstLine="0"/>
        <w:rPr>
          <w:rFonts w:ascii="Times New Roman" w:hAnsi="Times New Roman" w:cs="Times New Roman"/>
        </w:rPr>
      </w:pPr>
    </w:p>
    <w:p w14:paraId="52C2960C" w14:textId="0D702FE2" w:rsidR="008F7970" w:rsidRDefault="00AD4BB2">
      <w:pPr>
        <w:widowControl w:val="0"/>
        <w:ind w:left="0" w:firstLine="0"/>
        <w:rPr>
          <w:rFonts w:ascii="Times New Roman" w:hAnsi="Times New Roman" w:cs="Times New Roman"/>
          <w:b/>
        </w:rPr>
      </w:pPr>
      <w:r>
        <w:rPr>
          <w:rFonts w:ascii="Times New Roman" w:hAnsi="Times New Roman" w:cs="Times New Roman"/>
          <w:b/>
        </w:rPr>
        <w:t>Šis pakuotės lapelis paskutinį kartą peržiūrėtas 2026-03-16.</w:t>
      </w:r>
    </w:p>
    <w:p w14:paraId="0E0327F3" w14:textId="77777777" w:rsidR="008F7970" w:rsidRDefault="008F7970">
      <w:pPr>
        <w:widowControl w:val="0"/>
        <w:ind w:left="0" w:firstLine="0"/>
        <w:rPr>
          <w:rFonts w:ascii="Times New Roman" w:hAnsi="Times New Roman" w:cs="Times New Roman"/>
          <w:b/>
        </w:rPr>
      </w:pPr>
    </w:p>
    <w:p w14:paraId="2A2043BC" w14:textId="77777777" w:rsidR="008F7970" w:rsidRDefault="008F7970">
      <w:pPr>
        <w:widowControl w:val="0"/>
        <w:ind w:left="0" w:firstLine="0"/>
        <w:rPr>
          <w:rFonts w:ascii="Times New Roman" w:hAnsi="Times New Roman" w:cs="Times New Roman"/>
        </w:rPr>
      </w:pPr>
    </w:p>
    <w:p w14:paraId="32D34E73" w14:textId="77777777" w:rsidR="008F7970" w:rsidRDefault="00AD4BB2">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6" w:name="_Hlk173407610"/>
      <w:r>
        <w:rPr>
          <w:rFonts w:ascii="Times New Roman" w:eastAsia="Times New Roman" w:hAnsi="Times New Roman" w:cs="Times New Roman"/>
          <w:color w:val="0000EE"/>
          <w:u w:val="single"/>
          <w:lang w:eastAsia="lt-LT"/>
        </w:rPr>
        <w:t>https://vvkt.lrv.lt/lt/</w:t>
      </w:r>
      <w:bookmarkEnd w:id="6"/>
      <w:r>
        <w:rPr>
          <w:rFonts w:ascii="Times New Roman" w:hAnsi="Times New Roman" w:cs="Times New Roman"/>
        </w:rPr>
        <w:t>.</w:t>
      </w:r>
    </w:p>
    <w:p w14:paraId="6F7572BB" w14:textId="77777777" w:rsidR="008F7970" w:rsidRDefault="008F7970">
      <w:pPr>
        <w:widowControl w:val="0"/>
        <w:ind w:left="0" w:firstLine="0"/>
        <w:rPr>
          <w:rFonts w:ascii="Times New Roman" w:hAnsi="Times New Roman" w:cs="Times New Roman"/>
          <w:highlight w:val="yellow"/>
          <w:lang w:val="sl-SI"/>
        </w:rPr>
      </w:pPr>
    </w:p>
    <w:p w14:paraId="07BF71CA" w14:textId="77777777" w:rsidR="008F7970" w:rsidRDefault="008F7970">
      <w:pPr>
        <w:widowControl w:val="0"/>
        <w:ind w:left="0" w:firstLine="0"/>
        <w:rPr>
          <w:rFonts w:ascii="Times New Roman" w:hAnsi="Times New Roman" w:cs="Times New Roman"/>
          <w:lang w:val="sl-SI"/>
        </w:rPr>
      </w:pPr>
    </w:p>
    <w:p w14:paraId="567CFD9E" w14:textId="77777777" w:rsidR="008F7970" w:rsidRDefault="008F7970">
      <w:pPr>
        <w:widowControl w:val="0"/>
        <w:tabs>
          <w:tab w:val="left" w:pos="567"/>
        </w:tabs>
        <w:ind w:left="0" w:firstLine="0"/>
        <w:rPr>
          <w:rFonts w:ascii="Times New Roman" w:eastAsia="Times New Roman" w:hAnsi="Times New Roman" w:cs="Times New Roman"/>
        </w:rPr>
      </w:pPr>
    </w:p>
    <w:p w14:paraId="141A68D3" w14:textId="77777777" w:rsidR="008F7970" w:rsidRDefault="008F7970">
      <w:pPr>
        <w:rPr>
          <w:rFonts w:ascii="Times New Roman" w:hAnsi="Times New Roman" w:cs="Times New Roman"/>
        </w:rPr>
      </w:pPr>
    </w:p>
    <w:p w14:paraId="543412A2" w14:textId="77777777" w:rsidR="008F7970" w:rsidRDefault="008F7970"/>
    <w:sectPr w:rsidR="008F797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5CE7" w14:textId="77777777" w:rsidR="00A95D12" w:rsidRDefault="00A95D12">
      <w:r>
        <w:separator/>
      </w:r>
    </w:p>
  </w:endnote>
  <w:endnote w:type="continuationSeparator" w:id="0">
    <w:p w14:paraId="16E7D865" w14:textId="77777777" w:rsidR="00A95D12" w:rsidRDefault="00A95D12">
      <w:r>
        <w:continuationSeparator/>
      </w:r>
    </w:p>
  </w:endnote>
  <w:endnote w:type="continuationNotice" w:id="1">
    <w:p w14:paraId="66FB5C31" w14:textId="77777777" w:rsidR="00A95D12" w:rsidRDefault="00A95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7225" w14:textId="77777777" w:rsidR="008F7970" w:rsidRDefault="008F79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7BE4" w14:textId="77777777" w:rsidR="008F7970" w:rsidRDefault="008F79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551C" w14:textId="77777777" w:rsidR="008F7970" w:rsidRDefault="008F79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C8F8" w14:textId="77777777" w:rsidR="00A95D12" w:rsidRDefault="00A95D12">
      <w:r>
        <w:separator/>
      </w:r>
    </w:p>
  </w:footnote>
  <w:footnote w:type="continuationSeparator" w:id="0">
    <w:p w14:paraId="4EC3B2F4" w14:textId="77777777" w:rsidR="00A95D12" w:rsidRDefault="00A95D12">
      <w:r>
        <w:continuationSeparator/>
      </w:r>
    </w:p>
  </w:footnote>
  <w:footnote w:type="continuationNotice" w:id="1">
    <w:p w14:paraId="74B103E4" w14:textId="77777777" w:rsidR="00A95D12" w:rsidRDefault="00A95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6625" w14:textId="77777777" w:rsidR="008F7970" w:rsidRDefault="008F79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D08D" w14:textId="77777777" w:rsidR="008F7970" w:rsidRDefault="008F7970">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E387" w14:textId="77777777" w:rsidR="008F7970" w:rsidRDefault="008F79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3F0A69"/>
    <w:multiLevelType w:val="hybridMultilevel"/>
    <w:tmpl w:val="402C4E4C"/>
    <w:lvl w:ilvl="0" w:tplc="3F448C72">
      <w:start w:val="100"/>
      <w:numFmt w:val="bullet"/>
      <w:lvlText w:val="-"/>
      <w:lvlJc w:val="left"/>
      <w:pPr>
        <w:ind w:left="890" w:hanging="360"/>
      </w:pPr>
      <w:rPr>
        <w:rFonts w:ascii="Times New Roman" w:eastAsia="Times New Roman" w:hAnsi="Times New Roman"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3"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BC60888"/>
    <w:multiLevelType w:val="hybridMultilevel"/>
    <w:tmpl w:val="EF808964"/>
    <w:lvl w:ilvl="0" w:tplc="E2E8713A">
      <w:numFmt w:val="bullet"/>
      <w:lvlText w:val="-"/>
      <w:lvlJc w:val="left"/>
      <w:pPr>
        <w:tabs>
          <w:tab w:val="num" w:pos="567"/>
        </w:tabs>
        <w:ind w:left="567" w:hanging="567"/>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06CA5"/>
    <w:multiLevelType w:val="hybridMultilevel"/>
    <w:tmpl w:val="AB4E5700"/>
    <w:lvl w:ilvl="0" w:tplc="3F448C72">
      <w:start w:val="100"/>
      <w:numFmt w:val="bullet"/>
      <w:lvlText w:val="-"/>
      <w:lvlJc w:val="left"/>
      <w:pPr>
        <w:ind w:left="890" w:hanging="360"/>
      </w:pPr>
      <w:rPr>
        <w:rFonts w:ascii="Times New Roman" w:eastAsia="Times New Roman" w:hAnsi="Times New Roman"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8" w15:restartNumberingAfterBreak="0">
    <w:nsid w:val="2E1D4AE3"/>
    <w:multiLevelType w:val="hybridMultilevel"/>
    <w:tmpl w:val="792AB73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BCB7410"/>
    <w:multiLevelType w:val="hybridMultilevel"/>
    <w:tmpl w:val="D81EA772"/>
    <w:lvl w:ilvl="0" w:tplc="3F448C72">
      <w:start w:val="1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1509F5"/>
    <w:multiLevelType w:val="hybridMultilevel"/>
    <w:tmpl w:val="5C28EF1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16CD7"/>
    <w:multiLevelType w:val="hybridMultilevel"/>
    <w:tmpl w:val="8BB4DC38"/>
    <w:lvl w:ilvl="0" w:tplc="AFFE55DE">
      <w:numFmt w:val="bullet"/>
      <w:lvlText w:val="-"/>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3C5D4B"/>
    <w:multiLevelType w:val="hybridMultilevel"/>
    <w:tmpl w:val="8F261B3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A55EEB"/>
    <w:multiLevelType w:val="hybridMultilevel"/>
    <w:tmpl w:val="5D68B70E"/>
    <w:lvl w:ilvl="0" w:tplc="AFFE55DE">
      <w:numFmt w:val="bullet"/>
      <w:lvlText w:val="-"/>
      <w:lvlJc w:val="left"/>
      <w:pPr>
        <w:ind w:left="360" w:hanging="360"/>
      </w:pPr>
      <w:rPr>
        <w:rFonts w:ascii="Times New Roman" w:hAnsi="Times New Roman" w:cs="Times New Roman"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AA05500"/>
    <w:multiLevelType w:val="hybridMultilevel"/>
    <w:tmpl w:val="5DDE99B8"/>
    <w:lvl w:ilvl="0" w:tplc="B366BCDA">
      <w:start w:val="2"/>
      <w:numFmt w:val="chicago"/>
      <w:lvlText w:val="%1"/>
      <w:lvlJc w:val="left"/>
      <w:pPr>
        <w:ind w:left="10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9C32B0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554CBF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2E328556">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D49629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F04418D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5584FA28">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8570BBC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C1FEAF9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abstractNum w:abstractNumId="19" w15:restartNumberingAfterBreak="0">
    <w:nsid w:val="6AEF152A"/>
    <w:multiLevelType w:val="hybridMultilevel"/>
    <w:tmpl w:val="381A864A"/>
    <w:lvl w:ilvl="0" w:tplc="2D50D47E">
      <w:start w:val="2"/>
      <w:numFmt w:val="chicago"/>
      <w:lvlText w:val="%1"/>
      <w:lvlJc w:val="left"/>
      <w:pPr>
        <w:ind w:left="1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854645E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441A0F7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673C00D8">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ACB4164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0D76B6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C7B28936">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57329F9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4CD891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abstractNum w:abstractNumId="20" w15:restartNumberingAfterBreak="0">
    <w:nsid w:val="72D22D7D"/>
    <w:multiLevelType w:val="hybridMultilevel"/>
    <w:tmpl w:val="A7DEA0C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F268F"/>
    <w:multiLevelType w:val="hybridMultilevel"/>
    <w:tmpl w:val="DA2C5436"/>
    <w:lvl w:ilvl="0" w:tplc="3F448C7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55010730">
    <w:abstractNumId w:val="10"/>
  </w:num>
  <w:num w:numId="2" w16cid:durableId="760374231">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903853">
    <w:abstractNumId w:val="4"/>
  </w:num>
  <w:num w:numId="4" w16cid:durableId="1909731419">
    <w:abstractNumId w:val="0"/>
    <w:lvlOverride w:ilvl="0">
      <w:lvl w:ilvl="0">
        <w:numFmt w:val="bullet"/>
        <w:lvlText w:val="-"/>
        <w:legacy w:legacy="1" w:legacySpace="0" w:legacyIndent="360"/>
        <w:lvlJc w:val="left"/>
        <w:pPr>
          <w:ind w:left="360" w:hanging="360"/>
        </w:pPr>
      </w:lvl>
    </w:lvlOverride>
  </w:num>
  <w:num w:numId="5" w16cid:durableId="822746132">
    <w:abstractNumId w:val="9"/>
  </w:num>
  <w:num w:numId="6" w16cid:durableId="2025158955">
    <w:abstractNumId w:val="3"/>
  </w:num>
  <w:num w:numId="7" w16cid:durableId="909731035">
    <w:abstractNumId w:val="15"/>
  </w:num>
  <w:num w:numId="8" w16cid:durableId="1850437615">
    <w:abstractNumId w:val="16"/>
  </w:num>
  <w:num w:numId="9" w16cid:durableId="1738092073">
    <w:abstractNumId w:val="0"/>
    <w:lvlOverride w:ilvl="0">
      <w:lvl w:ilvl="0">
        <w:numFmt w:val="bullet"/>
        <w:lvlText w:val="-"/>
        <w:lvlJc w:val="left"/>
        <w:pPr>
          <w:ind w:left="360" w:hanging="360"/>
        </w:pPr>
      </w:lvl>
    </w:lvlOverride>
  </w:num>
  <w:num w:numId="10" w16cid:durableId="1224216038">
    <w:abstractNumId w:val="1"/>
  </w:num>
  <w:num w:numId="11" w16cid:durableId="1997412352">
    <w:abstractNumId w:val="11"/>
  </w:num>
  <w:num w:numId="12" w16cid:durableId="1445614558">
    <w:abstractNumId w:val="7"/>
  </w:num>
  <w:num w:numId="13" w16cid:durableId="1235898197">
    <w:abstractNumId w:val="2"/>
  </w:num>
  <w:num w:numId="14" w16cid:durableId="171533836">
    <w:abstractNumId w:val="13"/>
  </w:num>
  <w:num w:numId="15" w16cid:durableId="160637766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88320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775117">
    <w:abstractNumId w:val="17"/>
  </w:num>
  <w:num w:numId="18" w16cid:durableId="679162591">
    <w:abstractNumId w:val="12"/>
  </w:num>
  <w:num w:numId="19" w16cid:durableId="1020934376">
    <w:abstractNumId w:val="20"/>
  </w:num>
  <w:num w:numId="20" w16cid:durableId="1824464033">
    <w:abstractNumId w:val="8"/>
  </w:num>
  <w:num w:numId="21" w16cid:durableId="2088526396">
    <w:abstractNumId w:val="6"/>
  </w:num>
  <w:num w:numId="22" w16cid:durableId="915474231">
    <w:abstractNumId w:val="21"/>
  </w:num>
  <w:num w:numId="23" w16cid:durableId="1727755400">
    <w:abstractNumId w:val="0"/>
    <w:lvlOverride w:ilvl="0">
      <w:lvl w:ilvl="0">
        <w:numFmt w:val="bullet"/>
        <w:lvlText w:val="-"/>
        <w:lvlJc w:val="left"/>
        <w:pPr>
          <w:ind w:left="0" w:hanging="360"/>
        </w:pPr>
      </w:lvl>
    </w:lvlOverride>
  </w:num>
  <w:num w:numId="24" w16cid:durableId="386345126">
    <w:abstractNumId w:val="14"/>
  </w:num>
  <w:num w:numId="25" w16cid:durableId="2721331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70"/>
    <w:rsid w:val="000230EA"/>
    <w:rsid w:val="00025DA2"/>
    <w:rsid w:val="00044238"/>
    <w:rsid w:val="000576CA"/>
    <w:rsid w:val="00057791"/>
    <w:rsid w:val="00057E17"/>
    <w:rsid w:val="00066997"/>
    <w:rsid w:val="00070695"/>
    <w:rsid w:val="000C43FE"/>
    <w:rsid w:val="00112849"/>
    <w:rsid w:val="00127900"/>
    <w:rsid w:val="00127ABF"/>
    <w:rsid w:val="00134891"/>
    <w:rsid w:val="00195840"/>
    <w:rsid w:val="001B5223"/>
    <w:rsid w:val="001E09F8"/>
    <w:rsid w:val="001F5154"/>
    <w:rsid w:val="00200F12"/>
    <w:rsid w:val="00233F4A"/>
    <w:rsid w:val="0023731D"/>
    <w:rsid w:val="00265BB7"/>
    <w:rsid w:val="002C23C3"/>
    <w:rsid w:val="002C5338"/>
    <w:rsid w:val="002E0CE8"/>
    <w:rsid w:val="002E270C"/>
    <w:rsid w:val="002F1419"/>
    <w:rsid w:val="003067CF"/>
    <w:rsid w:val="0032493A"/>
    <w:rsid w:val="0032495C"/>
    <w:rsid w:val="00333D06"/>
    <w:rsid w:val="003815DB"/>
    <w:rsid w:val="003838A6"/>
    <w:rsid w:val="003E54DA"/>
    <w:rsid w:val="003E7085"/>
    <w:rsid w:val="00404581"/>
    <w:rsid w:val="00422CD6"/>
    <w:rsid w:val="004C180A"/>
    <w:rsid w:val="004C43E7"/>
    <w:rsid w:val="004D6EBD"/>
    <w:rsid w:val="004E0E47"/>
    <w:rsid w:val="004E486C"/>
    <w:rsid w:val="004E5DE6"/>
    <w:rsid w:val="00517AE6"/>
    <w:rsid w:val="00555188"/>
    <w:rsid w:val="005605F6"/>
    <w:rsid w:val="005803DC"/>
    <w:rsid w:val="005A41A3"/>
    <w:rsid w:val="005A5DDE"/>
    <w:rsid w:val="005B03E4"/>
    <w:rsid w:val="005E5C47"/>
    <w:rsid w:val="006141E1"/>
    <w:rsid w:val="006156C9"/>
    <w:rsid w:val="00615D13"/>
    <w:rsid w:val="00623DF0"/>
    <w:rsid w:val="006471D0"/>
    <w:rsid w:val="0067669B"/>
    <w:rsid w:val="007001F7"/>
    <w:rsid w:val="00700ACE"/>
    <w:rsid w:val="007027AC"/>
    <w:rsid w:val="00704F88"/>
    <w:rsid w:val="007145B9"/>
    <w:rsid w:val="00731FED"/>
    <w:rsid w:val="00733622"/>
    <w:rsid w:val="0073411D"/>
    <w:rsid w:val="007422C8"/>
    <w:rsid w:val="0075419B"/>
    <w:rsid w:val="00793B90"/>
    <w:rsid w:val="00813F55"/>
    <w:rsid w:val="00816A72"/>
    <w:rsid w:val="00833137"/>
    <w:rsid w:val="00833D9D"/>
    <w:rsid w:val="008F4460"/>
    <w:rsid w:val="008F4562"/>
    <w:rsid w:val="008F7970"/>
    <w:rsid w:val="00937A2B"/>
    <w:rsid w:val="00967290"/>
    <w:rsid w:val="00977A43"/>
    <w:rsid w:val="009C70A0"/>
    <w:rsid w:val="009D2CE0"/>
    <w:rsid w:val="009E643C"/>
    <w:rsid w:val="009F5E55"/>
    <w:rsid w:val="00A03784"/>
    <w:rsid w:val="00A052E6"/>
    <w:rsid w:val="00A12571"/>
    <w:rsid w:val="00A316A7"/>
    <w:rsid w:val="00A4331D"/>
    <w:rsid w:val="00A70FE7"/>
    <w:rsid w:val="00A84310"/>
    <w:rsid w:val="00A875C3"/>
    <w:rsid w:val="00A877B2"/>
    <w:rsid w:val="00A95D12"/>
    <w:rsid w:val="00AA68E9"/>
    <w:rsid w:val="00AB5D31"/>
    <w:rsid w:val="00AC2CDE"/>
    <w:rsid w:val="00AD4BB2"/>
    <w:rsid w:val="00AD6263"/>
    <w:rsid w:val="00B32550"/>
    <w:rsid w:val="00B630F1"/>
    <w:rsid w:val="00B6681D"/>
    <w:rsid w:val="00B82A1B"/>
    <w:rsid w:val="00BB3916"/>
    <w:rsid w:val="00BC7E82"/>
    <w:rsid w:val="00BD576B"/>
    <w:rsid w:val="00BD6654"/>
    <w:rsid w:val="00BE3FB1"/>
    <w:rsid w:val="00C22AA1"/>
    <w:rsid w:val="00C300B0"/>
    <w:rsid w:val="00C6335A"/>
    <w:rsid w:val="00C853B1"/>
    <w:rsid w:val="00C87AE3"/>
    <w:rsid w:val="00CB7210"/>
    <w:rsid w:val="00CC07D3"/>
    <w:rsid w:val="00CD7934"/>
    <w:rsid w:val="00CE6A95"/>
    <w:rsid w:val="00CF1502"/>
    <w:rsid w:val="00CF162E"/>
    <w:rsid w:val="00D256B5"/>
    <w:rsid w:val="00D45499"/>
    <w:rsid w:val="00D473A6"/>
    <w:rsid w:val="00D51768"/>
    <w:rsid w:val="00D66B96"/>
    <w:rsid w:val="00D7041F"/>
    <w:rsid w:val="00D9289F"/>
    <w:rsid w:val="00DA26AC"/>
    <w:rsid w:val="00DC490D"/>
    <w:rsid w:val="00DC7977"/>
    <w:rsid w:val="00DE20F4"/>
    <w:rsid w:val="00DE3910"/>
    <w:rsid w:val="00DE7054"/>
    <w:rsid w:val="00E132B8"/>
    <w:rsid w:val="00E21D52"/>
    <w:rsid w:val="00E21E5C"/>
    <w:rsid w:val="00E608BD"/>
    <w:rsid w:val="00E632A1"/>
    <w:rsid w:val="00E67398"/>
    <w:rsid w:val="00E73581"/>
    <w:rsid w:val="00EE76E0"/>
    <w:rsid w:val="00F253E3"/>
    <w:rsid w:val="00F45D02"/>
    <w:rsid w:val="00F80976"/>
    <w:rsid w:val="00FD0F0E"/>
    <w:rsid w:val="00FD559D"/>
    <w:rsid w:val="00FD6A3C"/>
    <w:rsid w:val="00FE6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789BF"/>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ind w:left="0" w:firstLine="0"/>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pPr>
      <w:keepNext/>
      <w:keepLines/>
      <w:tabs>
        <w:tab w:val="left" w:pos="567"/>
      </w:tabs>
      <w:spacing w:before="120" w:after="80" w:line="260" w:lineRule="exact"/>
      <w:ind w:left="0" w:firstLine="0"/>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pPr>
      <w:keepNext/>
      <w:tabs>
        <w:tab w:val="left" w:pos="567"/>
      </w:tabs>
      <w:spacing w:line="260" w:lineRule="exact"/>
      <w:ind w:left="0" w:firstLine="0"/>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ind w:left="0" w:firstLine="0"/>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hAnsi="Segoe UI" w:cs="Segoe UI"/>
      <w:sz w:val="18"/>
      <w:szCs w:val="18"/>
    </w:rPr>
  </w:style>
  <w:style w:type="paragraph" w:styleId="Porat">
    <w:name w:val="footer"/>
    <w:basedOn w:val="prastasis"/>
    <w:link w:val="PoratDiagrama"/>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pPr>
      <w:ind w:left="720"/>
      <w:contextualSpacing/>
    </w:p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nhideWhenUsed/>
    <w:rPr>
      <w:sz w:val="16"/>
      <w:szCs w:val="16"/>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sz w:val="20"/>
      <w:szCs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szCs w:val="20"/>
    </w:rPr>
  </w:style>
  <w:style w:type="character" w:customStyle="1" w:styleId="Antrat1Diagrama">
    <w:name w:val="Antraštė 1 Diagrama"/>
    <w:basedOn w:val="Numatytasispastraiposriftas"/>
    <w:link w:val="Antrat1"/>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Pr>
      <w:rFonts w:ascii="Times New Roman" w:eastAsia="SimSun" w:hAnsi="Times New Roman" w:cs="Times New Roman"/>
      <w:b/>
      <w:i/>
      <w:szCs w:val="20"/>
      <w:lang w:val="en-GB"/>
    </w:rPr>
  </w:style>
  <w:style w:type="numbering" w:customStyle="1" w:styleId="NoList1">
    <w:name w:val="No List1"/>
    <w:next w:val="Sraonra"/>
    <w:uiPriority w:val="99"/>
    <w:semiHidden/>
    <w:unhideWhenUsed/>
  </w:style>
  <w:style w:type="character" w:styleId="Puslapionumeris">
    <w:name w:val="page number"/>
    <w:rPr>
      <w:rFonts w:cs="Times New Roman"/>
    </w:rPr>
  </w:style>
  <w:style w:type="paragraph" w:customStyle="1" w:styleId="BodytextAgency">
    <w:name w:val="Body text (Agency)"/>
    <w:basedOn w:val="prastasis"/>
    <w:link w:val="BodytextAgencyChar"/>
    <w:uiPriority w:val="99"/>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EMEAEnBodyText">
    <w:name w:val="EMEA En Body Text"/>
    <w:basedOn w:val="prastasis"/>
    <w:pPr>
      <w:spacing w:before="120" w:after="120"/>
      <w:ind w:left="0" w:firstLine="0"/>
      <w:jc w:val="both"/>
    </w:pPr>
    <w:rPr>
      <w:rFonts w:ascii="Times New Roman" w:eastAsia="SimSun" w:hAnsi="Times New Roman" w:cs="Times New Roman"/>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character" w:customStyle="1" w:styleId="HeaderChar1">
    <w:name w:val="Header Char1"/>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ind w:left="0" w:firstLine="0"/>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ind w:left="0" w:firstLine="0"/>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ind w:left="0" w:firstLine="0"/>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tabs>
        <w:tab w:val="left" w:pos="567"/>
      </w:tabs>
      <w:ind w:left="0" w:firstLine="0"/>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numbering" w:customStyle="1" w:styleId="NoList11">
    <w:name w:val="No List11"/>
    <w:next w:val="Sraonra"/>
    <w:uiPriority w:val="99"/>
    <w:semiHidden/>
    <w:unhideWhenUsed/>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
    <w:name w:val="Nerazrešena omemba"/>
    <w:uiPriority w:val="99"/>
    <w:semiHidden/>
    <w:unhideWhenUsed/>
    <w:rPr>
      <w:color w:val="605E5C"/>
      <w:shd w:val="clear" w:color="auto" w:fill="E1DFDD"/>
    </w:rPr>
  </w:style>
  <w:style w:type="paragraph" w:styleId="prastasiniatinklio">
    <w:name w:val="Normal (Web)"/>
    <w:basedOn w:val="prastasis"/>
    <w:uiPriority w:val="99"/>
    <w:pPr>
      <w:spacing w:before="100" w:beforeAutospacing="1" w:after="100" w:afterAutospacing="1"/>
      <w:ind w:left="0" w:firstLine="0"/>
    </w:pPr>
    <w:rPr>
      <w:rFonts w:ascii="Arial Unicode MS" w:eastAsia="Arial Unicode MS" w:hAnsi="Arial Unicode MS" w:cs="Arial Unicode MS"/>
      <w:sz w:val="24"/>
      <w:szCs w:val="24"/>
      <w:lang w:val="de-DE" w:eastAsia="de-DE"/>
    </w:rPr>
  </w:style>
  <w:style w:type="table" w:customStyle="1" w:styleId="TableGrid">
    <w:name w:val="TableGrid"/>
    <w:pPr>
      <w:spacing w:after="0" w:line="240" w:lineRule="auto"/>
    </w:pPr>
    <w:rPr>
      <w:rFonts w:ascii="Calibri" w:eastAsia="Times New Roman" w:hAnsi="Calibri" w:cs="Times New Roman"/>
      <w:lang w:val="sl-SI"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20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57684</Words>
  <Characters>32880</Characters>
  <Application>Microsoft Office Word</Application>
  <DocSecurity>4</DocSecurity>
  <Lines>274</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2026-03-25T08:03:00Z</dcterms:created>
  <dcterms:modified xsi:type="dcterms:W3CDTF">2026-03-25T08:03:00Z</dcterms:modified>
</cp:coreProperties>
</file>