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D80F0" w14:textId="77777777" w:rsidR="006E3364" w:rsidRPr="008B2280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39B84B2F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6E29154D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392312E6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1198D900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2FC98781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616023AC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40456616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416A2359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1FDAE081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2AE3802B" w14:textId="77777777" w:rsidR="006E336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4B8BA26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6DCA3D69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2A2DDDC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3D25E603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1F5D78F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F5B6AF4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12302F5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B. PAKUOTĖS LAPELIS</w:t>
      </w:r>
    </w:p>
    <w:p w14:paraId="673555A1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422FF99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DB43898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5EBF8E9" w14:textId="77777777" w:rsidR="006E3364" w:rsidRPr="008B32C4" w:rsidRDefault="006E3364" w:rsidP="006E3364">
      <w:pPr>
        <w:spacing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8B8C662" w14:textId="77777777" w:rsidR="006E3364" w:rsidRPr="008B32C4" w:rsidRDefault="006E3364" w:rsidP="006E3364">
      <w:pPr>
        <w:spacing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9F58E0" w14:textId="77777777" w:rsidR="006E3364" w:rsidRPr="008B32C4" w:rsidRDefault="006E3364" w:rsidP="006E3364">
      <w:pPr>
        <w:spacing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21307E" w14:textId="77777777" w:rsidR="006E3364" w:rsidRPr="008B32C4" w:rsidRDefault="006E3364" w:rsidP="006E3364">
      <w:pPr>
        <w:spacing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4DFE34" w14:textId="77777777" w:rsidR="006E3364" w:rsidRPr="008B32C4" w:rsidRDefault="006E3364" w:rsidP="006E3364">
      <w:pPr>
        <w:spacing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A1E0613" w14:textId="77777777" w:rsidR="006E3364" w:rsidRPr="008B32C4" w:rsidRDefault="006E3364" w:rsidP="006E3364">
      <w:pPr>
        <w:spacing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DC0A66" w14:textId="77777777" w:rsidR="006E3364" w:rsidRPr="008B32C4" w:rsidRDefault="006E3364" w:rsidP="006E3364">
      <w:pPr>
        <w:spacing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87E2DD" w14:textId="77777777" w:rsidR="006E3364" w:rsidRPr="008B32C4" w:rsidRDefault="006E3364" w:rsidP="006E3364">
      <w:pPr>
        <w:tabs>
          <w:tab w:val="left" w:pos="5591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172336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0" w:name="_Toc129243263"/>
      <w:bookmarkStart w:id="1" w:name="_Toc129243138"/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Pakuotės lapelis: informacija vartotojui</w:t>
      </w:r>
      <w:bookmarkEnd w:id="0"/>
      <w:bookmarkEnd w:id="1"/>
    </w:p>
    <w:p w14:paraId="7AAE89CF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4E9B713" w14:textId="50E989B4" w:rsidR="006E3364" w:rsidRPr="008B32C4" w:rsidRDefault="008B2280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etaserc 24 mg tabletės</w:t>
      </w:r>
    </w:p>
    <w:p w14:paraId="65210487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betahistino dihidrochloridas</w:t>
      </w:r>
    </w:p>
    <w:p w14:paraId="3EB7AAD3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7213D31" w14:textId="77777777" w:rsidR="006E3364" w:rsidRPr="008B32C4" w:rsidRDefault="006E3364" w:rsidP="006E33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13540CA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 xml:space="preserve">Atidžiai perskaitykite visą šį lapelį, prieš pradėdami vartoti vaistą, </w:t>
      </w:r>
      <w:r w:rsidRPr="008B32C4">
        <w:rPr>
          <w:rFonts w:ascii="Times New Roman" w:eastAsia="Calibri" w:hAnsi="Times New Roman" w:cs="Times New Roman"/>
          <w:b/>
          <w:noProof/>
          <w:kern w:val="0"/>
          <w:lang w:val="lt-LT"/>
          <w14:ligatures w14:val="none"/>
        </w:rPr>
        <w:t>nes jame pateikiama Jums svarbi informacija</w:t>
      </w: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.</w:t>
      </w:r>
    </w:p>
    <w:p w14:paraId="330363DE" w14:textId="77777777" w:rsidR="006E3364" w:rsidRPr="008B32C4" w:rsidRDefault="006E3364" w:rsidP="006E33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Neišmeskite šio lapelio, nes vėl gali prireikti jį perskaityti.</w:t>
      </w:r>
    </w:p>
    <w:p w14:paraId="241B175D" w14:textId="77777777" w:rsidR="006E3364" w:rsidRPr="008B32C4" w:rsidRDefault="006E3364" w:rsidP="006E33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Jeigu kiltų daugiau klausimų, kreipkitės į gydytoją arba vaistininką.</w:t>
      </w:r>
    </w:p>
    <w:p w14:paraId="3E5C0AD9" w14:textId="77777777" w:rsidR="006E3364" w:rsidRPr="008B32C4" w:rsidRDefault="006E3364" w:rsidP="006E33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Šis vaistas skirtas Jums, todėl kitiems žmonėms jo duoti negalima. Vaistas gali jiems pakenkti (net tiems, kurių ligos požymiai yra tokie patys kaip Jūsų).</w:t>
      </w:r>
    </w:p>
    <w:p w14:paraId="6C190C48" w14:textId="77777777" w:rsidR="006E3364" w:rsidRPr="008B32C4" w:rsidRDefault="006E3364" w:rsidP="006E33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Jeigu pasireiškė šalutinis poveikis </w:t>
      </w: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(net jeigu jis šiame lapelyje nenurodytas), kreipkitės į gydytoją arba vaistininką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. </w:t>
      </w: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Žr. 4 skyrių.</w:t>
      </w:r>
    </w:p>
    <w:p w14:paraId="17F9241D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4BEB2D0C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82C0E43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Apie ką rašoma šiame lapelyje?</w:t>
      </w:r>
    </w:p>
    <w:p w14:paraId="6D2BDF34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71EB6F1" w14:textId="0D99DBFE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1.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 xml:space="preserve">Kas yra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ir kam jis vartojamas</w:t>
      </w:r>
    </w:p>
    <w:p w14:paraId="005D0882" w14:textId="2FF136F3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2.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 xml:space="preserve">Kas žinotina prieš vartojant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</w:t>
      </w:r>
    </w:p>
    <w:p w14:paraId="0C1C053F" w14:textId="4B3739C6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3.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 xml:space="preserve">Kaip vartoti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</w:t>
      </w:r>
    </w:p>
    <w:p w14:paraId="2A020733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4.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Galimas šalutinis poveikis</w:t>
      </w:r>
    </w:p>
    <w:p w14:paraId="2ADAF20E" w14:textId="24EDBC2E" w:rsidR="006E3364" w:rsidRPr="008B32C4" w:rsidRDefault="006E3364" w:rsidP="006E3364">
      <w:pPr>
        <w:tabs>
          <w:tab w:val="left" w:pos="567"/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5.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 xml:space="preserve">Kaip laikyti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</w:t>
      </w:r>
    </w:p>
    <w:p w14:paraId="2C84D911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6.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</w: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Pakuotės turinys ir k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ita informacija</w:t>
      </w:r>
    </w:p>
    <w:p w14:paraId="7F88386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7E9AE97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ADB91D3" w14:textId="2102EDEE" w:rsidR="006E3364" w:rsidRPr="008B32C4" w:rsidRDefault="006E3364" w:rsidP="006E3364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1.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ab/>
        <w:t xml:space="preserve">Kas yra </w:t>
      </w:r>
      <w:r w:rsidR="008B2280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etaserc ir kam jis vartojamas</w:t>
      </w:r>
    </w:p>
    <w:p w14:paraId="6476239E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lt-LT" w:eastAsia="lt-LT"/>
          <w14:ligatures w14:val="none"/>
        </w:rPr>
      </w:pPr>
    </w:p>
    <w:p w14:paraId="234147AE" w14:textId="78D40FA0" w:rsidR="006E3364" w:rsidRPr="008B32C4" w:rsidRDefault="00510EB3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etaserc veiklioji medžiaga betahistinas priskiriamas taip vadinamiems histamino analogams (į histaminą panašioms medžiagoms).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veikimas pagrįstas tuo, kad jis padeda kraujui pritekėti į vidinę ausį. Tai sumažina spaudimo didėjimą.</w:t>
      </w:r>
    </w:p>
    <w:p w14:paraId="1A67AB8A" w14:textId="137EDDF5" w:rsidR="006E3364" w:rsidRPr="008B32C4" w:rsidRDefault="00510EB3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yra vartojamas gydant:</w:t>
      </w:r>
    </w:p>
    <w:p w14:paraId="162C91FF" w14:textId="77777777" w:rsidR="006E3364" w:rsidRPr="008B32C4" w:rsidRDefault="006E3364" w:rsidP="006E3364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-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Menjero ligą (pasireiškiančią galvos svaigimu (su pykinimu arba vėmimu), spengimu ausyse ir klausos praradimu arba sutrikimu);</w:t>
      </w:r>
    </w:p>
    <w:p w14:paraId="46E99457" w14:textId="77777777" w:rsidR="006E3364" w:rsidRPr="008B32C4" w:rsidRDefault="006E3364" w:rsidP="006E3364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-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vestibulinio aparato (vidinėje ausyje esančio kūno pusiausvyros organo, padedančio kontroliuoti kūno padėtį erdvėje) sutrikimo sukeltą svaigulį.</w:t>
      </w:r>
    </w:p>
    <w:p w14:paraId="09ECA9FF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7424DB0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5AB3FAB" w14:textId="12E96EF0" w:rsidR="006E3364" w:rsidRPr="008B32C4" w:rsidRDefault="006E3364" w:rsidP="006E3364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2.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ab/>
        <w:t xml:space="preserve">Kas žinotina prieš vartojant </w:t>
      </w:r>
      <w:r w:rsidR="008B2280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etaserc</w:t>
      </w:r>
    </w:p>
    <w:p w14:paraId="35B637B9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A847B51" w14:textId="773703CC" w:rsidR="006E3364" w:rsidRPr="008B32C4" w:rsidRDefault="008B2280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etaserc vartoti draudžiama:</w:t>
      </w:r>
    </w:p>
    <w:p w14:paraId="377B945D" w14:textId="77777777" w:rsidR="006E3364" w:rsidRPr="008B32C4" w:rsidRDefault="006E3364" w:rsidP="006E33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jeigu yra alergija </w:t>
      </w: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veikliajai medžiagai</w:t>
      </w:r>
      <w:r w:rsidRPr="008B32C4" w:rsidDel="00D71C3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arba bet kuriai pagalbinei </w:t>
      </w: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šio vaisto 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medžiagai (jos išvardytos 6 skyriuje);</w:t>
      </w:r>
    </w:p>
    <w:p w14:paraId="1AF787A2" w14:textId="77777777" w:rsidR="006E3364" w:rsidRPr="008B32C4" w:rsidRDefault="006E3364" w:rsidP="006E336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 gydytojas nustatė, kad jūs turite antinksčių liaukos auglį, vadinamą feochromocitoma.</w:t>
      </w:r>
    </w:p>
    <w:p w14:paraId="251B0F25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A20C840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Įspėjimai ir atsargumo priemonės</w:t>
      </w:r>
    </w:p>
    <w:p w14:paraId="76AEEF80" w14:textId="2E53B32F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Pasitarkite su gydytoju arba vaistininku, prieš pradėdami vartoti </w:t>
      </w:r>
      <w:r w:rsidR="00510EB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etaserc:</w:t>
      </w:r>
    </w:p>
    <w:p w14:paraId="302700CE" w14:textId="77777777" w:rsidR="006E3364" w:rsidRPr="008B32C4" w:rsidRDefault="006E3364" w:rsidP="006E3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jeigu kada nors Jums yra buvusi skrandžio opa;</w:t>
      </w:r>
    </w:p>
    <w:p w14:paraId="6356A9B0" w14:textId="77777777" w:rsidR="006E3364" w:rsidRPr="008B32C4" w:rsidRDefault="006E3364" w:rsidP="006E3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jeigu sergate astma.</w:t>
      </w:r>
    </w:p>
    <w:p w14:paraId="0EB8B063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E538B92" w14:textId="18B3B4A3" w:rsidR="006E3364" w:rsidRPr="008B32C4" w:rsidRDefault="00510EB3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vartojimo metu Jūsų gydytojas gali norėti stebėti Jus atidžiau.</w:t>
      </w:r>
    </w:p>
    <w:p w14:paraId="461E566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Vaik</w:t>
      </w: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ams ir paaugliams</w:t>
      </w:r>
    </w:p>
    <w:p w14:paraId="14E66D24" w14:textId="592C3747" w:rsidR="006E3364" w:rsidRPr="008B32C4" w:rsidRDefault="00510EB3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nerekomenduojamas jaunesniems kaip 18 metų vaikams ir paaugliams.</w:t>
      </w:r>
    </w:p>
    <w:p w14:paraId="66F5B3E0" w14:textId="77777777" w:rsidR="006E3364" w:rsidRPr="008B32C4" w:rsidRDefault="006E3364" w:rsidP="006E3364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lt-LT" w:eastAsia="lt-LT"/>
          <w14:ligatures w14:val="none"/>
        </w:rPr>
      </w:pPr>
    </w:p>
    <w:p w14:paraId="7B02823F" w14:textId="63FEAAE2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 xml:space="preserve">Kiti vaistai ir </w:t>
      </w:r>
      <w:r w:rsidR="008B2280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>etaserc</w:t>
      </w:r>
    </w:p>
    <w:p w14:paraId="2A4B9DFA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Jeigu vartojate arba neseniai vartojote kitų vaistų arba dėl to nesate tikri, apie tai pasakykite gydytojui arba vaistininkui.</w:t>
      </w:r>
    </w:p>
    <w:p w14:paraId="31F859A9" w14:textId="77777777" w:rsidR="006E3364" w:rsidRPr="008B32C4" w:rsidRDefault="006E3364" w:rsidP="006E33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Būtina pasikonsultuoti su gydytoju arba vaistininku, jei vartojate bet kurį iš šių vaistų:</w:t>
      </w:r>
    </w:p>
    <w:p w14:paraId="1F947A12" w14:textId="6142C29F" w:rsidR="006E3364" w:rsidRPr="008B32C4" w:rsidRDefault="006E3364" w:rsidP="006E3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antihistaminių vaistų – jie (teoriškai) gali sumažinti </w:t>
      </w:r>
      <w:r w:rsidR="00510EB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etaserc poveikį. </w:t>
      </w:r>
      <w:r w:rsidR="00510EB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taip pat gali sumažinti antihistamininių vaistų poveikį;</w:t>
      </w:r>
    </w:p>
    <w:p w14:paraId="1E1BB791" w14:textId="1BC199E7" w:rsidR="006E3364" w:rsidRPr="008B32C4" w:rsidRDefault="006E3364" w:rsidP="006E3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monoamino oksidazės inhibitorius (MAOI), naudojamus depresijos ir Parkinsono ligos gydymui. Jie gali sumažinti </w:t>
      </w:r>
      <w:r w:rsidR="00510EB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poveikį.</w:t>
      </w:r>
    </w:p>
    <w:p w14:paraId="285E03E7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9C880AC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Vartojimas su maistu ir gėrimais</w:t>
      </w:r>
    </w:p>
    <w:p w14:paraId="5BFD1276" w14:textId="4EF4032B" w:rsidR="006E3364" w:rsidRPr="008B32C4" w:rsidRDefault="00510EB3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etaserc galite vartoti su maistu arba be jo. </w:t>
      </w:r>
    </w:p>
    <w:p w14:paraId="16BA19C1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C7AAF44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Nėštumas ir žindymo laikotarpis</w:t>
      </w:r>
    </w:p>
    <w:p w14:paraId="09A2BFB7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Jeigu esate nėščia, žindote kūdikį, manote, kad galbūt esate nėščia, arba planuojate pastoti, tai prieš vartodama šį vaistą, pasitarkite su gydytoju.</w:t>
      </w:r>
    </w:p>
    <w:p w14:paraId="43A17445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3F65C07" w14:textId="4807F5DE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Nėra žinoma, ar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turi neigiamos įtakos negimusiam kūdikiui. Vaisto nėščiosioms galima vartoti tik paskyrus gydytojui.</w:t>
      </w:r>
    </w:p>
    <w:p w14:paraId="3D352DAB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C25CAA5" w14:textId="0CD3ABD1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Nėra žinoma, ar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patenka į motinos pieną. Vaisto žindymo laikotarpiu galima vartoti tik paskyrus gydytojui.</w:t>
      </w:r>
    </w:p>
    <w:p w14:paraId="10DBE766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F48E428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Vairavimas ir mechanizmų valdymas</w:t>
      </w:r>
    </w:p>
    <w:p w14:paraId="0A65C3E7" w14:textId="7CB9D7EA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Nenustatyta, kad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etaserc turėtų įtakos sugebėjimui vairuoti, naudoti įrankius ar valdyti mechanizmus. Tačiau reikia prisiminti, kad dėl ligų, kurioms gydyti vartojate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(Menjero ligos ir vestibulinio aparato sutrikimo sukelto svaigulio), galite jausti svaigulį ir pykinimą, kurie gali paveikti Jūsų gebėjimą vairuoti ir valdyti mechanizmus.</w:t>
      </w:r>
    </w:p>
    <w:p w14:paraId="7D192192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829E822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ABB3134" w14:textId="280F2CDE" w:rsidR="006E3364" w:rsidRPr="008B32C4" w:rsidRDefault="006E3364" w:rsidP="006E3364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3.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ab/>
        <w:t xml:space="preserve">Kaip vartoti </w:t>
      </w:r>
      <w:r w:rsidR="008B2280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etaserc</w:t>
      </w:r>
    </w:p>
    <w:p w14:paraId="4A5B4AFE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B58C778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Visada vartokite šį vaistą tiksliai kaip nurodė gydytojas. Jeigu abejojate, kreipkitės į gydytoją arba vaistininką.</w:t>
      </w:r>
    </w:p>
    <w:p w14:paraId="07E90E3B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lt-LT"/>
          <w14:ligatures w14:val="none"/>
        </w:rPr>
      </w:pPr>
    </w:p>
    <w:p w14:paraId="12D3936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  <w:t>Suaugusiems žmonėms</w:t>
      </w:r>
    </w:p>
    <w:p w14:paraId="59CB7398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  <w:r w:rsidRPr="008B32C4">
        <w:rPr>
          <w:rFonts w:ascii="Times New Roman" w:eastAsia="Calibri" w:hAnsi="Times New Roman" w:cs="Times New Roman"/>
          <w:kern w:val="0"/>
          <w:lang w:val="lt-LT"/>
          <w14:ligatures w14:val="none"/>
        </w:rPr>
        <w:t>Gydytojas paskirs Jums dozę priklausomai nuo reakcijos į gydymą.</w:t>
      </w:r>
    </w:p>
    <w:p w14:paraId="6D1E747E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46803A7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Įprastinė dozė yra:</w:t>
      </w:r>
    </w:p>
    <w:p w14:paraId="6560FD80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</w:p>
    <w:p w14:paraId="54E9FD8D" w14:textId="4B479249" w:rsidR="006E3364" w:rsidRPr="008B32C4" w:rsidRDefault="006E3364" w:rsidP="006E3364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</w:r>
      <w:r w:rsidR="008B2280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 xml:space="preserve">etaserc 24 mg tabletės 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– vieną tabletę du kartus per dieną.</w:t>
      </w:r>
    </w:p>
    <w:p w14:paraId="2FB0F333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26EB15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 vartojate daugiau negu vieną tabletę per parą, gerkite jas vienodu laiko intervalu. Pavyzdžiui, išgerkite vieną tabletę ryte ir vieną vakare.</w:t>
      </w:r>
    </w:p>
    <w:p w14:paraId="5B96FB59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A3578DF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Nenustokite vartoti vaisto. Gali šiek tiek užtrukti, kol šis vaistas pradės veikti.</w:t>
      </w:r>
    </w:p>
    <w:p w14:paraId="006AE04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</w:p>
    <w:p w14:paraId="1F2BA2EC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Senyviems pacientams ar pacientams, kuriems yra inkstų ar kepenų funkcijos nepakankamumas, vaisto dozės koreguoti nebūtina.</w:t>
      </w:r>
    </w:p>
    <w:p w14:paraId="6815ED02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  <w:r w:rsidRPr="008B32C4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Nurykite tabletę užgerdami ją vandeniu.</w:t>
      </w:r>
    </w:p>
    <w:p w14:paraId="2C3250B0" w14:textId="2E01E6B2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  <w:r w:rsidRPr="008B32C4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Tabletę galite vartoti kartu su maistu arba be jo. </w:t>
      </w:r>
      <w:r w:rsidR="00510EB3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etaserc gali sukelti nežymių skrandžio sutrikimų (žr. 4 skyrių). </w:t>
      </w:r>
      <w:r w:rsidR="008B2280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etaserc vartojimas su maistu gali padėti sumažinti skrandžio sutrikimus.</w:t>
      </w:r>
    </w:p>
    <w:p w14:paraId="214E41C3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</w:pPr>
    </w:p>
    <w:p w14:paraId="523D96C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Kiekvieną dieną stenkitės gerti tabletes tuo pačiu metu. Tai užtikrins, kad vaisto kiekis Jūsų organizme būtų pastovus. </w:t>
      </w:r>
    </w:p>
    <w:p w14:paraId="1FCF22D2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yellow"/>
          <w:lang w:val="lt-LT" w:eastAsia="lt-LT"/>
          <w14:ligatures w14:val="none"/>
        </w:rPr>
      </w:pPr>
    </w:p>
    <w:p w14:paraId="68779ECA" w14:textId="5D1855B1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>Ką daryti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pavartojus per didelę</w:t>
      </w:r>
      <w:r w:rsidRPr="008B32C4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 xml:space="preserve"> </w:t>
      </w:r>
      <w:r w:rsidR="008B2280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etaserc dozę</w:t>
      </w:r>
    </w:p>
    <w:p w14:paraId="501396AE" w14:textId="7729FBD8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Jei išgėrėte didesnę </w:t>
      </w:r>
      <w:r w:rsidR="00510EB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dozę negu reikėjo, galite pajausti negalavimą (pykinimą), mieguistumą ar skrandžio skausmą. Jei tai kelia nerimą, pasitarkite su gydytoju.</w:t>
      </w:r>
    </w:p>
    <w:p w14:paraId="1A886F40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F209C26" w14:textId="4BA3E66E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Pamiršus pavartoti</w:t>
      </w:r>
      <w:r w:rsidRPr="008B32C4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 xml:space="preserve"> </w:t>
      </w:r>
      <w:r w:rsidR="008B2280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etaserc</w:t>
      </w:r>
    </w:p>
    <w:p w14:paraId="21135CF6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 pamiršote išgerti vaistą laiku, atsiminę nebegerkite. Kitą dozę išgerkite įprastu laiku.</w:t>
      </w:r>
    </w:p>
    <w:p w14:paraId="7EE20648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Negalima vartoti dvigubos dozės norint kompensuoti praleistą dozę.</w:t>
      </w:r>
    </w:p>
    <w:p w14:paraId="4017EBD9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0BFA8B0" w14:textId="4D7EE630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Nustojus vartoti</w:t>
      </w:r>
      <w:r w:rsidRPr="008B32C4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 xml:space="preserve"> </w:t>
      </w:r>
      <w:r w:rsidR="008B2280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etaserc</w:t>
      </w:r>
    </w:p>
    <w:p w14:paraId="03B7655F" w14:textId="0E779EB3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Net jeigu pasijutote geriau, nepasitarę su gydytoju nenustokite vartoti </w:t>
      </w:r>
      <w:r w:rsidR="008B228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etaserc.</w:t>
      </w:r>
    </w:p>
    <w:p w14:paraId="2DB8A3B0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F6C56EE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Jeigu kiltų daugiau klausimų dėl šio vaisto vartojimo, kreipkitės į gydytoją arba vaistininką.</w:t>
      </w:r>
    </w:p>
    <w:p w14:paraId="1A4FA096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BD04FD6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193D189" w14:textId="77777777" w:rsidR="006E3364" w:rsidRPr="008B32C4" w:rsidRDefault="006E3364" w:rsidP="006E3364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4.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ab/>
      </w:r>
      <w:r w:rsidRPr="008B32C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Galimas šalutinis poveikis</w:t>
      </w:r>
    </w:p>
    <w:p w14:paraId="1EDA33F0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4073663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Šis vaistas, kaip ir visi kiti, gali sukelti šalutinį poveikį, nors jis pasireiškia ne visiems žmonėms.</w:t>
      </w:r>
    </w:p>
    <w:p w14:paraId="13BE3BC9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lt-LT" w:eastAsia="lt-LT"/>
          <w14:ligatures w14:val="none"/>
        </w:rPr>
      </w:pPr>
    </w:p>
    <w:p w14:paraId="0408589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bookmarkStart w:id="2" w:name="OLE_LINK11"/>
      <w:bookmarkStart w:id="3" w:name="OLE_LINK10"/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Vartojant šį vaistą galimi toliau nurodyti šalutinio poveikio reiškiniai.</w:t>
      </w:r>
    </w:p>
    <w:p w14:paraId="4F3C3EE9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highlight w:val="yellow"/>
          <w:lang w:val="lt-LT" w:eastAsia="lt-LT"/>
          <w14:ligatures w14:val="none"/>
        </w:rPr>
      </w:pPr>
    </w:p>
    <w:p w14:paraId="554657DB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Cs/>
          <w:i/>
          <w:kern w:val="0"/>
          <w:lang w:val="lt-LT" w:eastAsia="lt-LT"/>
          <w14:ligatures w14:val="none"/>
        </w:rPr>
        <w:t>Alerginės reakcijos</w:t>
      </w:r>
    </w:p>
    <w:p w14:paraId="06A5619A" w14:textId="0A002F7B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Jei pasireiškė alerginė reakcija, nustokite vartoti </w:t>
      </w:r>
      <w:r w:rsidR="00510EB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ir iš karto kreipkitės į gydytoją ar ligoninę. Požymiai gali būti:</w:t>
      </w:r>
    </w:p>
    <w:p w14:paraId="119DF9C9" w14:textId="77777777" w:rsidR="006E3364" w:rsidRPr="008B32C4" w:rsidRDefault="006E3364" w:rsidP="006E336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raudonas arba gumbuotas odos išbėrimas, arba uždegiminė niežinti oda;</w:t>
      </w:r>
    </w:p>
    <w:p w14:paraId="74844745" w14:textId="77777777" w:rsidR="006E3364" w:rsidRPr="008B32C4" w:rsidRDefault="006E3364" w:rsidP="006E336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veido, lūpų, liežuvio arba kaklo tinimas;</w:t>
      </w:r>
    </w:p>
    <w:p w14:paraId="11AF0533" w14:textId="77777777" w:rsidR="006E3364" w:rsidRPr="008B32C4" w:rsidRDefault="006E3364" w:rsidP="006E336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kraujo spaudimo kritimas;</w:t>
      </w:r>
    </w:p>
    <w:p w14:paraId="026734FF" w14:textId="77777777" w:rsidR="006E3364" w:rsidRPr="008B32C4" w:rsidRDefault="006E3364" w:rsidP="006E336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sąmonės praradimas;</w:t>
      </w:r>
    </w:p>
    <w:p w14:paraId="4C68C858" w14:textId="77777777" w:rsidR="006E3364" w:rsidRPr="008B32C4" w:rsidRDefault="006E3364" w:rsidP="006E336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sunkumas kvėpuoti.</w:t>
      </w:r>
    </w:p>
    <w:p w14:paraId="6ADAAA2A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1BF0810" w14:textId="1FED7299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 xml:space="preserve">Nustokite vartoti </w:t>
      </w:r>
      <w:r w:rsidR="00510EB3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>etaserc ir nedelsiant kreipkitės į gydytoją arba vykite į ligoninę, jeigu pastebėsite bet kokį iš pirmiau išvardytų šalutinio poveikio reiškinių.</w:t>
      </w:r>
    </w:p>
    <w:p w14:paraId="78A542EC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</w:pPr>
    </w:p>
    <w:p w14:paraId="77055443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Cs/>
          <w:i/>
          <w:kern w:val="0"/>
          <w:lang w:val="lt-LT" w:eastAsia="lt-LT"/>
          <w14:ligatures w14:val="none"/>
        </w:rPr>
        <w:t>Kiti šalutinio poveikio reiškiniai</w:t>
      </w:r>
    </w:p>
    <w:p w14:paraId="227E8A59" w14:textId="0B05358A" w:rsidR="006E3364" w:rsidRPr="008B32C4" w:rsidRDefault="00C86D5D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Dažni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šalutinio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poveikio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reiškiniai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(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gali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pasireikšti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rečiau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kaip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1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iš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10 </w:t>
      </w:r>
      <w:proofErr w:type="spellStart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asmenų</w:t>
      </w:r>
      <w:proofErr w:type="spellEnd"/>
      <w:r w:rsidRPr="00C86D5D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):</w:t>
      </w:r>
    </w:p>
    <w:p w14:paraId="6B8E437C" w14:textId="77777777" w:rsidR="006E3364" w:rsidRPr="008B32C4" w:rsidRDefault="006E3364" w:rsidP="006E336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negalavimas (pykinimas);</w:t>
      </w:r>
    </w:p>
    <w:p w14:paraId="4BBFCD01" w14:textId="77777777" w:rsidR="006E3364" w:rsidRPr="008B32C4" w:rsidRDefault="006E3364" w:rsidP="006E336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virškinimo sutrikimas (dispepsija);</w:t>
      </w:r>
    </w:p>
    <w:p w14:paraId="18287B01" w14:textId="77777777" w:rsidR="006E3364" w:rsidRPr="008B32C4" w:rsidRDefault="006E3364" w:rsidP="006E336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galvos skausmas.</w:t>
      </w:r>
    </w:p>
    <w:p w14:paraId="64038E75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77D0813" w14:textId="4969DE2F" w:rsidR="006E3364" w:rsidRPr="008B32C4" w:rsidRDefault="00116DCB" w:rsidP="006E336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lt-LT" w:eastAsia="lt-LT"/>
          <w14:ligatures w14:val="none"/>
        </w:rPr>
      </w:pP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Šalutinio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poveikio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reiškiniai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,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kurių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dažnis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nežinomas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(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negali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būti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apskaičiuotas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pagal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turimus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 xml:space="preserve"> </w:t>
      </w:r>
      <w:proofErr w:type="spellStart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duomenis</w:t>
      </w:r>
      <w:proofErr w:type="spellEnd"/>
      <w:r w:rsidRPr="00116DCB">
        <w:rPr>
          <w:rFonts w:ascii="Times New Roman" w:eastAsia="Times New Roman" w:hAnsi="Times New Roman" w:cs="Times New Roman"/>
          <w:b/>
          <w:bCs/>
          <w:i/>
          <w:kern w:val="0"/>
          <w:lang w:eastAsia="lt-LT"/>
          <w14:ligatures w14:val="none"/>
        </w:rPr>
        <w:t>):</w:t>
      </w:r>
    </w:p>
    <w:p w14:paraId="12ABBE7C" w14:textId="77777777" w:rsidR="006E3364" w:rsidRPr="008B32C4" w:rsidRDefault="006E3364" w:rsidP="006E3364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;</w:t>
      </w:r>
    </w:p>
    <w:p w14:paraId="61B75F01" w14:textId="77777777" w:rsidR="006E3364" w:rsidRPr="008B32C4" w:rsidRDefault="006E3364" w:rsidP="006E3364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•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padidėjusio jautrumo reakcijos, dilgėlinė, išbėrimas, alerginis pabrinkimas.</w:t>
      </w:r>
    </w:p>
    <w:p w14:paraId="52C49FE6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C372207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noProof/>
          <w:snapToGrid w:val="0"/>
          <w:kern w:val="0"/>
          <w:lang w:val="lt-LT"/>
          <w14:ligatures w14:val="none"/>
        </w:rPr>
        <w:t>Pranešimas apie šalutinį poveikį</w:t>
      </w:r>
    </w:p>
    <w:p w14:paraId="7D8C6946" w14:textId="2AB3A95D" w:rsidR="006E3364" w:rsidRDefault="0038590B" w:rsidP="009B0FC7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Jeigu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pasireiškė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šalutinis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poveikis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,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įskaitant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šiame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lapelyje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nenurodytą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,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pasakykite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gydytojui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,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vaistininkui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arba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slaugytojui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.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Pranešimą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apie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šalutinį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poveikį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galite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užpildyti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ir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pateikti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Valstybinės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vaistų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kontrolės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tarnybos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prie</w:t>
      </w:r>
      <w:proofErr w:type="spellEnd"/>
      <w:r w:rsidRPr="0038590B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Lietuvos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Respublikos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sveikatos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apsaugos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ministerijos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tinklalapyje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="009B0FC7" w:rsidRPr="009B0FC7">
        <w:rPr>
          <w:rFonts w:ascii="Times New Roman" w:eastAsia="Times New Roman" w:hAnsi="Times New Roman" w:cs="Times New Roman"/>
          <w:snapToGrid w:val="0"/>
          <w:kern w:val="0"/>
          <w:u w:val="single"/>
          <w14:ligatures w14:val="none"/>
        </w:rPr>
        <w:t>https://vvkt.lrv.lt/lt/</w:t>
      </w:r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nurodytais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būdais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arba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paskambinti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nemokamu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telefonu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+370</w:t>
      </w:r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800 73 568.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Pranešdami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apie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šalutinį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poveikį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galite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mums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padėti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gauti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daugiau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informacijos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apie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šio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vaisto</w:t>
      </w:r>
      <w:proofErr w:type="spellEnd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="009B0FC7" w:rsidRP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saugumą</w:t>
      </w:r>
      <w:proofErr w:type="spellEnd"/>
      <w:r w:rsidR="009B0FC7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</w:p>
    <w:p w14:paraId="2D5CDAE3" w14:textId="77777777" w:rsidR="009B0FC7" w:rsidRPr="008B32C4" w:rsidRDefault="009B0FC7" w:rsidP="009B0FC7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EAF8E7B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FF9B575" w14:textId="652A3470" w:rsidR="006E3364" w:rsidRPr="008B32C4" w:rsidRDefault="006E3364" w:rsidP="006E3364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5.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ab/>
        <w:t xml:space="preserve">Kaip laikyti </w:t>
      </w:r>
      <w:r w:rsidR="008B2280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b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etaserc</w:t>
      </w:r>
    </w:p>
    <w:p w14:paraId="29B35339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F8C8626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Šį vaistą laikykite vaikams nepastebimoje ir nepasiekiamoje</w:t>
      </w:r>
      <w:r w:rsidRPr="008B32C4" w:rsidDel="0061273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vietoje.</w:t>
      </w:r>
    </w:p>
    <w:p w14:paraId="2D0354D8" w14:textId="77777777" w:rsidR="006E3364" w:rsidRPr="0084386A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lt-LT" w:eastAsia="lt-LT"/>
          <w14:ligatures w14:val="none"/>
        </w:rPr>
      </w:pPr>
    </w:p>
    <w:p w14:paraId="73DAB1AA" w14:textId="5CA12D2A" w:rsidR="006E3364" w:rsidRPr="0084386A" w:rsidRDefault="006E3364" w:rsidP="0084386A">
      <w:pPr>
        <w:rPr>
          <w:rFonts w:ascii="Times New Roman" w:hAnsi="Times New Roman" w:cs="Times New Roman"/>
        </w:rPr>
      </w:pPr>
      <w:r w:rsidRPr="0084386A">
        <w:rPr>
          <w:rFonts w:ascii="Times New Roman" w:eastAsia="Times New Roman" w:hAnsi="Times New Roman" w:cs="Times New Roman"/>
          <w:color w:val="222222"/>
          <w:kern w:val="0"/>
          <w:lang w:val="lt-LT" w:eastAsia="lt-LT"/>
          <w14:ligatures w14:val="none"/>
        </w:rPr>
        <w:t xml:space="preserve">Šiam vaistui specialių temperatūrinių laikymo sąlygų nereikia. </w:t>
      </w:r>
      <w:proofErr w:type="spellStart"/>
      <w:r w:rsidR="0084386A" w:rsidRPr="0084386A">
        <w:rPr>
          <w:rFonts w:ascii="Times New Roman" w:hAnsi="Times New Roman" w:cs="Times New Roman"/>
        </w:rPr>
        <w:t>Laikyti</w:t>
      </w:r>
      <w:proofErr w:type="spellEnd"/>
      <w:r w:rsidR="0084386A" w:rsidRPr="0084386A">
        <w:rPr>
          <w:rFonts w:ascii="Times New Roman" w:hAnsi="Times New Roman" w:cs="Times New Roman"/>
        </w:rPr>
        <w:t xml:space="preserve"> </w:t>
      </w:r>
      <w:proofErr w:type="spellStart"/>
      <w:r w:rsidR="0084386A" w:rsidRPr="0084386A">
        <w:rPr>
          <w:rFonts w:ascii="Times New Roman" w:hAnsi="Times New Roman" w:cs="Times New Roman"/>
        </w:rPr>
        <w:t>gamintojo</w:t>
      </w:r>
      <w:proofErr w:type="spellEnd"/>
      <w:r w:rsidR="0084386A" w:rsidRPr="0084386A">
        <w:rPr>
          <w:rFonts w:ascii="Times New Roman" w:hAnsi="Times New Roman" w:cs="Times New Roman"/>
        </w:rPr>
        <w:t xml:space="preserve"> </w:t>
      </w:r>
      <w:proofErr w:type="spellStart"/>
      <w:r w:rsidR="0084386A" w:rsidRPr="0084386A">
        <w:rPr>
          <w:rFonts w:ascii="Times New Roman" w:hAnsi="Times New Roman" w:cs="Times New Roman"/>
        </w:rPr>
        <w:t>pakuotėje</w:t>
      </w:r>
      <w:proofErr w:type="spellEnd"/>
      <w:r w:rsidR="0084386A" w:rsidRPr="0084386A">
        <w:rPr>
          <w:rFonts w:ascii="Times New Roman" w:hAnsi="Times New Roman" w:cs="Times New Roman"/>
        </w:rPr>
        <w:t xml:space="preserve">, </w:t>
      </w:r>
      <w:proofErr w:type="spellStart"/>
      <w:r w:rsidR="0084386A" w:rsidRPr="0084386A">
        <w:rPr>
          <w:rFonts w:ascii="Times New Roman" w:hAnsi="Times New Roman" w:cs="Times New Roman"/>
        </w:rPr>
        <w:t>kad</w:t>
      </w:r>
      <w:proofErr w:type="spellEnd"/>
      <w:r w:rsidR="0084386A" w:rsidRPr="0084386A">
        <w:rPr>
          <w:rFonts w:ascii="Times New Roman" w:hAnsi="Times New Roman" w:cs="Times New Roman"/>
        </w:rPr>
        <w:t xml:space="preserve"> </w:t>
      </w:r>
      <w:proofErr w:type="spellStart"/>
      <w:r w:rsidR="0084386A" w:rsidRPr="0084386A">
        <w:rPr>
          <w:rFonts w:ascii="Times New Roman" w:hAnsi="Times New Roman" w:cs="Times New Roman"/>
        </w:rPr>
        <w:t>vaistas</w:t>
      </w:r>
      <w:proofErr w:type="spellEnd"/>
      <w:r w:rsidR="0084386A" w:rsidRPr="0084386A">
        <w:rPr>
          <w:rFonts w:ascii="Times New Roman" w:hAnsi="Times New Roman" w:cs="Times New Roman"/>
        </w:rPr>
        <w:t xml:space="preserve"> </w:t>
      </w:r>
      <w:proofErr w:type="spellStart"/>
      <w:r w:rsidR="0084386A" w:rsidRPr="0084386A">
        <w:rPr>
          <w:rFonts w:ascii="Times New Roman" w:hAnsi="Times New Roman" w:cs="Times New Roman"/>
        </w:rPr>
        <w:t>būtų</w:t>
      </w:r>
      <w:proofErr w:type="spellEnd"/>
      <w:r w:rsidR="0084386A" w:rsidRPr="0084386A">
        <w:rPr>
          <w:rFonts w:ascii="Times New Roman" w:hAnsi="Times New Roman" w:cs="Times New Roman"/>
        </w:rPr>
        <w:t xml:space="preserve"> </w:t>
      </w:r>
      <w:proofErr w:type="spellStart"/>
      <w:r w:rsidR="0084386A" w:rsidRPr="0084386A">
        <w:rPr>
          <w:rFonts w:ascii="Times New Roman" w:hAnsi="Times New Roman" w:cs="Times New Roman"/>
        </w:rPr>
        <w:t>apsaugotas</w:t>
      </w:r>
      <w:proofErr w:type="spellEnd"/>
      <w:r w:rsidR="0084386A" w:rsidRPr="0084386A">
        <w:rPr>
          <w:rFonts w:ascii="Times New Roman" w:hAnsi="Times New Roman" w:cs="Times New Roman"/>
        </w:rPr>
        <w:t xml:space="preserve"> </w:t>
      </w:r>
      <w:proofErr w:type="spellStart"/>
      <w:r w:rsidR="0084386A" w:rsidRPr="0084386A">
        <w:rPr>
          <w:rFonts w:ascii="Times New Roman" w:hAnsi="Times New Roman" w:cs="Times New Roman"/>
        </w:rPr>
        <w:t>nuo</w:t>
      </w:r>
      <w:proofErr w:type="spellEnd"/>
      <w:r w:rsidR="0084386A" w:rsidRPr="0084386A">
        <w:rPr>
          <w:rFonts w:ascii="Times New Roman" w:hAnsi="Times New Roman" w:cs="Times New Roman"/>
        </w:rPr>
        <w:t xml:space="preserve"> </w:t>
      </w:r>
      <w:proofErr w:type="spellStart"/>
      <w:r w:rsidR="0084386A" w:rsidRPr="0084386A">
        <w:rPr>
          <w:rFonts w:ascii="Times New Roman" w:hAnsi="Times New Roman" w:cs="Times New Roman"/>
        </w:rPr>
        <w:t>drėgmės</w:t>
      </w:r>
      <w:proofErr w:type="spellEnd"/>
      <w:r w:rsidR="0084386A" w:rsidRPr="0084386A">
        <w:rPr>
          <w:rFonts w:ascii="Times New Roman" w:hAnsi="Times New Roman" w:cs="Times New Roman"/>
        </w:rPr>
        <w:t>.</w:t>
      </w:r>
    </w:p>
    <w:p w14:paraId="27DEC6BD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87AFD6E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Ant kartono dėžutės po „EXP“ ir lizdinės plokštelės nurodytam tinkamumo laikui pasibaigus, šio vaisto vartoti negalima. Vaistas tinkamas vartoti iki paskutinės nurodyto mėnesio dienos.</w:t>
      </w:r>
    </w:p>
    <w:p w14:paraId="1159245A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3D45DCC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251F316E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8B80607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6CC15CF" w14:textId="77777777" w:rsidR="006E3364" w:rsidRPr="008B32C4" w:rsidRDefault="006E3364" w:rsidP="006E3364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>6.</w:t>
      </w:r>
      <w:r w:rsidRPr="008B32C4">
        <w:rPr>
          <w:rFonts w:ascii="Times New Roman" w:eastAsia="Times New Roman" w:hAnsi="Times New Roman" w:cs="Times New Roman"/>
          <w:b/>
          <w:kern w:val="28"/>
          <w:lang w:val="lt-LT"/>
          <w14:ligatures w14:val="none"/>
        </w:rPr>
        <w:tab/>
      </w:r>
      <w:r w:rsidRPr="008B32C4">
        <w:rPr>
          <w:rFonts w:ascii="Times New Roman" w:eastAsia="Times New Roman" w:hAnsi="Times New Roman" w:cs="Times New Roman"/>
          <w:b/>
          <w:noProof/>
          <w:kern w:val="28"/>
          <w:lang w:val="lt-LT"/>
          <w14:ligatures w14:val="none"/>
        </w:rPr>
        <w:t>Pakuotės turinys ir kita informacija</w:t>
      </w:r>
    </w:p>
    <w:p w14:paraId="5E6D62D1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574C3BE" w14:textId="3F12C839" w:rsidR="006E3364" w:rsidRPr="008B32C4" w:rsidRDefault="008B2280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etaserc sudėtis</w:t>
      </w:r>
    </w:p>
    <w:p w14:paraId="0B86255F" w14:textId="77777777" w:rsidR="006E3364" w:rsidRPr="008B32C4" w:rsidRDefault="006E3364" w:rsidP="006E3364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-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Veiklioji medžiaga yra betahistino dihidrochloridas. Vienoje tabletėje yra 24 mg betahistino dihidrochlorido.</w:t>
      </w:r>
    </w:p>
    <w:p w14:paraId="34545CB8" w14:textId="77777777" w:rsidR="006E3364" w:rsidRPr="008B32C4" w:rsidRDefault="006E3364" w:rsidP="006E3364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-</w:t>
      </w: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>Pagalbinės medžiagos yra mikrokristalinė celiuliozė, manitolis E421, citrinų rūgštis monohidratas, bevandenis koloidinis silicio dioksidas, talkas.</w:t>
      </w:r>
    </w:p>
    <w:p w14:paraId="2375C2F5" w14:textId="77777777" w:rsidR="006E3364" w:rsidRPr="008B32C4" w:rsidRDefault="006E3364" w:rsidP="006E3364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7C4E8BF" w14:textId="77777777" w:rsidR="006E3364" w:rsidRPr="008B32C4" w:rsidRDefault="006E3364" w:rsidP="006E3364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821ECFC" w14:textId="3801213C" w:rsidR="006E3364" w:rsidRPr="008B32C4" w:rsidRDefault="008B2280" w:rsidP="006E33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etaserc išvaizda ir kiekis pakuotėje</w:t>
      </w:r>
    </w:p>
    <w:p w14:paraId="288D544B" w14:textId="3568AA62" w:rsidR="006E3364" w:rsidRPr="008B32C4" w:rsidRDefault="008B2280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etaserc 24 mg yra apvalios, išgaubtos iš abiejų pusių, su dalijimo įranta, baltos arba beveik baltos tabletės su nuožulniais kraštais. </w:t>
      </w:r>
      <w:r w:rsidR="00F923D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iekvienoje dalijimo įrantos pusėje yra užrašas „289”. Dalijimo įranta skirta tik tabletei perlaužti, kad būtų lengviau nuryti, o ne jai padalyti į lygias dozes.</w:t>
      </w:r>
    </w:p>
    <w:p w14:paraId="50E7856E" w14:textId="3722566F" w:rsidR="006E3364" w:rsidRPr="008B32C4" w:rsidRDefault="008B2280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etaserc 24 mg tiekiamos po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20, </w:t>
      </w:r>
      <w:r w:rsidR="006E3364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60 tablečių. Tabletės yra permatomose PVC/PVDC ir aliuminio folijos lizdinėse plokštelėse.</w:t>
      </w:r>
    </w:p>
    <w:p w14:paraId="5CF6B20A" w14:textId="77777777" w:rsidR="006E3364" w:rsidRPr="008B32C4" w:rsidRDefault="006E3364" w:rsidP="006E3364">
      <w:pPr>
        <w:tabs>
          <w:tab w:val="left" w:pos="1295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F1904BE" w14:textId="77777777" w:rsidR="006E3364" w:rsidRPr="008B32C4" w:rsidRDefault="006E3364" w:rsidP="006E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</w:pPr>
      <w:bookmarkStart w:id="4" w:name="_Hlk180140256"/>
      <w:r w:rsidRPr="008B32C4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>Registruotojas eksportuojančioje valstybėje</w:t>
      </w:r>
    </w:p>
    <w:bookmarkEnd w:id="4"/>
    <w:p w14:paraId="13D7CA93" w14:textId="77777777" w:rsidR="00CE3C5B" w:rsidRPr="00B759E4" w:rsidRDefault="00CE3C5B" w:rsidP="00CE3C5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759E4">
        <w:rPr>
          <w:rFonts w:ascii="Times New Roman" w:hAnsi="Times New Roman" w:cs="Times New Roman"/>
        </w:rPr>
        <w:t>Viatris</w:t>
      </w:r>
      <w:proofErr w:type="spellEnd"/>
      <w:r w:rsidRPr="00B759E4">
        <w:rPr>
          <w:rFonts w:ascii="Times New Roman" w:hAnsi="Times New Roman" w:cs="Times New Roman"/>
        </w:rPr>
        <w:t xml:space="preserve"> Healthcare, </w:t>
      </w:r>
      <w:proofErr w:type="spellStart"/>
      <w:r w:rsidRPr="00B759E4">
        <w:rPr>
          <w:rFonts w:ascii="Times New Roman" w:hAnsi="Times New Roman" w:cs="Times New Roman"/>
        </w:rPr>
        <w:t>Lda</w:t>
      </w:r>
      <w:proofErr w:type="spellEnd"/>
      <w:r w:rsidRPr="00B759E4">
        <w:rPr>
          <w:rFonts w:ascii="Times New Roman" w:hAnsi="Times New Roman" w:cs="Times New Roman"/>
        </w:rPr>
        <w:t xml:space="preserve">. </w:t>
      </w:r>
    </w:p>
    <w:p w14:paraId="58832382" w14:textId="77777777" w:rsidR="00CE3C5B" w:rsidRPr="00B759E4" w:rsidRDefault="00CE3C5B" w:rsidP="00CE3C5B">
      <w:pPr>
        <w:spacing w:after="0" w:line="240" w:lineRule="auto"/>
        <w:rPr>
          <w:rFonts w:ascii="Times New Roman" w:hAnsi="Times New Roman" w:cs="Times New Roman"/>
        </w:rPr>
      </w:pPr>
      <w:r w:rsidRPr="00B759E4">
        <w:rPr>
          <w:rFonts w:ascii="Times New Roman" w:hAnsi="Times New Roman" w:cs="Times New Roman"/>
        </w:rPr>
        <w:t xml:space="preserve">Avenida Dom </w:t>
      </w:r>
      <w:proofErr w:type="spellStart"/>
      <w:r w:rsidRPr="00B759E4">
        <w:rPr>
          <w:rFonts w:ascii="Times New Roman" w:hAnsi="Times New Roman" w:cs="Times New Roman"/>
        </w:rPr>
        <w:t>João</w:t>
      </w:r>
      <w:proofErr w:type="spellEnd"/>
      <w:r w:rsidRPr="00B759E4">
        <w:rPr>
          <w:rFonts w:ascii="Times New Roman" w:hAnsi="Times New Roman" w:cs="Times New Roman"/>
        </w:rPr>
        <w:t xml:space="preserve"> II, </w:t>
      </w:r>
      <w:proofErr w:type="spellStart"/>
      <w:r w:rsidRPr="00B759E4">
        <w:rPr>
          <w:rFonts w:ascii="Times New Roman" w:hAnsi="Times New Roman" w:cs="Times New Roman"/>
        </w:rPr>
        <w:t>Edifício</w:t>
      </w:r>
      <w:proofErr w:type="spellEnd"/>
      <w:r w:rsidRPr="00B759E4">
        <w:rPr>
          <w:rFonts w:ascii="Times New Roman" w:hAnsi="Times New Roman" w:cs="Times New Roman"/>
        </w:rPr>
        <w:t xml:space="preserve"> Atlantis, nº 44C - 7.3 e 7.4 </w:t>
      </w:r>
    </w:p>
    <w:p w14:paraId="39F619F7" w14:textId="77777777" w:rsidR="00CE3C5B" w:rsidRPr="00B759E4" w:rsidRDefault="00CE3C5B" w:rsidP="00CE3C5B">
      <w:pPr>
        <w:spacing w:after="0" w:line="240" w:lineRule="auto"/>
        <w:rPr>
          <w:rFonts w:ascii="Times New Roman" w:hAnsi="Times New Roman" w:cs="Times New Roman"/>
        </w:rPr>
      </w:pPr>
      <w:r w:rsidRPr="00B759E4">
        <w:rPr>
          <w:rFonts w:ascii="Times New Roman" w:hAnsi="Times New Roman" w:cs="Times New Roman"/>
        </w:rPr>
        <w:t xml:space="preserve">1990-095 - Lisboa </w:t>
      </w:r>
    </w:p>
    <w:p w14:paraId="314EF1E5" w14:textId="69959959" w:rsidR="00CE3C5B" w:rsidRPr="00B759E4" w:rsidRDefault="00CE3C5B" w:rsidP="00CE3C5B">
      <w:pPr>
        <w:spacing w:after="0" w:line="240" w:lineRule="auto"/>
        <w:rPr>
          <w:rFonts w:ascii="Times New Roman" w:hAnsi="Times New Roman" w:cs="Times New Roman"/>
        </w:rPr>
      </w:pPr>
      <w:r w:rsidRPr="00B759E4">
        <w:rPr>
          <w:rFonts w:ascii="Times New Roman" w:hAnsi="Times New Roman" w:cs="Times New Roman"/>
        </w:rPr>
        <w:t>PORTUGALIJA</w:t>
      </w:r>
    </w:p>
    <w:p w14:paraId="3BAC3387" w14:textId="77777777" w:rsidR="006E3364" w:rsidRPr="008B32C4" w:rsidRDefault="006E3364" w:rsidP="006E3364">
      <w:pPr>
        <w:suppressAutoHyphens/>
        <w:spacing w:after="0" w:line="240" w:lineRule="auto"/>
        <w:rPr>
          <w:rFonts w:ascii="Times New Roman" w:hAnsi="Times New Roman" w:cs="Times New Roman"/>
          <w:kern w:val="0"/>
          <w:lang w:val="fr-FR"/>
          <w14:ligatures w14:val="none"/>
        </w:rPr>
      </w:pPr>
    </w:p>
    <w:p w14:paraId="58419942" w14:textId="77777777" w:rsidR="006E3364" w:rsidRPr="008B32C4" w:rsidRDefault="006E3364" w:rsidP="006E336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8B32C4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Gamintojas</w:t>
      </w:r>
    </w:p>
    <w:p w14:paraId="67A1634C" w14:textId="77777777" w:rsidR="006E3364" w:rsidRPr="008B32C4" w:rsidRDefault="006E3364" w:rsidP="006E336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</w:pPr>
      <w:r w:rsidRPr="008B32C4"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  <w:t>MYLAN LABORATORIES S.A.S.</w:t>
      </w:r>
    </w:p>
    <w:p w14:paraId="356B5126" w14:textId="77777777" w:rsidR="006E3364" w:rsidRPr="008B32C4" w:rsidRDefault="006E3364" w:rsidP="006E336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</w:pPr>
      <w:r w:rsidRPr="008B32C4"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  <w:t>Route de Belleville, Lieu-dit Maillard</w:t>
      </w:r>
    </w:p>
    <w:p w14:paraId="7114DFEA" w14:textId="77777777" w:rsidR="006E3364" w:rsidRPr="008B32C4" w:rsidRDefault="006E3364" w:rsidP="006E336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</w:pPr>
      <w:r w:rsidRPr="008B32C4"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  <w:t>01400 Châtillon-sur-Chalaronne,</w:t>
      </w:r>
    </w:p>
    <w:p w14:paraId="48DF0E4A" w14:textId="77777777" w:rsidR="006E3364" w:rsidRDefault="006E3364" w:rsidP="006E336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lang w:val="lt-LT"/>
          <w14:ligatures w14:val="none"/>
        </w:rPr>
      </w:pPr>
      <w:r w:rsidRPr="008B32C4">
        <w:rPr>
          <w:rFonts w:ascii="Times New Roman" w:eastAsia="Calibri" w:hAnsi="Times New Roman" w:cs="Times New Roman"/>
          <w:spacing w:val="-2"/>
          <w:kern w:val="0"/>
          <w:lang w:val="lt-LT"/>
          <w14:ligatures w14:val="none"/>
        </w:rPr>
        <w:t>Prancūzija</w:t>
      </w:r>
    </w:p>
    <w:p w14:paraId="3191CB25" w14:textId="77777777" w:rsidR="0084386A" w:rsidRPr="008B32C4" w:rsidRDefault="0084386A" w:rsidP="006E336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lang w:val="lt-LT"/>
          <w14:ligatures w14:val="none"/>
        </w:rPr>
      </w:pPr>
    </w:p>
    <w:p w14:paraId="30341782" w14:textId="77777777" w:rsidR="006E3364" w:rsidRPr="008B32C4" w:rsidRDefault="006E3364" w:rsidP="006E336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B32C4">
        <w:rPr>
          <w:rFonts w:ascii="Times New Roman" w:hAnsi="Times New Roman" w:cs="Times New Roman"/>
          <w:b/>
        </w:rPr>
        <w:t>Lygiagretus</w:t>
      </w:r>
      <w:proofErr w:type="spellEnd"/>
      <w:r w:rsidRPr="008B32C4">
        <w:rPr>
          <w:rFonts w:ascii="Times New Roman" w:hAnsi="Times New Roman" w:cs="Times New Roman"/>
          <w:b/>
        </w:rPr>
        <w:t xml:space="preserve"> </w:t>
      </w:r>
      <w:proofErr w:type="spellStart"/>
      <w:r w:rsidRPr="008B32C4">
        <w:rPr>
          <w:rFonts w:ascii="Times New Roman" w:hAnsi="Times New Roman" w:cs="Times New Roman"/>
          <w:b/>
        </w:rPr>
        <w:t>importuotojas</w:t>
      </w:r>
      <w:proofErr w:type="spellEnd"/>
      <w:r w:rsidRPr="008B32C4">
        <w:rPr>
          <w:rFonts w:ascii="Times New Roman" w:hAnsi="Times New Roman" w:cs="Times New Roman"/>
          <w:b/>
        </w:rPr>
        <w:t xml:space="preserve"> </w:t>
      </w:r>
    </w:p>
    <w:p w14:paraId="59769BE9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B32C4">
        <w:rPr>
          <w:rFonts w:ascii="Times New Roman" w:hAnsi="Times New Roman" w:cs="Times New Roman"/>
        </w:rPr>
        <w:t xml:space="preserve">UAB „TOJARIS PROJEKTAI“ </w:t>
      </w:r>
    </w:p>
    <w:p w14:paraId="364810A3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B32C4">
        <w:rPr>
          <w:rFonts w:ascii="Times New Roman" w:hAnsi="Times New Roman" w:cs="Times New Roman"/>
        </w:rPr>
        <w:t>Ukmergės</w:t>
      </w:r>
      <w:proofErr w:type="spellEnd"/>
      <w:r w:rsidRPr="008B32C4">
        <w:rPr>
          <w:rFonts w:ascii="Times New Roman" w:hAnsi="Times New Roman" w:cs="Times New Roman"/>
        </w:rPr>
        <w:t xml:space="preserve"> g. 369A</w:t>
      </w:r>
    </w:p>
    <w:p w14:paraId="05B312A3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B32C4">
        <w:rPr>
          <w:rFonts w:ascii="Times New Roman" w:hAnsi="Times New Roman" w:cs="Times New Roman"/>
        </w:rPr>
        <w:t>LT-12142 Vilnius</w:t>
      </w:r>
    </w:p>
    <w:p w14:paraId="41DEAD63" w14:textId="77777777" w:rsidR="006E3364" w:rsidRPr="008B32C4" w:rsidRDefault="006E3364" w:rsidP="006E33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B32C4">
        <w:rPr>
          <w:rFonts w:ascii="Times New Roman" w:hAnsi="Times New Roman" w:cs="Times New Roman"/>
        </w:rPr>
        <w:t>Lietuva</w:t>
      </w:r>
    </w:p>
    <w:p w14:paraId="16AE9552" w14:textId="77777777" w:rsidR="006E3364" w:rsidRPr="008B32C4" w:rsidRDefault="006E3364" w:rsidP="006E3364">
      <w:pPr>
        <w:spacing w:after="0" w:line="240" w:lineRule="auto"/>
        <w:rPr>
          <w:rFonts w:ascii="Times New Roman" w:hAnsi="Times New Roman" w:cs="Times New Roman"/>
          <w:b/>
        </w:rPr>
      </w:pPr>
    </w:p>
    <w:p w14:paraId="42A322E9" w14:textId="77777777" w:rsidR="006E3364" w:rsidRPr="008B32C4" w:rsidRDefault="006E3364" w:rsidP="006E336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B32C4">
        <w:rPr>
          <w:rFonts w:ascii="Times New Roman" w:hAnsi="Times New Roman" w:cs="Times New Roman"/>
          <w:b/>
        </w:rPr>
        <w:t>Perpakavo</w:t>
      </w:r>
      <w:proofErr w:type="spellEnd"/>
      <w:r w:rsidRPr="008B32C4">
        <w:rPr>
          <w:rFonts w:ascii="Times New Roman" w:hAnsi="Times New Roman" w:cs="Times New Roman"/>
          <w:b/>
        </w:rPr>
        <w:t xml:space="preserve"> </w:t>
      </w:r>
    </w:p>
    <w:p w14:paraId="077F205C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  <w:r w:rsidRPr="008B32C4">
        <w:rPr>
          <w:rFonts w:ascii="Times New Roman" w:hAnsi="Times New Roman" w:cs="Times New Roman"/>
          <w:bCs/>
        </w:rPr>
        <w:t>UAB “ENTAFARMA”</w:t>
      </w:r>
    </w:p>
    <w:p w14:paraId="3309297D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  <w:proofErr w:type="spellStart"/>
      <w:r w:rsidRPr="008B32C4">
        <w:rPr>
          <w:rFonts w:ascii="Times New Roman" w:hAnsi="Times New Roman" w:cs="Times New Roman"/>
          <w:bCs/>
        </w:rPr>
        <w:t>Klonėnų</w:t>
      </w:r>
      <w:proofErr w:type="spellEnd"/>
      <w:r w:rsidRPr="008B32C4">
        <w:rPr>
          <w:rFonts w:ascii="Times New Roman" w:hAnsi="Times New Roman" w:cs="Times New Roman"/>
          <w:bCs/>
        </w:rPr>
        <w:t xml:space="preserve"> vs. 1</w:t>
      </w:r>
    </w:p>
    <w:p w14:paraId="01895F81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  <w:r w:rsidRPr="008B32C4">
        <w:rPr>
          <w:rFonts w:ascii="Times New Roman" w:hAnsi="Times New Roman" w:cs="Times New Roman"/>
          <w:bCs/>
        </w:rPr>
        <w:t xml:space="preserve">LT-19156 </w:t>
      </w:r>
      <w:proofErr w:type="spellStart"/>
      <w:r w:rsidRPr="008B32C4">
        <w:rPr>
          <w:rFonts w:ascii="Times New Roman" w:hAnsi="Times New Roman" w:cs="Times New Roman"/>
          <w:bCs/>
        </w:rPr>
        <w:t>Širvintų</w:t>
      </w:r>
      <w:proofErr w:type="spellEnd"/>
      <w:r w:rsidRPr="008B32C4">
        <w:rPr>
          <w:rFonts w:ascii="Times New Roman" w:hAnsi="Times New Roman" w:cs="Times New Roman"/>
          <w:bCs/>
        </w:rPr>
        <w:t xml:space="preserve"> r. sav.</w:t>
      </w:r>
    </w:p>
    <w:p w14:paraId="0E218918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  <w:r w:rsidRPr="008B32C4">
        <w:rPr>
          <w:rFonts w:ascii="Times New Roman" w:hAnsi="Times New Roman" w:cs="Times New Roman"/>
          <w:bCs/>
        </w:rPr>
        <w:t>Lietuva</w:t>
      </w:r>
    </w:p>
    <w:p w14:paraId="37951E29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</w:p>
    <w:p w14:paraId="6EB2D1F6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  <w:proofErr w:type="spellStart"/>
      <w:r w:rsidRPr="008B32C4">
        <w:rPr>
          <w:rFonts w:ascii="Times New Roman" w:hAnsi="Times New Roman" w:cs="Times New Roman"/>
          <w:bCs/>
        </w:rPr>
        <w:t>arba</w:t>
      </w:r>
      <w:proofErr w:type="spellEnd"/>
    </w:p>
    <w:p w14:paraId="5D2DC267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</w:p>
    <w:p w14:paraId="3F87C2F5" w14:textId="77777777" w:rsidR="006E3364" w:rsidRPr="008B32C4" w:rsidRDefault="006E3364" w:rsidP="006E3364">
      <w:pPr>
        <w:widowControl w:val="0"/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  <w:r w:rsidRPr="008B32C4">
        <w:rPr>
          <w:rFonts w:ascii="Times New Roman" w:hAnsi="Times New Roman" w:cs="Times New Roman"/>
        </w:rPr>
        <w:t>UAB ,,ARMILA“</w:t>
      </w:r>
    </w:p>
    <w:p w14:paraId="564F0D2A" w14:textId="77777777" w:rsidR="006E3364" w:rsidRPr="008B32C4" w:rsidRDefault="006E3364" w:rsidP="006E3364">
      <w:pPr>
        <w:widowControl w:val="0"/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8B32C4">
        <w:rPr>
          <w:rFonts w:ascii="Times New Roman" w:hAnsi="Times New Roman" w:cs="Times New Roman"/>
        </w:rPr>
        <w:t>Molėtų</w:t>
      </w:r>
      <w:proofErr w:type="spellEnd"/>
      <w:r w:rsidRPr="008B32C4">
        <w:rPr>
          <w:rFonts w:ascii="Times New Roman" w:hAnsi="Times New Roman" w:cs="Times New Roman"/>
        </w:rPr>
        <w:t xml:space="preserve"> pl. 75</w:t>
      </w:r>
    </w:p>
    <w:p w14:paraId="31B8EE22" w14:textId="77777777" w:rsidR="006E3364" w:rsidRPr="008B32C4" w:rsidRDefault="006E3364" w:rsidP="006E3364">
      <w:pPr>
        <w:widowControl w:val="0"/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hAnsi="Times New Roman" w:cs="Times New Roman"/>
        </w:rPr>
      </w:pPr>
      <w:r w:rsidRPr="008B32C4">
        <w:rPr>
          <w:rFonts w:ascii="Times New Roman" w:hAnsi="Times New Roman" w:cs="Times New Roman"/>
        </w:rPr>
        <w:t>LT-14259 Vilnius</w:t>
      </w:r>
    </w:p>
    <w:p w14:paraId="1E945B15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</w:rPr>
      </w:pPr>
      <w:r w:rsidRPr="008B32C4">
        <w:rPr>
          <w:rFonts w:ascii="Times New Roman" w:hAnsi="Times New Roman" w:cs="Times New Roman"/>
        </w:rPr>
        <w:t>Lietuva</w:t>
      </w:r>
    </w:p>
    <w:p w14:paraId="3C76E81B" w14:textId="77777777" w:rsidR="006E3364" w:rsidRPr="008B32C4" w:rsidRDefault="006E3364" w:rsidP="006E3364">
      <w:pPr>
        <w:pStyle w:val="BTEMEASMCA"/>
      </w:pPr>
    </w:p>
    <w:p w14:paraId="38B3257B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4BB1B913" w14:textId="77777777" w:rsidR="006E3364" w:rsidRPr="008B32C4" w:rsidRDefault="006E3364" w:rsidP="006E336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7C15DC20" w14:textId="61F5D9B0" w:rsidR="006E3364" w:rsidRPr="008B32C4" w:rsidRDefault="006E3364" w:rsidP="006E33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Šis pakuotės lapelis paskutinį kartą peržiūrėtas </w:t>
      </w:r>
      <w:r w:rsidR="00C963C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2025-08-07</w:t>
      </w:r>
      <w:bookmarkStart w:id="5" w:name="_GoBack"/>
      <w:bookmarkEnd w:id="5"/>
    </w:p>
    <w:p w14:paraId="6DAAA9BD" w14:textId="77777777" w:rsidR="006E3364" w:rsidRPr="008B32C4" w:rsidRDefault="006E3364" w:rsidP="006E33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473EAA13" w14:textId="77777777" w:rsidR="006E3364" w:rsidRPr="008B32C4" w:rsidRDefault="006E3364" w:rsidP="006E3364">
      <w:pPr>
        <w:spacing w:after="0" w:line="240" w:lineRule="auto"/>
        <w:ind w:left="567" w:hanging="567"/>
        <w:rPr>
          <w:rFonts w:ascii="Times New Roman" w:hAnsi="Times New Roman" w:cs="Times New Roman"/>
          <w:kern w:val="0"/>
          <w:lang w:val="lt-LT"/>
          <w14:ligatures w14:val="none"/>
        </w:rPr>
      </w:pPr>
      <w:r w:rsidRPr="008B32C4">
        <w:rPr>
          <w:rFonts w:ascii="Times New Roman" w:hAnsi="Times New Roman" w:cs="Times New Roman"/>
          <w:kern w:val="0"/>
          <w:lang w:val="lt-LT"/>
          <w14:ligatures w14:val="none"/>
        </w:rPr>
        <w:t>Išsami informacija apie šį vaistą pateikiama Valstybinės vaistų kontrolės tarnybos prie Lietuvos</w:t>
      </w:r>
    </w:p>
    <w:p w14:paraId="4A0F82D4" w14:textId="77777777" w:rsidR="006E3364" w:rsidRPr="008B32C4" w:rsidRDefault="006E3364" w:rsidP="006E3364">
      <w:pPr>
        <w:spacing w:after="0" w:line="240" w:lineRule="auto"/>
        <w:ind w:left="567" w:hanging="567"/>
        <w:rPr>
          <w:rFonts w:ascii="Times New Roman" w:hAnsi="Times New Roman" w:cs="Times New Roman"/>
          <w:kern w:val="0"/>
          <w:lang w:val="lt-LT"/>
          <w14:ligatures w14:val="none"/>
        </w:rPr>
      </w:pPr>
      <w:r w:rsidRPr="008B32C4">
        <w:rPr>
          <w:rFonts w:ascii="Times New Roman" w:hAnsi="Times New Roman" w:cs="Times New Roman"/>
          <w:kern w:val="0"/>
          <w:lang w:val="lt-LT"/>
          <w14:ligatures w14:val="none"/>
        </w:rPr>
        <w:t>Respublikos sveikatos apsaugos ministerijos tinklalapyje</w:t>
      </w:r>
      <w:r w:rsidRPr="008B32C4">
        <w:rPr>
          <w:rFonts w:ascii="Times New Roman" w:hAnsi="Times New Roman" w:cs="Times New Roman"/>
          <w:i/>
          <w:kern w:val="0"/>
          <w:lang w:val="lt-LT"/>
          <w14:ligatures w14:val="none"/>
        </w:rPr>
        <w:t xml:space="preserve"> </w:t>
      </w:r>
      <w:hyperlink r:id="rId8" w:history="1">
        <w:r w:rsidRPr="008B32C4">
          <w:rPr>
            <w:rFonts w:ascii="Times New Roman" w:hAnsi="Times New Roman" w:cs="Times New Roman"/>
            <w:color w:val="0000FF"/>
            <w:kern w:val="0"/>
            <w:u w:val="single"/>
            <w:lang w:val="lt-LT"/>
            <w14:ligatures w14:val="none"/>
          </w:rPr>
          <w:t>http://www.vvkt.lt/</w:t>
        </w:r>
      </w:hyperlink>
      <w:r w:rsidRPr="008B32C4">
        <w:rPr>
          <w:rFonts w:ascii="Times New Roman" w:hAnsi="Times New Roman" w:cs="Times New Roman"/>
          <w:kern w:val="0"/>
          <w:lang w:val="lt-LT"/>
          <w14:ligatures w14:val="none"/>
        </w:rPr>
        <w:t>.</w:t>
      </w:r>
    </w:p>
    <w:p w14:paraId="501AD662" w14:textId="77777777" w:rsidR="006E3364" w:rsidRPr="008B32C4" w:rsidRDefault="006E3364" w:rsidP="006E33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7F60600" w14:textId="77777777" w:rsidR="0084386A" w:rsidRDefault="0084386A" w:rsidP="0084386A">
      <w:pPr>
        <w:rPr>
          <w:b/>
          <w:bCs/>
        </w:rPr>
      </w:pPr>
    </w:p>
    <w:p w14:paraId="6853D96E" w14:textId="6A02FF81" w:rsidR="006E3364" w:rsidRPr="008B32C4" w:rsidRDefault="00D91F2F" w:rsidP="006E3364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kern w:val="0"/>
          <w:lang w:val="lt-LT" w:eastAsia="lt-LT"/>
          <w14:ligatures w14:val="none"/>
        </w:rPr>
      </w:pPr>
      <w:proofErr w:type="spellStart"/>
      <w:r w:rsidRPr="00D91F2F">
        <w:rPr>
          <w:rFonts w:ascii="Times New Roman" w:hAnsi="Times New Roman" w:cs="Times New Roman"/>
          <w:i/>
          <w:iCs/>
        </w:rPr>
        <w:t>Lygiagrečiai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importuojamas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vaistas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nuo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referencinio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vaisto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skiriasi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pakuočių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dydžiu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D91F2F">
        <w:rPr>
          <w:rFonts w:ascii="Times New Roman" w:hAnsi="Times New Roman" w:cs="Times New Roman"/>
          <w:i/>
          <w:iCs/>
        </w:rPr>
        <w:t>lygiagrečiai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importuojamo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vaisto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– N20, N60, </w:t>
      </w:r>
      <w:proofErr w:type="spellStart"/>
      <w:r w:rsidRPr="00D91F2F">
        <w:rPr>
          <w:rFonts w:ascii="Times New Roman" w:hAnsi="Times New Roman" w:cs="Times New Roman"/>
          <w:i/>
          <w:iCs/>
        </w:rPr>
        <w:t>referencinio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2F">
        <w:rPr>
          <w:rFonts w:ascii="Times New Roman" w:hAnsi="Times New Roman" w:cs="Times New Roman"/>
          <w:i/>
          <w:iCs/>
        </w:rPr>
        <w:t>vaisto</w:t>
      </w:r>
      <w:proofErr w:type="spellEnd"/>
      <w:r w:rsidRPr="00D91F2F">
        <w:rPr>
          <w:rFonts w:ascii="Times New Roman" w:hAnsi="Times New Roman" w:cs="Times New Roman"/>
          <w:i/>
          <w:iCs/>
        </w:rPr>
        <w:t xml:space="preserve"> – </w:t>
      </w:r>
      <w:r w:rsidR="00F33A7D">
        <w:rPr>
          <w:rFonts w:ascii="Times New Roman" w:hAnsi="Times New Roman" w:cs="Times New Roman"/>
          <w:i/>
          <w:iCs/>
        </w:rPr>
        <w:t xml:space="preserve">N20, </w:t>
      </w:r>
      <w:r w:rsidRPr="00D91F2F">
        <w:rPr>
          <w:rFonts w:ascii="Times New Roman" w:hAnsi="Times New Roman" w:cs="Times New Roman"/>
          <w:i/>
          <w:iCs/>
        </w:rPr>
        <w:t>N50, N100</w:t>
      </w:r>
      <w:r w:rsidR="00B51E8A">
        <w:rPr>
          <w:rFonts w:ascii="Times New Roman" w:hAnsi="Times New Roman" w:cs="Times New Roman"/>
          <w:i/>
          <w:iCs/>
        </w:rPr>
        <w:t>.</w:t>
      </w:r>
    </w:p>
    <w:p w14:paraId="73C9392F" w14:textId="77777777" w:rsidR="006E3364" w:rsidRPr="008B32C4" w:rsidRDefault="006E3364" w:rsidP="006E3364">
      <w:pPr>
        <w:spacing w:line="240" w:lineRule="auto"/>
        <w:rPr>
          <w:rFonts w:ascii="Times New Roman" w:hAnsi="Times New Roman" w:cs="Times New Roman"/>
          <w:kern w:val="0"/>
          <w:lang w:val="lt-LT"/>
          <w14:ligatures w14:val="none"/>
        </w:rPr>
      </w:pPr>
    </w:p>
    <w:p w14:paraId="09A3B351" w14:textId="77777777" w:rsidR="006E3364" w:rsidRPr="008B32C4" w:rsidRDefault="006E3364" w:rsidP="006E3364">
      <w:pPr>
        <w:spacing w:line="240" w:lineRule="auto"/>
        <w:rPr>
          <w:rFonts w:ascii="Times New Roman" w:hAnsi="Times New Roman" w:cs="Times New Roman"/>
          <w:lang w:val="lt-LT"/>
        </w:rPr>
      </w:pPr>
    </w:p>
    <w:p w14:paraId="6822EBFC" w14:textId="77777777" w:rsidR="006E3364" w:rsidRPr="008B32C4" w:rsidRDefault="006E3364" w:rsidP="006E33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FD1F261" w14:textId="77777777" w:rsidR="003E58E7" w:rsidRDefault="003E58E7"/>
    <w:sectPr w:rsidR="003E5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F9"/>
    <w:rsid w:val="00116DCB"/>
    <w:rsid w:val="00123390"/>
    <w:rsid w:val="002146D8"/>
    <w:rsid w:val="00293754"/>
    <w:rsid w:val="002E5EE6"/>
    <w:rsid w:val="0038590B"/>
    <w:rsid w:val="00394D91"/>
    <w:rsid w:val="003E58E7"/>
    <w:rsid w:val="003E5F92"/>
    <w:rsid w:val="004C76F9"/>
    <w:rsid w:val="004E099C"/>
    <w:rsid w:val="00510EB3"/>
    <w:rsid w:val="005704E4"/>
    <w:rsid w:val="005915F1"/>
    <w:rsid w:val="006E3364"/>
    <w:rsid w:val="0084386A"/>
    <w:rsid w:val="008B2280"/>
    <w:rsid w:val="009B0FC7"/>
    <w:rsid w:val="009E4CAF"/>
    <w:rsid w:val="00B51E8A"/>
    <w:rsid w:val="00B759E4"/>
    <w:rsid w:val="00C86D5D"/>
    <w:rsid w:val="00C963C4"/>
    <w:rsid w:val="00CE3C5B"/>
    <w:rsid w:val="00D764F9"/>
    <w:rsid w:val="00D77930"/>
    <w:rsid w:val="00D91F2F"/>
    <w:rsid w:val="00D96238"/>
    <w:rsid w:val="00EC3615"/>
    <w:rsid w:val="00F33A7D"/>
    <w:rsid w:val="00F75C07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18EE"/>
  <w15:chartTrackingRefBased/>
  <w15:docId w15:val="{3F686363-D53D-474E-93D7-05A57FE1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364"/>
  </w:style>
  <w:style w:type="paragraph" w:styleId="Heading1">
    <w:name w:val="heading 1"/>
    <w:basedOn w:val="Normal"/>
    <w:next w:val="Normal"/>
    <w:link w:val="Heading1Char"/>
    <w:uiPriority w:val="9"/>
    <w:qFormat/>
    <w:rsid w:val="004C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6F9"/>
    <w:rPr>
      <w:b/>
      <w:bCs/>
      <w:smallCaps/>
      <w:color w:val="0F4761" w:themeColor="accent1" w:themeShade="BF"/>
      <w:spacing w:val="5"/>
    </w:rPr>
  </w:style>
  <w:style w:type="character" w:customStyle="1" w:styleId="BTEMEASMCAChar">
    <w:name w:val="BT EMEA_SMCA Char"/>
    <w:link w:val="BTEMEASMCA"/>
    <w:locked/>
    <w:rsid w:val="006E3364"/>
    <w:rPr>
      <w:rFonts w:ascii="Times New Roman" w:hAnsi="Times New Roman" w:cs="Times New Roman"/>
      <w:color w:val="000000"/>
    </w:rPr>
  </w:style>
  <w:style w:type="paragraph" w:customStyle="1" w:styleId="BTEMEASMCA">
    <w:name w:val="BT EMEA_SMCA"/>
    <w:basedOn w:val="Normal"/>
    <w:link w:val="BTEMEASMCAChar"/>
    <w:autoRedefine/>
    <w:rsid w:val="006E3364"/>
    <w:pPr>
      <w:spacing w:after="0" w:line="240" w:lineRule="auto"/>
      <w:jc w:val="both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38590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42B11645F7447B996D940191B9524" ma:contentTypeVersion="15" ma:contentTypeDescription="Create a new document." ma:contentTypeScope="" ma:versionID="ffbc6b86054584b0e17b292c2cd80521">
  <xsd:schema xmlns:xsd="http://www.w3.org/2001/XMLSchema" xmlns:xs="http://www.w3.org/2001/XMLSchema" xmlns:p="http://schemas.microsoft.com/office/2006/metadata/properties" xmlns:ns2="dce73aad-7250-4760-a3a1-3d42411dbcd0" xmlns:ns3="edb03af5-1e53-4f7a-bb07-d96a274bae93" targetNamespace="http://schemas.microsoft.com/office/2006/metadata/properties" ma:root="true" ma:fieldsID="d8f863e676f1b87011b89c0d24d5111b" ns2:_="" ns3:_="">
    <xsd:import namespace="dce73aad-7250-4760-a3a1-3d42411dbcd0"/>
    <xsd:import namespace="edb03af5-1e53-4f7a-bb07-d96a274bae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3aad-7250-4760-a3a1-3d42411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a53af7-344f-4402-9be2-4bf42732900f}" ma:internalName="TaxCatchAll" ma:showField="CatchAllData" ma:web="dce73aad-7250-4760-a3a1-3d42411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3af5-1e53-4f7a-bb07-d96a274b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a70fa9f-ba1d-4955-a7be-7957d7910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3aad-7250-4760-a3a1-3d42411dbcd0" xsi:nil="true"/>
    <lcf76f155ced4ddcb4097134ff3c332f xmlns="edb03af5-1e53-4f7a-bb07-d96a274ba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2C43C-E12D-43AE-9565-A80EFCB9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3aad-7250-4760-a3a1-3d42411dbcd0"/>
    <ds:schemaRef ds:uri="edb03af5-1e53-4f7a-bb07-d96a274b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13E1A-5D6D-483D-BCF4-08138BC7B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434F1-8465-4CA8-9B18-844909061876}">
  <ds:schemaRefs>
    <ds:schemaRef ds:uri="http://schemas.microsoft.com/office/2006/metadata/properties"/>
    <ds:schemaRef ds:uri="http://schemas.microsoft.com/office/infopath/2007/PartnerControls"/>
    <ds:schemaRef ds:uri="dce73aad-7250-4760-a3a1-3d42411dbcd0"/>
    <ds:schemaRef ds:uri="edb03af5-1e53-4f7a-bb07-d96a274ba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5915</Words>
  <Characters>3372</Characters>
  <Application>Microsoft Office Word</Application>
  <DocSecurity>0</DocSecurity>
  <Lines>28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Daškevičienė</dc:creator>
  <cp:keywords/>
  <dc:description/>
  <cp:lastModifiedBy>Donata Zalensiene</cp:lastModifiedBy>
  <cp:revision>20</cp:revision>
  <dcterms:created xsi:type="dcterms:W3CDTF">2024-10-21T11:19:00Z</dcterms:created>
  <dcterms:modified xsi:type="dcterms:W3CDTF">2025-08-08T07:28:00Z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0x010100E5442B11645F7447B996D940191B9524</vt:lpwstr>
  </property>
  <property fmtid="{D5CDD505-2E9C-101B-9397-08002B2CF9AE}" pid="3" name="MediaServiceImageTags">
    <vt:lpwstr/>
  </property>
</Properties>
</file>