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11DE" w14:textId="77777777" w:rsidR="008C79DD" w:rsidRPr="008C79DD" w:rsidRDefault="008C79DD" w:rsidP="008C79DD">
      <w:pPr>
        <w:widowControl w:val="0"/>
        <w:tabs>
          <w:tab w:val="left" w:pos="567"/>
        </w:tabs>
        <w:spacing w:after="0" w:line="240" w:lineRule="auto"/>
        <w:jc w:val="center"/>
        <w:rPr>
          <w:rFonts w:ascii="Times New Roman" w:eastAsia="MS Mincho" w:hAnsi="Times New Roman" w:cs="Times New Roman"/>
          <w:b/>
          <w:caps/>
          <w:kern w:val="0"/>
          <w:sz w:val="22"/>
          <w:szCs w:val="22"/>
          <w14:ligatures w14:val="none"/>
        </w:rPr>
      </w:pPr>
    </w:p>
    <w:p w14:paraId="20C96557" w14:textId="77777777" w:rsidR="008C79DD" w:rsidRPr="008C79DD" w:rsidRDefault="008C79DD" w:rsidP="008C79DD">
      <w:pPr>
        <w:widowControl w:val="0"/>
        <w:tabs>
          <w:tab w:val="left" w:pos="567"/>
        </w:tabs>
        <w:spacing w:after="0" w:line="240" w:lineRule="auto"/>
        <w:jc w:val="center"/>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b/>
          <w:caps/>
          <w:kern w:val="0"/>
          <w:sz w:val="22"/>
          <w:szCs w:val="22"/>
          <w14:ligatures w14:val="none"/>
        </w:rPr>
        <w:t>B. Pakuotės Lapelis</w:t>
      </w:r>
    </w:p>
    <w:p w14:paraId="69417F76" w14:textId="77777777" w:rsidR="008C79DD" w:rsidRPr="008C79DD" w:rsidRDefault="008C79DD" w:rsidP="008C79DD">
      <w:pPr>
        <w:widowControl w:val="0"/>
        <w:tabs>
          <w:tab w:val="left" w:pos="567"/>
          <w:tab w:val="left" w:pos="5954"/>
          <w:tab w:val="left" w:pos="6237"/>
          <w:tab w:val="left" w:pos="6663"/>
          <w:tab w:val="left" w:pos="6946"/>
        </w:tabs>
        <w:spacing w:after="0" w:line="240" w:lineRule="auto"/>
        <w:rPr>
          <w:rFonts w:ascii="Times New Roman" w:eastAsia="SimSun" w:hAnsi="Times New Roman" w:cs="Times New Roman"/>
          <w:kern w:val="0"/>
          <w:sz w:val="22"/>
          <w:szCs w:val="22"/>
          <w14:ligatures w14:val="none"/>
        </w:rPr>
      </w:pPr>
      <w:r w:rsidRPr="008C79DD">
        <w:rPr>
          <w:rFonts w:ascii="Times New Roman" w:eastAsia="MS Mincho" w:hAnsi="Times New Roman" w:cs="Times New Roman"/>
          <w:b/>
          <w:kern w:val="0"/>
          <w:sz w:val="22"/>
          <w:szCs w:val="22"/>
          <w14:ligatures w14:val="none"/>
        </w:rPr>
        <w:br w:type="page"/>
      </w:r>
    </w:p>
    <w:p w14:paraId="10C3CF4D" w14:textId="77777777" w:rsidR="008C79DD" w:rsidRPr="008C79DD" w:rsidRDefault="008C79DD" w:rsidP="008C79DD">
      <w:pPr>
        <w:widowControl w:val="0"/>
        <w:tabs>
          <w:tab w:val="left" w:pos="567"/>
        </w:tabs>
        <w:spacing w:after="0" w:line="240" w:lineRule="auto"/>
        <w:ind w:firstLine="284"/>
        <w:jc w:val="center"/>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lastRenderedPageBreak/>
        <w:t>Pakuotės lapelis: informacija pacientui</w:t>
      </w:r>
    </w:p>
    <w:p w14:paraId="42F472FF" w14:textId="77777777" w:rsidR="008C79DD" w:rsidRPr="008C79DD" w:rsidRDefault="008C79DD" w:rsidP="008C79DD">
      <w:pPr>
        <w:widowControl w:val="0"/>
        <w:tabs>
          <w:tab w:val="left" w:pos="567"/>
        </w:tabs>
        <w:spacing w:after="0" w:line="240" w:lineRule="auto"/>
        <w:jc w:val="center"/>
        <w:rPr>
          <w:rFonts w:ascii="Times New Roman" w:eastAsia="MS Mincho" w:hAnsi="Times New Roman" w:cs="Times New Roman"/>
          <w:kern w:val="0"/>
          <w:sz w:val="22"/>
          <w:szCs w:val="22"/>
          <w14:ligatures w14:val="none"/>
        </w:rPr>
      </w:pPr>
    </w:p>
    <w:p w14:paraId="36EC790E" w14:textId="77777777" w:rsidR="008C79DD" w:rsidRPr="008C79DD" w:rsidRDefault="008C79DD" w:rsidP="008C79DD">
      <w:pPr>
        <w:widowControl w:val="0"/>
        <w:tabs>
          <w:tab w:val="left" w:pos="567"/>
        </w:tabs>
        <w:spacing w:after="0" w:line="240" w:lineRule="auto"/>
        <w:jc w:val="center"/>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Tobradex 3 mg/1 mg/ml akių lašai (suspensija)</w:t>
      </w:r>
    </w:p>
    <w:p w14:paraId="28ECCE73" w14:textId="77777777" w:rsidR="008C79DD" w:rsidRPr="008C79DD" w:rsidRDefault="008C79DD" w:rsidP="008C79DD">
      <w:pPr>
        <w:widowControl w:val="0"/>
        <w:tabs>
          <w:tab w:val="left" w:pos="567"/>
        </w:tabs>
        <w:spacing w:after="0" w:line="240" w:lineRule="auto"/>
        <w:jc w:val="center"/>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kern w:val="0"/>
          <w:sz w:val="22"/>
          <w:szCs w:val="22"/>
          <w14:ligatures w14:val="none"/>
        </w:rPr>
        <w:t>tobramicinas ir deksametazonas</w:t>
      </w:r>
    </w:p>
    <w:p w14:paraId="1FB8ECBE"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p>
    <w:p w14:paraId="145EFC2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p>
    <w:p w14:paraId="1AFB664B"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Atidžiai perskaitykite visą šį lapelį prieš pradėdami vartoti vaistą, nes jame pateikiama Jums svarbi informacija.</w:t>
      </w:r>
    </w:p>
    <w:p w14:paraId="398FF8BA" w14:textId="77777777" w:rsidR="008C79DD" w:rsidRPr="008C79DD" w:rsidRDefault="008C79DD" w:rsidP="00EB7650">
      <w:pPr>
        <w:widowControl w:val="0"/>
        <w:numPr>
          <w:ilvl w:val="0"/>
          <w:numId w:val="9"/>
        </w:numPr>
        <w:spacing w:after="0" w:line="240" w:lineRule="auto"/>
        <w:ind w:left="567"/>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Neišmeskite šio lapelio, nes vėl gali prireikti jį perskaityti.</w:t>
      </w:r>
    </w:p>
    <w:p w14:paraId="6345DB39" w14:textId="77777777" w:rsidR="008C79DD" w:rsidRPr="008C79DD" w:rsidRDefault="008C79DD" w:rsidP="00EB7650">
      <w:pPr>
        <w:widowControl w:val="0"/>
        <w:numPr>
          <w:ilvl w:val="0"/>
          <w:numId w:val="9"/>
        </w:numPr>
        <w:spacing w:after="0" w:line="240" w:lineRule="auto"/>
        <w:ind w:left="567"/>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Jeigu kiltų daugiau klausimų, kreipkitės į gydytoją arba vaistininką.</w:t>
      </w:r>
    </w:p>
    <w:p w14:paraId="09F809E1" w14:textId="77777777" w:rsidR="008C79DD" w:rsidRPr="008C79DD" w:rsidRDefault="008C79DD" w:rsidP="00EB7650">
      <w:pPr>
        <w:widowControl w:val="0"/>
        <w:numPr>
          <w:ilvl w:val="0"/>
          <w:numId w:val="9"/>
        </w:numPr>
        <w:spacing w:after="0" w:line="240" w:lineRule="auto"/>
        <w:ind w:left="567"/>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B9FACFF" w14:textId="77777777" w:rsidR="008C79DD" w:rsidRPr="008C79DD" w:rsidRDefault="008C79DD" w:rsidP="00EB7650">
      <w:pPr>
        <w:widowControl w:val="0"/>
        <w:numPr>
          <w:ilvl w:val="0"/>
          <w:numId w:val="9"/>
        </w:numPr>
        <w:spacing w:after="0" w:line="240" w:lineRule="auto"/>
        <w:ind w:left="567"/>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Jeigu pasireiškė šalutinis poveikis (net jeigu jis šiame lapelyje nenurodytas), kreipkitės į gydytoją arba vaistininką. Žr. 4 skyrių.</w:t>
      </w:r>
    </w:p>
    <w:p w14:paraId="07BC6538"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6183B9C2" w14:textId="77777777" w:rsidR="008C79DD" w:rsidRPr="008C79DD" w:rsidRDefault="008C79DD" w:rsidP="008C79DD">
      <w:pPr>
        <w:widowControl w:val="0"/>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8C79DD">
        <w:rPr>
          <w:rFonts w:ascii="Times New Roman" w:eastAsia="Times New Roman" w:hAnsi="Times New Roman" w:cs="Times New Roman"/>
          <w:b/>
          <w:bCs/>
          <w:snapToGrid w:val="0"/>
          <w:kern w:val="0"/>
          <w:sz w:val="22"/>
          <w:szCs w:val="22"/>
          <w:lang w:eastAsia="x-none"/>
          <w14:ligatures w14:val="none"/>
        </w:rPr>
        <w:t>Apie ką rašoma šiame lapelyje?</w:t>
      </w:r>
    </w:p>
    <w:p w14:paraId="157A2BF5"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0AF51FBD" w14:textId="77777777" w:rsidR="008C79DD" w:rsidRPr="008C79DD" w:rsidRDefault="008C79DD" w:rsidP="00EB7650">
      <w:pPr>
        <w:widowControl w:val="0"/>
        <w:numPr>
          <w:ilvl w:val="0"/>
          <w:numId w:val="1"/>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Kas yra Tobradex ir kam jis vartojamas</w:t>
      </w:r>
    </w:p>
    <w:p w14:paraId="78CF3EF1" w14:textId="77777777" w:rsidR="008C79DD" w:rsidRPr="008C79DD" w:rsidRDefault="008C79DD" w:rsidP="00EB7650">
      <w:pPr>
        <w:widowControl w:val="0"/>
        <w:numPr>
          <w:ilvl w:val="0"/>
          <w:numId w:val="1"/>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Kas žinotina prieš vartojant Tobradex</w:t>
      </w:r>
    </w:p>
    <w:p w14:paraId="41AEA6FA" w14:textId="77777777" w:rsidR="008C79DD" w:rsidRPr="008C79DD" w:rsidRDefault="008C79DD" w:rsidP="00EB7650">
      <w:pPr>
        <w:widowControl w:val="0"/>
        <w:numPr>
          <w:ilvl w:val="0"/>
          <w:numId w:val="1"/>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Kaip vartoti Tobradex</w:t>
      </w:r>
    </w:p>
    <w:p w14:paraId="64488F5F" w14:textId="77777777" w:rsidR="008C79DD" w:rsidRPr="008C79DD" w:rsidRDefault="008C79DD" w:rsidP="00EB7650">
      <w:pPr>
        <w:widowControl w:val="0"/>
        <w:numPr>
          <w:ilvl w:val="0"/>
          <w:numId w:val="1"/>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Galimas šalutinis poveikis</w:t>
      </w:r>
    </w:p>
    <w:p w14:paraId="4EB12573" w14:textId="77777777" w:rsidR="008C79DD" w:rsidRPr="008C79DD" w:rsidRDefault="008C79DD" w:rsidP="00EB7650">
      <w:pPr>
        <w:widowControl w:val="0"/>
        <w:numPr>
          <w:ilvl w:val="0"/>
          <w:numId w:val="1"/>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Kaip laikyti Tobradex</w:t>
      </w:r>
    </w:p>
    <w:p w14:paraId="7CF682DE" w14:textId="77777777" w:rsidR="008C79DD" w:rsidRPr="008C79DD" w:rsidRDefault="008C79DD" w:rsidP="00EB7650">
      <w:pPr>
        <w:widowControl w:val="0"/>
        <w:numPr>
          <w:ilvl w:val="0"/>
          <w:numId w:val="1"/>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Pakuotės turinys ir kita informacija</w:t>
      </w:r>
    </w:p>
    <w:p w14:paraId="1807738A"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70E83665"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177BA28D" w14:textId="77777777" w:rsidR="008C79DD" w:rsidRPr="008C79DD" w:rsidRDefault="008C79DD" w:rsidP="008C79DD">
      <w:pPr>
        <w:widowControl w:val="0"/>
        <w:numPr>
          <w:ilvl w:val="0"/>
          <w:numId w:val="3"/>
        </w:numPr>
        <w:tabs>
          <w:tab w:val="clear" w:pos="360"/>
          <w:tab w:val="left" w:pos="0"/>
        </w:tabs>
        <w:spacing w:after="0" w:line="240" w:lineRule="auto"/>
        <w:ind w:left="540" w:hanging="54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Kas yra Tobradex ir kam jis vartojamas</w:t>
      </w:r>
    </w:p>
    <w:p w14:paraId="7D17B763"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p>
    <w:p w14:paraId="11E34BB3"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Tobradex yra vartojamas akies u</w:t>
      </w:r>
      <w:r w:rsidRPr="008C79DD">
        <w:rPr>
          <w:rFonts w:ascii="Times New Roman" w:eastAsia="MS Mincho" w:hAnsi="Times New Roman" w:cs="Times New Roman"/>
          <w:spacing w:val="-2"/>
          <w:kern w:val="0"/>
          <w:sz w:val="22"/>
          <w:szCs w:val="22"/>
          <w14:ligatures w14:val="none"/>
        </w:rPr>
        <w:t xml:space="preserve">ždegimui malšinti ir infekcijos profilaktikai po kataraktos operacijos suaugusiesiems ir 2 metų bei vyresniems vaikams ir paaugliams. </w:t>
      </w:r>
      <w:r w:rsidRPr="008C79DD">
        <w:rPr>
          <w:rFonts w:ascii="Times New Roman" w:eastAsia="MS Mincho" w:hAnsi="Times New Roman" w:cs="Times New Roman"/>
          <w:kern w:val="0"/>
          <w:sz w:val="22"/>
          <w:szCs w:val="22"/>
          <w14:ligatures w14:val="none"/>
        </w:rPr>
        <w:t>Uždegimas gali atsirasti po akies operacijos.</w:t>
      </w:r>
    </w:p>
    <w:p w14:paraId="57DBD9E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Tobradex yra kombinuoto poveikio kortikosteroido ir priešmikrobinio vaisto derinys.</w:t>
      </w:r>
      <w:r w:rsidRPr="008C79DD">
        <w:rPr>
          <w:rFonts w:ascii="Times New Roman" w:eastAsia="MS Mincho" w:hAnsi="Times New Roman" w:cs="Times New Roman"/>
          <w:b/>
          <w:kern w:val="0"/>
          <w:sz w:val="22"/>
          <w:szCs w:val="22"/>
          <w14:ligatures w14:val="none"/>
        </w:rPr>
        <w:t xml:space="preserve"> </w:t>
      </w:r>
      <w:r w:rsidRPr="008C79DD">
        <w:rPr>
          <w:rFonts w:ascii="Times New Roman" w:eastAsia="MS Mincho" w:hAnsi="Times New Roman" w:cs="Times New Roman"/>
          <w:kern w:val="0"/>
          <w:sz w:val="22"/>
          <w:szCs w:val="22"/>
          <w14:ligatures w14:val="none"/>
        </w:rPr>
        <w:t>Kortikosteroidai (šiuo atveju deksametazonas) padeda slopinti akies uždegimą. Priešmikrobinis komponentas (šiuo atveju tobramicinas) veikia prieš daugybę mikroorganizmų, galinčių sukelti akies ar abiejų akių infekcinį uždegimą.</w:t>
      </w:r>
    </w:p>
    <w:p w14:paraId="2842945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1D425E6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162D1646" w14:textId="77777777" w:rsidR="008C79DD" w:rsidRPr="008C79DD" w:rsidRDefault="008C79DD" w:rsidP="008C79DD">
      <w:pPr>
        <w:widowControl w:val="0"/>
        <w:numPr>
          <w:ilvl w:val="0"/>
          <w:numId w:val="3"/>
        </w:numPr>
        <w:tabs>
          <w:tab w:val="clear" w:pos="360"/>
          <w:tab w:val="num" w:pos="0"/>
        </w:tabs>
        <w:spacing w:after="0" w:line="240" w:lineRule="auto"/>
        <w:ind w:left="540" w:hanging="540"/>
        <w:outlineLvl w:val="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Kas žinotina prieš vartojant Tobradex</w:t>
      </w:r>
    </w:p>
    <w:p w14:paraId="5ABC4861"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04319FF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b/>
          <w:kern w:val="0"/>
          <w:sz w:val="22"/>
          <w:szCs w:val="22"/>
          <w14:ligatures w14:val="none"/>
        </w:rPr>
        <w:t>Tobradex vartoti draudžiama:</w:t>
      </w:r>
    </w:p>
    <w:p w14:paraId="7ED34BDA" w14:textId="77777777" w:rsidR="008C79DD" w:rsidRPr="008C79DD" w:rsidRDefault="008C79DD" w:rsidP="00EB7650">
      <w:pPr>
        <w:widowControl w:val="0"/>
        <w:numPr>
          <w:ilvl w:val="0"/>
          <w:numId w:val="7"/>
        </w:numPr>
        <w:spacing w:after="0" w:line="240" w:lineRule="auto"/>
        <w:ind w:left="567" w:hanging="425"/>
        <w:contextualSpacing/>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jeigu yra alergija veikliosioms medžiagoms arba bet kuriai pagalbinei šio vaisto medžiagai (jos išvardytos 6 skyriuje);</w:t>
      </w:r>
    </w:p>
    <w:p w14:paraId="0B11EB13" w14:textId="77777777" w:rsidR="008C79DD" w:rsidRPr="008C79DD" w:rsidRDefault="008C79DD" w:rsidP="00EB7650">
      <w:pPr>
        <w:widowControl w:val="0"/>
        <w:numPr>
          <w:ilvl w:val="0"/>
          <w:numId w:val="7"/>
        </w:numPr>
        <w:suppressLineNumbers/>
        <w:suppressAutoHyphens/>
        <w:spacing w:after="0" w:line="240" w:lineRule="auto"/>
        <w:ind w:left="567" w:hanging="425"/>
        <w:contextualSpacing/>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kern w:val="0"/>
          <w:sz w:val="22"/>
          <w:szCs w:val="22"/>
          <w14:ligatures w14:val="none"/>
        </w:rPr>
        <w:t xml:space="preserve">jeigu sergate </w:t>
      </w:r>
      <w:r w:rsidRPr="008C79DD">
        <w:rPr>
          <w:rFonts w:ascii="Times New Roman" w:eastAsia="MS Mincho" w:hAnsi="Times New Roman" w:cs="Times New Roman"/>
          <w:spacing w:val="-2"/>
          <w:kern w:val="0"/>
          <w:sz w:val="22"/>
          <w:szCs w:val="22"/>
          <w14:ligatures w14:val="none"/>
        </w:rPr>
        <w:t xml:space="preserve">virusinėmis (pvz., sukeltomis paprastosios pūslelinės, raupų, vėjaraupių ar juostinės pūslelinės virusų) akių ligomis; </w:t>
      </w:r>
    </w:p>
    <w:p w14:paraId="4973FB90" w14:textId="77777777" w:rsidR="008C79DD" w:rsidRPr="008C79DD" w:rsidRDefault="008C79DD" w:rsidP="00EB7650">
      <w:pPr>
        <w:widowControl w:val="0"/>
        <w:numPr>
          <w:ilvl w:val="0"/>
          <w:numId w:val="7"/>
        </w:numPr>
        <w:suppressLineNumbers/>
        <w:suppressAutoHyphens/>
        <w:spacing w:after="0" w:line="240" w:lineRule="auto"/>
        <w:ind w:left="567" w:hanging="425"/>
        <w:contextualSpacing/>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kern w:val="0"/>
          <w:sz w:val="22"/>
          <w:szCs w:val="22"/>
          <w14:ligatures w14:val="none"/>
        </w:rPr>
        <w:t>jeigu sergate m</w:t>
      </w:r>
      <w:r w:rsidRPr="008C79DD">
        <w:rPr>
          <w:rFonts w:ascii="Times New Roman" w:eastAsia="MS Mincho" w:hAnsi="Times New Roman" w:cs="Times New Roman"/>
          <w:spacing w:val="-2"/>
          <w:kern w:val="0"/>
          <w:sz w:val="22"/>
          <w:szCs w:val="22"/>
          <w14:ligatures w14:val="none"/>
        </w:rPr>
        <w:t>ikobakterijų sukeltomis akių infekcinėmis ligomis;</w:t>
      </w:r>
    </w:p>
    <w:p w14:paraId="01869DFB" w14:textId="77777777" w:rsidR="008C79DD" w:rsidRPr="008C79DD" w:rsidRDefault="008C79DD" w:rsidP="00EB7650">
      <w:pPr>
        <w:widowControl w:val="0"/>
        <w:numPr>
          <w:ilvl w:val="0"/>
          <w:numId w:val="7"/>
        </w:numPr>
        <w:suppressLineNumbers/>
        <w:suppressAutoHyphens/>
        <w:spacing w:after="0" w:line="240" w:lineRule="auto"/>
        <w:ind w:left="567" w:hanging="425"/>
        <w:contextualSpacing/>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kern w:val="0"/>
          <w:sz w:val="22"/>
          <w:szCs w:val="22"/>
          <w14:ligatures w14:val="none"/>
        </w:rPr>
        <w:t>jeigu sergate g</w:t>
      </w:r>
      <w:r w:rsidRPr="008C79DD">
        <w:rPr>
          <w:rFonts w:ascii="Times New Roman" w:eastAsia="MS Mincho" w:hAnsi="Times New Roman" w:cs="Times New Roman"/>
          <w:spacing w:val="-2"/>
          <w:kern w:val="0"/>
          <w:sz w:val="22"/>
          <w:szCs w:val="22"/>
          <w14:ligatures w14:val="none"/>
        </w:rPr>
        <w:t>rybelinėmis akių ligomis arba yra negydyta parazitinė akių infekcija;</w:t>
      </w:r>
    </w:p>
    <w:p w14:paraId="2467516B" w14:textId="77777777" w:rsidR="008C79DD" w:rsidRPr="008C79DD" w:rsidRDefault="008C79DD" w:rsidP="00EB7650">
      <w:pPr>
        <w:widowControl w:val="0"/>
        <w:numPr>
          <w:ilvl w:val="0"/>
          <w:numId w:val="7"/>
        </w:numPr>
        <w:suppressLineNumbers/>
        <w:suppressAutoHyphens/>
        <w:spacing w:after="0" w:line="240" w:lineRule="auto"/>
        <w:ind w:left="567" w:hanging="425"/>
        <w:contextualSpacing/>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spacing w:val="-2"/>
          <w:kern w:val="0"/>
          <w:sz w:val="22"/>
          <w:szCs w:val="22"/>
          <w14:ligatures w14:val="none"/>
        </w:rPr>
        <w:t>jeigu sergate negydytomis pūlinėmis akių infekcinėmis ligomis.</w:t>
      </w:r>
    </w:p>
    <w:p w14:paraId="2AAB484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08014319" w14:textId="77777777" w:rsidR="008C79DD" w:rsidRPr="008C79DD" w:rsidRDefault="008C79DD" w:rsidP="008C79DD">
      <w:pPr>
        <w:widowControl w:val="0"/>
        <w:tabs>
          <w:tab w:val="left" w:pos="567"/>
        </w:tabs>
        <w:spacing w:after="0" w:line="260" w:lineRule="exact"/>
        <w:jc w:val="both"/>
        <w:outlineLvl w:val="3"/>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 xml:space="preserve">Įspėjimai ir atsargumo priemonės </w:t>
      </w:r>
    </w:p>
    <w:p w14:paraId="3377C9BF" w14:textId="77777777" w:rsidR="008C79DD" w:rsidRPr="008C79DD" w:rsidRDefault="008C79DD" w:rsidP="008C79DD">
      <w:pPr>
        <w:widowControl w:val="0"/>
        <w:numPr>
          <w:ilvl w:val="12"/>
          <w:numId w:val="0"/>
        </w:numPr>
        <w:tabs>
          <w:tab w:val="left" w:pos="567"/>
        </w:tabs>
        <w:spacing w:after="0" w:line="240" w:lineRule="auto"/>
        <w:ind w:right="-2"/>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Pasitarkite su gydytoju arba vaistininku, prieš pradėdami vartoti Tobradex:</w:t>
      </w:r>
    </w:p>
    <w:p w14:paraId="1583744D" w14:textId="77777777" w:rsidR="008C79DD" w:rsidRPr="008C79DD" w:rsidRDefault="008C79DD" w:rsidP="00EB7650">
      <w:pPr>
        <w:widowControl w:val="0"/>
        <w:numPr>
          <w:ilvl w:val="0"/>
          <w:numId w:val="6"/>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 yra padidėjęs akispūdis (glaukoma). Rekomenduojama dažnai matuoti akispūdį. Tai ypač svarbu Tobradex vartojantiems vaikams ir paaugliams, kadangi jaunesniems kaip 6 metų vaikams kortikosteroidų sukelto akispūdžio padidėjimo rizika gali būti didesnė, be to, jiems toks sutrikimas gali pasireikšti anksčiau nei suaugusiems žmonėms. Kortikosteroidų sukelto akispūdžio padidėjimo ir (arba) akies lęšiuko drumsties rizika yra didesnė polinkį minėtų sutrikimų atsiradimui turintiems pacientams, pvz., sergantiems cukriniu diabetu;</w:t>
      </w:r>
    </w:p>
    <w:p w14:paraId="6F1169E0" w14:textId="77777777" w:rsidR="008C79DD" w:rsidRPr="008C79DD" w:rsidRDefault="008C79DD" w:rsidP="00EB7650">
      <w:pPr>
        <w:widowControl w:val="0"/>
        <w:numPr>
          <w:ilvl w:val="0"/>
          <w:numId w:val="6"/>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 xml:space="preserve">jeigu pasireiškia alerginė reakcija į Tobradex, nutraukite vaisto vartojimą ir kreipkitės į gydytoją. Alerginė reakcija gali būti įvairi (nuo vietinio niežėjimo ar odos paraudimo iki sunkios alerginės </w:t>
      </w:r>
      <w:r w:rsidRPr="008C79DD">
        <w:rPr>
          <w:rFonts w:ascii="Times New Roman" w:eastAsia="MS Mincho" w:hAnsi="Times New Roman" w:cs="Times New Roman"/>
          <w:kern w:val="0"/>
          <w:sz w:val="22"/>
          <w:szCs w:val="22"/>
          <w14:ligatures w14:val="none"/>
        </w:rPr>
        <w:lastRenderedPageBreak/>
        <w:t>reakcijos (anafilasinės reakcijos) ar sunkios odos reakcijos). Tokių alerginių reakcijų gali atsirasti ir vartojant kitokių tos pačios grupės vietinio ar sisteminio poveikio antibiotikų (aminoglikozidų);</w:t>
      </w:r>
    </w:p>
    <w:p w14:paraId="0A17ABE7" w14:textId="77777777" w:rsidR="008C79DD" w:rsidRPr="008C79DD" w:rsidRDefault="008C79DD" w:rsidP="00EB7650">
      <w:pPr>
        <w:widowControl w:val="0"/>
        <w:numPr>
          <w:ilvl w:val="0"/>
          <w:numId w:val="6"/>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jeigu Jūsų simptomai pasunkėja ar staiga atsinaujina, pasitarkite su gydytoju. Vartojant šio vaisto, gali padidėti akies infekcijos atsiradimo pavojus, be to, gali sulėtėti akies žaizdos gijimas. Jei kartu vartojama lokalaus poveikio nesteroidinių vaistų nuo uždegimo ir kortikosteroidų, gali didėti ragenos žaizdų gijimo sutrikimų rizika;</w:t>
      </w:r>
    </w:p>
    <w:p w14:paraId="492A7FFB" w14:textId="77777777" w:rsidR="008C79DD" w:rsidRPr="008C79DD" w:rsidRDefault="008C79DD" w:rsidP="00EB7650">
      <w:pPr>
        <w:widowControl w:val="0"/>
        <w:numPr>
          <w:ilvl w:val="0"/>
          <w:numId w:val="6"/>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Times New Roman" w:hAnsi="Times New Roman" w:cs="Times New Roman"/>
          <w:noProof/>
          <w:kern w:val="0"/>
          <w:sz w:val="22"/>
          <w:szCs w:val="22"/>
          <w14:ligatures w14:val="none"/>
        </w:rPr>
        <w:t>jeigu sergate ligomis, kurių metu pažeidžiamos nervų raumenų jungtys, pvz., generalizuota m</w:t>
      </w:r>
      <w:r w:rsidRPr="008C79DD">
        <w:rPr>
          <w:rFonts w:ascii="Times New Roman" w:eastAsia="Times New Roman" w:hAnsi="Times New Roman" w:cs="Times New Roman"/>
          <w:noProof/>
          <w:kern w:val="0"/>
          <w:sz w:val="22"/>
          <w:szCs w:val="22"/>
          <w:lang w:val="en-US"/>
          <w14:ligatures w14:val="none"/>
        </w:rPr>
        <w:t xml:space="preserve">iastenija </w:t>
      </w:r>
      <w:r w:rsidRPr="008C79DD">
        <w:rPr>
          <w:rFonts w:ascii="Times New Roman" w:eastAsia="Times New Roman" w:hAnsi="Times New Roman" w:cs="Times New Roman"/>
          <w:noProof/>
          <w:kern w:val="0"/>
          <w:sz w:val="22"/>
          <w:szCs w:val="22"/>
          <w14:ligatures w14:val="none"/>
        </w:rPr>
        <w:t>ar Parkinsono liga, pasitarkite su gydytoju. Aminoglikozidų grupės antibiotikai, jiems priskiriamas tobramicinas, gali sustiprinti raumenų silpnumą;</w:t>
      </w:r>
    </w:p>
    <w:p w14:paraId="7E7C8976" w14:textId="77777777" w:rsidR="008C79DD" w:rsidRPr="008C79DD" w:rsidRDefault="008C79DD" w:rsidP="00EB7650">
      <w:pPr>
        <w:widowControl w:val="0"/>
        <w:numPr>
          <w:ilvl w:val="0"/>
          <w:numId w:val="6"/>
        </w:numPr>
        <w:tabs>
          <w:tab w:val="clear" w:pos="360"/>
        </w:tabs>
        <w:spacing w:after="0" w:line="240" w:lineRule="auto"/>
        <w:ind w:left="567" w:hanging="425"/>
        <w:jc w:val="both"/>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spacing w:val="-2"/>
          <w:kern w:val="0"/>
          <w:sz w:val="22"/>
          <w:szCs w:val="22"/>
          <w14:ligatures w14:val="none"/>
        </w:rPr>
        <w:t>akies uždegimo gydymo metu nerekomenduojama nešioti jokių (minkštųjų ar kietųjų) kontaktinių lęšių, kadangi būklė gali pasunkėti. Jei Jūsų sveikatos priežiūros specialistas mano, kad galite nešioti kontaktinius lęšius, prieš Tobradex vartojimą juos reikia išimti (vėl juos galima įdėti ne anksčiau kaip po 15 min.).</w:t>
      </w:r>
    </w:p>
    <w:p w14:paraId="0AB26670" w14:textId="77777777" w:rsidR="008C79DD" w:rsidRPr="008C79DD" w:rsidRDefault="008C79DD" w:rsidP="008C79DD">
      <w:pPr>
        <w:widowControl w:val="0"/>
        <w:tabs>
          <w:tab w:val="left" w:pos="567"/>
        </w:tabs>
        <w:spacing w:after="0" w:line="240" w:lineRule="auto"/>
        <w:ind w:left="360"/>
        <w:jc w:val="both"/>
        <w:rPr>
          <w:rFonts w:ascii="Times New Roman" w:eastAsia="MS Mincho" w:hAnsi="Times New Roman" w:cs="Times New Roman"/>
          <w:kern w:val="0"/>
          <w:sz w:val="22"/>
          <w:szCs w:val="22"/>
          <w14:ligatures w14:val="none"/>
        </w:rPr>
      </w:pPr>
    </w:p>
    <w:p w14:paraId="79107FD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Vartokite vaisto ne ilgiau, negu gydytojas nurodė. Jei būklė pablogėjo ar uždegimas nepraeina, kreipkitės į gydytoją.</w:t>
      </w:r>
    </w:p>
    <w:p w14:paraId="090490C8"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14:ligatures w14:val="none"/>
        </w:rPr>
      </w:pPr>
    </w:p>
    <w:p w14:paraId="0F32F4F1"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spacing w:val="-2"/>
          <w:kern w:val="0"/>
          <w:sz w:val="22"/>
          <w:szCs w:val="22"/>
          <w14:ligatures w14:val="none"/>
        </w:rPr>
        <w:t>Jei Tobradex akių lašų (suspensijos) vartojate ilgai, gali:</w:t>
      </w:r>
    </w:p>
    <w:p w14:paraId="30EB8271" w14:textId="77777777" w:rsidR="008C79DD" w:rsidRPr="008C79DD" w:rsidRDefault="008C79DD" w:rsidP="00EB7650">
      <w:pPr>
        <w:widowControl w:val="0"/>
        <w:numPr>
          <w:ilvl w:val="0"/>
          <w:numId w:val="8"/>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padidėti akies infekcijos pavojus;</w:t>
      </w:r>
    </w:p>
    <w:p w14:paraId="55F7E811" w14:textId="77777777" w:rsidR="008C79DD" w:rsidRPr="008C79DD" w:rsidRDefault="008C79DD" w:rsidP="00EB7650">
      <w:pPr>
        <w:widowControl w:val="0"/>
        <w:numPr>
          <w:ilvl w:val="0"/>
          <w:numId w:val="8"/>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padidėti akispūdis;</w:t>
      </w:r>
    </w:p>
    <w:p w14:paraId="228EA4CD" w14:textId="77777777" w:rsidR="008C79DD" w:rsidRPr="008C79DD" w:rsidRDefault="008C79DD" w:rsidP="00EB7650">
      <w:pPr>
        <w:widowControl w:val="0"/>
        <w:numPr>
          <w:ilvl w:val="0"/>
          <w:numId w:val="8"/>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pasireikšti akies lęšiuko drumstis;</w:t>
      </w:r>
    </w:p>
    <w:p w14:paraId="55551108" w14:textId="77777777" w:rsidR="008C79DD" w:rsidRPr="008C79DD" w:rsidRDefault="008C79DD" w:rsidP="00EB7650">
      <w:pPr>
        <w:widowControl w:val="0"/>
        <w:numPr>
          <w:ilvl w:val="0"/>
          <w:numId w:val="8"/>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Tobradex, gali pasireikšti antinksčių liaukų funkcijos slopinimas. Jeigu nuspręsite nutraukti gydymą, prieš tai pasitarkite su gydytoju. Tokia rizika yra ypač svarbi vaikams ir pacientams, kurie yra gydomi vaistais, vadinamais ritonaviru arba kobicistatu.</w:t>
      </w:r>
    </w:p>
    <w:p w14:paraId="3B7B4177" w14:textId="77777777" w:rsidR="008C79DD" w:rsidRPr="008C79DD" w:rsidRDefault="008C79DD" w:rsidP="008C79DD">
      <w:pPr>
        <w:widowControl w:val="0"/>
        <w:spacing w:after="0" w:line="240" w:lineRule="auto"/>
        <w:ind w:left="567"/>
        <w:rPr>
          <w:rFonts w:ascii="Times New Roman" w:eastAsia="MS Mincho" w:hAnsi="Times New Roman" w:cs="Times New Roman"/>
          <w:kern w:val="0"/>
          <w:sz w:val="22"/>
          <w:szCs w:val="22"/>
          <w14:ligatures w14:val="none"/>
        </w:rPr>
      </w:pPr>
    </w:p>
    <w:p w14:paraId="028B38BE"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spacing w:val="-2"/>
          <w:kern w:val="0"/>
          <w:sz w:val="22"/>
          <w:szCs w:val="22"/>
          <w14:ligatures w14:val="none"/>
        </w:rPr>
        <w:t>Gydymas kortikosteroidais gali maskuoti arba paūminti pūlinę akies infekciją. Jeigu nuo kokios nors ligos ragena arba odena yra suplonėjusi, ant akių vartojant steroidų gali įvykti jų prakiurimas.</w:t>
      </w:r>
      <w:r w:rsidRPr="008C79DD">
        <w:rPr>
          <w:rFonts w:ascii="Times New Roman" w:eastAsia="MS Mincho" w:hAnsi="Times New Roman" w:cs="Times New Roman"/>
          <w:kern w:val="0"/>
          <w:sz w:val="22"/>
          <w:szCs w:val="22"/>
          <w14:ligatures w14:val="none"/>
        </w:rPr>
        <w:t xml:space="preserve"> </w:t>
      </w:r>
      <w:r w:rsidRPr="008C79DD">
        <w:rPr>
          <w:rFonts w:ascii="Times New Roman" w:eastAsia="MS Mincho" w:hAnsi="Times New Roman" w:cs="Times New Roman"/>
          <w:spacing w:val="-2"/>
          <w:kern w:val="0"/>
          <w:sz w:val="22"/>
          <w:szCs w:val="22"/>
          <w14:ligatures w14:val="none"/>
        </w:rPr>
        <w:t>Jei sergate bet kokia akies audinių suplonėjimą sukeliančia liga, prieš šio vaisto vartojimą pasitarkite su gydytoju arba vaistininku.</w:t>
      </w:r>
    </w:p>
    <w:p w14:paraId="320C8194"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14:ligatures w14:val="none"/>
        </w:rPr>
      </w:pPr>
    </w:p>
    <w:p w14:paraId="24D3D938"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spacing w:val="-2"/>
          <w:kern w:val="0"/>
          <w:sz w:val="22"/>
          <w:szCs w:val="22"/>
          <w14:ligatures w14:val="none"/>
        </w:rPr>
        <w:t>Jei kartu su Tobradex akių lašais (suspensija) vartojate kitų antibiotikų, įskaitant geriamuosius, apie tai pasakykite gydytojui.</w:t>
      </w:r>
    </w:p>
    <w:p w14:paraId="6E410AA3"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p>
    <w:p w14:paraId="5042127D"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Svarbu žinoti, kad esant akių infekciniam uždegimui kontaktinių lęšių nešioti nerekomenduojama.</w:t>
      </w:r>
    </w:p>
    <w:p w14:paraId="11CC283E"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p>
    <w:p w14:paraId="60309C67"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Jeigu pradėtumėte matyti lyg per miglą arba jums pasireikštų kitų regėjimo sutrikimų, kreipkitės į savo gydytoją.</w:t>
      </w:r>
    </w:p>
    <w:p w14:paraId="43ECF901"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p>
    <w:p w14:paraId="7519702E" w14:textId="77777777" w:rsidR="008C79DD" w:rsidRPr="008C79DD" w:rsidRDefault="008C79DD" w:rsidP="008C79DD">
      <w:pPr>
        <w:widowControl w:val="0"/>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8C79DD">
        <w:rPr>
          <w:rFonts w:ascii="Times New Roman" w:eastAsia="Times New Roman" w:hAnsi="Times New Roman" w:cs="Times New Roman"/>
          <w:b/>
          <w:bCs/>
          <w:snapToGrid w:val="0"/>
          <w:kern w:val="0"/>
          <w:sz w:val="22"/>
          <w:szCs w:val="22"/>
          <w:lang w:eastAsia="x-none"/>
          <w14:ligatures w14:val="none"/>
        </w:rPr>
        <w:t>Vaikams</w:t>
      </w:r>
    </w:p>
    <w:p w14:paraId="6BF1863A"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Šio vaisto saugumas ir veiksmingumas jaunesniems nei dviejų metų vaikams nebuvo tirtas, todėl jiems šio vaisto reikia vartoti atsargiai.</w:t>
      </w:r>
    </w:p>
    <w:p w14:paraId="2BB7401B"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b/>
          <w:kern w:val="0"/>
          <w:sz w:val="22"/>
          <w:szCs w:val="22"/>
          <w14:ligatures w14:val="none"/>
        </w:rPr>
      </w:pPr>
    </w:p>
    <w:p w14:paraId="302307FA"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b/>
          <w:kern w:val="0"/>
          <w:sz w:val="22"/>
          <w:szCs w:val="22"/>
          <w14:ligatures w14:val="none"/>
        </w:rPr>
        <w:t>Kiti vaistai ir Tobradex</w:t>
      </w:r>
    </w:p>
    <w:p w14:paraId="4AF5D630"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 xml:space="preserve">Jeigu vartojate ar neseniai vartojote kitų vaistų arba dėl to nesate tikri, apie tai pasakykite gydytojui arba vaistininkui. </w:t>
      </w:r>
    </w:p>
    <w:p w14:paraId="5426DD8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720C978B"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Pasakykite gydytojui, jeigu vartojate ritonavirą arba kobicistatą, kadangi tai gali didinti deksametazono kiekį kraujyje.</w:t>
      </w:r>
    </w:p>
    <w:p w14:paraId="681EAF19"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7C3038CE"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14:ligatures w14:val="none"/>
        </w:rPr>
      </w:pPr>
      <w:r w:rsidRPr="008C79DD">
        <w:rPr>
          <w:rFonts w:ascii="Times New Roman" w:eastAsia="MS Mincho" w:hAnsi="Times New Roman" w:cs="Times New Roman"/>
          <w:spacing w:val="-3"/>
          <w:kern w:val="0"/>
          <w:sz w:val="22"/>
          <w:szCs w:val="22"/>
          <w14:ligatures w14:val="none"/>
        </w:rPr>
        <w:t>Pasakykite gydytojui, jei kartu vartojate nesteroidinių vaistų nuo uždegimo</w:t>
      </w:r>
      <w:r w:rsidRPr="008C79DD" w:rsidDel="006D3DB3">
        <w:rPr>
          <w:rFonts w:ascii="Times New Roman" w:eastAsia="MS Mincho" w:hAnsi="Times New Roman" w:cs="Times New Roman"/>
          <w:spacing w:val="-3"/>
          <w:kern w:val="0"/>
          <w:sz w:val="22"/>
          <w:szCs w:val="22"/>
          <w14:ligatures w14:val="none"/>
        </w:rPr>
        <w:t xml:space="preserve"> </w:t>
      </w:r>
      <w:r w:rsidRPr="008C79DD">
        <w:rPr>
          <w:rFonts w:ascii="Times New Roman" w:eastAsia="MS Mincho" w:hAnsi="Times New Roman" w:cs="Times New Roman"/>
          <w:spacing w:val="-3"/>
          <w:kern w:val="0"/>
          <w:sz w:val="22"/>
          <w:szCs w:val="22"/>
          <w14:ligatures w14:val="none"/>
        </w:rPr>
        <w:t xml:space="preserve">ir kortikosteroidų. Jei kartu vartojama lokalaus poveikio </w:t>
      </w:r>
      <w:r w:rsidRPr="008C79DD">
        <w:rPr>
          <w:rFonts w:ascii="Times New Roman" w:eastAsia="MS Mincho" w:hAnsi="Times New Roman" w:cs="Times New Roman"/>
          <w:kern w:val="0"/>
          <w:sz w:val="22"/>
          <w:szCs w:val="22"/>
          <w14:ligatures w14:val="none"/>
        </w:rPr>
        <w:t>nesteroidinių vaistų nuo uždegimo</w:t>
      </w:r>
      <w:r w:rsidRPr="008C79DD">
        <w:rPr>
          <w:rFonts w:ascii="Times New Roman" w:eastAsia="MS Mincho" w:hAnsi="Times New Roman" w:cs="Times New Roman"/>
          <w:spacing w:val="-3"/>
          <w:kern w:val="0"/>
          <w:sz w:val="22"/>
          <w:szCs w:val="22"/>
          <w14:ligatures w14:val="none"/>
        </w:rPr>
        <w:t xml:space="preserve"> ir kortikosteroidų, gali didėti akių žaizdų gijimo sutrikimų rizika.</w:t>
      </w:r>
    </w:p>
    <w:p w14:paraId="61003829"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14:ligatures w14:val="none"/>
        </w:rPr>
      </w:pPr>
    </w:p>
    <w:p w14:paraId="60776A83"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14:ligatures w14:val="none"/>
        </w:rPr>
      </w:pPr>
      <w:r w:rsidRPr="008C79DD">
        <w:rPr>
          <w:rFonts w:ascii="Times New Roman" w:eastAsia="MS Mincho" w:hAnsi="Times New Roman" w:cs="Times New Roman"/>
          <w:spacing w:val="-3"/>
          <w:kern w:val="0"/>
          <w:sz w:val="22"/>
          <w:szCs w:val="22"/>
          <w14:ligatures w14:val="none"/>
        </w:rPr>
        <w:lastRenderedPageBreak/>
        <w:t>Esama pranešimų apie bendrai vartojamų atskirų sudedamųjų dalių sąveiką. Tačiau tobramicino ir deksametazono absorbcija yra tokia maža, kad bet kokios sąveikos pavojaus beveik nėra.</w:t>
      </w:r>
    </w:p>
    <w:p w14:paraId="603E19D3"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14:ligatures w14:val="none"/>
        </w:rPr>
      </w:pPr>
    </w:p>
    <w:p w14:paraId="4971A59E"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14:ligatures w14:val="none"/>
        </w:rPr>
      </w:pPr>
      <w:r w:rsidRPr="008C79DD">
        <w:rPr>
          <w:rFonts w:ascii="Times New Roman" w:eastAsia="MS Mincho" w:hAnsi="Times New Roman" w:cs="Times New Roman"/>
          <w:spacing w:val="-3"/>
          <w:kern w:val="0"/>
          <w:sz w:val="22"/>
          <w:szCs w:val="22"/>
          <w14:ligatures w14:val="none"/>
        </w:rPr>
        <w:t>Jei vartojate ir kitų akių lašų ar akių tepalų, tarp kiekvieno vaisto vartojimo turi praeiti ne mažiau kaip 5 minutės. Akių tepalas turi būti vartojamas paskutinis.</w:t>
      </w:r>
    </w:p>
    <w:p w14:paraId="27EB82CE"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p>
    <w:p w14:paraId="1105DB9A" w14:textId="77777777" w:rsidR="008C79DD" w:rsidRPr="008C79DD" w:rsidRDefault="008C79DD" w:rsidP="008C79DD">
      <w:pPr>
        <w:widowControl w:val="0"/>
        <w:tabs>
          <w:tab w:val="left" w:pos="567"/>
        </w:tabs>
        <w:spacing w:after="0" w:line="240" w:lineRule="auto"/>
        <w:outlineLvl w:val="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Nėštumas ir žindymo laikotarpis</w:t>
      </w:r>
    </w:p>
    <w:p w14:paraId="28C6505B" w14:textId="77777777" w:rsidR="008C79DD" w:rsidRPr="008C79DD" w:rsidRDefault="008C79DD" w:rsidP="008C79DD">
      <w:pPr>
        <w:widowControl w:val="0"/>
        <w:tabs>
          <w:tab w:val="left" w:pos="567"/>
        </w:tabs>
        <w:spacing w:after="0" w:line="240" w:lineRule="auto"/>
        <w:rPr>
          <w:rFonts w:ascii="Times New Roman" w:eastAsia="SimSun" w:hAnsi="Times New Roman" w:cs="Times New Roman"/>
          <w:kern w:val="0"/>
          <w:sz w:val="22"/>
          <w:szCs w:val="22"/>
          <w:lang w:eastAsia="lt-LT"/>
          <w14:ligatures w14:val="none"/>
        </w:rPr>
      </w:pPr>
      <w:r w:rsidRPr="008C79DD">
        <w:rPr>
          <w:rFonts w:ascii="Times New Roman" w:eastAsia="SimSun" w:hAnsi="Times New Roman" w:cs="Times New Roman"/>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5B056961"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 xml:space="preserve">Tobradex vartoti nėštumo metu arba žindant nerekomenduojama. </w:t>
      </w:r>
    </w:p>
    <w:p w14:paraId="79A8A286"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556FEB49"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Vairavimas ir mechanizmų valdymas</w:t>
      </w:r>
    </w:p>
    <w:p w14:paraId="41A22C0E"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Tobradex</w:t>
      </w:r>
      <w:r w:rsidRPr="008C79DD">
        <w:rPr>
          <w:rFonts w:ascii="Times New Roman" w:eastAsia="MS Mincho" w:hAnsi="Times New Roman" w:cs="Times New Roman"/>
          <w:b/>
          <w:kern w:val="0"/>
          <w:sz w:val="22"/>
          <w:szCs w:val="22"/>
          <w14:ligatures w14:val="none"/>
        </w:rPr>
        <w:t xml:space="preserve"> </w:t>
      </w:r>
      <w:r w:rsidRPr="008C79DD">
        <w:rPr>
          <w:rFonts w:ascii="Times New Roman" w:eastAsia="MS Mincho" w:hAnsi="Times New Roman" w:cs="Times New Roman"/>
          <w:kern w:val="0"/>
          <w:sz w:val="22"/>
          <w:szCs w:val="22"/>
          <w14:ligatures w14:val="none"/>
        </w:rPr>
        <w:t>gebėjimo vairuoti ir valdyti mechanizmus neveikia arba veikia nereikšmingai.</w:t>
      </w:r>
    </w:p>
    <w:p w14:paraId="0580FB71"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Iš karto įsilašinus Tobradex trumpam matymas gali būti neryškus. Nevairuokite automobilio ir nedirbkite su mechanizmais, kol matymas nepagerės.</w:t>
      </w:r>
    </w:p>
    <w:p w14:paraId="403AD62C"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p>
    <w:p w14:paraId="2C3731B3"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Tobradex sudėtyje yra benzalkonio chlorido</w:t>
      </w:r>
    </w:p>
    <w:p w14:paraId="5C7A6017" w14:textId="77777777" w:rsidR="008C79DD" w:rsidRPr="008C79DD" w:rsidRDefault="008C79DD" w:rsidP="008C79DD">
      <w:pPr>
        <w:widowControl w:val="0"/>
        <w:tabs>
          <w:tab w:val="left" w:pos="567"/>
        </w:tabs>
        <w:spacing w:after="0" w:line="240" w:lineRule="auto"/>
        <w:rPr>
          <w:rFonts w:ascii="Times New Roman" w:eastAsia="Calibri" w:hAnsi="Times New Roman" w:cs="Arial"/>
          <w:kern w:val="0"/>
          <w:sz w:val="22"/>
          <w:szCs w:val="20"/>
          <w14:ligatures w14:val="none"/>
        </w:rPr>
      </w:pPr>
      <w:r w:rsidRPr="008C79DD">
        <w:rPr>
          <w:rFonts w:ascii="Times New Roman" w:eastAsia="MS Mincho" w:hAnsi="Times New Roman" w:cs="Times New Roman"/>
          <w:kern w:val="0"/>
          <w:sz w:val="22"/>
          <w:szCs w:val="22"/>
          <w14:ligatures w14:val="none"/>
        </w:rPr>
        <w:t>5 </w:t>
      </w:r>
      <w:r w:rsidRPr="008C79DD">
        <w:rPr>
          <w:rFonts w:ascii="Times New Roman" w:eastAsia="Calibri" w:hAnsi="Times New Roman" w:cs="Arial"/>
          <w:kern w:val="0"/>
          <w:sz w:val="22"/>
          <w:szCs w:val="20"/>
          <w14:ligatures w14:val="none"/>
        </w:rPr>
        <w:t xml:space="preserve">ml </w:t>
      </w:r>
      <w:r w:rsidRPr="008C79DD">
        <w:rPr>
          <w:rFonts w:ascii="Times New Roman" w:eastAsia="MS Mincho" w:hAnsi="Times New Roman" w:cs="Times New Roman"/>
          <w:kern w:val="0"/>
          <w:sz w:val="22"/>
          <w:szCs w:val="22"/>
          <w14:ligatures w14:val="none"/>
        </w:rPr>
        <w:t xml:space="preserve">šio vaisto </w:t>
      </w:r>
      <w:r w:rsidRPr="008C79DD">
        <w:rPr>
          <w:rFonts w:ascii="Times New Roman" w:eastAsia="Calibri" w:hAnsi="Times New Roman" w:cs="Arial"/>
          <w:kern w:val="0"/>
          <w:sz w:val="22"/>
          <w:szCs w:val="20"/>
          <w14:ligatures w14:val="none"/>
        </w:rPr>
        <w:t>yra 0,</w:t>
      </w:r>
      <w:r w:rsidRPr="008C79DD">
        <w:rPr>
          <w:rFonts w:ascii="Times New Roman" w:eastAsia="MS Mincho" w:hAnsi="Times New Roman" w:cs="Times New Roman"/>
          <w:kern w:val="0"/>
          <w:sz w:val="22"/>
          <w:szCs w:val="22"/>
          <w14:ligatures w14:val="none"/>
        </w:rPr>
        <w:t>5</w:t>
      </w:r>
      <w:r w:rsidRPr="008C79DD">
        <w:rPr>
          <w:rFonts w:ascii="Times New Roman" w:eastAsia="Calibri" w:hAnsi="Times New Roman" w:cs="Arial"/>
          <w:kern w:val="0"/>
          <w:sz w:val="22"/>
          <w:szCs w:val="20"/>
          <w14:ligatures w14:val="none"/>
        </w:rPr>
        <w:t> mg benzalkonio chlorido</w:t>
      </w:r>
      <w:r w:rsidRPr="008C79DD">
        <w:rPr>
          <w:rFonts w:ascii="Times New Roman" w:eastAsia="MS Mincho" w:hAnsi="Times New Roman" w:cs="Times New Roman"/>
          <w:kern w:val="0"/>
          <w:sz w:val="22"/>
          <w:szCs w:val="22"/>
          <w14:ligatures w14:val="none"/>
        </w:rPr>
        <w:t>, tai atitinka 0,1 mg/ml</w:t>
      </w:r>
      <w:r w:rsidRPr="008C79DD">
        <w:rPr>
          <w:rFonts w:ascii="Times New Roman" w:eastAsia="Calibri" w:hAnsi="Times New Roman" w:cs="Arial"/>
          <w:kern w:val="0"/>
          <w:sz w:val="22"/>
          <w:szCs w:val="20"/>
          <w14:ligatures w14:val="none"/>
        </w:rPr>
        <w:t>.</w:t>
      </w:r>
    </w:p>
    <w:p w14:paraId="5DC537C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Minkštieji kontaktiniai lęšiai gali absorbuoti benzalkonio chloridą ir gali pasikeisti kontaktinių lęšių spalva. Prieš šio vaisto vartojimą kontaktinius lęšius reikia išimti ir vėl juos galima įdėti ne anksčiau kaip po 15 min.</w:t>
      </w:r>
    </w:p>
    <w:p w14:paraId="71FAD7CA"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3F35472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79F8B801" w14:textId="77777777" w:rsidR="008C79DD" w:rsidRPr="008C79DD" w:rsidRDefault="008C79DD" w:rsidP="008C79DD">
      <w:pPr>
        <w:widowControl w:val="0"/>
        <w:tabs>
          <w:tab w:val="left" w:pos="567"/>
        </w:tabs>
        <w:spacing w:after="0" w:line="240" w:lineRule="auto"/>
        <w:jc w:val="both"/>
        <w:rPr>
          <w:rFonts w:ascii="Times New Roman" w:eastAsia="MS Mincho" w:hAnsi="Times New Roman" w:cs="Times New Roman"/>
          <w:kern w:val="0"/>
          <w:sz w:val="22"/>
          <w:szCs w:val="22"/>
          <w14:ligatures w14:val="none"/>
        </w:rPr>
      </w:pPr>
    </w:p>
    <w:p w14:paraId="55B7E7B6" w14:textId="77777777" w:rsidR="008C79DD" w:rsidRPr="008C79DD" w:rsidRDefault="008C79DD" w:rsidP="008C79DD">
      <w:pPr>
        <w:widowControl w:val="0"/>
        <w:numPr>
          <w:ilvl w:val="0"/>
          <w:numId w:val="3"/>
        </w:numPr>
        <w:tabs>
          <w:tab w:val="clear" w:pos="360"/>
        </w:tabs>
        <w:spacing w:after="0" w:line="240" w:lineRule="auto"/>
        <w:ind w:left="540" w:hanging="540"/>
        <w:outlineLvl w:val="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Kaip vartoti Tobradex</w:t>
      </w:r>
    </w:p>
    <w:p w14:paraId="0B4119F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5B8D10C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 xml:space="preserve">Visada vartokite šį vaistą tiksliai, kaip nurodė gydytojas. Jeigu abejojate, kreipkitės į gydytoją arba vaistininką. </w:t>
      </w:r>
    </w:p>
    <w:p w14:paraId="4DCAC25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Tobradex galima lašinti</w:t>
      </w:r>
      <w:r w:rsidRPr="008C79DD">
        <w:rPr>
          <w:rFonts w:ascii="Times New Roman" w:eastAsia="MS Mincho" w:hAnsi="Times New Roman" w:cs="Times New Roman"/>
          <w:b/>
          <w:kern w:val="0"/>
          <w:sz w:val="22"/>
          <w:szCs w:val="22"/>
          <w14:ligatures w14:val="none"/>
        </w:rPr>
        <w:t xml:space="preserve"> </w:t>
      </w:r>
      <w:r w:rsidRPr="008C79DD">
        <w:rPr>
          <w:rFonts w:ascii="Times New Roman" w:eastAsia="MS Mincho" w:hAnsi="Times New Roman" w:cs="Times New Roman"/>
          <w:kern w:val="0"/>
          <w:sz w:val="22"/>
          <w:szCs w:val="22"/>
          <w14:ligatures w14:val="none"/>
        </w:rPr>
        <w:t>tik</w:t>
      </w:r>
      <w:r w:rsidRPr="008C79DD">
        <w:rPr>
          <w:rFonts w:ascii="Times New Roman" w:eastAsia="MS Mincho" w:hAnsi="Times New Roman" w:cs="Times New Roman"/>
          <w:b/>
          <w:kern w:val="0"/>
          <w:sz w:val="22"/>
          <w:szCs w:val="22"/>
          <w14:ligatures w14:val="none"/>
        </w:rPr>
        <w:t xml:space="preserve"> </w:t>
      </w:r>
      <w:r w:rsidRPr="008C79DD">
        <w:rPr>
          <w:rFonts w:ascii="Times New Roman" w:eastAsia="MS Mincho" w:hAnsi="Times New Roman" w:cs="Times New Roman"/>
          <w:kern w:val="0"/>
          <w:sz w:val="22"/>
          <w:szCs w:val="22"/>
          <w14:ligatures w14:val="none"/>
        </w:rPr>
        <w:t xml:space="preserve">ant akių. Vaisto vartojimo trukmę jums nurodys gydytojas. </w:t>
      </w:r>
    </w:p>
    <w:p w14:paraId="768F82F0"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p>
    <w:p w14:paraId="7A9F1583" w14:textId="77777777" w:rsidR="008C79DD" w:rsidRPr="008C79DD" w:rsidRDefault="008C79DD" w:rsidP="008C79DD">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spacing w:val="-2"/>
          <w:kern w:val="0"/>
          <w:sz w:val="22"/>
          <w:szCs w:val="22"/>
          <w14:ligatures w14:val="none"/>
        </w:rPr>
      </w:pPr>
      <w:r w:rsidRPr="008C79DD">
        <w:rPr>
          <w:rFonts w:ascii="Times New Roman" w:eastAsia="MS Mincho" w:hAnsi="Times New Roman" w:cs="Times New Roman"/>
          <w:i/>
          <w:spacing w:val="-2"/>
          <w:kern w:val="0"/>
          <w:sz w:val="22"/>
          <w:szCs w:val="22"/>
          <w14:ligatures w14:val="none"/>
        </w:rPr>
        <w:t>Suaugusiesiems</w:t>
      </w:r>
    </w:p>
    <w:p w14:paraId="44094B2F"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spacing w:val="-2"/>
          <w:kern w:val="0"/>
          <w:sz w:val="22"/>
          <w:szCs w:val="22"/>
          <w14:ligatures w14:val="none"/>
        </w:rPr>
        <w:t>Po vieną lašą kas 4</w:t>
      </w:r>
      <w:r w:rsidRPr="008C79DD">
        <w:rPr>
          <w:rFonts w:ascii="Times New Roman" w:eastAsia="MS Mincho" w:hAnsi="Times New Roman" w:cs="Times New Roman"/>
          <w:spacing w:val="-2"/>
          <w:kern w:val="0"/>
          <w:sz w:val="22"/>
          <w:szCs w:val="22"/>
          <w14:ligatures w14:val="none"/>
        </w:rPr>
        <w:noBreakHyphen/>
        <w:t>6 valandas; lašinama į vienos ar abiejų akių junginės maišelį. Jei reikia, pirmąsias 24</w:t>
      </w:r>
      <w:r w:rsidRPr="008C79DD">
        <w:rPr>
          <w:rFonts w:ascii="Times New Roman" w:eastAsia="MS Mincho" w:hAnsi="Times New Roman" w:cs="Times New Roman"/>
          <w:spacing w:val="-2"/>
          <w:kern w:val="0"/>
          <w:sz w:val="22"/>
          <w:szCs w:val="22"/>
          <w14:ligatures w14:val="none"/>
        </w:rPr>
        <w:noBreakHyphen/>
        <w:t xml:space="preserve">48 valandas po operacijos galima lašinti dažniau – po vieną lašą kas dvi valandas (pacientui nemiegant). </w:t>
      </w:r>
      <w:r w:rsidRPr="008C79DD">
        <w:rPr>
          <w:rFonts w:ascii="Times New Roman" w:eastAsia="MS Mincho" w:hAnsi="Times New Roman" w:cs="Times New Roman"/>
          <w:kern w:val="0"/>
          <w:sz w:val="22"/>
          <w:szCs w:val="22"/>
          <w14:ligatures w14:val="none"/>
        </w:rPr>
        <w:t xml:space="preserve">Vaisto galima vartoti ne ilgiau </w:t>
      </w:r>
      <w:r w:rsidRPr="008C79DD">
        <w:rPr>
          <w:rFonts w:ascii="Times New Roman" w:eastAsia="MS Mincho" w:hAnsi="Times New Roman" w:cs="Times New Roman"/>
          <w:spacing w:val="-2"/>
          <w:kern w:val="0"/>
          <w:sz w:val="22"/>
          <w:szCs w:val="22"/>
          <w14:ligatures w14:val="none"/>
        </w:rPr>
        <w:t xml:space="preserve">kaip 24 paras. Uždegimo simptomams silpnėjant, vaisto vartojimo dažnį reikia palaipsniui mažinti. </w:t>
      </w:r>
    </w:p>
    <w:p w14:paraId="33962902"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14:ligatures w14:val="none"/>
        </w:rPr>
      </w:pPr>
    </w:p>
    <w:p w14:paraId="22B010E3" w14:textId="77777777" w:rsidR="008C79DD" w:rsidRPr="008C79DD" w:rsidRDefault="008C79DD" w:rsidP="008C79DD">
      <w:pPr>
        <w:widowControl w:val="0"/>
        <w:suppressLineNumbers/>
        <w:tabs>
          <w:tab w:val="left" w:pos="567"/>
          <w:tab w:val="left" w:pos="1418"/>
        </w:tabs>
        <w:suppressAutoHyphens/>
        <w:spacing w:after="0" w:line="240" w:lineRule="auto"/>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spacing w:val="-2"/>
          <w:kern w:val="0"/>
          <w:sz w:val="22"/>
          <w:szCs w:val="22"/>
          <w14:ligatures w14:val="none"/>
        </w:rPr>
        <w:t>Įsilašinus vaisto rekomenduojama atsargiai užsimerkti ir užspausti nosinį ašarų lataką. Tai gali sumažinti į kraują patenkančio vaisto kiekį ir sisteminį šalutinį poveikį.</w:t>
      </w:r>
    </w:p>
    <w:p w14:paraId="5784A22A"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kern w:val="0"/>
          <w:sz w:val="22"/>
          <w:szCs w:val="22"/>
          <w14:ligatures w14:val="none"/>
        </w:rPr>
      </w:pPr>
    </w:p>
    <w:p w14:paraId="164E0CF6"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Jeigu vartojama ir kitų lokalaus poveikio akių vaistų, tarp vienų ir kitų lašinimo reikia daryti mažiausiai 5 minučių pertrauką. Akių tepalo reikia tepti paskutinio.</w:t>
      </w:r>
    </w:p>
    <w:p w14:paraId="4B53FBD4"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kern w:val="0"/>
          <w:sz w:val="22"/>
          <w:szCs w:val="22"/>
          <w:u w:val="single"/>
          <w14:ligatures w14:val="none"/>
        </w:rPr>
      </w:pPr>
    </w:p>
    <w:p w14:paraId="6FF0D246"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i/>
          <w:kern w:val="0"/>
          <w:sz w:val="22"/>
          <w:szCs w:val="22"/>
          <w14:ligatures w14:val="none"/>
        </w:rPr>
      </w:pPr>
      <w:r w:rsidRPr="008C79DD">
        <w:rPr>
          <w:rFonts w:ascii="Times New Roman" w:eastAsia="MS Mincho" w:hAnsi="Times New Roman" w:cs="Times New Roman"/>
          <w:i/>
          <w:kern w:val="0"/>
          <w:sz w:val="22"/>
          <w:szCs w:val="22"/>
          <w14:ligatures w14:val="none"/>
        </w:rPr>
        <w:t>Senyviems pacientams</w:t>
      </w:r>
    </w:p>
    <w:p w14:paraId="04BFB49B"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Senyviems žmonėms dozės keisti nereikia.</w:t>
      </w:r>
    </w:p>
    <w:p w14:paraId="49804472" w14:textId="77777777" w:rsidR="008C79DD" w:rsidRPr="008C79DD" w:rsidRDefault="008C79DD" w:rsidP="008C79DD">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14:ligatures w14:val="none"/>
        </w:rPr>
      </w:pPr>
    </w:p>
    <w:p w14:paraId="58CEB4B6" w14:textId="77777777" w:rsidR="008C79DD" w:rsidRPr="008C79DD" w:rsidRDefault="008C79DD" w:rsidP="008C79DD">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b/>
          <w:bCs/>
          <w:spacing w:val="-2"/>
          <w:kern w:val="0"/>
          <w:sz w:val="22"/>
          <w:szCs w:val="22"/>
          <w:u w:val="single"/>
          <w14:ligatures w14:val="none"/>
        </w:rPr>
      </w:pPr>
      <w:r w:rsidRPr="008C79DD">
        <w:rPr>
          <w:rFonts w:ascii="Times New Roman" w:eastAsia="MS Mincho" w:hAnsi="Times New Roman" w:cs="Times New Roman"/>
          <w:b/>
          <w:bCs/>
          <w:kern w:val="0"/>
          <w:sz w:val="22"/>
          <w:szCs w:val="22"/>
          <w14:ligatures w14:val="none"/>
        </w:rPr>
        <w:t>Vartojimas vaikams ir paaugliams</w:t>
      </w:r>
    </w:p>
    <w:p w14:paraId="0CF78828" w14:textId="77777777" w:rsidR="008C79DD" w:rsidRPr="008C79DD" w:rsidRDefault="008C79DD" w:rsidP="008C79DD">
      <w:pPr>
        <w:widowControl w:val="0"/>
        <w:suppressLineNumbers/>
        <w:tabs>
          <w:tab w:val="left" w:pos="-90"/>
          <w:tab w:val="left" w:pos="567"/>
        </w:tabs>
        <w:suppressAutoHyphens/>
        <w:spacing w:after="0" w:line="240" w:lineRule="auto"/>
        <w:rPr>
          <w:rFonts w:ascii="Times New Roman" w:eastAsia="MS Mincho" w:hAnsi="Times New Roman" w:cs="Times New Roman"/>
          <w:spacing w:val="-2"/>
          <w:kern w:val="0"/>
          <w:sz w:val="22"/>
          <w:szCs w:val="22"/>
          <w14:ligatures w14:val="none"/>
        </w:rPr>
      </w:pPr>
      <w:r w:rsidRPr="008C79DD">
        <w:rPr>
          <w:rFonts w:ascii="Times New Roman" w:eastAsia="MS Mincho" w:hAnsi="Times New Roman" w:cs="Times New Roman"/>
          <w:spacing w:val="-2"/>
          <w:kern w:val="0"/>
          <w:sz w:val="22"/>
          <w:szCs w:val="22"/>
          <w14:ligatures w14:val="none"/>
        </w:rPr>
        <w:t xml:space="preserve">Tobradex gali vartoti 2 metų ir vyresni vaikai ir paaugliai tokiomis pačiomis dozėmis kaip ir suaugę žmonės. Šio vaisto veiksmingumas ir saugumas jaunesniems kaip 2 metų vaikams nenustatytas, duomenų nėra. </w:t>
      </w:r>
    </w:p>
    <w:p w14:paraId="0F2F1870"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1CC9331E" w14:textId="77777777" w:rsidR="008C79DD" w:rsidRPr="008C79DD" w:rsidRDefault="008C79DD" w:rsidP="008C79DD">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 xml:space="preserve">Vartojimo metodas </w:t>
      </w:r>
    </w:p>
    <w:p w14:paraId="6DBAC2BD" w14:textId="77777777" w:rsidR="008C79DD" w:rsidRPr="008C79DD" w:rsidRDefault="008C79DD" w:rsidP="008C79DD">
      <w:pPr>
        <w:widowControl w:val="0"/>
        <w:numPr>
          <w:ilvl w:val="12"/>
          <w:numId w:val="0"/>
        </w:numPr>
        <w:tabs>
          <w:tab w:val="left" w:pos="567"/>
        </w:tabs>
        <w:spacing w:after="0" w:line="240" w:lineRule="auto"/>
        <w:ind w:right="-2"/>
        <w:rPr>
          <w:rFonts w:ascii="Times New Roman" w:eastAsia="MS Mincho" w:hAnsi="Times New Roman" w:cs="Times New Roman"/>
          <w:kern w:val="0"/>
          <w:sz w:val="22"/>
          <w:szCs w:val="22"/>
          <w14:ligatures w14:val="none"/>
        </w:rPr>
      </w:pPr>
      <w:r w:rsidRPr="008C79DD">
        <w:rPr>
          <w:rFonts w:ascii="Calibri" w:eastAsia="Calibri" w:hAnsi="Calibri" w:cs="Times New Roman"/>
          <w:noProof/>
          <w:kern w:val="0"/>
          <w:sz w:val="22"/>
          <w:szCs w:val="22"/>
          <w:lang w:eastAsia="lt-LT"/>
          <w14:ligatures w14:val="none"/>
        </w:rPr>
        <w:lastRenderedPageBreak/>
        <w:drawing>
          <wp:anchor distT="0" distB="0" distL="114300" distR="114300" simplePos="0" relativeHeight="251658240" behindDoc="1" locked="0" layoutInCell="1" allowOverlap="1" wp14:anchorId="5A2E3165" wp14:editId="0E65DF42">
            <wp:simplePos x="0" y="0"/>
            <wp:positionH relativeFrom="column">
              <wp:posOffset>1414145</wp:posOffset>
            </wp:positionH>
            <wp:positionV relativeFrom="paragraph">
              <wp:posOffset>-156210</wp:posOffset>
            </wp:positionV>
            <wp:extent cx="1828800" cy="1503045"/>
            <wp:effectExtent l="0" t="0" r="0" b="1905"/>
            <wp:wrapNone/>
            <wp:docPr id="5" name="Picture 6"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Paveikslėlis, kuriame yra eskizas, piešimas, Linijinis piešimas, iliustracija&#10;&#10;Automatiškai sugeneruotas aprašy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9DD">
        <w:rPr>
          <w:rFonts w:ascii="Calibri" w:eastAsia="Calibri" w:hAnsi="Calibri" w:cs="Times New Roman"/>
          <w:noProof/>
          <w:kern w:val="0"/>
          <w:sz w:val="22"/>
          <w:szCs w:val="22"/>
          <w:lang w:eastAsia="lt-LT"/>
          <w14:ligatures w14:val="none"/>
        </w:rPr>
        <w:drawing>
          <wp:anchor distT="0" distB="0" distL="114300" distR="114300" simplePos="0" relativeHeight="251657216" behindDoc="0" locked="0" layoutInCell="1" allowOverlap="1" wp14:anchorId="146169DB" wp14:editId="7826B0A0">
            <wp:simplePos x="0" y="0"/>
            <wp:positionH relativeFrom="column">
              <wp:posOffset>4951730</wp:posOffset>
            </wp:positionH>
            <wp:positionV relativeFrom="paragraph">
              <wp:posOffset>107950</wp:posOffset>
            </wp:positionV>
            <wp:extent cx="1005840" cy="1002030"/>
            <wp:effectExtent l="0" t="0" r="3810" b="7620"/>
            <wp:wrapTopAndBottom/>
            <wp:docPr id="4" name="Picture 2"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9DD">
        <w:rPr>
          <w:rFonts w:ascii="Calibri" w:eastAsia="Calibri" w:hAnsi="Calibri" w:cs="Times New Roman"/>
          <w:noProof/>
          <w:kern w:val="0"/>
          <w:sz w:val="22"/>
          <w:szCs w:val="22"/>
          <w:lang w:eastAsia="lt-LT"/>
          <w14:ligatures w14:val="none"/>
        </w:rPr>
        <w:drawing>
          <wp:anchor distT="0" distB="0" distL="114300" distR="114300" simplePos="0" relativeHeight="251656192" behindDoc="1" locked="0" layoutInCell="1" allowOverlap="1" wp14:anchorId="7F52E18F" wp14:editId="7532962E">
            <wp:simplePos x="0" y="0"/>
            <wp:positionH relativeFrom="column">
              <wp:posOffset>3122930</wp:posOffset>
            </wp:positionH>
            <wp:positionV relativeFrom="paragraph">
              <wp:posOffset>-6350</wp:posOffset>
            </wp:positionV>
            <wp:extent cx="1737360" cy="1370330"/>
            <wp:effectExtent l="0" t="0" r="0" b="1270"/>
            <wp:wrapNone/>
            <wp:docPr id="3" name="Picture 3"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eskizas, piešimas, Linijinis piešimas, iliustracija&#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6627C">
        <w:rPr>
          <w:rFonts w:ascii="Times New Roman" w:eastAsia="MS Mincho" w:hAnsi="Times New Roman" w:cs="Times New Roman"/>
          <w:b/>
          <w:i/>
          <w:color w:val="000000"/>
          <w:kern w:val="0"/>
          <w:sz w:val="22"/>
          <w:szCs w:val="22"/>
          <w14:ligatures w14:val="none"/>
        </w:rPr>
        <w:object w:dxaOrig="1440" w:dyaOrig="1440" w14:anchorId="7B996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811683997" r:id="rId9"/>
        </w:object>
      </w:r>
    </w:p>
    <w:p w14:paraId="30CDB96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t>1</w:t>
      </w: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t>2</w:t>
      </w: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t>3</w:t>
      </w: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r>
      <w:r w:rsidRPr="008C79DD">
        <w:rPr>
          <w:rFonts w:ascii="Times New Roman" w:eastAsia="MS Mincho" w:hAnsi="Times New Roman" w:cs="Times New Roman"/>
          <w:kern w:val="0"/>
          <w:sz w:val="22"/>
          <w:szCs w:val="22"/>
          <w14:ligatures w14:val="none"/>
        </w:rPr>
        <w:tab/>
        <w:t>4</w:t>
      </w:r>
    </w:p>
    <w:p w14:paraId="5F4DADA8"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420BE3B1"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5D2AD916"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Paimkite Tobradex buteliuką ir veidrodėlį.</w:t>
      </w:r>
    </w:p>
    <w:p w14:paraId="4FD70E63"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Nusiplaukite rankas.</w:t>
      </w:r>
    </w:p>
    <w:p w14:paraId="084FCD4D"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Gerai suplakite talpyklės turinį.</w:t>
      </w:r>
    </w:p>
    <w:p w14:paraId="7883B492"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Atsukite talpyklės dangtelį. Pirmą kartą atidarę talpyklę nuimkite dangtelio žiedelį, jei jis atsilaisvina.</w:t>
      </w:r>
    </w:p>
    <w:p w14:paraId="6FB34EAE"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Laikykite apverstą talpyklę vienos rankos nykščiu ir didžiuoju pirštu (1 pav.).</w:t>
      </w:r>
    </w:p>
    <w:p w14:paraId="4CDE5CFA"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Atloškite galvą. Kitos rankos smiliumi atsargiai patraukite žemyn apatinį voką, kad tarp voko ir akies obuolio susidarytų „kišenėlė”. Ten ir reikia lašinti (2 pav.).</w:t>
      </w:r>
    </w:p>
    <w:p w14:paraId="09A1AEBA"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Laikykite lašintuvo galiuką virš akies. Naudokitės veidrodėliu, jei tai padeda.</w:t>
      </w:r>
    </w:p>
    <w:p w14:paraId="1AB8C920"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Nelieskite lašintuvo galiuku akies, voko ar kito paviršiaus, nes lašai gali užsiteršti.</w:t>
      </w:r>
    </w:p>
    <w:p w14:paraId="3E0882E7"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Lengvas paspaudimas smiliumi apverstos talpyklės dugno, leis vienu metu išlašėti tik vienam Tobradex lašui (3 pav.).</w:t>
      </w:r>
    </w:p>
    <w:p w14:paraId="6792AD2F"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Įlašinę Tobradex atleiskite apatinį voką, užsimerkite ir nestipriai užspauskite pirštu akies kampą prie nosies (4 pav.). Tai apsaugos, kad mažiau Tobradex patektų į visą organizmą.</w:t>
      </w:r>
    </w:p>
    <w:p w14:paraId="010AD90B"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 xml:space="preserve">Jei reikia vaistą lašinti į abi akis, tokiu pačiu būdu įsilašinkite vaisto į kitą akį. </w:t>
      </w:r>
    </w:p>
    <w:p w14:paraId="18351CDE" w14:textId="77777777" w:rsidR="008C79DD" w:rsidRPr="008C79DD" w:rsidRDefault="008C79DD" w:rsidP="00EB7650">
      <w:pPr>
        <w:widowControl w:val="0"/>
        <w:numPr>
          <w:ilvl w:val="0"/>
          <w:numId w:val="4"/>
        </w:numPr>
        <w:tabs>
          <w:tab w:val="clear" w:pos="360"/>
        </w:tabs>
        <w:spacing w:after="0" w:line="240" w:lineRule="auto"/>
        <w:ind w:left="567" w:hanging="425"/>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Įsilašinę vaisto, iš karto uždėkite ir sandariai užsukite talpyklės dangtelį.</w:t>
      </w:r>
    </w:p>
    <w:p w14:paraId="48A12805"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6989361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 nepataikėte vaisto įsilašinti į akį, bandykite dar kartą.</w:t>
      </w:r>
    </w:p>
    <w:p w14:paraId="4FEC486C"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b/>
          <w:kern w:val="0"/>
          <w:sz w:val="22"/>
          <w:szCs w:val="22"/>
          <w14:ligatures w14:val="none"/>
        </w:rPr>
      </w:pPr>
    </w:p>
    <w:p w14:paraId="36A3490D"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Ką daryti pavartojus per didelę Tobradex dozę</w:t>
      </w:r>
    </w:p>
    <w:p w14:paraId="31364E31" w14:textId="77777777" w:rsidR="008C79DD" w:rsidRPr="008C79DD" w:rsidRDefault="008C79DD" w:rsidP="008C79DD">
      <w:pPr>
        <w:widowControl w:val="0"/>
        <w:suppressLineNumbers/>
        <w:tabs>
          <w:tab w:val="left" w:pos="567"/>
        </w:tabs>
        <w:suppressAutoHyphen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Per daug įsilašinus Tobradex, akis galima plauti drungnu vandeniu. Kitą kartą lašų lašinkite tik tada, kai ateis laikas vartoti įprastą dozę.</w:t>
      </w:r>
    </w:p>
    <w:p w14:paraId="0B6278C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5BC149DB"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Pamiršus pavartoti Tobradex</w:t>
      </w:r>
    </w:p>
    <w:p w14:paraId="213B3A4A" w14:textId="77777777" w:rsidR="008C79DD" w:rsidRPr="008C79DD" w:rsidRDefault="008C79DD" w:rsidP="008C79DD">
      <w:pPr>
        <w:widowControl w:val="0"/>
        <w:tabs>
          <w:tab w:val="left" w:pos="567"/>
        </w:tabs>
        <w:spacing w:after="0" w:line="240" w:lineRule="auto"/>
        <w:outlineLvl w:val="0"/>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Negalima vartoti dvigubos dozės norint kompensuoti praleistą dozę. Jei užmiršote įsilašinti Tobradex</w:t>
      </w:r>
      <w:r w:rsidRPr="008C79DD">
        <w:rPr>
          <w:rFonts w:ascii="Times New Roman" w:eastAsia="MS Mincho" w:hAnsi="Times New Roman" w:cs="Times New Roman"/>
          <w:b/>
          <w:kern w:val="0"/>
          <w:sz w:val="22"/>
          <w:szCs w:val="22"/>
          <w14:ligatures w14:val="none"/>
        </w:rPr>
        <w:t xml:space="preserve">, </w:t>
      </w:r>
      <w:r w:rsidRPr="008C79DD">
        <w:rPr>
          <w:rFonts w:ascii="Times New Roman" w:eastAsia="MS Mincho" w:hAnsi="Times New Roman" w:cs="Times New Roman"/>
          <w:kern w:val="0"/>
          <w:sz w:val="22"/>
          <w:szCs w:val="22"/>
          <w14:ligatures w14:val="none"/>
        </w:rPr>
        <w:t xml:space="preserve">įsilašinkite vieną dozę, iš karto, kai tik prisiminsite. Jei beveik atėjęs laikas lašintis kitą kartą, praleiskite užmirštąją dozę ir toliau vartokite vaistą įprastu laiku. </w:t>
      </w:r>
    </w:p>
    <w:p w14:paraId="7837F9A7"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16717488"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Nustojus vartoti Tobradex</w:t>
      </w:r>
    </w:p>
    <w:p w14:paraId="1990386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Per anksti nustojus vartoti Tobradex, gali atsinaujinti liga.</w:t>
      </w:r>
    </w:p>
    <w:p w14:paraId="4CD1C88D"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270794FA"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Jeigu kiltų daugiau klausimų dėl šio vaisto, kreipkitės į gydytoją arba vaistininką.</w:t>
      </w:r>
    </w:p>
    <w:p w14:paraId="68EB06C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1B70A0F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4ADD04CB" w14:textId="77777777" w:rsidR="008C79DD" w:rsidRPr="008C79DD" w:rsidRDefault="008C79DD" w:rsidP="008C79DD">
      <w:pPr>
        <w:widowControl w:val="0"/>
        <w:numPr>
          <w:ilvl w:val="0"/>
          <w:numId w:val="5"/>
        </w:numPr>
        <w:tabs>
          <w:tab w:val="clear" w:pos="360"/>
        </w:tabs>
        <w:spacing w:after="0" w:line="240" w:lineRule="auto"/>
        <w:ind w:left="540" w:hanging="54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Galimas šalutinis poveikis</w:t>
      </w:r>
    </w:p>
    <w:p w14:paraId="1C0DB564"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54F48868"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Šis vaistas, kaip ir visi kiti, gali sukelti šalutinį poveikį, nors jis pasireiškia ne visiems žmonėms.</w:t>
      </w:r>
    </w:p>
    <w:p w14:paraId="4421D7C5"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615F802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Nustatytas toliau išvardytas šalutinis poveikis, galintis pasireikšti vartojant Tobradex akių lašų (suspensijos).</w:t>
      </w:r>
    </w:p>
    <w:p w14:paraId="27C50F7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4DF04A1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bCs/>
          <w:iCs/>
          <w:kern w:val="0"/>
          <w:sz w:val="22"/>
          <w:szCs w:val="22"/>
          <w:u w:val="single"/>
          <w14:ligatures w14:val="none"/>
        </w:rPr>
      </w:pPr>
      <w:r w:rsidRPr="008C79DD">
        <w:rPr>
          <w:rFonts w:ascii="Times New Roman" w:eastAsia="MS Mincho" w:hAnsi="Times New Roman" w:cs="Times New Roman"/>
          <w:b/>
          <w:bCs/>
          <w:iCs/>
          <w:kern w:val="0"/>
          <w:sz w:val="22"/>
          <w:szCs w:val="22"/>
          <w:u w:val="single"/>
          <w14:ligatures w14:val="none"/>
        </w:rPr>
        <w:t>Nedažni šalutinio poveikio reiškiniai (gali pasireikšti rečiau kaip 1 iš 100 asmenų):</w:t>
      </w:r>
    </w:p>
    <w:p w14:paraId="1657FF3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iCs/>
          <w:kern w:val="0"/>
          <w:sz w:val="22"/>
          <w:szCs w:val="22"/>
          <w14:ligatures w14:val="none"/>
        </w:rPr>
        <w:t>Poveikis akims:</w:t>
      </w:r>
      <w:r w:rsidRPr="008C79DD">
        <w:rPr>
          <w:rFonts w:ascii="Times New Roman" w:eastAsia="MS Mincho" w:hAnsi="Times New Roman" w:cs="Times New Roman"/>
          <w:i/>
          <w:iCs/>
          <w:kern w:val="0"/>
          <w:sz w:val="22"/>
          <w:szCs w:val="22"/>
          <w14:ligatures w14:val="none"/>
        </w:rPr>
        <w:t xml:space="preserve"> </w:t>
      </w:r>
      <w:r w:rsidRPr="008C79DD">
        <w:rPr>
          <w:rFonts w:ascii="Times New Roman" w:eastAsia="MS Mincho" w:hAnsi="Times New Roman" w:cs="Times New Roman"/>
          <w:kern w:val="0"/>
          <w:sz w:val="22"/>
          <w:szCs w:val="22"/>
          <w14:ligatures w14:val="none"/>
        </w:rPr>
        <w:t>padidėjęs akies (-ių) akispūdis, akies skausmas, akies niežėjimas, nemalonus pojūtis akyje, akies sudirginimas.</w:t>
      </w:r>
    </w:p>
    <w:p w14:paraId="48E7DD04" w14:textId="77777777" w:rsidR="008C79DD" w:rsidRPr="008C79DD" w:rsidRDefault="008C79DD" w:rsidP="008C79DD">
      <w:pPr>
        <w:widowControl w:val="0"/>
        <w:tabs>
          <w:tab w:val="left" w:pos="567"/>
        </w:tabs>
        <w:spacing w:after="0" w:line="240" w:lineRule="auto"/>
        <w:ind w:left="720"/>
        <w:rPr>
          <w:rFonts w:ascii="Times New Roman" w:eastAsia="MS Mincho" w:hAnsi="Times New Roman" w:cs="Times New Roman"/>
          <w:kern w:val="0"/>
          <w:sz w:val="22"/>
          <w:szCs w:val="22"/>
          <w14:ligatures w14:val="none"/>
        </w:rPr>
      </w:pPr>
    </w:p>
    <w:p w14:paraId="0216C716"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bCs/>
          <w:iCs/>
          <w:kern w:val="0"/>
          <w:sz w:val="22"/>
          <w:szCs w:val="22"/>
          <w:u w:val="single"/>
          <w14:ligatures w14:val="none"/>
        </w:rPr>
      </w:pPr>
      <w:r w:rsidRPr="008C79DD">
        <w:rPr>
          <w:rFonts w:ascii="Times New Roman" w:eastAsia="MS Mincho" w:hAnsi="Times New Roman" w:cs="Times New Roman"/>
          <w:b/>
          <w:bCs/>
          <w:iCs/>
          <w:kern w:val="0"/>
          <w:sz w:val="22"/>
          <w:szCs w:val="22"/>
          <w:u w:val="single"/>
          <w14:ligatures w14:val="none"/>
        </w:rPr>
        <w:lastRenderedPageBreak/>
        <w:t>Reti šalutinio poveikio reiškiniai (gali pasireikšti rečiau kaip 1 iš 1 000):</w:t>
      </w:r>
    </w:p>
    <w:p w14:paraId="3EE0484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iCs/>
          <w:kern w:val="0"/>
          <w:sz w:val="22"/>
          <w:szCs w:val="22"/>
          <w14:ligatures w14:val="none"/>
        </w:rPr>
        <w:t>Poveikis akims</w:t>
      </w:r>
      <w:r w:rsidRPr="008C79DD">
        <w:rPr>
          <w:rFonts w:ascii="Times New Roman" w:eastAsia="MS Mincho" w:hAnsi="Times New Roman" w:cs="Times New Roman"/>
          <w:kern w:val="0"/>
          <w:sz w:val="22"/>
          <w:szCs w:val="22"/>
          <w14:ligatures w14:val="none"/>
        </w:rPr>
        <w:t>: akies alergija, neryškus matomas vaizdas, akies sausumas, ragenos uždegimas, akies paraudimas.</w:t>
      </w:r>
    </w:p>
    <w:p w14:paraId="3D425305"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3477B544"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iCs/>
          <w:kern w:val="0"/>
          <w:sz w:val="22"/>
          <w:szCs w:val="22"/>
          <w14:ligatures w14:val="none"/>
        </w:rPr>
        <w:t>Poveikis virškinimo traktui</w:t>
      </w:r>
      <w:r w:rsidRPr="008C79DD">
        <w:rPr>
          <w:rFonts w:ascii="Times New Roman" w:eastAsia="MS Mincho" w:hAnsi="Times New Roman" w:cs="Times New Roman"/>
          <w:kern w:val="0"/>
          <w:sz w:val="22"/>
          <w:szCs w:val="22"/>
          <w14:ligatures w14:val="none"/>
        </w:rPr>
        <w:t>: skonio pojūčio sutrikimas.</w:t>
      </w:r>
    </w:p>
    <w:p w14:paraId="6F71D25C"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7C9FF965" w14:textId="77777777" w:rsidR="008C79DD" w:rsidRPr="008C79DD" w:rsidRDefault="008C79DD" w:rsidP="008C79DD">
      <w:pPr>
        <w:keepNext/>
        <w:keepLines/>
        <w:widowControl w:val="0"/>
        <w:tabs>
          <w:tab w:val="left" w:pos="567"/>
        </w:tabs>
        <w:spacing w:after="0" w:line="240" w:lineRule="auto"/>
        <w:rPr>
          <w:rFonts w:ascii="Times New Roman" w:eastAsia="MS Mincho" w:hAnsi="Times New Roman" w:cs="Times New Roman"/>
          <w:kern w:val="0"/>
          <w:sz w:val="22"/>
          <w:szCs w:val="22"/>
          <w:u w:val="single"/>
          <w14:ligatures w14:val="none"/>
        </w:rPr>
      </w:pPr>
      <w:r w:rsidRPr="008C79DD">
        <w:rPr>
          <w:rFonts w:ascii="Times New Roman" w:eastAsia="MS Mincho" w:hAnsi="Times New Roman" w:cs="Times New Roman"/>
          <w:kern w:val="0"/>
          <w:sz w:val="22"/>
          <w:szCs w:val="22"/>
          <w:u w:val="single"/>
          <w14:ligatures w14:val="none"/>
        </w:rPr>
        <w:t xml:space="preserve">Papildomas šalutinis poveikis, apie kurį duomenų gauta po vaisto pateikimo į rinką. </w:t>
      </w:r>
    </w:p>
    <w:p w14:paraId="202FA023" w14:textId="77777777" w:rsidR="008C79DD" w:rsidRPr="008C79DD" w:rsidRDefault="008C79DD" w:rsidP="008C79DD">
      <w:pPr>
        <w:keepNext/>
        <w:keepLines/>
        <w:widowControl w:val="0"/>
        <w:tabs>
          <w:tab w:val="left" w:pos="567"/>
        </w:tabs>
        <w:spacing w:after="0" w:line="240" w:lineRule="auto"/>
        <w:rPr>
          <w:rFonts w:ascii="Times New Roman" w:eastAsia="MS Mincho" w:hAnsi="Times New Roman" w:cs="Times New Roman"/>
          <w:kern w:val="0"/>
          <w:sz w:val="22"/>
          <w:szCs w:val="22"/>
          <w:u w:val="single"/>
          <w14:ligatures w14:val="none"/>
        </w:rPr>
      </w:pPr>
    </w:p>
    <w:p w14:paraId="5E1F2FB6" w14:textId="77777777" w:rsidR="008C79DD" w:rsidRPr="008C79DD" w:rsidRDefault="008C79DD" w:rsidP="008C79DD">
      <w:pPr>
        <w:keepNext/>
        <w:keepLines/>
        <w:widowControl w:val="0"/>
        <w:tabs>
          <w:tab w:val="left" w:pos="567"/>
        </w:tabs>
        <w:spacing w:after="0" w:line="240" w:lineRule="auto"/>
        <w:rPr>
          <w:rFonts w:ascii="Times New Roman" w:eastAsia="MS Mincho" w:hAnsi="Times New Roman" w:cs="Times New Roman"/>
          <w:i/>
          <w:kern w:val="0"/>
          <w:sz w:val="22"/>
          <w:szCs w:val="22"/>
          <w:u w:val="single"/>
          <w14:ligatures w14:val="none"/>
        </w:rPr>
      </w:pPr>
      <w:r w:rsidRPr="008C79DD">
        <w:rPr>
          <w:rFonts w:ascii="Times New Roman" w:eastAsia="MS Mincho" w:hAnsi="Times New Roman" w:cs="Times New Roman"/>
          <w:b/>
          <w:bCs/>
          <w:iCs/>
          <w:kern w:val="0"/>
          <w:sz w:val="22"/>
          <w:szCs w:val="22"/>
          <w:u w:val="single"/>
          <w14:ligatures w14:val="none"/>
        </w:rPr>
        <w:t>Dažnis nežinomas (negali būti apskaičiuotas pagal turimus duomenis):</w:t>
      </w:r>
      <w:r w:rsidRPr="008C79DD">
        <w:rPr>
          <w:rFonts w:ascii="Times New Roman" w:eastAsia="MS Mincho" w:hAnsi="Times New Roman" w:cs="Times New Roman"/>
          <w:iCs/>
          <w:kern w:val="0"/>
          <w:sz w:val="22"/>
          <w:szCs w:val="22"/>
          <w:u w:val="single"/>
          <w14:ligatures w14:val="none"/>
        </w:rPr>
        <w:t xml:space="preserve"> </w:t>
      </w:r>
    </w:p>
    <w:p w14:paraId="6D764084" w14:textId="77777777" w:rsidR="008C79DD" w:rsidRPr="008C79DD" w:rsidRDefault="008C79DD" w:rsidP="008C79DD">
      <w:pPr>
        <w:keepNext/>
        <w:keepLines/>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iCs/>
          <w:kern w:val="0"/>
          <w:sz w:val="22"/>
          <w:szCs w:val="22"/>
          <w14:ligatures w14:val="none"/>
        </w:rPr>
        <w:t>Poveikis akims</w:t>
      </w:r>
      <w:r w:rsidRPr="008C79DD">
        <w:rPr>
          <w:rFonts w:ascii="Times New Roman" w:eastAsia="MS Mincho" w:hAnsi="Times New Roman" w:cs="Times New Roman"/>
          <w:kern w:val="0"/>
          <w:sz w:val="22"/>
          <w:szCs w:val="22"/>
          <w14:ligatures w14:val="none"/>
        </w:rPr>
        <w:t>: akies voko edema, akies voko eritema, vyzdžio padidėjimas, padidėjęs ašarojimas, miglotas matymas.</w:t>
      </w:r>
    </w:p>
    <w:p w14:paraId="6C95FB44" w14:textId="77777777" w:rsidR="008C79DD" w:rsidRPr="008C79DD" w:rsidRDefault="008C79DD" w:rsidP="008C79DD">
      <w:pPr>
        <w:keepNext/>
        <w:keepLines/>
        <w:widowControl w:val="0"/>
        <w:tabs>
          <w:tab w:val="left" w:pos="567"/>
        </w:tabs>
        <w:spacing w:after="0" w:line="240" w:lineRule="auto"/>
        <w:rPr>
          <w:rFonts w:ascii="Times New Roman" w:eastAsia="MS Mincho" w:hAnsi="Times New Roman" w:cs="Times New Roman"/>
          <w:kern w:val="0"/>
          <w:sz w:val="22"/>
          <w:szCs w:val="22"/>
          <w14:ligatures w14:val="none"/>
        </w:rPr>
      </w:pPr>
    </w:p>
    <w:p w14:paraId="50D54E85" w14:textId="77777777" w:rsidR="008C79DD" w:rsidRPr="008C79DD" w:rsidRDefault="008C79DD" w:rsidP="008C79DD">
      <w:pPr>
        <w:keepNext/>
        <w:keepLines/>
        <w:widowControl w:val="0"/>
        <w:tabs>
          <w:tab w:val="left" w:pos="567"/>
        </w:tabs>
        <w:spacing w:after="0" w:line="260" w:lineRule="exact"/>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22323709" w14:textId="77777777" w:rsidR="008C79DD" w:rsidRPr="008C79DD" w:rsidRDefault="008C79DD" w:rsidP="008C79DD">
      <w:pPr>
        <w:keepNext/>
        <w:keepLines/>
        <w:widowControl w:val="0"/>
        <w:tabs>
          <w:tab w:val="left" w:pos="567"/>
        </w:tabs>
        <w:spacing w:after="0" w:line="260" w:lineRule="exact"/>
        <w:rPr>
          <w:rFonts w:ascii="Times New Roman" w:eastAsia="MS Mincho" w:hAnsi="Times New Roman" w:cs="Times New Roman"/>
          <w:kern w:val="0"/>
          <w:sz w:val="22"/>
          <w:szCs w:val="22"/>
          <w14:ligatures w14:val="none"/>
        </w:rPr>
      </w:pPr>
    </w:p>
    <w:p w14:paraId="7B760B43" w14:textId="77777777" w:rsidR="008C79DD" w:rsidRPr="008C79DD" w:rsidRDefault="008C79DD" w:rsidP="008C79DD">
      <w:pPr>
        <w:keepNext/>
        <w:keepLines/>
        <w:widowControl w:val="0"/>
        <w:tabs>
          <w:tab w:val="left" w:pos="567"/>
        </w:tabs>
        <w:spacing w:after="0" w:line="260" w:lineRule="exact"/>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iCs/>
          <w:kern w:val="0"/>
          <w:sz w:val="22"/>
          <w:szCs w:val="22"/>
          <w14:ligatures w14:val="none"/>
        </w:rPr>
        <w:t>Bendrasis šalutinis poveikis</w:t>
      </w:r>
      <w:r w:rsidRPr="008C79DD">
        <w:rPr>
          <w:rFonts w:ascii="Times New Roman" w:eastAsia="MS Mincho" w:hAnsi="Times New Roman" w:cs="Times New Roman"/>
          <w:kern w:val="0"/>
          <w:sz w:val="22"/>
          <w:szCs w:val="22"/>
          <w14:ligatures w14:val="none"/>
        </w:rPr>
        <w:t>: sunki alerginė reakcija (padidėjęs jautrumas), svaigulys, galvos skausmas, pykinimas, nemalonus pojūtis pilve,</w:t>
      </w:r>
      <w:r w:rsidRPr="008C79DD" w:rsidDel="00D71F36">
        <w:rPr>
          <w:rFonts w:ascii="Times New Roman" w:eastAsia="MS Mincho" w:hAnsi="Times New Roman" w:cs="Times New Roman"/>
          <w:kern w:val="0"/>
          <w:sz w:val="22"/>
          <w:szCs w:val="22"/>
          <w14:ligatures w14:val="none"/>
        </w:rPr>
        <w:t xml:space="preserve"> </w:t>
      </w:r>
      <w:r w:rsidRPr="008C79DD">
        <w:rPr>
          <w:rFonts w:ascii="Times New Roman" w:eastAsia="MS Mincho" w:hAnsi="Times New Roman" w:cs="Times New Roman"/>
          <w:kern w:val="0"/>
          <w:sz w:val="22"/>
          <w:szCs w:val="22"/>
          <w14:ligatures w14:val="none"/>
        </w:rPr>
        <w:t>daugiaformė eritema, išbėrimas, veido patinimas, niežulys.</w:t>
      </w:r>
    </w:p>
    <w:p w14:paraId="7A9B15FA"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2AA715C7" w14:textId="77777777" w:rsidR="008C79DD" w:rsidRPr="008C79DD" w:rsidRDefault="008C79DD" w:rsidP="008C79DD">
      <w:pPr>
        <w:widowControl w:val="0"/>
        <w:tabs>
          <w:tab w:val="left" w:pos="567"/>
        </w:tabs>
        <w:spacing w:after="0" w:line="240" w:lineRule="auto"/>
        <w:ind w:right="-1"/>
        <w:rPr>
          <w:rFonts w:ascii="Times New Roman" w:eastAsia="Times New Roman" w:hAnsi="Times New Roman" w:cs="Times New Roman"/>
          <w:b/>
          <w:snapToGrid w:val="0"/>
          <w:kern w:val="0"/>
          <w:sz w:val="22"/>
          <w:szCs w:val="22"/>
          <w14:ligatures w14:val="none"/>
        </w:rPr>
      </w:pPr>
      <w:r w:rsidRPr="008C79DD">
        <w:rPr>
          <w:rFonts w:ascii="Times New Roman" w:eastAsia="Times New Roman" w:hAnsi="Times New Roman" w:cs="Times New Roman"/>
          <w:b/>
          <w:snapToGrid w:val="0"/>
          <w:kern w:val="0"/>
          <w:sz w:val="22"/>
          <w:szCs w:val="22"/>
          <w14:ligatures w14:val="none"/>
        </w:rPr>
        <w:t>Pranešimas apie šalutinį poveikį</w:t>
      </w:r>
    </w:p>
    <w:p w14:paraId="66FB33CE" w14:textId="4DD68CA0" w:rsidR="008C79DD" w:rsidRPr="008C79DD" w:rsidRDefault="008C79DD" w:rsidP="008C79DD">
      <w:pPr>
        <w:widowControl w:val="0"/>
        <w:tabs>
          <w:tab w:val="left" w:pos="567"/>
        </w:tabs>
        <w:spacing w:after="0" w:line="260" w:lineRule="exact"/>
        <w:ind w:right="-1"/>
        <w:rPr>
          <w:rFonts w:ascii="Times New Roman" w:eastAsia="Times New Roman" w:hAnsi="Times New Roman" w:cs="Times New Roman"/>
          <w:noProof/>
          <w:snapToGrid w:val="0"/>
          <w:kern w:val="0"/>
          <w:sz w:val="22"/>
          <w:szCs w:val="22"/>
          <w14:ligatures w14:val="none"/>
        </w:rPr>
      </w:pPr>
      <w:r w:rsidRPr="008C79DD">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arba vaistininkui. </w:t>
      </w:r>
      <w:r w:rsidRPr="008C79DD">
        <w:rPr>
          <w:rFonts w:ascii="Times New Roman" w:eastAsia="Times New Roman" w:hAnsi="Times New Roman" w:cs="Times New Roman"/>
          <w:noProof/>
          <w:snapToGrid w:val="0"/>
          <w:kern w:val="0"/>
          <w:sz w:val="22"/>
          <w:szCs w:val="22"/>
          <w14:ligatures w14:val="none"/>
        </w:rPr>
        <w:t xml:space="preserve">Pranešimą apie šalutinį poveikį galite užpildyti ir pateikti Valstybinės vaistų kontrolės tarnybos prie Lietuvos Respublikos sveikatos apsaugos ministerijos tinklalapyje </w:t>
      </w:r>
      <w:hyperlink r:id="rId10" w:history="1">
        <w:r w:rsidRPr="008C79DD">
          <w:rPr>
            <w:rFonts w:ascii="Times New Roman" w:eastAsia="Times New Roman" w:hAnsi="Times New Roman" w:cs="Times New Roman"/>
            <w:noProof/>
            <w:snapToGrid w:val="0"/>
            <w:color w:val="0000FF"/>
            <w:kern w:val="0"/>
            <w:sz w:val="22"/>
            <w:szCs w:val="22"/>
            <w:u w:val="single"/>
            <w14:ligatures w14:val="none"/>
          </w:rPr>
          <w:t>https://vvkt.lrv.lt/lt/</w:t>
        </w:r>
      </w:hyperlink>
      <w:r w:rsidRPr="008C79DD">
        <w:rPr>
          <w:rFonts w:ascii="Times New Roman" w:eastAsia="Times New Roman" w:hAnsi="Times New Roman" w:cs="Times New Roman"/>
          <w:noProof/>
          <w:snapToGrid w:val="0"/>
          <w:kern w:val="0"/>
          <w:sz w:val="22"/>
          <w:szCs w:val="22"/>
          <w14:ligatures w14:val="none"/>
        </w:rPr>
        <w:t xml:space="preserve"> nurodytais būdais arba paskambinti  nemokamu telefonu </w:t>
      </w:r>
      <w:r w:rsidR="005567FB">
        <w:rPr>
          <w:rFonts w:ascii="Times New Roman" w:eastAsia="Times New Roman" w:hAnsi="Times New Roman" w:cs="Times New Roman"/>
          <w:noProof/>
          <w:snapToGrid w:val="0"/>
          <w:kern w:val="0"/>
          <w:sz w:val="22"/>
          <w:szCs w:val="22"/>
          <w14:ligatures w14:val="none"/>
        </w:rPr>
        <w:t>+370</w:t>
      </w:r>
      <w:r w:rsidRPr="008C79DD">
        <w:rPr>
          <w:rFonts w:ascii="Times New Roman" w:eastAsia="Times New Roman" w:hAnsi="Times New Roman" w:cs="Times New Roman"/>
          <w:noProof/>
          <w:snapToGrid w:val="0"/>
          <w:kern w:val="0"/>
          <w:sz w:val="22"/>
          <w:szCs w:val="22"/>
          <w14:ligatures w14:val="none"/>
        </w:rPr>
        <w:t xml:space="preserve"> 800 73 568. Pranešdami apie šalutinį poveikį galite mums padėti gauti daugiau informacijos apie šio vaisto saugumą.</w:t>
      </w:r>
    </w:p>
    <w:p w14:paraId="4DFF4EBC" w14:textId="77777777" w:rsidR="008C79DD" w:rsidRPr="008C79DD" w:rsidRDefault="008C79DD" w:rsidP="008C79DD">
      <w:pPr>
        <w:widowControl w:val="0"/>
        <w:tabs>
          <w:tab w:val="left" w:pos="567"/>
        </w:tabs>
        <w:spacing w:after="0" w:line="260" w:lineRule="exact"/>
        <w:ind w:right="-1"/>
        <w:rPr>
          <w:rFonts w:ascii="Times New Roman" w:eastAsia="MS Mincho" w:hAnsi="Times New Roman" w:cs="Times New Roman"/>
          <w:kern w:val="0"/>
          <w:sz w:val="22"/>
          <w:szCs w:val="22"/>
          <w14:ligatures w14:val="none"/>
        </w:rPr>
      </w:pPr>
    </w:p>
    <w:p w14:paraId="567C6786"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7D9C68BA" w14:textId="77777777" w:rsidR="008C79DD" w:rsidRPr="008C79DD" w:rsidRDefault="008C79DD" w:rsidP="008C79DD">
      <w:pPr>
        <w:widowControl w:val="0"/>
        <w:numPr>
          <w:ilvl w:val="0"/>
          <w:numId w:val="5"/>
        </w:numPr>
        <w:tabs>
          <w:tab w:val="clear" w:pos="360"/>
        </w:tabs>
        <w:spacing w:after="0" w:line="240" w:lineRule="auto"/>
        <w:ind w:left="540" w:hanging="54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Kaip laikyti Tobradex</w:t>
      </w:r>
    </w:p>
    <w:p w14:paraId="746A9ABB"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p>
    <w:p w14:paraId="38BEFF2E" w14:textId="77777777" w:rsidR="008C79DD" w:rsidRPr="008C79DD" w:rsidRDefault="008C79DD" w:rsidP="008C79DD">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8C79DD">
        <w:rPr>
          <w:rFonts w:ascii="Times New Roman" w:eastAsia="Times New Roman" w:hAnsi="Times New Roman" w:cs="Times New Roman"/>
          <w:snapToGrid w:val="0"/>
          <w:kern w:val="0"/>
          <w:sz w:val="22"/>
          <w:szCs w:val="22"/>
          <w14:ligatures w14:val="none"/>
        </w:rPr>
        <w:t>Šį vaistą laikykite vaikams nepastebimoje ir nepasiekiamoje vietoje.</w:t>
      </w:r>
    </w:p>
    <w:p w14:paraId="12505C4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2FF1F8F3" w14:textId="659DC798" w:rsidR="008C79DD" w:rsidRPr="008C79DD" w:rsidRDefault="00AC7E85"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AC7E85">
        <w:rPr>
          <w:rFonts w:ascii="Times New Roman" w:eastAsia="MS Mincho" w:hAnsi="Times New Roman" w:cs="Times New Roman"/>
          <w:kern w:val="0"/>
          <w:sz w:val="22"/>
          <w:szCs w:val="22"/>
          <w14:ligatures w14:val="none"/>
        </w:rPr>
        <w:t>Šiam vaistui specialių laikymo sąlygų nereikia.</w:t>
      </w:r>
    </w:p>
    <w:p w14:paraId="4B58CA2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Talpyklę laikyti sandarią.</w:t>
      </w:r>
    </w:p>
    <w:p w14:paraId="284F44D5" w14:textId="77777777" w:rsidR="008C79DD" w:rsidRPr="008C79DD" w:rsidRDefault="008C79DD" w:rsidP="008C79DD">
      <w:pPr>
        <w:widowControl w:val="0"/>
        <w:suppressLineNumbers/>
        <w:tabs>
          <w:tab w:val="left" w:pos="-720"/>
          <w:tab w:val="left" w:pos="567"/>
        </w:tabs>
        <w:suppressAutoHyphens/>
        <w:spacing w:after="0" w:line="240" w:lineRule="auto"/>
        <w:jc w:val="both"/>
        <w:rPr>
          <w:rFonts w:ascii="Times New Roman" w:eastAsia="MS Mincho" w:hAnsi="Times New Roman" w:cs="Times New Roman"/>
          <w:spacing w:val="-3"/>
          <w:kern w:val="0"/>
          <w:sz w:val="22"/>
          <w:szCs w:val="22"/>
          <w14:ligatures w14:val="none"/>
        </w:rPr>
      </w:pPr>
    </w:p>
    <w:p w14:paraId="041067FD" w14:textId="68F04327" w:rsidR="008C79DD" w:rsidRPr="008C79DD" w:rsidRDefault="008C79DD" w:rsidP="008C79DD">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14:ligatures w14:val="none"/>
        </w:rPr>
      </w:pPr>
      <w:r w:rsidRPr="008C79DD">
        <w:rPr>
          <w:rFonts w:ascii="Times New Roman" w:eastAsia="MS Mincho" w:hAnsi="Times New Roman" w:cs="Times New Roman"/>
          <w:spacing w:val="-3"/>
          <w:kern w:val="0"/>
          <w:sz w:val="22"/>
          <w:szCs w:val="22"/>
          <w14:ligatures w14:val="none"/>
        </w:rPr>
        <w:t>Pirmą kartą atidarius talpyklę, suspensijos tinkamumo laikas - 4 savaitės.</w:t>
      </w:r>
    </w:p>
    <w:p w14:paraId="047208C4"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25C6EEFE"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Atsukta:</w:t>
      </w:r>
    </w:p>
    <w:p w14:paraId="5BCB4B0E"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210B4E8D"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 xml:space="preserve">Ant dėžutės ir talpyklės po „EXP“ nurodytam tinkamumo laikui pasibaigus, šio vaisto vartoti negalima. Vaistas tinkamas vartoti iki paskutinės nurodyto mėnesio dienos. </w:t>
      </w:r>
    </w:p>
    <w:p w14:paraId="49D1315E"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795FBB30" w14:textId="77777777" w:rsidR="008C79DD" w:rsidRPr="008C79DD" w:rsidRDefault="008C79DD" w:rsidP="008C79D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8C79DD">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89D0AAF"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6BAFCB4A"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5216CF6A" w14:textId="77777777" w:rsidR="008C79DD" w:rsidRPr="008C79DD" w:rsidRDefault="008C79DD" w:rsidP="008C79DD">
      <w:pPr>
        <w:keepNext/>
        <w:keepLines/>
        <w:widowControl w:val="0"/>
        <w:numPr>
          <w:ilvl w:val="0"/>
          <w:numId w:val="5"/>
        </w:numPr>
        <w:tabs>
          <w:tab w:val="clear" w:pos="360"/>
        </w:tabs>
        <w:spacing w:after="0" w:line="240" w:lineRule="auto"/>
        <w:ind w:left="540" w:hanging="54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lastRenderedPageBreak/>
        <w:t>Pakuotės turinys ir kita informacija</w:t>
      </w:r>
    </w:p>
    <w:p w14:paraId="50200753" w14:textId="77777777" w:rsidR="008C79DD" w:rsidRPr="008C79DD" w:rsidRDefault="008C79DD" w:rsidP="008C79DD">
      <w:pPr>
        <w:keepNext/>
        <w:keepLines/>
        <w:widowControl w:val="0"/>
        <w:tabs>
          <w:tab w:val="left" w:pos="567"/>
        </w:tabs>
        <w:spacing w:after="0" w:line="240" w:lineRule="auto"/>
        <w:rPr>
          <w:rFonts w:ascii="Times New Roman" w:eastAsia="MS Mincho" w:hAnsi="Times New Roman" w:cs="Times New Roman"/>
          <w:b/>
          <w:kern w:val="0"/>
          <w:sz w:val="22"/>
          <w:szCs w:val="22"/>
          <w14:ligatures w14:val="none"/>
        </w:rPr>
      </w:pPr>
    </w:p>
    <w:p w14:paraId="77C5D19E" w14:textId="77777777" w:rsidR="008C79DD" w:rsidRPr="008C79DD" w:rsidRDefault="008C79DD" w:rsidP="008C79DD">
      <w:pPr>
        <w:keepNext/>
        <w:keepLines/>
        <w:widowControl w:val="0"/>
        <w:tabs>
          <w:tab w:val="left" w:pos="567"/>
        </w:tabs>
        <w:spacing w:after="0" w:line="240" w:lineRule="auto"/>
        <w:outlineLvl w:val="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Tobradex sudėtis</w:t>
      </w:r>
    </w:p>
    <w:p w14:paraId="7B078BC3" w14:textId="3FB97C4A" w:rsidR="008C79DD" w:rsidRPr="00EB7650" w:rsidRDefault="008C79DD" w:rsidP="00EB7650">
      <w:pPr>
        <w:pStyle w:val="Sraopastraipa"/>
        <w:keepNext/>
        <w:keepLines/>
        <w:widowControl w:val="0"/>
        <w:numPr>
          <w:ilvl w:val="0"/>
          <w:numId w:val="10"/>
        </w:numPr>
        <w:spacing w:after="0" w:line="240" w:lineRule="auto"/>
        <w:ind w:left="567"/>
        <w:rPr>
          <w:rFonts w:ascii="Times New Roman" w:eastAsia="MS Mincho" w:hAnsi="Times New Roman" w:cs="Times New Roman"/>
          <w:kern w:val="0"/>
          <w:sz w:val="22"/>
          <w:szCs w:val="22"/>
          <w14:ligatures w14:val="none"/>
        </w:rPr>
      </w:pPr>
      <w:r w:rsidRPr="00EB7650">
        <w:rPr>
          <w:rFonts w:ascii="Times New Roman" w:eastAsia="MS Mincho" w:hAnsi="Times New Roman" w:cs="Times New Roman"/>
          <w:kern w:val="0"/>
          <w:sz w:val="22"/>
          <w:szCs w:val="22"/>
          <w14:ligatures w14:val="none"/>
        </w:rPr>
        <w:t>Veikliosios medžiagos yra tobramicinas ir deksametazonas. 1 ml suspensijos yra 3 mg tobramicino ir 1 mg deksametazono.</w:t>
      </w:r>
    </w:p>
    <w:p w14:paraId="6B89B14C" w14:textId="6FA691C6" w:rsidR="008C79DD" w:rsidRPr="00EB7650" w:rsidRDefault="008C79DD" w:rsidP="00EB7650">
      <w:pPr>
        <w:pStyle w:val="Sraopastraipa"/>
        <w:keepNext/>
        <w:keepLines/>
        <w:widowControl w:val="0"/>
        <w:numPr>
          <w:ilvl w:val="0"/>
          <w:numId w:val="10"/>
        </w:numPr>
        <w:spacing w:after="0" w:line="240" w:lineRule="auto"/>
        <w:ind w:left="567"/>
        <w:rPr>
          <w:rFonts w:ascii="Times New Roman" w:eastAsia="MS Mincho" w:hAnsi="Times New Roman" w:cs="Times New Roman"/>
          <w:kern w:val="0"/>
          <w:sz w:val="22"/>
          <w:szCs w:val="22"/>
          <w14:ligatures w14:val="none"/>
        </w:rPr>
      </w:pPr>
      <w:r w:rsidRPr="00EB7650">
        <w:rPr>
          <w:rFonts w:ascii="Times New Roman" w:eastAsia="MS Mincho" w:hAnsi="Times New Roman" w:cs="Times New Roman"/>
          <w:kern w:val="0"/>
          <w:sz w:val="22"/>
          <w:szCs w:val="22"/>
          <w14:ligatures w14:val="none"/>
        </w:rPr>
        <w:t>Pagalbinės medžiagos yra benzalkonio chloridas, dinatrio edetatas, natrio chloridas, bevandenis natrio sulfatas (E514), tiloksapolis, hidroksietilceliuliozė ir išgrynintas vanduo. Be to, yra labai mažai sulfato rūgšties ir (arba) natrio hidroksido (reguliuoti pH).</w:t>
      </w:r>
    </w:p>
    <w:p w14:paraId="1C639B6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344CD24C" w14:textId="77777777" w:rsidR="008C79DD" w:rsidRPr="008C79DD" w:rsidRDefault="008C79DD" w:rsidP="008C79DD">
      <w:pPr>
        <w:widowControl w:val="0"/>
        <w:tabs>
          <w:tab w:val="left" w:pos="567"/>
        </w:tabs>
        <w:spacing w:after="0" w:line="240" w:lineRule="auto"/>
        <w:outlineLvl w:val="0"/>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Tobradex išvaizda ir kiekis pakuotėje</w:t>
      </w:r>
    </w:p>
    <w:p w14:paraId="022C8355"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Tobradex yra balta arba balkšva suspensija.</w:t>
      </w:r>
    </w:p>
    <w:p w14:paraId="00B6FF91"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r w:rsidRPr="008C79DD">
        <w:rPr>
          <w:rFonts w:ascii="Times New Roman" w:eastAsia="MS Mincho" w:hAnsi="Times New Roman" w:cs="Times New Roman"/>
          <w:kern w:val="0"/>
          <w:sz w:val="22"/>
          <w:szCs w:val="22"/>
          <w14:ligatures w14:val="none"/>
        </w:rPr>
        <w:t>Vaistas tiekiamas plastikinėje talpyklėje su lašintuvu, kurioje yra 5 ml suspensijos.</w:t>
      </w:r>
    </w:p>
    <w:p w14:paraId="07770D30"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2409D874" w14:textId="7D22A6EC" w:rsidR="00A82705" w:rsidRDefault="00A82705" w:rsidP="00A8270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A82705">
        <w:rPr>
          <w:rFonts w:ascii="Times New Roman" w:eastAsia="Times New Roman" w:hAnsi="Times New Roman" w:cs="Times New Roman"/>
          <w:b/>
          <w:noProof/>
          <w:kern w:val="0"/>
          <w:sz w:val="22"/>
          <w:szCs w:val="22"/>
          <w14:ligatures w14:val="none"/>
        </w:rPr>
        <w:t>Registruotojas eksportuojančioje valstybėje</w:t>
      </w:r>
      <w:r w:rsidR="005567FB">
        <w:rPr>
          <w:rFonts w:ascii="Times New Roman" w:eastAsia="Times New Roman" w:hAnsi="Times New Roman" w:cs="Times New Roman"/>
          <w:b/>
          <w:noProof/>
          <w:kern w:val="0"/>
          <w:sz w:val="22"/>
          <w:szCs w:val="22"/>
          <w14:ligatures w14:val="none"/>
        </w:rPr>
        <w:t xml:space="preserve"> ir gamintojas</w:t>
      </w:r>
    </w:p>
    <w:p w14:paraId="553C6B6C" w14:textId="77777777" w:rsidR="005567FB" w:rsidRDefault="005567FB" w:rsidP="00A8270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36BEF87" w14:textId="3DAC54FC" w:rsidR="005567FB" w:rsidRPr="00A82705" w:rsidRDefault="005567FB" w:rsidP="00A8270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017BABDA"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Novartis Pharma GmbH</w:t>
      </w:r>
    </w:p>
    <w:p w14:paraId="007C8E4F"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90327 Nürnberg</w:t>
      </w:r>
    </w:p>
    <w:p w14:paraId="28C19868" w14:textId="456C2472" w:rsid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Vokietija</w:t>
      </w:r>
    </w:p>
    <w:p w14:paraId="4245C8FC"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600A573"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82705">
        <w:rPr>
          <w:rFonts w:ascii="Times New Roman" w:eastAsia="Aptos" w:hAnsi="Times New Roman" w:cs="Times New Roman"/>
          <w:b/>
          <w:color w:val="000000"/>
          <w:kern w:val="0"/>
          <w:sz w:val="22"/>
          <w:szCs w:val="22"/>
          <w14:ligatures w14:val="none"/>
        </w:rPr>
        <w:t>Gamintojas</w:t>
      </w:r>
    </w:p>
    <w:p w14:paraId="0FCB3C56"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Alcon-Couvreur NV</w:t>
      </w:r>
    </w:p>
    <w:p w14:paraId="02D66905"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Rijksweg 14</w:t>
      </w:r>
    </w:p>
    <w:p w14:paraId="76878AA7"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2870 Puurs</w:t>
      </w:r>
    </w:p>
    <w:p w14:paraId="48DF1E75"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Belgija</w:t>
      </w:r>
    </w:p>
    <w:p w14:paraId="32A04DBD"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AD32054"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arba</w:t>
      </w:r>
    </w:p>
    <w:p w14:paraId="208C1A19"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D1F3EB"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Siegfried El Masnou, S.A.</w:t>
      </w:r>
    </w:p>
    <w:p w14:paraId="4687591C"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Camil Fabra 58</w:t>
      </w:r>
    </w:p>
    <w:p w14:paraId="51725FBD"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El Masnou</w:t>
      </w:r>
    </w:p>
    <w:p w14:paraId="2BCFA3F6"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08320 Barcelona</w:t>
      </w:r>
    </w:p>
    <w:p w14:paraId="57D1E716"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Ispanija</w:t>
      </w:r>
    </w:p>
    <w:p w14:paraId="2A9B2537"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CEF69E0"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arba</w:t>
      </w:r>
    </w:p>
    <w:p w14:paraId="27BD8760"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CFF2EEA"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Novartis Farmacéutica, S.A.</w:t>
      </w:r>
    </w:p>
    <w:p w14:paraId="54B793F5"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Gran Via de les Corts Catalanes, 764</w:t>
      </w:r>
    </w:p>
    <w:p w14:paraId="21B40CC0"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08013 Barcelona</w:t>
      </w:r>
    </w:p>
    <w:p w14:paraId="1359E710"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Ispanija</w:t>
      </w:r>
    </w:p>
    <w:p w14:paraId="7B0204F6"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7853B65"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arba</w:t>
      </w:r>
    </w:p>
    <w:p w14:paraId="6D444610"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F40D2BD"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Novartis Pharma GmbH</w:t>
      </w:r>
    </w:p>
    <w:p w14:paraId="24E1917A"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Roonstraße 25</w:t>
      </w:r>
    </w:p>
    <w:p w14:paraId="7C96AFB0"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90429 Nürnberg</w:t>
      </w:r>
    </w:p>
    <w:p w14:paraId="01D7F430" w14:textId="3BDEDFE2"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2705">
        <w:rPr>
          <w:rFonts w:ascii="Times New Roman" w:eastAsia="Aptos" w:hAnsi="Times New Roman" w:cs="Times New Roman"/>
          <w:bCs/>
          <w:color w:val="000000"/>
          <w:kern w:val="0"/>
          <w:sz w:val="22"/>
          <w:szCs w:val="22"/>
          <w14:ligatures w14:val="none"/>
        </w:rPr>
        <w:t>Vokietija</w:t>
      </w:r>
    </w:p>
    <w:p w14:paraId="54BF8CE2" w14:textId="77777777" w:rsidR="00A82705" w:rsidRPr="00A82705" w:rsidRDefault="00A82705" w:rsidP="00A827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8CA3D4" w14:textId="77777777" w:rsidR="00A82705" w:rsidRPr="00A82705" w:rsidRDefault="00A82705" w:rsidP="00A8270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82705">
        <w:rPr>
          <w:rFonts w:ascii="Times New Roman" w:eastAsia="Aptos" w:hAnsi="Times New Roman" w:cs="Times New Roman"/>
          <w:b/>
          <w:color w:val="000000"/>
          <w:kern w:val="0"/>
          <w:sz w:val="22"/>
          <w:szCs w:val="22"/>
          <w14:ligatures w14:val="none"/>
        </w:rPr>
        <w:t xml:space="preserve">Lygiagretus importuotojas </w:t>
      </w:r>
      <w:r w:rsidRPr="00A82705">
        <w:rPr>
          <w:rFonts w:ascii="Times New Roman" w:eastAsia="Aptos" w:hAnsi="Times New Roman" w:cs="Times New Roman"/>
          <w:b/>
          <w:color w:val="000000"/>
          <w:kern w:val="0"/>
          <w:sz w:val="22"/>
          <w:szCs w:val="22"/>
          <w14:ligatures w14:val="none"/>
        </w:rPr>
        <w:br/>
      </w:r>
      <w:r w:rsidRPr="00A82705">
        <w:rPr>
          <w:rFonts w:ascii="Times New Roman" w:eastAsia="TimesNewRoman" w:hAnsi="Times New Roman" w:cs="Times New Roman"/>
          <w:color w:val="000000"/>
          <w:kern w:val="0"/>
          <w:sz w:val="22"/>
          <w:szCs w:val="22"/>
          <w14:ligatures w14:val="none"/>
        </w:rPr>
        <w:t>UAB „Niromed“</w:t>
      </w:r>
      <w:r w:rsidRPr="00A82705">
        <w:rPr>
          <w:rFonts w:ascii="Times New Roman" w:eastAsia="Aptos" w:hAnsi="Times New Roman" w:cs="Times New Roman"/>
          <w:b/>
          <w:color w:val="000000"/>
          <w:kern w:val="0"/>
          <w:sz w:val="22"/>
          <w:szCs w:val="22"/>
          <w14:ligatures w14:val="none"/>
        </w:rPr>
        <w:br/>
      </w:r>
      <w:r w:rsidRPr="00A82705">
        <w:rPr>
          <w:rFonts w:ascii="Times New Roman" w:eastAsia="TimesNewRoman" w:hAnsi="Times New Roman" w:cs="Times New Roman"/>
          <w:color w:val="000000"/>
          <w:kern w:val="0"/>
          <w:sz w:val="22"/>
          <w:szCs w:val="22"/>
          <w14:ligatures w14:val="none"/>
        </w:rPr>
        <w:t>Žirmūnų g. 139A</w:t>
      </w:r>
      <w:r w:rsidRPr="00A82705">
        <w:rPr>
          <w:rFonts w:ascii="Times New Roman" w:eastAsia="Aptos" w:hAnsi="Times New Roman" w:cs="Times New Roman"/>
          <w:b/>
          <w:color w:val="000000"/>
          <w:kern w:val="0"/>
          <w:sz w:val="22"/>
          <w:szCs w:val="22"/>
          <w14:ligatures w14:val="none"/>
        </w:rPr>
        <w:br/>
      </w:r>
      <w:r w:rsidRPr="00A82705">
        <w:rPr>
          <w:rFonts w:ascii="Times New Roman" w:eastAsia="TimesNewRoman" w:hAnsi="Times New Roman" w:cs="Times New Roman"/>
          <w:color w:val="000000"/>
          <w:kern w:val="0"/>
          <w:sz w:val="22"/>
          <w:szCs w:val="22"/>
          <w14:ligatures w14:val="none"/>
        </w:rPr>
        <w:t>LT-09120 Vilnius</w:t>
      </w:r>
      <w:r w:rsidRPr="00A82705">
        <w:rPr>
          <w:rFonts w:ascii="Times New Roman" w:eastAsia="TimesNewRoman" w:hAnsi="Times New Roman" w:cs="Times New Roman"/>
          <w:color w:val="000000"/>
          <w:kern w:val="0"/>
          <w:sz w:val="22"/>
          <w:szCs w:val="22"/>
          <w14:ligatures w14:val="none"/>
        </w:rPr>
        <w:br/>
        <w:t>Lietuva</w:t>
      </w:r>
    </w:p>
    <w:p w14:paraId="5575D1CF" w14:textId="77777777" w:rsidR="00A82705" w:rsidRPr="00A82705" w:rsidRDefault="00A82705" w:rsidP="00A8270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3FECB37" w14:textId="77777777" w:rsidR="00A82705" w:rsidRPr="00A82705" w:rsidRDefault="00A82705" w:rsidP="00A8270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82705">
        <w:rPr>
          <w:rFonts w:ascii="Times New Roman" w:eastAsia="Times New Roman" w:hAnsi="Times New Roman" w:cs="Times New Roman"/>
          <w:b/>
          <w:bCs/>
          <w:kern w:val="0"/>
          <w:sz w:val="22"/>
          <w:szCs w:val="22"/>
          <w14:ligatures w14:val="none"/>
        </w:rPr>
        <w:t>Perpakavo</w:t>
      </w:r>
    </w:p>
    <w:p w14:paraId="00C6CEBB" w14:textId="77777777" w:rsidR="00A82705" w:rsidRPr="00A82705" w:rsidRDefault="00A82705" w:rsidP="00A8270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2705">
        <w:rPr>
          <w:rFonts w:ascii="Times New Roman" w:eastAsia="TimesNewRoman" w:hAnsi="Times New Roman" w:cs="Times New Roman"/>
          <w:color w:val="000000"/>
          <w:kern w:val="0"/>
          <w:sz w:val="22"/>
          <w:szCs w:val="22"/>
          <w14:ligatures w14:val="none"/>
        </w:rPr>
        <w:lastRenderedPageBreak/>
        <w:t>LABOR Przedsiębiorstwo Farmaceutyczno-Chemiczne sp. z o.o.</w:t>
      </w:r>
    </w:p>
    <w:p w14:paraId="65F595ED" w14:textId="77777777" w:rsidR="00A82705" w:rsidRPr="00A82705" w:rsidRDefault="00A82705" w:rsidP="00A8270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2705">
        <w:rPr>
          <w:rFonts w:ascii="Times New Roman" w:eastAsia="TimesNewRoman" w:hAnsi="Times New Roman" w:cs="Times New Roman"/>
          <w:color w:val="000000"/>
          <w:kern w:val="0"/>
          <w:sz w:val="22"/>
          <w:szCs w:val="22"/>
          <w14:ligatures w14:val="none"/>
        </w:rPr>
        <w:t>Ul. Długosza 49,</w:t>
      </w:r>
    </w:p>
    <w:p w14:paraId="19859592" w14:textId="77777777" w:rsidR="00A82705" w:rsidRPr="00A82705" w:rsidRDefault="00A82705" w:rsidP="00A8270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2705">
        <w:rPr>
          <w:rFonts w:ascii="Times New Roman" w:eastAsia="TimesNewRoman" w:hAnsi="Times New Roman" w:cs="Times New Roman"/>
          <w:color w:val="000000"/>
          <w:kern w:val="0"/>
          <w:sz w:val="22"/>
          <w:szCs w:val="22"/>
          <w14:ligatures w14:val="none"/>
        </w:rPr>
        <w:t>51-162 Wrocław,</w:t>
      </w:r>
    </w:p>
    <w:p w14:paraId="34C7B345" w14:textId="77777777" w:rsidR="00A82705" w:rsidRPr="00A82705" w:rsidRDefault="00A82705" w:rsidP="00A8270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2705">
        <w:rPr>
          <w:rFonts w:ascii="Times New Roman" w:eastAsia="TimesNewRoman" w:hAnsi="Times New Roman" w:cs="Times New Roman"/>
          <w:color w:val="000000"/>
          <w:kern w:val="0"/>
          <w:sz w:val="22"/>
          <w:szCs w:val="22"/>
          <w14:ligatures w14:val="none"/>
        </w:rPr>
        <w:t>Lenkija</w:t>
      </w:r>
    </w:p>
    <w:p w14:paraId="6C351E81" w14:textId="77777777" w:rsidR="00A82705" w:rsidRPr="00A82705" w:rsidRDefault="00A82705" w:rsidP="00A8270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CE01CCB" w14:textId="77777777" w:rsidR="00A82705" w:rsidRPr="00A82705" w:rsidRDefault="00A82705" w:rsidP="00A8270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2705">
        <w:rPr>
          <w:rFonts w:ascii="Times New Roman" w:eastAsia="TimesNewRoman" w:hAnsi="Times New Roman" w:cs="Times New Roman"/>
          <w:color w:val="000000"/>
          <w:kern w:val="0"/>
          <w:sz w:val="22"/>
          <w:szCs w:val="22"/>
          <w14:ligatures w14:val="none"/>
        </w:rPr>
        <w:t>arba</w:t>
      </w:r>
    </w:p>
    <w:p w14:paraId="4CBD812B" w14:textId="77777777" w:rsidR="00A82705" w:rsidRPr="00A82705" w:rsidRDefault="00A82705" w:rsidP="00A8270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D113E44" w14:textId="77777777" w:rsidR="00A82705" w:rsidRPr="00A82705" w:rsidRDefault="00A82705" w:rsidP="00A8270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2705">
        <w:rPr>
          <w:rFonts w:ascii="Times New Roman" w:eastAsia="TimesNewRoman" w:hAnsi="Times New Roman" w:cs="Times New Roman"/>
          <w:color w:val="000000"/>
          <w:kern w:val="0"/>
          <w:sz w:val="22"/>
          <w:szCs w:val="22"/>
          <w14:ligatures w14:val="none"/>
        </w:rPr>
        <w:t>UAB „Entafarma“</w:t>
      </w:r>
    </w:p>
    <w:p w14:paraId="398E82E8" w14:textId="77777777" w:rsidR="00A82705" w:rsidRPr="00A82705" w:rsidRDefault="00A82705" w:rsidP="00A8270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2705">
        <w:rPr>
          <w:rFonts w:ascii="Times New Roman" w:eastAsia="TimesNewRoman" w:hAnsi="Times New Roman" w:cs="Times New Roman"/>
          <w:color w:val="000000"/>
          <w:kern w:val="0"/>
          <w:sz w:val="22"/>
          <w:szCs w:val="22"/>
          <w14:ligatures w14:val="none"/>
        </w:rPr>
        <w:t>Klonėnų vs. 1,</w:t>
      </w:r>
    </w:p>
    <w:p w14:paraId="2B40CDB5" w14:textId="77777777" w:rsidR="00A82705" w:rsidRPr="00A82705" w:rsidRDefault="00A82705" w:rsidP="00A8270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2705">
        <w:rPr>
          <w:rFonts w:ascii="Times New Roman" w:eastAsia="TimesNewRoman" w:hAnsi="Times New Roman" w:cs="Times New Roman"/>
          <w:color w:val="000000"/>
          <w:kern w:val="0"/>
          <w:sz w:val="22"/>
          <w:szCs w:val="22"/>
          <w14:ligatures w14:val="none"/>
        </w:rPr>
        <w:t>LT-19156 Širvintų r. sav.</w:t>
      </w:r>
    </w:p>
    <w:p w14:paraId="702060E8" w14:textId="77777777" w:rsidR="00A82705" w:rsidRPr="00A82705" w:rsidRDefault="00A82705" w:rsidP="00A82705">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82705">
        <w:rPr>
          <w:rFonts w:ascii="Times New Roman" w:eastAsia="TimesNewRoman" w:hAnsi="Times New Roman" w:cs="Times New Roman"/>
          <w:color w:val="000000"/>
          <w:kern w:val="0"/>
          <w:sz w:val="22"/>
          <w:szCs w:val="22"/>
          <w14:ligatures w14:val="none"/>
        </w:rPr>
        <w:t>Lietuva</w:t>
      </w:r>
    </w:p>
    <w:p w14:paraId="226B6AA3"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0DE6AD7C" w14:textId="30EC01E1" w:rsidR="008C79DD" w:rsidRPr="008C79DD" w:rsidRDefault="008C79DD" w:rsidP="008C79DD">
      <w:pPr>
        <w:widowControl w:val="0"/>
        <w:tabs>
          <w:tab w:val="left" w:pos="567"/>
          <w:tab w:val="left" w:pos="6840"/>
        </w:tabs>
        <w:spacing w:after="0" w:line="240" w:lineRule="auto"/>
        <w:rPr>
          <w:rFonts w:ascii="Times New Roman" w:eastAsia="MS Mincho" w:hAnsi="Times New Roman" w:cs="Times New Roman"/>
          <w:b/>
          <w:kern w:val="0"/>
          <w:sz w:val="22"/>
          <w:szCs w:val="22"/>
          <w14:ligatures w14:val="none"/>
        </w:rPr>
      </w:pPr>
      <w:r w:rsidRPr="008C79DD">
        <w:rPr>
          <w:rFonts w:ascii="Times New Roman" w:eastAsia="MS Mincho" w:hAnsi="Times New Roman" w:cs="Times New Roman"/>
          <w:b/>
          <w:kern w:val="0"/>
          <w:sz w:val="22"/>
          <w:szCs w:val="22"/>
          <w14:ligatures w14:val="none"/>
        </w:rPr>
        <w:t xml:space="preserve">Šis pakuotės lapelis paskutinį kartą peržiūrėtas </w:t>
      </w:r>
      <w:r w:rsidR="00F6627C">
        <w:rPr>
          <w:rFonts w:ascii="Times New Roman" w:eastAsia="MS Mincho" w:hAnsi="Times New Roman" w:cs="Times New Roman"/>
          <w:b/>
          <w:kern w:val="0"/>
          <w:sz w:val="22"/>
          <w:szCs w:val="22"/>
          <w14:ligatures w14:val="none"/>
        </w:rPr>
        <w:t>2025-06-17</w:t>
      </w:r>
    </w:p>
    <w:p w14:paraId="659A1F59"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b/>
          <w:kern w:val="0"/>
          <w:sz w:val="22"/>
          <w:szCs w:val="22"/>
          <w14:ligatures w14:val="none"/>
        </w:rPr>
      </w:pPr>
    </w:p>
    <w:p w14:paraId="64B1871A" w14:textId="77777777" w:rsidR="008C79DD" w:rsidRPr="008C79DD" w:rsidRDefault="008C79DD" w:rsidP="008C79DD">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8C79DD">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8C79DD">
        <w:rPr>
          <w:rFonts w:ascii="Times New Roman" w:eastAsia="SimSun" w:hAnsi="Times New Roman" w:cs="Times New Roman"/>
          <w:snapToGrid w:val="0"/>
          <w:color w:val="0000FF"/>
          <w:kern w:val="0"/>
          <w:sz w:val="22"/>
          <w:szCs w:val="22"/>
          <w:u w:val="single"/>
          <w14:ligatures w14:val="none"/>
        </w:rPr>
        <w:t xml:space="preserve"> https://vvkt.lrv.lt/lt/.</w:t>
      </w:r>
    </w:p>
    <w:p w14:paraId="0998CE42" w14:textId="77777777" w:rsidR="008C79DD" w:rsidRPr="008C79DD" w:rsidRDefault="008C79DD" w:rsidP="008C79DD">
      <w:pPr>
        <w:widowControl w:val="0"/>
        <w:tabs>
          <w:tab w:val="left" w:pos="567"/>
        </w:tabs>
        <w:spacing w:after="0" w:line="240" w:lineRule="auto"/>
        <w:rPr>
          <w:rFonts w:ascii="Times New Roman" w:eastAsia="MS Mincho" w:hAnsi="Times New Roman" w:cs="Times New Roman"/>
          <w:kern w:val="0"/>
          <w:sz w:val="22"/>
          <w:szCs w:val="22"/>
          <w14:ligatures w14:val="none"/>
        </w:rPr>
      </w:pPr>
    </w:p>
    <w:p w14:paraId="4FAAAD19" w14:textId="77777777" w:rsidR="009B20FF" w:rsidRPr="009B20FF" w:rsidRDefault="009B20FF" w:rsidP="009B20FF">
      <w:pPr>
        <w:spacing w:line="259" w:lineRule="auto"/>
        <w:rPr>
          <w:rFonts w:ascii="Times New Roman" w:eastAsia="Aptos" w:hAnsi="Times New Roman" w:cs="Times New Roman"/>
          <w:sz w:val="22"/>
          <w:szCs w:val="22"/>
        </w:rPr>
      </w:pPr>
      <w:r w:rsidRPr="009B20FF">
        <w:rPr>
          <w:rFonts w:ascii="Times New Roman" w:eastAsia="Aptos" w:hAnsi="Times New Roman" w:cs="Times New Roman"/>
          <w:i/>
          <w:iCs/>
          <w:sz w:val="22"/>
          <w:szCs w:val="22"/>
        </w:rPr>
        <w:t>Lygiagrečiai importuojamas vaistas nuo referencinio vaisto skiriasi tinkamumo laiku: referencinį vaistą laikyti ne aukštesnėje kaip 25 °C temperatūroje, negalima užšaldyti, talpyklę laikyti stačią, lygiagrečiai importuojamam specialių laikymo sąlygų nereikia.</w:t>
      </w:r>
    </w:p>
    <w:p w14:paraId="71290B3E" w14:textId="37AA3058" w:rsidR="000E75BE" w:rsidRPr="008C79DD" w:rsidRDefault="000E75BE" w:rsidP="008C79DD"/>
    <w:sectPr w:rsidR="000E75BE" w:rsidRPr="008C79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754"/>
    <w:multiLevelType w:val="hybridMultilevel"/>
    <w:tmpl w:val="42A40C1A"/>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055535C0"/>
    <w:multiLevelType w:val="hybridMultilevel"/>
    <w:tmpl w:val="7294349E"/>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0070048"/>
    <w:multiLevelType w:val="hybridMultilevel"/>
    <w:tmpl w:val="D382CED2"/>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425D45"/>
    <w:multiLevelType w:val="hybridMultilevel"/>
    <w:tmpl w:val="4386F070"/>
    <w:lvl w:ilvl="0" w:tplc="0C50B85A">
      <w:start w:val="4"/>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221420D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365E7C4A"/>
    <w:multiLevelType w:val="hybridMultilevel"/>
    <w:tmpl w:val="D8BC4C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AF6C4A"/>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53467727"/>
    <w:multiLevelType w:val="hybridMultilevel"/>
    <w:tmpl w:val="B9FEF7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402486526">
    <w:abstractNumId w:val="7"/>
  </w:num>
  <w:num w:numId="2" w16cid:durableId="2084403546">
    <w:abstractNumId w:val="9"/>
  </w:num>
  <w:num w:numId="3" w16cid:durableId="132790674">
    <w:abstractNumId w:val="5"/>
  </w:num>
  <w:num w:numId="4" w16cid:durableId="1188712351">
    <w:abstractNumId w:val="1"/>
  </w:num>
  <w:num w:numId="5" w16cid:durableId="421417341">
    <w:abstractNumId w:val="4"/>
  </w:num>
  <w:num w:numId="6" w16cid:durableId="506016668">
    <w:abstractNumId w:val="0"/>
  </w:num>
  <w:num w:numId="7" w16cid:durableId="500974473">
    <w:abstractNumId w:val="8"/>
  </w:num>
  <w:num w:numId="8" w16cid:durableId="334382116">
    <w:abstractNumId w:val="3"/>
  </w:num>
  <w:num w:numId="9" w16cid:durableId="1441220956">
    <w:abstractNumId w:val="2"/>
  </w:num>
  <w:num w:numId="10" w16cid:durableId="1950893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60"/>
    <w:rsid w:val="00090DCA"/>
    <w:rsid w:val="000E75BE"/>
    <w:rsid w:val="00104A60"/>
    <w:rsid w:val="005567FB"/>
    <w:rsid w:val="005E75BC"/>
    <w:rsid w:val="006408A5"/>
    <w:rsid w:val="0089652D"/>
    <w:rsid w:val="008C79DD"/>
    <w:rsid w:val="009A3DD7"/>
    <w:rsid w:val="009B20FF"/>
    <w:rsid w:val="00A82705"/>
    <w:rsid w:val="00AC7E85"/>
    <w:rsid w:val="00EB7650"/>
    <w:rsid w:val="00F66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C192F"/>
  <w15:chartTrackingRefBased/>
  <w15:docId w15:val="{E31F9333-468B-4FB0-9ADE-E80AD94D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04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4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4A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4A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4A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4A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4A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4A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4A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A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4A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4A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4A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4A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4A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A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4A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A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4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4A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A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4A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A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4A60"/>
    <w:rPr>
      <w:i/>
      <w:iCs/>
      <w:color w:val="404040" w:themeColor="text1" w:themeTint="BF"/>
    </w:rPr>
  </w:style>
  <w:style w:type="paragraph" w:styleId="Sraopastraipa">
    <w:name w:val="List Paragraph"/>
    <w:basedOn w:val="prastasis"/>
    <w:uiPriority w:val="34"/>
    <w:qFormat/>
    <w:rsid w:val="00104A60"/>
    <w:pPr>
      <w:ind w:left="720"/>
      <w:contextualSpacing/>
    </w:pPr>
  </w:style>
  <w:style w:type="character" w:styleId="Rykuspabraukimas">
    <w:name w:val="Intense Emphasis"/>
    <w:basedOn w:val="Numatytasispastraiposriftas"/>
    <w:uiPriority w:val="21"/>
    <w:qFormat/>
    <w:rsid w:val="00104A60"/>
    <w:rPr>
      <w:i/>
      <w:iCs/>
      <w:color w:val="0F4761" w:themeColor="accent1" w:themeShade="BF"/>
    </w:rPr>
  </w:style>
  <w:style w:type="paragraph" w:styleId="Iskirtacitata">
    <w:name w:val="Intense Quote"/>
    <w:basedOn w:val="prastasis"/>
    <w:next w:val="prastasis"/>
    <w:link w:val="IskirtacitataDiagrama"/>
    <w:uiPriority w:val="30"/>
    <w:qFormat/>
    <w:rsid w:val="00104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4A60"/>
    <w:rPr>
      <w:i/>
      <w:iCs/>
      <w:color w:val="0F4761" w:themeColor="accent1" w:themeShade="BF"/>
    </w:rPr>
  </w:style>
  <w:style w:type="character" w:styleId="Rykinuoroda">
    <w:name w:val="Intense Reference"/>
    <w:basedOn w:val="Numatytasispastraiposriftas"/>
    <w:uiPriority w:val="32"/>
    <w:qFormat/>
    <w:rsid w:val="00104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9712</Words>
  <Characters>5537</Characters>
  <Application>Microsoft Office Word</Application>
  <DocSecurity>0</DocSecurity>
  <Lines>46</Lines>
  <Paragraphs>30</Paragraphs>
  <ScaleCrop>false</ScaleCrop>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8</cp:revision>
  <dcterms:created xsi:type="dcterms:W3CDTF">2024-11-03T11:46:00Z</dcterms:created>
  <dcterms:modified xsi:type="dcterms:W3CDTF">2025-06-17T13:47:00Z</dcterms:modified>
</cp:coreProperties>
</file>