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33DB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61163C70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2D197366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46CDA4F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EFFE2C4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59AB396A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655154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18C68AE6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13CB68E8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D844D7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579CCF7B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35D08843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1.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VAISTINIO PREPARATO PAVADINIMAS</w:t>
      </w:r>
    </w:p>
    <w:p w14:paraId="1C083F5E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0373C880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Tobradex</w:t>
      </w:r>
      <w:proofErr w:type="spellEnd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 3 mg/1 mg/ml akių lašai (suspensija)</w:t>
      </w:r>
    </w:p>
    <w:p w14:paraId="1BCB15D4" w14:textId="4B96356E" w:rsidR="00655154" w:rsidRPr="00655154" w:rsidRDefault="00AA1FD6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iCs/>
          <w:kern w:val="0"/>
          <w:sz w:val="22"/>
          <w:szCs w:val="22"/>
          <w14:ligatures w14:val="none"/>
        </w:rPr>
      </w:pPr>
      <w:r w:rsidRPr="00AA1FD6">
        <w:rPr>
          <w:rFonts w:ascii="Times New Roman" w:eastAsia="MS Mincho" w:hAnsi="Times New Roman" w:cs="Times New Roman"/>
          <w:iCs/>
          <w:kern w:val="0"/>
          <w:sz w:val="22"/>
          <w:szCs w:val="22"/>
          <w:lang w:val="lv-LV"/>
          <w14:ligatures w14:val="none"/>
        </w:rPr>
        <w:t>tobramicinas ir deksametazonas</w:t>
      </w:r>
    </w:p>
    <w:p w14:paraId="5911262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1F19298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2B917E54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77A14ED" w14:textId="182D6C3A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1 ml suspensijos yra 3 mg </w:t>
      </w:r>
      <w:proofErr w:type="spellStart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tobramicino</w:t>
      </w:r>
      <w:proofErr w:type="spellEnd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 ir 1 mg </w:t>
      </w:r>
      <w:proofErr w:type="spellStart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deksametazono</w:t>
      </w:r>
      <w:proofErr w:type="spellEnd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.</w:t>
      </w:r>
    </w:p>
    <w:p w14:paraId="0181BA25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68CEBC16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3.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PAGALBINIŲ MEDŽIAGŲ SĄRAŠAS</w:t>
      </w:r>
    </w:p>
    <w:p w14:paraId="5E127CFF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17F89C09" w14:textId="5B34A55E" w:rsidR="00655154" w:rsidRPr="00655154" w:rsidRDefault="00655154" w:rsidP="002A2824">
      <w:pPr>
        <w:widowControl w:val="0"/>
        <w:suppressLineNumbers/>
        <w:tabs>
          <w:tab w:val="left" w:pos="567"/>
        </w:tabs>
        <w:suppressAutoHyphens/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Pagalbinės medžiagos:</w:t>
      </w:r>
      <w:r w:rsidR="002A2824" w:rsidRPr="002A2824">
        <w:t xml:space="preserve"> </w:t>
      </w:r>
      <w:r w:rsidR="002A2824" w:rsidRPr="002A2824">
        <w:rPr>
          <w:rFonts w:ascii="Times New Roman" w:eastAsia="MS Mincho" w:hAnsi="Times New Roman" w:cs="Times New Roman"/>
          <w:kern w:val="0"/>
          <w:sz w:val="22"/>
          <w:szCs w:val="22"/>
          <w:lang w:val="lv-LV"/>
          <w14:ligatures w14:val="none"/>
        </w:rPr>
        <w:t>benzalkonio chloridas, dinatrio edetatas, natrio chloridas, bevandenis natrio sulfatas (E514), tiloksapolis, hidroksietilceliuliozė ir išgrynintas vanduo</w:t>
      </w: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.</w:t>
      </w:r>
    </w:p>
    <w:p w14:paraId="3786D43F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4A893998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4.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FARMACINĖ FORMA IR KIEKIS PAKUOTĖJE</w:t>
      </w:r>
    </w:p>
    <w:p w14:paraId="0D736BB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1FF809C0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:shd w:val="clear" w:color="auto" w:fill="D9D9D9"/>
          <w14:ligatures w14:val="none"/>
        </w:rPr>
        <w:t>Akių lašai (suspensija)</w:t>
      </w:r>
    </w:p>
    <w:p w14:paraId="102D2C7F" w14:textId="365CE536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5 ml</w:t>
      </w:r>
    </w:p>
    <w:p w14:paraId="3010BB96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0CF92CDB" w14:textId="77777777" w:rsidR="00655154" w:rsidRPr="00655154" w:rsidRDefault="00655154" w:rsidP="00655154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VARTOJIMO METODAS IR BŪDAS(-AI)</w:t>
      </w:r>
    </w:p>
    <w:p w14:paraId="4E3A8C59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3727146A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Vartoti ant akių</w:t>
      </w:r>
    </w:p>
    <w:p w14:paraId="7146F76D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E814ED6" w14:textId="17A0A222" w:rsidR="00655154" w:rsidRPr="00655154" w:rsidRDefault="00655154" w:rsidP="002A2824">
      <w:pPr>
        <w:widowControl w:val="0"/>
        <w:suppressLineNumbers/>
        <w:tabs>
          <w:tab w:val="left" w:pos="-720"/>
          <w:tab w:val="left" w:pos="0"/>
          <w:tab w:val="left" w:pos="567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Prieš vartojant, </w:t>
      </w:r>
      <w:proofErr w:type="spellStart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talpyklę</w:t>
      </w:r>
      <w:proofErr w:type="spellEnd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 reikia gerai suplakti.</w:t>
      </w:r>
    </w:p>
    <w:p w14:paraId="71BA5D14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1591B37E" w14:textId="77777777" w:rsidR="00655154" w:rsidRPr="00655154" w:rsidRDefault="00655154" w:rsidP="00655154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SPECIALUS ĮSPĖJIMAS, JOG VAISTINĮ PREPARATĄ BŪTINA LAIKYTI VAIKAMS NEPASTEBIMOJE IR NEPASIEKIAMOJE VIETOJE</w:t>
      </w:r>
    </w:p>
    <w:p w14:paraId="119F998E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545A970F" w14:textId="3AE8673C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262018D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E255A9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9FD33A0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1B24515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5F112D2A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8.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TINKAMUMO LAIKAS</w:t>
      </w:r>
    </w:p>
    <w:p w14:paraId="30FE8BE3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30493EF6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EXP{mm MMMM} </w:t>
      </w:r>
    </w:p>
    <w:p w14:paraId="05011F64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Pirmą kartą atidarius </w:t>
      </w:r>
      <w:proofErr w:type="spellStart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talpyklę</w:t>
      </w:r>
      <w:proofErr w:type="spellEnd"/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, suspensijos tinkamumo laikas –4 savaitės.</w:t>
      </w:r>
    </w:p>
    <w:p w14:paraId="70101C00" w14:textId="2CEBC756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Atidaryta:</w:t>
      </w:r>
    </w:p>
    <w:p w14:paraId="350F24EF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2108C542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9.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SPECIALIOS LAIKYMO SĄLYGOS</w:t>
      </w:r>
    </w:p>
    <w:p w14:paraId="6884460C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560BD497" w14:textId="7105F097" w:rsidR="00655154" w:rsidRDefault="00BB5499" w:rsidP="00BB5499">
      <w:pPr>
        <w:widowControl w:val="0"/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B5499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Talpyklę</w:t>
      </w:r>
      <w:proofErr w:type="spellEnd"/>
      <w:r w:rsidRPr="00BB5499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 laikyti sandarią.</w:t>
      </w:r>
    </w:p>
    <w:p w14:paraId="45AE8484" w14:textId="77777777" w:rsidR="00BB5499" w:rsidRPr="00655154" w:rsidRDefault="00BB5499" w:rsidP="00BB5499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EE77855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65515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31000655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FFC038" w14:textId="77777777" w:rsidR="00655154" w:rsidRPr="00655154" w:rsidRDefault="00655154" w:rsidP="00655154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8209B89" w14:textId="77777777" w:rsidR="005406D0" w:rsidRPr="005406D0" w:rsidRDefault="005406D0" w:rsidP="00540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406D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406D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5FBA79E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5A31DE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06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937C07B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406D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ADFF650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406D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CF94DC7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406D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329A8A7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37F4F2" w14:textId="77777777" w:rsidR="005406D0" w:rsidRPr="005406D0" w:rsidRDefault="005406D0" w:rsidP="00540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406D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406D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DBCBF6F" w14:textId="77777777" w:rsidR="005406D0" w:rsidRPr="005406D0" w:rsidRDefault="005406D0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E266480" w14:textId="24A51A03" w:rsidR="00655154" w:rsidRPr="00655154" w:rsidRDefault="00EB78C7" w:rsidP="0054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78C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5406D0" w:rsidRPr="005406D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  <w:r w:rsidRPr="00EB78C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5/2647/001</w:t>
      </w:r>
    </w:p>
    <w:p w14:paraId="01EA63D6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1804BA59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13.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SERIJOS NUMERIS</w:t>
      </w:r>
    </w:p>
    <w:p w14:paraId="086DA541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74774BEB" w14:textId="5156410D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Lot </w:t>
      </w:r>
    </w:p>
    <w:p w14:paraId="1FA874C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</w:pPr>
    </w:p>
    <w:p w14:paraId="1C94BA41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t>14.</w:t>
      </w:r>
      <w:r w:rsidRPr="00655154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0BA1FCA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08AA610F" w14:textId="62693076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Receptinis vaistas</w:t>
      </w:r>
      <w:r w:rsidR="002A282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.</w:t>
      </w:r>
    </w:p>
    <w:p w14:paraId="0B5A40B6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20714BCE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</w:pP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>15.</w:t>
      </w:r>
      <w:r w:rsidRPr="00655154">
        <w:rPr>
          <w:rFonts w:ascii="Times New Roman" w:eastAsia="MS Mincho" w:hAnsi="Times New Roman" w:cs="Times New Roman"/>
          <w:b/>
          <w:kern w:val="28"/>
          <w:sz w:val="22"/>
          <w:szCs w:val="22"/>
          <w14:ligatures w14:val="none"/>
        </w:rPr>
        <w:tab/>
        <w:t>VARTOJIMO INSTRUKCIJA</w:t>
      </w:r>
    </w:p>
    <w:p w14:paraId="3575CE7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037E80A7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p w14:paraId="271A3CD8" w14:textId="77777777" w:rsidR="00655154" w:rsidRPr="00655154" w:rsidRDefault="00655154" w:rsidP="006551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5515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49CEA75" w14:textId="77777777" w:rsidR="00655154" w:rsidRPr="00655154" w:rsidRDefault="00655154" w:rsidP="00655154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</w:pPr>
    </w:p>
    <w:p w14:paraId="36578DA0" w14:textId="6EA75318" w:rsidR="00655154" w:rsidRPr="00655154" w:rsidRDefault="002A2824" w:rsidP="00655154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t</w:t>
      </w:r>
      <w:r w:rsidR="00655154"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obradex</w:t>
      </w:r>
      <w:proofErr w:type="spellEnd"/>
      <w:r w:rsidR="00655154" w:rsidRPr="00655154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 akių lašai</w:t>
      </w:r>
    </w:p>
    <w:p w14:paraId="57E0F331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6BDE74E4" w14:textId="77777777" w:rsidR="00655154" w:rsidRPr="00655154" w:rsidRDefault="00655154" w:rsidP="006551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65515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03743B7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32DAB1A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655154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3A0A0CAA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E94B84A" w14:textId="77777777" w:rsidR="00655154" w:rsidRPr="00655154" w:rsidRDefault="00655154" w:rsidP="006551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65515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65515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A6EC341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6455C52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</w:t>
      </w:r>
    </w:p>
    <w:p w14:paraId="4DF3891C" w14:textId="77777777" w:rsidR="00655154" w:rsidRP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5515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</w:p>
    <w:p w14:paraId="12DFD06A" w14:textId="77777777" w:rsidR="00655154" w:rsidRDefault="0065515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65515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NN</w:t>
      </w:r>
    </w:p>
    <w:p w14:paraId="3B3E0BA0" w14:textId="77777777" w:rsidR="002A2824" w:rsidRDefault="002A2824" w:rsidP="0065515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E796285" w14:textId="362F86DC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Alcon-Couvreur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NV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Rijksweg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14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2870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Puurs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ja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Siegfried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El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Masnou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Camil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Fabra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58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El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Masnou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08320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Novartis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Farmacéutica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Gran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Via de les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Corts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Catalanes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764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08013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Novartis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Roonstraße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25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90429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Nürnberg</w:t>
      </w:r>
      <w:proofErr w:type="spellEnd"/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511C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1C55B4C" w14:textId="77777777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4C6600" w14:textId="77777777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CF1DD59" w14:textId="77777777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C586E2" w14:textId="77777777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505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5D466FD" w14:textId="77777777" w:rsidR="002505C5" w:rsidRPr="002505C5" w:rsidRDefault="002505C5" w:rsidP="002505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5B43AB" w14:textId="64E92308" w:rsidR="002A2824" w:rsidRPr="003B7A23" w:rsidRDefault="003B7A23" w:rsidP="003B7A2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3B7A2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referencinį vaistą laikyti ne aukštesnėje kaip 25 °C temperatūroje, negalima užšaldyti, </w:t>
      </w:r>
      <w:proofErr w:type="spellStart"/>
      <w:r w:rsidRPr="003B7A23">
        <w:rPr>
          <w:rFonts w:ascii="Times New Roman" w:eastAsia="Aptos" w:hAnsi="Times New Roman" w:cs="Times New Roman"/>
          <w:i/>
          <w:iCs/>
          <w:sz w:val="22"/>
          <w:szCs w:val="22"/>
        </w:rPr>
        <w:t>talpyklę</w:t>
      </w:r>
      <w:proofErr w:type="spellEnd"/>
      <w:r w:rsidRPr="003B7A2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laikyti stačią, lygiagrečiai importuojamam specialių laikymo sąlygų nereikia.</w:t>
      </w:r>
    </w:p>
    <w:p w14:paraId="3BDB9D5F" w14:textId="6471A8B3" w:rsidR="000E75BE" w:rsidRPr="00655154" w:rsidRDefault="000E75BE" w:rsidP="00655154"/>
    <w:sectPr w:rsidR="000E75BE" w:rsidRPr="006551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74E"/>
    <w:multiLevelType w:val="multilevel"/>
    <w:tmpl w:val="3F8667B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541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7"/>
    <w:rsid w:val="00090DCA"/>
    <w:rsid w:val="000E75BE"/>
    <w:rsid w:val="002505C5"/>
    <w:rsid w:val="002A2824"/>
    <w:rsid w:val="002C3493"/>
    <w:rsid w:val="003B7A23"/>
    <w:rsid w:val="00511C2A"/>
    <w:rsid w:val="005406D0"/>
    <w:rsid w:val="006166B1"/>
    <w:rsid w:val="00623537"/>
    <w:rsid w:val="00655154"/>
    <w:rsid w:val="0089652D"/>
    <w:rsid w:val="009A3343"/>
    <w:rsid w:val="00AA1FD6"/>
    <w:rsid w:val="00BB5499"/>
    <w:rsid w:val="00E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0174"/>
  <w15:chartTrackingRefBased/>
  <w15:docId w15:val="{7FB976A2-B410-4FBB-93A4-8B2A420F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3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3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3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3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3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3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3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3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35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3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3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2024-11-03T11:46:00Z</dcterms:created>
  <dcterms:modified xsi:type="dcterms:W3CDTF">2025-06-17T13:47:00Z</dcterms:modified>
</cp:coreProperties>
</file>