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293B6"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71098E39"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16A20A22" w14:textId="77777777" w:rsidR="00CD5E38" w:rsidRPr="00CD5E38" w:rsidRDefault="00CD5E38" w:rsidP="00CD5E38">
      <w:pPr>
        <w:spacing w:after="0" w:line="240" w:lineRule="auto"/>
        <w:jc w:val="center"/>
        <w:rPr>
          <w:rFonts w:ascii="Times New Roman" w:eastAsia="Times New Roman" w:hAnsi="Times New Roman" w:cs="Times New Roman"/>
          <w:b/>
          <w:kern w:val="28"/>
          <w:sz w:val="22"/>
          <w:szCs w:val="22"/>
          <w:lang w:eastAsia="lt-LT"/>
          <w14:ligatures w14:val="none"/>
        </w:rPr>
      </w:pPr>
    </w:p>
    <w:p w14:paraId="616B83B4" w14:textId="77777777" w:rsidR="00CD5E38" w:rsidRPr="00CD5E38" w:rsidRDefault="00CD5E38" w:rsidP="00CD5E38">
      <w:pPr>
        <w:spacing w:after="0" w:line="240" w:lineRule="auto"/>
        <w:jc w:val="center"/>
        <w:rPr>
          <w:rFonts w:ascii="Times New Roman" w:eastAsia="Times New Roman" w:hAnsi="Times New Roman" w:cs="Times New Roman"/>
          <w:b/>
          <w:kern w:val="28"/>
          <w:sz w:val="22"/>
          <w:szCs w:val="22"/>
          <w:lang w:eastAsia="lt-LT"/>
          <w14:ligatures w14:val="none"/>
        </w:rPr>
      </w:pPr>
      <w:r w:rsidRPr="00CD5E38">
        <w:rPr>
          <w:rFonts w:ascii="Times New Roman" w:eastAsia="Times New Roman" w:hAnsi="Times New Roman" w:cs="Times New Roman"/>
          <w:b/>
          <w:kern w:val="28"/>
          <w:sz w:val="22"/>
          <w:szCs w:val="22"/>
          <w:lang w:eastAsia="lt-LT"/>
          <w14:ligatures w14:val="none"/>
        </w:rPr>
        <w:t>B. PAKUOTĖS LAPELIS</w:t>
      </w:r>
    </w:p>
    <w:p w14:paraId="74A889EC" w14:textId="77777777" w:rsidR="00CD5E38" w:rsidRPr="00CD5E38" w:rsidRDefault="00CD5E38" w:rsidP="00CD5E38">
      <w:pPr>
        <w:spacing w:after="0" w:line="240" w:lineRule="auto"/>
        <w:jc w:val="center"/>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br w:type="page"/>
      </w:r>
      <w:r w:rsidRPr="00CD5E38">
        <w:rPr>
          <w:rFonts w:ascii="Times New Roman" w:eastAsia="Times New Roman" w:hAnsi="Times New Roman" w:cs="Times New Roman"/>
          <w:b/>
          <w:kern w:val="0"/>
          <w:sz w:val="22"/>
          <w:szCs w:val="22"/>
          <w:lang w:eastAsia="lt-LT"/>
          <w14:ligatures w14:val="none"/>
        </w:rPr>
        <w:t>Pakuotės lapelis: informacija vartotojui</w:t>
      </w:r>
    </w:p>
    <w:p w14:paraId="00C01468" w14:textId="77777777" w:rsidR="00CD5E38" w:rsidRPr="00CD5E38" w:rsidRDefault="00CD5E38" w:rsidP="00CD5E38">
      <w:pPr>
        <w:spacing w:after="0" w:line="240" w:lineRule="auto"/>
        <w:jc w:val="center"/>
        <w:rPr>
          <w:rFonts w:ascii="Times New Roman" w:eastAsia="Times New Roman" w:hAnsi="Times New Roman" w:cs="Times New Roman"/>
          <w:b/>
          <w:kern w:val="0"/>
          <w:sz w:val="22"/>
          <w:szCs w:val="22"/>
          <w:lang w:eastAsia="lt-LT"/>
          <w14:ligatures w14:val="none"/>
        </w:rPr>
      </w:pPr>
    </w:p>
    <w:p w14:paraId="63DB7C06" w14:textId="77777777" w:rsidR="00CD5E38" w:rsidRPr="00CD5E38" w:rsidRDefault="00CD5E38" w:rsidP="00CD5E38">
      <w:pPr>
        <w:numPr>
          <w:ilvl w:val="12"/>
          <w:numId w:val="0"/>
        </w:numPr>
        <w:spacing w:after="0" w:line="240" w:lineRule="auto"/>
        <w:jc w:val="center"/>
        <w:rPr>
          <w:rFonts w:ascii="Times New Roman" w:eastAsia="Times New Roman" w:hAnsi="Times New Roman" w:cs="Times New Roman"/>
          <w:b/>
          <w:kern w:val="0"/>
          <w:sz w:val="22"/>
          <w:szCs w:val="22"/>
          <w14:ligatures w14:val="none"/>
        </w:rPr>
      </w:pPr>
      <w:r w:rsidRPr="00CD5E38">
        <w:rPr>
          <w:rFonts w:ascii="Times New Roman" w:eastAsia="Times New Roman" w:hAnsi="Times New Roman" w:cs="Times New Roman"/>
          <w:b/>
          <w:kern w:val="0"/>
          <w:sz w:val="22"/>
          <w:szCs w:val="22"/>
          <w14:ligatures w14:val="none"/>
        </w:rPr>
        <w:t>Gopten 2 mg kietosios kapsulės</w:t>
      </w:r>
    </w:p>
    <w:p w14:paraId="6F7B184E" w14:textId="77777777" w:rsidR="00CD5E38" w:rsidRPr="00CD5E38" w:rsidRDefault="00CD5E38" w:rsidP="00CD5E38">
      <w:pPr>
        <w:spacing w:after="0" w:line="240" w:lineRule="auto"/>
        <w:jc w:val="center"/>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trandolaprilis</w:t>
      </w:r>
    </w:p>
    <w:p w14:paraId="60604B77"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693BFA0E" w14:textId="77777777" w:rsidR="00CD5E38" w:rsidRPr="00CD5E38" w:rsidRDefault="00CD5E38" w:rsidP="00CD5E38">
      <w:pPr>
        <w:spacing w:after="0" w:line="240" w:lineRule="auto"/>
        <w:rPr>
          <w:rFonts w:ascii="Times New Roman" w:eastAsia="Times New Roman" w:hAnsi="Times New Roman" w:cs="Times New Roman"/>
          <w:b/>
          <w:kern w:val="0"/>
          <w:sz w:val="22"/>
          <w:szCs w:val="22"/>
          <w14:ligatures w14:val="none"/>
        </w:rPr>
      </w:pPr>
      <w:r w:rsidRPr="00CD5E38">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CF4E585" w14:textId="77777777" w:rsidR="00CD5E38" w:rsidRPr="00CD5E38" w:rsidRDefault="00CD5E38" w:rsidP="00CD5E38">
      <w:pPr>
        <w:spacing w:after="0" w:line="240" w:lineRule="auto"/>
        <w:rPr>
          <w:rFonts w:ascii="Times New Roman" w:eastAsia="Times New Roman" w:hAnsi="Times New Roman" w:cs="Times New Roman"/>
          <w:b/>
          <w:kern w:val="0"/>
          <w:sz w:val="22"/>
          <w:szCs w:val="22"/>
          <w14:ligatures w14:val="none"/>
        </w:rPr>
      </w:pPr>
    </w:p>
    <w:p w14:paraId="1A15F184" w14:textId="4D126761" w:rsidR="00CD5E38" w:rsidRPr="00AE37D2" w:rsidRDefault="00CD5E38" w:rsidP="00AE37D2">
      <w:pPr>
        <w:pStyle w:val="ListParagraph"/>
        <w:numPr>
          <w:ilvl w:val="0"/>
          <w:numId w:val="31"/>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Neišmeskite šio lapelio, nes vėl gali prireikti jį perskaityti.</w:t>
      </w:r>
    </w:p>
    <w:p w14:paraId="56DF1265" w14:textId="4EC5F45B" w:rsidR="00CD5E38" w:rsidRPr="00AE37D2" w:rsidRDefault="00CD5E38" w:rsidP="00AE37D2">
      <w:pPr>
        <w:pStyle w:val="ListParagraph"/>
        <w:numPr>
          <w:ilvl w:val="0"/>
          <w:numId w:val="31"/>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Jeigu kiltų daugiau klausimų, kreipkitės į gydytoją arba vaistininką.</w:t>
      </w:r>
    </w:p>
    <w:p w14:paraId="46D1846F" w14:textId="77777777" w:rsidR="00CD5E38" w:rsidRPr="00CD5E38" w:rsidRDefault="00CD5E38" w:rsidP="00AE37D2">
      <w:pPr>
        <w:numPr>
          <w:ilvl w:val="0"/>
          <w:numId w:val="31"/>
        </w:numPr>
        <w:spacing w:after="0" w:line="260" w:lineRule="exact"/>
        <w:ind w:left="567"/>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 xml:space="preserve">Šis vaistas skirtas tik Jums, todėl kitiems žmonėms jo duoti negalima. Vaistas gali jiems pakenkti (net tiems, kurių ligos požymiai yra tokie patys kaip Jūsų). </w:t>
      </w:r>
    </w:p>
    <w:p w14:paraId="6ED264B2" w14:textId="77777777" w:rsidR="00CD5E38" w:rsidRPr="00CD5E38" w:rsidRDefault="00CD5E38" w:rsidP="00AE37D2">
      <w:pPr>
        <w:numPr>
          <w:ilvl w:val="0"/>
          <w:numId w:val="31"/>
        </w:numPr>
        <w:tabs>
          <w:tab w:val="left" w:pos="567"/>
        </w:tabs>
        <w:spacing w:after="0" w:line="260" w:lineRule="exact"/>
        <w:ind w:left="567"/>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86E00B8"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F1E56A7" w14:textId="77777777" w:rsidR="00CD5E38" w:rsidRPr="00CD5E38" w:rsidRDefault="00CD5E38" w:rsidP="00CD5E38">
      <w:pPr>
        <w:spacing w:after="0" w:line="240" w:lineRule="auto"/>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Apie ką rašoma šiame lapelyje?</w:t>
      </w:r>
    </w:p>
    <w:p w14:paraId="59EF2D44" w14:textId="77777777" w:rsidR="00CD5E38" w:rsidRPr="00CD5E38" w:rsidRDefault="00CD5E38" w:rsidP="00CD5E38">
      <w:pPr>
        <w:spacing w:after="0" w:line="240" w:lineRule="auto"/>
        <w:rPr>
          <w:rFonts w:ascii="Times New Roman" w:eastAsia="Times New Roman" w:hAnsi="Times New Roman" w:cs="Times New Roman"/>
          <w:b/>
          <w:kern w:val="0"/>
          <w:sz w:val="22"/>
          <w:szCs w:val="22"/>
          <w:lang w:eastAsia="lt-LT"/>
          <w14:ligatures w14:val="none"/>
        </w:rPr>
      </w:pPr>
    </w:p>
    <w:p w14:paraId="47A8796C" w14:textId="218B3A1A"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Kas yra Gopten ir kam jis vartojamas</w:t>
      </w:r>
    </w:p>
    <w:p w14:paraId="2546F768" w14:textId="16F5C5F8"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Kas žinotina prieš vartojant Gopten</w:t>
      </w:r>
    </w:p>
    <w:p w14:paraId="2E8E1C16" w14:textId="03B21318"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Kaip vartoti Gopten</w:t>
      </w:r>
    </w:p>
    <w:p w14:paraId="1CD84086" w14:textId="12638A82"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Galimas šalutinis poveikis</w:t>
      </w:r>
    </w:p>
    <w:p w14:paraId="2F3027ED" w14:textId="5115FA3F"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Kaip laikyti Gopten</w:t>
      </w:r>
    </w:p>
    <w:p w14:paraId="6578815E" w14:textId="7C5FA9FF" w:rsidR="00CD5E38" w:rsidRPr="00AE37D2" w:rsidRDefault="00CD5E38" w:rsidP="00AE37D2">
      <w:pPr>
        <w:pStyle w:val="ListParagraph"/>
        <w:numPr>
          <w:ilvl w:val="0"/>
          <w:numId w:val="30"/>
        </w:numPr>
        <w:spacing w:after="0" w:line="240" w:lineRule="auto"/>
        <w:ind w:left="567" w:hanging="425"/>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Pakuotės turinys ir kita informacija</w:t>
      </w:r>
    </w:p>
    <w:p w14:paraId="5B07DDEC"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7D97A5A"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D37C3CF"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1.</w:t>
      </w:r>
      <w:r w:rsidRPr="00CD5E38">
        <w:rPr>
          <w:rFonts w:ascii="Times New Roman" w:eastAsia="Times New Roman" w:hAnsi="Times New Roman" w:cs="Times New Roman"/>
          <w:b/>
          <w:iCs/>
          <w:kern w:val="0"/>
          <w:sz w:val="22"/>
          <w:szCs w:val="22"/>
          <w:lang w:eastAsia="lt-LT"/>
          <w14:ligatures w14:val="none"/>
        </w:rPr>
        <w:tab/>
        <w:t>Kas yra Gopten ir kam jis vartojamas</w:t>
      </w:r>
    </w:p>
    <w:p w14:paraId="6F5FB25D"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54A95A4"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Gopten priklauso angiotenziną konvertuojančio fermento inhibitorių (kartais vadinamų AKF inhibitoriais) grupei. AKF inhibitoriai atpalaiduoja kraujagysles, dėl to širdžiai lengviau pumpuoti kraują po organizmą. Tai padeda sumažinti kraujospūdį.</w:t>
      </w:r>
    </w:p>
    <w:p w14:paraId="595B9828"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9E91FBB"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Gopten  vartojamas hipertenzijai (aukštam kraujospūdžiui) gydyti. Gopten taip pat gali būti skirtas po širdies priepuolio (miokardo infarkto) norint apsaugoti širdį.</w:t>
      </w:r>
    </w:p>
    <w:p w14:paraId="6F7323AB"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2F2C560D"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2EDFF2C"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2.</w:t>
      </w:r>
      <w:r w:rsidRPr="00CD5E38">
        <w:rPr>
          <w:rFonts w:ascii="Times New Roman" w:eastAsia="Times New Roman" w:hAnsi="Times New Roman" w:cs="Times New Roman"/>
          <w:b/>
          <w:iCs/>
          <w:kern w:val="0"/>
          <w:sz w:val="22"/>
          <w:szCs w:val="22"/>
          <w:lang w:eastAsia="lt-LT"/>
          <w14:ligatures w14:val="none"/>
        </w:rPr>
        <w:tab/>
        <w:t>Kas žinotina prieš vartojant Gopten</w:t>
      </w:r>
    </w:p>
    <w:p w14:paraId="0F631BA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6828488E"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b/>
          <w:bCs/>
          <w:kern w:val="0"/>
          <w:sz w:val="22"/>
          <w:szCs w:val="22"/>
          <w14:ligatures w14:val="none"/>
        </w:rPr>
        <w:t>Gopten vartoti draudžiama</w:t>
      </w:r>
      <w:r w:rsidRPr="00CD5E38">
        <w:rPr>
          <w:rFonts w:ascii="Times New Roman" w:eastAsia="Times New Roman" w:hAnsi="Times New Roman" w:cs="Times New Roman"/>
          <w:kern w:val="0"/>
          <w:sz w:val="22"/>
          <w:szCs w:val="22"/>
          <w14:ligatures w14:val="none"/>
        </w:rPr>
        <w:t>:</w:t>
      </w:r>
    </w:p>
    <w:p w14:paraId="6C745197" w14:textId="42CAFF04" w:rsidR="00CD5E38" w:rsidRPr="00AE37D2" w:rsidRDefault="00CD5E38" w:rsidP="00AE37D2">
      <w:pPr>
        <w:pStyle w:val="ListParagraph"/>
        <w:numPr>
          <w:ilvl w:val="0"/>
          <w:numId w:val="28"/>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yra alergija veikliajai arba bet kuriai pagalbinei šio vaisto medžiagai (jos išvardytos 6 skyriuje);</w:t>
      </w:r>
    </w:p>
    <w:p w14:paraId="456AFE2C" w14:textId="5FA101BC" w:rsidR="00CD5E38" w:rsidRPr="00AE37D2" w:rsidRDefault="00CD5E38" w:rsidP="00AE37D2">
      <w:pPr>
        <w:pStyle w:val="ListParagraph"/>
        <w:numPr>
          <w:ilvl w:val="0"/>
          <w:numId w:val="28"/>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Jums kada nors buvo angioneurozinė edema (sunki alerginė reakcija, sąlygojanti akių vokų, liežuvio ar gerklės tinimą) ar Kvinkės edema (tai yra rimta alerginė odos reakcija);</w:t>
      </w:r>
    </w:p>
    <w:p w14:paraId="34A5C29D" w14:textId="1BF31FDF" w:rsidR="00CD5E38" w:rsidRPr="00AE37D2" w:rsidRDefault="00CD5E38" w:rsidP="00AE37D2">
      <w:pPr>
        <w:pStyle w:val="ListParagraph"/>
        <w:widowControl w:val="0"/>
        <w:numPr>
          <w:ilvl w:val="0"/>
          <w:numId w:val="28"/>
        </w:numPr>
        <w:autoSpaceDE w:val="0"/>
        <w:autoSpaceDN w:val="0"/>
        <w:adjustRightInd w:val="0"/>
        <w:spacing w:after="0" w:line="240" w:lineRule="auto"/>
        <w:ind w:left="567"/>
        <w:rPr>
          <w:rFonts w:ascii="Times New Roman" w:eastAsia="Calibri" w:hAnsi="Times New Roman" w:cs="Times New Roman"/>
          <w:iCs/>
          <w:color w:val="000000"/>
          <w:kern w:val="0"/>
          <w:sz w:val="22"/>
          <w:szCs w:val="22"/>
          <w14:ligatures w14:val="none"/>
        </w:rPr>
      </w:pPr>
      <w:r w:rsidRPr="00AE37D2">
        <w:rPr>
          <w:rFonts w:ascii="Times New Roman" w:eastAsia="Calibri" w:hAnsi="Times New Roman" w:cs="Times New Roman"/>
          <w:iCs/>
          <w:color w:val="000000"/>
          <w:kern w:val="0"/>
          <w:sz w:val="22"/>
          <w:szCs w:val="22"/>
          <w14:ligatures w14:val="none"/>
        </w:rPr>
        <w:t>jeigu Jūs sergate cukriniu diabetu arba Jūsų inkstų veikla sutrikusi ir Jums skirtas kraujospūdį mažinantis vaistas, kurio sudėtyje yra aliskireno;</w:t>
      </w:r>
    </w:p>
    <w:p w14:paraId="5627D8B3" w14:textId="7CFBA215" w:rsidR="00CD5E38" w:rsidRPr="00AE37D2" w:rsidRDefault="00CD5E38" w:rsidP="00AE37D2">
      <w:pPr>
        <w:pStyle w:val="ListParagraph"/>
        <w:widowControl w:val="0"/>
        <w:numPr>
          <w:ilvl w:val="0"/>
          <w:numId w:val="28"/>
        </w:numPr>
        <w:autoSpaceDE w:val="0"/>
        <w:autoSpaceDN w:val="0"/>
        <w:adjustRightInd w:val="0"/>
        <w:spacing w:after="0" w:line="240" w:lineRule="auto"/>
        <w:ind w:left="567"/>
        <w:rPr>
          <w:rFonts w:ascii="Times New Roman" w:eastAsia="Times New Roman" w:hAnsi="Times New Roman" w:cs="Times New Roman"/>
          <w:color w:val="000000"/>
          <w:kern w:val="0"/>
          <w:sz w:val="22"/>
          <w:szCs w:val="22"/>
          <w14:ligatures w14:val="none"/>
        </w:rPr>
      </w:pPr>
      <w:r w:rsidRPr="00AE37D2">
        <w:rPr>
          <w:rFonts w:ascii="Times New Roman" w:eastAsia="Calibri" w:hAnsi="Times New Roman" w:cs="Times New Roman"/>
          <w:bCs/>
          <w:iCs/>
          <w:color w:val="000000"/>
          <w:kern w:val="0"/>
          <w:sz w:val="22"/>
          <w:szCs w:val="22"/>
          <w14:ligatures w14:val="none"/>
        </w:rPr>
        <w:t>jeigu vartojote arba šiuo metu vartojate sakubitrilo ir valsartano derinį, suaugusiųjų ilgalaikio (lėtinio) širdies nepakankamumo gydymui, nes yra padidėjęs angioedemos (staigaus patinimo po oda tokiose vietose kaip gerklė) pavojus</w:t>
      </w:r>
      <w:r w:rsidRPr="00AE37D2">
        <w:rPr>
          <w:rFonts w:ascii="Times New Roman" w:eastAsia="Calibri" w:hAnsi="Times New Roman" w:cs="Times New Roman"/>
          <w:iCs/>
          <w:color w:val="000000"/>
          <w:kern w:val="0"/>
          <w:sz w:val="22"/>
          <w:szCs w:val="22"/>
          <w14:ligatures w14:val="none"/>
        </w:rPr>
        <w:t>;</w:t>
      </w:r>
    </w:p>
    <w:p w14:paraId="51B138CC" w14:textId="640AE11E" w:rsidR="00CD5E38" w:rsidRPr="00AE37D2" w:rsidRDefault="00CD5E38" w:rsidP="00AE37D2">
      <w:pPr>
        <w:pStyle w:val="ListParagraph"/>
        <w:numPr>
          <w:ilvl w:val="0"/>
          <w:numId w:val="28"/>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esate daugiau nei 3 mėnesius nėščia. Taip pat yra geriau vengti Gopten vartoti ankstyvojo nėštumo metu (žr. skyrių „Nėštumas, žindymo laikotarpis ir vaisingumas“);</w:t>
      </w:r>
    </w:p>
    <w:p w14:paraId="16DCC7EC" w14:textId="52C21061" w:rsidR="00CD5E38" w:rsidRPr="00AE37D2" w:rsidRDefault="00CD5E38" w:rsidP="00AE37D2">
      <w:pPr>
        <w:pStyle w:val="ListParagraph"/>
        <w:numPr>
          <w:ilvl w:val="0"/>
          <w:numId w:val="28"/>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vaikams.</w:t>
      </w:r>
    </w:p>
    <w:p w14:paraId="2EEE6C19"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B5B9E0"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CD5E38">
        <w:rPr>
          <w:rFonts w:ascii="Times New Roman" w:eastAsia="Times New Roman" w:hAnsi="Times New Roman" w:cs="Times New Roman"/>
          <w:b/>
          <w:kern w:val="0"/>
          <w:sz w:val="22"/>
          <w:szCs w:val="22"/>
          <w14:ligatures w14:val="none"/>
        </w:rPr>
        <w:t>Įspėjimai ir atsargumo priemonės</w:t>
      </w:r>
    </w:p>
    <w:p w14:paraId="55A88218" w14:textId="77777777" w:rsidR="00CD5E38" w:rsidRPr="00CD5E38" w:rsidRDefault="00CD5E38" w:rsidP="00CD5E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Pasitarkite su gydytoju arba vaistininku, prieš pradėdami vartoti Gopten.</w:t>
      </w:r>
    </w:p>
    <w:p w14:paraId="3C93A3A4" w14:textId="77777777" w:rsidR="00CD5E38" w:rsidRPr="00CD5E38" w:rsidRDefault="00CD5E38" w:rsidP="00CD5E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6F9AB04" w14:textId="77777777" w:rsidR="00CD5E38" w:rsidRPr="00CD5E38" w:rsidRDefault="00CD5E38" w:rsidP="00CD5E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Pasakykite gydytojui:</w:t>
      </w:r>
    </w:p>
    <w:p w14:paraId="3322632A" w14:textId="56123FF9"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Jums yra aortos stenozė (susiaurėjęs vienas iš širdies vožtuvų) ar kuri nors kita kliūtis, lėtinanti kraujo tekėjimą širdyje;</w:t>
      </w:r>
    </w:p>
    <w:p w14:paraId="49430A43" w14:textId="77777777"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 xml:space="preserve">jeigu vartojate kitų AKF inhibitorių ir tuo pačiu metu atliekamas </w:t>
      </w:r>
      <w:r w:rsidRPr="00AE37D2">
        <w:rPr>
          <w:rFonts w:ascii="Times New Roman" w:eastAsia="Times New Roman" w:hAnsi="Times New Roman" w:cs="Times New Roman"/>
          <w:color w:val="222222"/>
          <w:kern w:val="0"/>
          <w:sz w:val="22"/>
          <w:szCs w:val="22"/>
          <w14:ligatures w14:val="none"/>
        </w:rPr>
        <w:t xml:space="preserve">organizmo jautrumo </w:t>
      </w:r>
      <w:r w:rsidRPr="00AE37D2">
        <w:rPr>
          <w:rFonts w:ascii="Times New Roman" w:eastAsia="Times New Roman" w:hAnsi="Times New Roman" w:cs="Times New Roman"/>
          <w:kern w:val="0"/>
          <w:sz w:val="22"/>
          <w:szCs w:val="22"/>
          <w14:ligatures w14:val="none"/>
        </w:rPr>
        <w:t xml:space="preserve">gyvūninės kilmės nuodams </w:t>
      </w:r>
      <w:r w:rsidRPr="00AE37D2">
        <w:rPr>
          <w:rFonts w:ascii="Times New Roman" w:eastAsia="Times New Roman" w:hAnsi="Times New Roman" w:cs="Times New Roman"/>
          <w:color w:val="222222"/>
          <w:kern w:val="0"/>
          <w:sz w:val="22"/>
          <w:szCs w:val="22"/>
          <w14:ligatures w14:val="none"/>
        </w:rPr>
        <w:t>mažinimas</w:t>
      </w:r>
      <w:r w:rsidRPr="00AE37D2">
        <w:rPr>
          <w:rFonts w:ascii="Times New Roman" w:eastAsia="Times New Roman" w:hAnsi="Times New Roman" w:cs="Times New Roman"/>
          <w:kern w:val="0"/>
          <w:sz w:val="22"/>
          <w:szCs w:val="22"/>
          <w14:ligatures w14:val="none"/>
        </w:rPr>
        <w:t xml:space="preserve"> (desensibilizacija), Jums gali pasireikšti anafilaktoidinės reakcijos – sunkios alerginės reakcijos, kurios labai panašios į anafilaksiją (kai kuriais atvejais keliančios pavojų gyvybei);</w:t>
      </w:r>
    </w:p>
    <w:p w14:paraId="2BED9B89" w14:textId="77777777"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jei Jums atliekama MTL-aferezė (procedūra, skirta sumažinti mažo tankio lipoproteinų kiekį kraujyje) ir tuo pat metu vartojate AKF inhibitorių, gali pasireikšti anafilaktoidinės reakcijos;</w:t>
      </w:r>
    </w:p>
    <w:p w14:paraId="55749F86" w14:textId="79F88421"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vartojate diuretikus (šlapimą varančius vaistus) ilgą laiką ar laikotės dietos, kurioje ribojamas druskos kiekis;</w:t>
      </w:r>
    </w:p>
    <w:p w14:paraId="7618BFD4" w14:textId="7A74EC4E"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neseniai Jus kamavo ūminis ar užsitęsęs pykinimas ar viduriavote;</w:t>
      </w:r>
    </w:p>
    <w:p w14:paraId="2E84144A" w14:textId="43B6B5B1"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Jums anksčiau buvo pasireiškusi alerginė reakcija kitam AKF inhibitoriui (pvz., veido, lūpų, liežuvio, gerklės tinimas su rijimo bei kvėpavimo sutrikimais);</w:t>
      </w:r>
    </w:p>
    <w:p w14:paraId="1C0B207E" w14:textId="68ADD4AB"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 xml:space="preserve">jei Jums atliekama dializė; </w:t>
      </w:r>
    </w:p>
    <w:p w14:paraId="71EA51CB" w14:textId="7EBC1257"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 Jums yra šių sutrikimų: kepenų ar inkstų funkcijos sutrikimas, cukrinis diabetas; širdies nepakankamumas ar kraujagyslių kolagenoze vadinama liga (jas dar vadina jungiamojo audinio ligomis, pvz., vilkligė ar sklerodermija);</w:t>
      </w:r>
    </w:p>
    <w:p w14:paraId="4550D8A6" w14:textId="1E787489"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 Jums bus atliekama operacija, būtinai informuokite chirurgą, anesteziologą ar odontologą apie Gopten vartojimą. Tai gali įtakoti nuskausminamųjų ir kitų vaistų poveikį;</w:t>
      </w:r>
    </w:p>
    <w:p w14:paraId="4994348B" w14:textId="2BAA2F72" w:rsidR="00CD5E38" w:rsidRPr="00AE37D2" w:rsidRDefault="00CD5E38" w:rsidP="00AE37D2">
      <w:pPr>
        <w:pStyle w:val="ListParagraph"/>
        <w:numPr>
          <w:ilvl w:val="0"/>
          <w:numId w:val="24"/>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 Jums bus atliekami kraujo ir šlapimo tyrimai, nes gali turėti įtakos tyrimų rezultatams;</w:t>
      </w:r>
    </w:p>
    <w:p w14:paraId="55B082F9" w14:textId="10FBDE8D" w:rsidR="00CD5E38" w:rsidRPr="00AE37D2" w:rsidRDefault="00CD5E38" w:rsidP="00AE37D2">
      <w:pPr>
        <w:pStyle w:val="ListParagraph"/>
        <w:widowControl w:val="0"/>
        <w:numPr>
          <w:ilvl w:val="0"/>
          <w:numId w:val="24"/>
        </w:numPr>
        <w:autoSpaceDE w:val="0"/>
        <w:autoSpaceDN w:val="0"/>
        <w:adjustRightInd w:val="0"/>
        <w:spacing w:after="0" w:line="240" w:lineRule="auto"/>
        <w:ind w:left="567"/>
        <w:rPr>
          <w:rFonts w:ascii="Times New Roman" w:eastAsia="Calibri" w:hAnsi="Times New Roman" w:cs="Times New Roman"/>
          <w:color w:val="000000"/>
          <w:kern w:val="0"/>
          <w:sz w:val="22"/>
          <w:szCs w:val="22"/>
          <w14:ligatures w14:val="none"/>
        </w:rPr>
      </w:pPr>
      <w:r w:rsidRPr="00AE37D2">
        <w:rPr>
          <w:rFonts w:ascii="Times New Roman" w:eastAsia="Calibri" w:hAnsi="Times New Roman" w:cs="Times New Roman"/>
          <w:iCs/>
          <w:color w:val="000000"/>
          <w:kern w:val="0"/>
          <w:sz w:val="22"/>
          <w:szCs w:val="22"/>
          <w14:ligatures w14:val="none"/>
        </w:rPr>
        <w:t xml:space="preserve">jeigu vartojate kurį nors iš šių vaistų padidėjusiam kraujospūdžiui gydyti: </w:t>
      </w:r>
    </w:p>
    <w:p w14:paraId="6F9D796C" w14:textId="77777777" w:rsidR="00CD5E38" w:rsidRPr="00AE37D2" w:rsidRDefault="00CD5E38" w:rsidP="00AE37D2">
      <w:pPr>
        <w:pStyle w:val="ListParagraph"/>
        <w:numPr>
          <w:ilvl w:val="1"/>
          <w:numId w:val="25"/>
        </w:numPr>
        <w:autoSpaceDE w:val="0"/>
        <w:autoSpaceDN w:val="0"/>
        <w:adjustRightInd w:val="0"/>
        <w:spacing w:after="0" w:line="240" w:lineRule="auto"/>
        <w:rPr>
          <w:rFonts w:ascii="Times New Roman" w:eastAsia="Calibri" w:hAnsi="Times New Roman" w:cs="Times New Roman"/>
          <w:color w:val="000000"/>
          <w:kern w:val="0"/>
          <w14:ligatures w14:val="none"/>
        </w:rPr>
      </w:pPr>
      <w:r w:rsidRPr="00AE37D2">
        <w:rPr>
          <w:rFonts w:ascii="Times New Roman" w:eastAsia="Calibri" w:hAnsi="Times New Roman" w:cs="Times New Roman"/>
          <w:iCs/>
          <w:color w:val="000000"/>
          <w:kern w:val="0"/>
          <w:sz w:val="22"/>
          <w:szCs w:val="22"/>
          <w14:ligatures w14:val="none"/>
        </w:rPr>
        <w:t xml:space="preserve">angiotenzino II receptorių blokatorių (ARB) (vadinamąjį sartaną, pavyzdžiui, valsartaną, telmisartaną, irbesartaną), ypač jei turite su diabetu susijusių inkstų sutrikimų; </w:t>
      </w:r>
    </w:p>
    <w:p w14:paraId="074824D1" w14:textId="77777777" w:rsidR="00CD5E38" w:rsidRPr="00AE37D2" w:rsidRDefault="00CD5E38" w:rsidP="00AE37D2">
      <w:pPr>
        <w:pStyle w:val="ListParagraph"/>
        <w:numPr>
          <w:ilvl w:val="1"/>
          <w:numId w:val="25"/>
        </w:numPr>
        <w:autoSpaceDE w:val="0"/>
        <w:autoSpaceDN w:val="0"/>
        <w:adjustRightInd w:val="0"/>
        <w:spacing w:after="0" w:line="240" w:lineRule="auto"/>
        <w:rPr>
          <w:rFonts w:ascii="Times New Roman" w:eastAsia="Calibri" w:hAnsi="Times New Roman" w:cs="Times New Roman"/>
          <w:color w:val="000000"/>
          <w:kern w:val="0"/>
          <w14:ligatures w14:val="none"/>
        </w:rPr>
      </w:pPr>
      <w:r w:rsidRPr="00AE37D2">
        <w:rPr>
          <w:rFonts w:ascii="Times New Roman" w:eastAsia="Calibri" w:hAnsi="Times New Roman" w:cs="Times New Roman"/>
          <w:iCs/>
          <w:color w:val="000000"/>
          <w:kern w:val="0"/>
          <w:sz w:val="22"/>
          <w:szCs w:val="22"/>
          <w14:ligatures w14:val="none"/>
        </w:rPr>
        <w:t xml:space="preserve">aliskireną; </w:t>
      </w:r>
    </w:p>
    <w:p w14:paraId="75B90DB6" w14:textId="722DC283" w:rsidR="00CD5E38" w:rsidRPr="00AE37D2" w:rsidRDefault="00CD5E38" w:rsidP="00AE37D2">
      <w:pPr>
        <w:pStyle w:val="ListParagraph"/>
        <w:numPr>
          <w:ilvl w:val="0"/>
          <w:numId w:val="24"/>
        </w:numPr>
        <w:spacing w:after="0" w:line="240" w:lineRule="auto"/>
        <w:ind w:left="567"/>
        <w:rPr>
          <w:rFonts w:ascii="Times New Roman" w:eastAsia="Calibri" w:hAnsi="Times New Roman" w:cs="Times New Roman"/>
          <w:bCs/>
          <w:kern w:val="0"/>
          <w:sz w:val="22"/>
          <w:szCs w:val="22"/>
          <w:lang w:eastAsia="x-none"/>
          <w14:ligatures w14:val="none"/>
        </w:rPr>
      </w:pPr>
      <w:r w:rsidRPr="00AE37D2">
        <w:rPr>
          <w:rFonts w:ascii="Times New Roman" w:eastAsia="Calibri" w:hAnsi="Times New Roman" w:cs="Times New Roman"/>
          <w:bCs/>
          <w:kern w:val="0"/>
          <w:sz w:val="22"/>
          <w:szCs w:val="22"/>
          <w:lang w:eastAsia="x-none"/>
          <w14:ligatures w14:val="none"/>
        </w:rPr>
        <w:t xml:space="preserve">jeigu vartojate bet kurio iš šių vaistų, angioedemos rizika gali būti didesnė: </w:t>
      </w:r>
    </w:p>
    <w:p w14:paraId="574FEA43" w14:textId="77777777" w:rsidR="00CD5E38" w:rsidRPr="00AE37D2" w:rsidRDefault="00CD5E38" w:rsidP="00AE37D2">
      <w:pPr>
        <w:pStyle w:val="ListParagraph"/>
        <w:numPr>
          <w:ilvl w:val="1"/>
          <w:numId w:val="25"/>
        </w:numPr>
        <w:spacing w:after="0" w:line="240" w:lineRule="auto"/>
        <w:rPr>
          <w:rFonts w:ascii="Times New Roman" w:eastAsia="Calibri" w:hAnsi="Times New Roman" w:cs="Times New Roman"/>
          <w:bCs/>
          <w:kern w:val="0"/>
          <w:lang w:eastAsia="x-none"/>
          <w14:ligatures w14:val="none"/>
        </w:rPr>
      </w:pPr>
      <w:r w:rsidRPr="00AE37D2">
        <w:rPr>
          <w:rFonts w:ascii="Times New Roman" w:eastAsia="Calibri" w:hAnsi="Times New Roman" w:cs="Times New Roman"/>
          <w:bCs/>
          <w:kern w:val="0"/>
          <w:sz w:val="22"/>
          <w:szCs w:val="22"/>
          <w:lang w:eastAsia="x-none"/>
          <w14:ligatures w14:val="none"/>
        </w:rPr>
        <w:t>racekadotrilio - viduriavimui gydyti vartojamo vaisto;</w:t>
      </w:r>
    </w:p>
    <w:p w14:paraId="2FDB02F4" w14:textId="77777777" w:rsidR="00CD5E38" w:rsidRPr="00AE37D2" w:rsidRDefault="00CD5E38" w:rsidP="00AE37D2">
      <w:pPr>
        <w:pStyle w:val="ListParagraph"/>
        <w:numPr>
          <w:ilvl w:val="1"/>
          <w:numId w:val="25"/>
        </w:numPr>
        <w:spacing w:after="0" w:line="240" w:lineRule="auto"/>
        <w:rPr>
          <w:rFonts w:ascii="Times New Roman" w:eastAsia="Calibri" w:hAnsi="Times New Roman" w:cs="Times New Roman"/>
          <w:bCs/>
          <w:kern w:val="0"/>
          <w:lang w:eastAsia="x-none"/>
          <w14:ligatures w14:val="none"/>
        </w:rPr>
      </w:pPr>
      <w:r w:rsidRPr="00AE37D2">
        <w:rPr>
          <w:rFonts w:ascii="Times New Roman" w:eastAsia="Calibri" w:hAnsi="Times New Roman" w:cs="Times New Roman"/>
          <w:bCs/>
          <w:kern w:val="0"/>
          <w:sz w:val="22"/>
          <w:szCs w:val="22"/>
          <w:lang w:eastAsia="x-none"/>
          <w14:ligatures w14:val="none"/>
        </w:rPr>
        <w:t>vaistų, vartojamų norint užkirsti kelią persodinto organo atmetimui ir vėžiui gydyti (pvz., temsirolimuzo, sirolimuzo, everolimuzo).</w:t>
      </w:r>
    </w:p>
    <w:p w14:paraId="000D12BA" w14:textId="77777777" w:rsidR="00CD5E38" w:rsidRPr="00AE37D2" w:rsidRDefault="00CD5E38" w:rsidP="00AE37D2">
      <w:pPr>
        <w:pStyle w:val="ListParagraph"/>
        <w:numPr>
          <w:ilvl w:val="1"/>
          <w:numId w:val="25"/>
        </w:numPr>
        <w:spacing w:after="0" w:line="240" w:lineRule="auto"/>
        <w:rPr>
          <w:rFonts w:ascii="Times New Roman" w:eastAsia="Calibri" w:hAnsi="Times New Roman" w:cs="Times New Roman"/>
          <w:bCs/>
          <w:kern w:val="0"/>
          <w:lang w:eastAsia="x-none"/>
          <w14:ligatures w14:val="none"/>
        </w:rPr>
      </w:pPr>
      <w:r w:rsidRPr="00AE37D2">
        <w:rPr>
          <w:rFonts w:ascii="Times New Roman" w:eastAsia="Calibri" w:hAnsi="Times New Roman" w:cs="Times New Roman"/>
          <w:bCs/>
          <w:kern w:val="0"/>
          <w:sz w:val="22"/>
          <w:szCs w:val="22"/>
          <w:lang w:eastAsia="x-none"/>
          <w14:ligatures w14:val="none"/>
        </w:rPr>
        <w:t>vildagliptino – cukriniam diabetui gydyti vartojamo vaisto.</w:t>
      </w:r>
    </w:p>
    <w:p w14:paraId="10941302" w14:textId="6ECEA815" w:rsidR="00CD5E38" w:rsidRPr="00AE37D2" w:rsidRDefault="00CD5E38" w:rsidP="00AE37D2">
      <w:pPr>
        <w:pStyle w:val="ListParagraph"/>
        <w:numPr>
          <w:ilvl w:val="0"/>
          <w:numId w:val="26"/>
        </w:numPr>
        <w:spacing w:after="0" w:line="240" w:lineRule="auto"/>
        <w:ind w:left="567"/>
        <w:rPr>
          <w:rFonts w:ascii="Times New Roman" w:eastAsia="Times New Roman" w:hAnsi="Times New Roman" w:cs="Times New Roman"/>
          <w:kern w:val="0"/>
          <w:sz w:val="22"/>
          <w:szCs w:val="22"/>
          <w:lang w:eastAsia="x-none"/>
          <w14:ligatures w14:val="none"/>
        </w:rPr>
      </w:pPr>
      <w:r w:rsidRPr="00AE37D2">
        <w:rPr>
          <w:rFonts w:ascii="Times New Roman" w:eastAsia="Times New Roman" w:hAnsi="Times New Roman" w:cs="Times New Roman"/>
          <w:kern w:val="0"/>
          <w:sz w:val="22"/>
          <w:szCs w:val="22"/>
          <w:lang w:eastAsia="x-none"/>
          <w14:ligatures w14:val="none"/>
        </w:rPr>
        <w:t>jeigu manote, kad esate (arba galite tapti) nėščia. Ankstyvuoju nėštumo laikotarpiu Gopten vartoti nerekomenduojama. Vartojamas po trečio nėštumo mėnesio, šis vaistas gali padaryti didžiulės žalos Jūsų kūdikiui, žr. skyrių „Nėštumas, žindymo laikotarpis ir vaisingumas“.</w:t>
      </w:r>
    </w:p>
    <w:p w14:paraId="1BA9F85D" w14:textId="77777777" w:rsidR="00CD5E38" w:rsidRPr="00CD5E38" w:rsidRDefault="00CD5E38" w:rsidP="00CD5E38">
      <w:pPr>
        <w:spacing w:after="0" w:line="240" w:lineRule="auto"/>
        <w:rPr>
          <w:rFonts w:ascii="Times New Roman" w:eastAsia="Calibri" w:hAnsi="Times New Roman" w:cs="Times New Roman"/>
          <w:kern w:val="0"/>
          <w:sz w:val="22"/>
          <w:szCs w:val="20"/>
          <w:lang w:eastAsia="x-none"/>
          <w14:ligatures w14:val="none"/>
        </w:rPr>
      </w:pPr>
    </w:p>
    <w:p w14:paraId="62A9D79A"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x-none"/>
          <w14:ligatures w14:val="none"/>
        </w:rPr>
      </w:pPr>
      <w:r w:rsidRPr="00CD5E38">
        <w:rPr>
          <w:rFonts w:ascii="Times New Roman" w:eastAsia="Calibri" w:hAnsi="Times New Roman" w:cs="Times New Roman"/>
          <w:kern w:val="0"/>
          <w:sz w:val="22"/>
          <w:szCs w:val="20"/>
          <w:lang w:eastAsia="x-none"/>
          <w14:ligatures w14:val="none"/>
        </w:rPr>
        <w:t>Jūsų gydytojas gali reguliariai ištirti Jūsų inkstų funkciją, kraujospūdį ir elektrolitų kiekį (pvz., kalio) kraujyje</w:t>
      </w:r>
      <w:r w:rsidRPr="00CD5E38">
        <w:rPr>
          <w:rFonts w:ascii="Times New Roman" w:eastAsia="Times New Roman" w:hAnsi="Times New Roman" w:cs="Times New Roman"/>
          <w:kern w:val="0"/>
          <w:sz w:val="22"/>
          <w:szCs w:val="22"/>
          <w:lang w:eastAsia="x-none"/>
          <w14:ligatures w14:val="none"/>
        </w:rPr>
        <w:t xml:space="preserve">. </w:t>
      </w:r>
    </w:p>
    <w:p w14:paraId="28C11214"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11DF48A8"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CD5E38">
        <w:rPr>
          <w:rFonts w:ascii="Times New Roman" w:eastAsia="Times New Roman" w:hAnsi="Times New Roman" w:cs="Times New Roman"/>
          <w:kern w:val="0"/>
          <w:sz w:val="22"/>
          <w:szCs w:val="22"/>
          <w:lang w:eastAsia="x-none"/>
          <w14:ligatures w14:val="none"/>
        </w:rPr>
        <w:t>Taip pat žiūrėkite informaciją, pateiktą poskyryje „Gopten vartoti draudžiama</w:t>
      </w:r>
      <w:r w:rsidRPr="00CD5E38">
        <w:rPr>
          <w:rFonts w:ascii="Times New Roman" w:eastAsia="Calibri" w:hAnsi="Times New Roman" w:cs="Times New Roman"/>
          <w:color w:val="000000"/>
          <w:kern w:val="0"/>
          <w:sz w:val="22"/>
          <w:szCs w:val="22"/>
          <w14:ligatures w14:val="none"/>
        </w:rPr>
        <w:t>“</w:t>
      </w:r>
      <w:r w:rsidRPr="00CD5E38">
        <w:rPr>
          <w:rFonts w:ascii="Times New Roman" w:eastAsia="Times New Roman" w:hAnsi="Times New Roman" w:cs="Times New Roman"/>
          <w:kern w:val="0"/>
          <w:sz w:val="22"/>
          <w:szCs w:val="22"/>
          <w:lang w:eastAsia="x-none"/>
          <w14:ligatures w14:val="none"/>
        </w:rPr>
        <w:t>.</w:t>
      </w:r>
    </w:p>
    <w:p w14:paraId="3DF32222"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337148AC" w14:textId="77777777" w:rsidR="00CD5E38" w:rsidRPr="00CD5E38" w:rsidRDefault="00CD5E38" w:rsidP="00CD5E38">
      <w:pPr>
        <w:keepNext/>
        <w:spacing w:after="0" w:line="240" w:lineRule="auto"/>
        <w:outlineLvl w:val="3"/>
        <w:rPr>
          <w:rFonts w:ascii="Times New Roman" w:eastAsia="Times New Roman" w:hAnsi="Times New Roman" w:cs="Times New Roman"/>
          <w:kern w:val="0"/>
          <w:sz w:val="22"/>
          <w:szCs w:val="22"/>
          <w:lang w:eastAsia="x-none"/>
          <w14:ligatures w14:val="none"/>
        </w:rPr>
      </w:pPr>
      <w:r w:rsidRPr="00CD5E38">
        <w:rPr>
          <w:rFonts w:ascii="Times New Roman" w:eastAsia="Times New Roman" w:hAnsi="Times New Roman" w:cs="Times New Roman"/>
          <w:b/>
          <w:kern w:val="0"/>
          <w:sz w:val="22"/>
          <w:szCs w:val="22"/>
          <w:lang w:eastAsia="x-none"/>
          <w14:ligatures w14:val="none"/>
        </w:rPr>
        <w:t>Kiti vaistai ir Gopten</w:t>
      </w:r>
    </w:p>
    <w:p w14:paraId="1BFDAB8E"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 xml:space="preserve">Jeigu vartojate ar neseniai vartojote </w:t>
      </w:r>
      <w:r w:rsidRPr="00CD5E38">
        <w:rPr>
          <w:rFonts w:ascii="Times New Roman" w:eastAsia="Times New Roman" w:hAnsi="Times New Roman" w:cs="Times New Roman"/>
          <w:bCs/>
          <w:kern w:val="0"/>
          <w:sz w:val="22"/>
          <w:szCs w:val="22"/>
          <w:lang w:eastAsia="lt-LT"/>
          <w14:ligatures w14:val="none"/>
        </w:rPr>
        <w:t xml:space="preserve">kitų vaistų arba dėl to nesate tikri, apie tai </w:t>
      </w:r>
      <w:r w:rsidRPr="00CD5E38">
        <w:rPr>
          <w:rFonts w:ascii="Times New Roman" w:eastAsia="Times New Roman" w:hAnsi="Times New Roman" w:cs="Times New Roman"/>
          <w:kern w:val="0"/>
          <w:sz w:val="22"/>
          <w:szCs w:val="22"/>
          <w14:ligatures w14:val="none"/>
        </w:rPr>
        <w:t>pasakykite gydytojui arba vaistininkui.</w:t>
      </w:r>
    </w:p>
    <w:p w14:paraId="6DAB1B7C" w14:textId="77777777" w:rsidR="00CD5E38" w:rsidRPr="00CD5E38" w:rsidRDefault="00CD5E38" w:rsidP="00CD5E38">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CD5E38">
        <w:rPr>
          <w:rFonts w:ascii="Times New Roman" w:eastAsia="Calibri" w:hAnsi="Times New Roman" w:cs="Times New Roman"/>
          <w:iCs/>
          <w:color w:val="000000"/>
          <w:kern w:val="0"/>
          <w:sz w:val="22"/>
          <w:szCs w:val="22"/>
          <w14:ligatures w14:val="none"/>
        </w:rPr>
        <w:t xml:space="preserve">Jūsų gydytojui gali tekti pakeisti vaisto dozę ir (arba) imtis kitų atsargumo priemonių: jeigu vartojate angiotenzino II receptorių blokatorių (ARB) arba aliskireną </w:t>
      </w:r>
      <w:r w:rsidRPr="00CD5E38">
        <w:rPr>
          <w:rFonts w:ascii="Times New Roman" w:eastAsia="Calibri" w:hAnsi="Times New Roman" w:cs="Times New Roman"/>
          <w:color w:val="000000"/>
          <w:kern w:val="0"/>
          <w:sz w:val="22"/>
          <w:szCs w:val="22"/>
          <w14:ligatures w14:val="none"/>
        </w:rPr>
        <w:t>(taip pat žiūrėkite informaciją, pateiktą poskyriuose „Gopten vartoti draudžiama“ ir „Įspėjimai ir atsargumo priemonės“).</w:t>
      </w:r>
    </w:p>
    <w:p w14:paraId="584A4707"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vartojate ar neseniai vartojote šių vaistų, pasakykite gydytojui arba vaistininkui:</w:t>
      </w:r>
    </w:p>
    <w:p w14:paraId="3493AF6F"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14:ligatures w14:val="none"/>
        </w:rPr>
      </w:pPr>
      <w:r w:rsidRPr="00AE37D2">
        <w:rPr>
          <w:rFonts w:ascii="Times New Roman" w:eastAsia="Times New Roman" w:hAnsi="Times New Roman" w:cs="Times New Roman"/>
          <w:kern w:val="0"/>
          <w:sz w:val="22"/>
          <w:szCs w:val="22"/>
          <w14:ligatures w14:val="none"/>
        </w:rPr>
        <w:t>NEP inhibitorius, tokius kaip sakubitrilis (yra fiksuotos dozės derinys su valsartanu) ir racekadotrilis. Gali padidėti angioneurozinės edemos rizika (greitas patinimas po oda tokiose srityse kaip gerklė);</w:t>
      </w:r>
    </w:p>
    <w:p w14:paraId="20BE11A3"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bet kurį kitą vaistą aukštam kraujospūdžiui mažinti;</w:t>
      </w:r>
    </w:p>
    <w:p w14:paraId="36B76BAA"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 xml:space="preserve">kalio papildų (įskaitant druskos pakaitalus), kalį tausojančių diuretikų ir kitų vaistų, galinčių didinti kalio kiekį kraujyje (pvz., trimetoprimo ir kotrimoksazolo nuo bakterijų sukeltų infekcijų; </w:t>
      </w:r>
    </w:p>
    <w:p w14:paraId="35AA1D3E"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 xml:space="preserve">ciklosporino, imunitetą slopinančio vaisto, vartojamo apsisaugoti nuo persodinto organo atmetimo; </w:t>
      </w:r>
    </w:p>
    <w:p w14:paraId="5A30AE1C"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heparino – kraujui skystinti vartojamo vaisto, norint išvengti kraujo krešulių susidarymo);</w:t>
      </w:r>
    </w:p>
    <w:p w14:paraId="1894592B"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priešuždegiminius skausmą malšinančius vaistus (pvz., ibuprofeną, diklofenaką, indometaciną, acetilsalicilo rūgštį arba aspiriną);</w:t>
      </w:r>
    </w:p>
    <w:p w14:paraId="0E2D76CE"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litį ar triciklius antidepresantus (pvz., amitriptiliną, dotiepiną);</w:t>
      </w:r>
    </w:p>
    <w:p w14:paraId="01336873"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bet kurį vaistą iš vaistų nuo psichozės ar stiprių raminančiųjų grupės (pvz., chlorpromaziną, tioridaziną, flupentiksolį);</w:t>
      </w:r>
    </w:p>
    <w:p w14:paraId="2C3AAC51"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simpatomimetikus – įskaitant efedriną, pseudoefedriną ir salbutamolį, kurie gali būti kai kurių nosies paburkimą mažinančių vaistų, vaistų nuo kosulio ar peršalimo, vaistų nuo astmos sudėtyje;</w:t>
      </w:r>
    </w:p>
    <w:p w14:paraId="61F15D2B"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vaistus skrandžio rūgštingumui mažinti;</w:t>
      </w:r>
    </w:p>
    <w:p w14:paraId="03901361"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alopurinolį (vaistą podagrai gydyti) ar prokainamidą (vaistą sutrikusiam širdies ritmui gydyti);</w:t>
      </w:r>
    </w:p>
    <w:p w14:paraId="49441674"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imunosupresantus (pvz., ciklosporiną), steroidinių hormonų vaistus (pvz., prednizoloną, hidrokortizoną) ar vaistus vėžiui gydyti;</w:t>
      </w:r>
    </w:p>
    <w:p w14:paraId="541E2C0B" w14:textId="77777777" w:rsidR="00CD5E38" w:rsidRPr="00AE37D2" w:rsidRDefault="00CD5E38" w:rsidP="00AE37D2">
      <w:pPr>
        <w:pStyle w:val="ListParagraph"/>
        <w:numPr>
          <w:ilvl w:val="0"/>
          <w:numId w:val="18"/>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vaistus nuo cukrinio diabeto;</w:t>
      </w:r>
    </w:p>
    <w:p w14:paraId="248C7BE9" w14:textId="77777777" w:rsidR="00CD5E38" w:rsidRPr="00AE37D2" w:rsidRDefault="00CD5E38" w:rsidP="00AE37D2">
      <w:pPr>
        <w:pStyle w:val="ListParagraph"/>
        <w:numPr>
          <w:ilvl w:val="0"/>
          <w:numId w:val="18"/>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aukso preparato (natrio aurotiomalato) injekcijas;</w:t>
      </w:r>
    </w:p>
    <w:p w14:paraId="3C7A7249" w14:textId="77777777" w:rsidR="00CD5E38" w:rsidRPr="00AE37D2" w:rsidRDefault="00CD5E38" w:rsidP="00AE37D2">
      <w:pPr>
        <w:pStyle w:val="ListParagraph"/>
        <w:numPr>
          <w:ilvl w:val="0"/>
          <w:numId w:val="18"/>
        </w:numPr>
        <w:spacing w:after="0" w:line="240" w:lineRule="auto"/>
        <w:ind w:left="567"/>
        <w:rPr>
          <w:rFonts w:ascii="Times New Roman" w:eastAsia="Calibri" w:hAnsi="Times New Roman" w:cs="Times New Roman"/>
          <w:bCs/>
          <w:kern w:val="0"/>
          <w:sz w:val="22"/>
          <w:szCs w:val="22"/>
          <w14:ligatures w14:val="none"/>
        </w:rPr>
      </w:pPr>
      <w:r w:rsidRPr="00AE37D2">
        <w:rPr>
          <w:rFonts w:ascii="Times New Roman" w:eastAsia="Calibri" w:hAnsi="Times New Roman" w:cs="Times New Roman"/>
          <w:kern w:val="0"/>
          <w:sz w:val="22"/>
          <w:szCs w:val="22"/>
          <w14:ligatures w14:val="none"/>
        </w:rPr>
        <w:t xml:space="preserve">vaistų, kurie dažniausiai vartojami norint išvengti transplantuotų organų atmetimo </w:t>
      </w:r>
      <w:r w:rsidRPr="00AE37D2">
        <w:rPr>
          <w:rFonts w:ascii="Times New Roman" w:eastAsia="Calibri" w:hAnsi="Times New Roman" w:cs="Times New Roman"/>
          <w:bCs/>
          <w:kern w:val="0"/>
          <w:sz w:val="22"/>
          <w:szCs w:val="22"/>
          <w14:ligatures w14:val="none"/>
        </w:rPr>
        <w:t>(sirolimuzą, everolimuzą ir kitų vaistų iš mTOR inhibitorių klasės). Žr. skyrių „Įspėjimai ir atsargumo priemonės”.</w:t>
      </w:r>
    </w:p>
    <w:p w14:paraId="407F2FCA"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A5926FB" w14:textId="77777777" w:rsidR="00CD5E38" w:rsidRPr="00CD5E38" w:rsidRDefault="00CD5E38" w:rsidP="00CD5E38">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r w:rsidRPr="00CD5E38">
        <w:rPr>
          <w:rFonts w:ascii="Times New Roman" w:eastAsia="Times New Roman" w:hAnsi="Times New Roman" w:cs="Times New Roman"/>
          <w:b/>
          <w:bCs/>
          <w:kern w:val="0"/>
          <w:sz w:val="22"/>
          <w:szCs w:val="22"/>
          <w14:ligatures w14:val="none"/>
        </w:rPr>
        <w:t>Gopten vartojimas su maistu, gėrimais ir alkoholiu</w:t>
      </w:r>
    </w:p>
    <w:p w14:paraId="793959C6"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Maisto vartojimas neturi įtakos Gopten absorbcijai.</w:t>
      </w:r>
    </w:p>
    <w:p w14:paraId="28360508"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Alkoholis didina hipotenzijos (mažo kraujospūžio) riziką.</w:t>
      </w:r>
    </w:p>
    <w:p w14:paraId="3B6BC060"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FBFECC1" w14:textId="77777777" w:rsidR="00CD5E38" w:rsidRPr="00CD5E38" w:rsidRDefault="00CD5E38" w:rsidP="00CD5E38">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r w:rsidRPr="00CD5E38">
        <w:rPr>
          <w:rFonts w:ascii="Times New Roman" w:eastAsia="Times New Roman" w:hAnsi="Times New Roman" w:cs="Times New Roman"/>
          <w:b/>
          <w:bCs/>
          <w:kern w:val="0"/>
          <w:sz w:val="22"/>
          <w:szCs w:val="22"/>
          <w14:ligatures w14:val="none"/>
        </w:rPr>
        <w:t>Nėštumas, žindymo laikotarpis ir vaisingumas</w:t>
      </w:r>
    </w:p>
    <w:p w14:paraId="70EA85B2" w14:textId="77777777" w:rsidR="00CD5E38" w:rsidRPr="00CD5E38" w:rsidRDefault="00CD5E38" w:rsidP="00CD5E38">
      <w:pPr>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7017F8D8" w14:textId="77777777" w:rsidR="00CD5E38" w:rsidRPr="00CD5E38" w:rsidRDefault="00CD5E38" w:rsidP="00CD5E38">
      <w:pPr>
        <w:spacing w:after="0" w:line="240" w:lineRule="auto"/>
        <w:rPr>
          <w:rFonts w:ascii="Times New Roman" w:eastAsia="Times New Roman" w:hAnsi="Times New Roman" w:cs="Times New Roman"/>
          <w:kern w:val="0"/>
          <w:sz w:val="22"/>
          <w:szCs w:val="22"/>
          <w14:ligatures w14:val="none"/>
        </w:rPr>
      </w:pPr>
    </w:p>
    <w:p w14:paraId="62B267FC"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u w:val="single"/>
          <w:lang w:eastAsia="x-none"/>
          <w14:ligatures w14:val="none"/>
        </w:rPr>
      </w:pPr>
      <w:r w:rsidRPr="00CD5E38">
        <w:rPr>
          <w:rFonts w:ascii="Times New Roman" w:eastAsia="Times New Roman" w:hAnsi="Times New Roman" w:cs="Times New Roman"/>
          <w:kern w:val="0"/>
          <w:sz w:val="22"/>
          <w:szCs w:val="22"/>
          <w:u w:val="single"/>
          <w:lang w:eastAsia="x-none"/>
          <w14:ligatures w14:val="none"/>
        </w:rPr>
        <w:t>Nėštumas</w:t>
      </w:r>
    </w:p>
    <w:p w14:paraId="714C0F94"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CD5E38">
        <w:rPr>
          <w:rFonts w:ascii="Times New Roman" w:eastAsia="Times New Roman" w:hAnsi="Times New Roman" w:cs="Times New Roman"/>
          <w:kern w:val="0"/>
          <w:sz w:val="22"/>
          <w:szCs w:val="22"/>
          <w:lang w:eastAsia="x-none"/>
          <w14:ligatures w14:val="none"/>
        </w:rPr>
        <w:t>Jūsų gydytojas lieps Jums nebevartoti vaisto prieš planuojant pastojimą arba iš karto sužinojus apie nėštumą ir paskirs kitą vaistą vietoje Gopten. Gopten nerekomenduojama vartoti ankstyvuoju nėštumo laikotarpiu ir negalima vartoti, jei esate daugiau kaip tris mėnesius nėščia, nes tuomet jis gali labai pakenkti Jūsų kūdikiui.</w:t>
      </w:r>
    </w:p>
    <w:p w14:paraId="0DFE833A"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7FCEF41"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u w:val="single"/>
          <w:lang w:eastAsia="x-none"/>
          <w14:ligatures w14:val="none"/>
        </w:rPr>
      </w:pPr>
      <w:r w:rsidRPr="00CD5E38">
        <w:rPr>
          <w:rFonts w:ascii="Times New Roman" w:eastAsia="Times New Roman" w:hAnsi="Times New Roman" w:cs="Times New Roman"/>
          <w:kern w:val="0"/>
          <w:sz w:val="22"/>
          <w:szCs w:val="22"/>
          <w:u w:val="single"/>
          <w:lang w:eastAsia="x-none"/>
          <w14:ligatures w14:val="none"/>
        </w:rPr>
        <w:t>Žindymo laikotarpis</w:t>
      </w:r>
    </w:p>
    <w:p w14:paraId="3D7390BE"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CD5E38">
        <w:rPr>
          <w:rFonts w:ascii="Times New Roman" w:eastAsia="Times New Roman" w:hAnsi="Times New Roman" w:cs="Times New Roman"/>
          <w:kern w:val="0"/>
          <w:sz w:val="22"/>
          <w:szCs w:val="22"/>
          <w:lang w:eastAsia="x-none"/>
          <w14:ligatures w14:val="none"/>
        </w:rPr>
        <w:t>Pasakykite savo gydytojui, jei žindote ar ruošiatės pradėti tai daryti. Gopten nerekomenduojama vartoti žindymo metu. Jei moteris nori žindyti, gydytojas gali paskirti kitą vaistą, ypač jei norima žindyti naujagimį arba prieš laiką gimusį kūdikį.</w:t>
      </w:r>
    </w:p>
    <w:p w14:paraId="158493E1" w14:textId="77777777" w:rsidR="00CD5E38" w:rsidRPr="00CD5E38" w:rsidRDefault="00CD5E38" w:rsidP="00CD5E38">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1A29E3D3" w14:textId="77777777" w:rsidR="00CD5E38" w:rsidRPr="00CD5E38" w:rsidRDefault="00CD5E38" w:rsidP="00CD5E38">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Vairavimas ir mechanizmų valdymas</w:t>
      </w:r>
    </w:p>
    <w:p w14:paraId="5415DB43"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 xml:space="preserve">Nepastebėta jokio rimtesnio poveikio gebėjimui vairuoti ar mechanizmų valdymui. Kai kurie žmonės, vartojantys Gopten, gali jausti galvos svaigimą ar silpnumą, ypač vaisto vartojimo pradžioje. Alkoholio vartojimas, net ir mažais kiekiais, gali dar labiau pabloginti būklę. </w:t>
      </w:r>
    </w:p>
    <w:p w14:paraId="6589695C"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Nevairuokite, nevaldykite mechanizmų ir neužsiimkite niekuo, kas reikalauja dėmesio koncentracijos, kelias valandas po to, kai išgėrėte pirmąją Gopten dozę ar ją padidinote. Laukite ir stebėkite, kaip vaistas Jus veikia.</w:t>
      </w:r>
    </w:p>
    <w:p w14:paraId="639BEE53"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7012C250"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Gopten sudėtyje yra laktozės ir natrio</w:t>
      </w:r>
    </w:p>
    <w:p w14:paraId="1AB560F0"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 xml:space="preserve">Jeigu gydytojas Jums yra sakęs, kad netoleruojate kokių nors angliavandenių, kreipkitės į jį prieš pradėdami vartoti šį vaistą. </w:t>
      </w:r>
    </w:p>
    <w:p w14:paraId="3B54A3FD"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392401B8"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Šio vaisto vienoje kietojoje kapsulėje yra mažiau kaip 1 mmol (23 mg) natrio, t.y. jis beveik neturi reikšmės.</w:t>
      </w:r>
    </w:p>
    <w:p w14:paraId="3562BD6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2808A57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6EC04434"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3.</w:t>
      </w:r>
      <w:r w:rsidRPr="00CD5E38">
        <w:rPr>
          <w:rFonts w:ascii="Times New Roman" w:eastAsia="Times New Roman" w:hAnsi="Times New Roman" w:cs="Times New Roman"/>
          <w:b/>
          <w:iCs/>
          <w:kern w:val="0"/>
          <w:sz w:val="22"/>
          <w:szCs w:val="22"/>
          <w:lang w:eastAsia="lt-LT"/>
          <w14:ligatures w14:val="none"/>
        </w:rPr>
        <w:tab/>
        <w:t>Kaip vartoti Gopten</w:t>
      </w:r>
    </w:p>
    <w:p w14:paraId="610582C3"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2B76670E"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785C535B"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Nurykite kapsules jų nekramtę. Jei reikia, galite jas užgerti stikline vandens.</w:t>
      </w:r>
    </w:p>
    <w:p w14:paraId="08F6D102"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 xml:space="preserve">Vartojamų kapsulių kiekis priklauso nuo gydomos ligos. Jei vartojate diuretikus, prieš pradedant gydymą Gopten kapsulėmis, Jūsų gydytojas gali liepti sumažinti diuretikų dozę ar net nutraukti jų vartojimą. </w:t>
      </w:r>
    </w:p>
    <w:p w14:paraId="7FBCF272"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p>
    <w:p w14:paraId="0EADEC83"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CD5E38">
        <w:rPr>
          <w:rFonts w:ascii="Times New Roman" w:eastAsia="Times New Roman" w:hAnsi="Times New Roman" w:cs="Times New Roman"/>
          <w:iCs/>
          <w:kern w:val="0"/>
          <w:sz w:val="22"/>
          <w:szCs w:val="22"/>
          <w14:ligatures w14:val="none"/>
        </w:rPr>
        <w:t>Hipertenzija (padidėjęs kraujospūdis)</w:t>
      </w:r>
    </w:p>
    <w:p w14:paraId="4157230C"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Įprasta pradinė dozė yra 0,5 mg* kapsulė kartą per parą. Jūsų gydytojas turėtų padidinti šią dozę iki 1 mg, 2 mg ar 4 mg kapsulės kartą per parą. Didžiausia Gopten dozė yra 4 mg per parą.</w:t>
      </w:r>
    </w:p>
    <w:p w14:paraId="46E86BCF"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p>
    <w:p w14:paraId="5D7CC5FB"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CD5E38">
        <w:rPr>
          <w:rFonts w:ascii="Times New Roman" w:eastAsia="Times New Roman" w:hAnsi="Times New Roman" w:cs="Times New Roman"/>
          <w:iCs/>
          <w:kern w:val="0"/>
          <w:sz w:val="22"/>
          <w:szCs w:val="22"/>
          <w14:ligatures w14:val="none"/>
        </w:rPr>
        <w:t>Po miokardo infarkto</w:t>
      </w:r>
    </w:p>
    <w:p w14:paraId="16C40999"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Gydymas paprastai pradedamas tuoj pat po širdies infarkto, paprastai skiriama 0,5 mg* dozė per parą. Jūsų gydytojas turėtų didinti šią dozę palaipsniui iki didžiausios 4 mg paros dozės.</w:t>
      </w:r>
    </w:p>
    <w:p w14:paraId="79B0FD22"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p>
    <w:p w14:paraId="15EBF74B"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CD5E38">
        <w:rPr>
          <w:rFonts w:ascii="Times New Roman" w:eastAsia="Times New Roman" w:hAnsi="Times New Roman" w:cs="Times New Roman"/>
          <w:iCs/>
          <w:kern w:val="0"/>
          <w:sz w:val="22"/>
          <w:szCs w:val="22"/>
          <w14:ligatures w14:val="none"/>
        </w:rPr>
        <w:t>Pacientai, turintys inkstų sutrikimų</w:t>
      </w:r>
    </w:p>
    <w:p w14:paraId="187AA821"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yra inkstų funkcijos sutrikimų, didžiausia Gopten dozė yra 2 mg kapsulė per parą.</w:t>
      </w:r>
    </w:p>
    <w:p w14:paraId="3490B016"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DC01B61" w14:textId="77777777" w:rsidR="00CD5E38" w:rsidRPr="00CD5E38" w:rsidRDefault="00CD5E38" w:rsidP="00CD5E38">
      <w:pPr>
        <w:widowControl w:val="0"/>
        <w:suppressAutoHyphens/>
        <w:autoSpaceDE w:val="0"/>
        <w:autoSpaceDN w:val="0"/>
        <w:adjustRightInd w:val="0"/>
        <w:spacing w:after="0" w:line="240" w:lineRule="auto"/>
        <w:rPr>
          <w:rFonts w:ascii="Times New Roman" w:eastAsia="Times New Roman" w:hAnsi="Times New Roman" w:cs="Times New Roman"/>
          <w:kern w:val="0"/>
          <w:sz w:val="22"/>
          <w:szCs w:val="22"/>
          <w:lang w:bidi="lo-LA"/>
          <w14:ligatures w14:val="none"/>
        </w:rPr>
      </w:pPr>
      <w:r w:rsidRPr="00CD5E38">
        <w:rPr>
          <w:rFonts w:ascii="Times New Roman" w:eastAsia="Times New Roman" w:hAnsi="Times New Roman" w:cs="Times New Roman"/>
          <w:kern w:val="0"/>
          <w:sz w:val="22"/>
          <w:szCs w:val="22"/>
          <w:lang w:bidi="lo-LA"/>
          <w14:ligatures w14:val="none"/>
        </w:rPr>
        <w:t>* Vaisto Gopten mažesnės kaip 2 mg dozės vartoti neįmanoma. Pradedant gydymą vartokite 0,5 mg stiprumo kitą registruotą trandolaprilio vaistą.</w:t>
      </w:r>
    </w:p>
    <w:p w14:paraId="3DE7147B" w14:textId="77777777" w:rsidR="00CD5E38" w:rsidRPr="00CD5E38" w:rsidRDefault="00CD5E38" w:rsidP="00CD5E38">
      <w:pPr>
        <w:widowControl w:val="0"/>
        <w:suppressAutoHyphen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5098E05" w14:textId="77777777" w:rsidR="00CD5E38" w:rsidRPr="00CD5E38" w:rsidRDefault="00CD5E38" w:rsidP="00CD5E38">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Ką daryti pavartojus per didelę Gopten dozę</w:t>
      </w:r>
    </w:p>
    <w:p w14:paraId="3A9A3FC4"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Jūs ar kitas asmuo netyčia suvartotų žymiai didesnę dozę nei paskirta (perdozavimas), nedelsdami kreipkitės į gydytoją ar vykite į artimiausios ligoninės greitosios pagalbos skyrių. Parodykite jiems kapsules.</w:t>
      </w:r>
    </w:p>
    <w:p w14:paraId="4A8D15E6"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218DEE46" w14:textId="77777777" w:rsidR="00CD5E38" w:rsidRPr="00CD5E38" w:rsidRDefault="00CD5E38" w:rsidP="00CD5E38">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Pamiršus pavartoti Gopten</w:t>
      </w:r>
    </w:p>
    <w:p w14:paraId="5CFAC57A"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 pamiršote išgerti dozę, išgerkite ją tuoj pat, kai tik prisiminsite, nebent jau beveik atėjo laikas kitai dozei. Tokiu atveju praleistosios dozės iš viso nebegerkite. Negalima vartoti dvigubos dozės norint kompensuoti praleistą dozę.</w:t>
      </w:r>
    </w:p>
    <w:p w14:paraId="1B76AF31"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32BA46C" w14:textId="77777777" w:rsidR="00CD5E38" w:rsidRPr="00CD5E38" w:rsidRDefault="00CD5E38" w:rsidP="00CD5E38">
      <w:pPr>
        <w:keepNext/>
        <w:autoSpaceDE w:val="0"/>
        <w:autoSpaceDN w:val="0"/>
        <w:adjustRightInd w:val="0"/>
        <w:spacing w:after="0" w:line="240" w:lineRule="auto"/>
        <w:outlineLvl w:val="0"/>
        <w:rPr>
          <w:rFonts w:ascii="Times New Roman" w:eastAsia="Times New Roman" w:hAnsi="Times New Roman" w:cs="Times New Roman"/>
          <w:b/>
          <w:bCs/>
          <w:kern w:val="0"/>
          <w:sz w:val="22"/>
          <w:szCs w:val="22"/>
          <w14:ligatures w14:val="none"/>
        </w:rPr>
      </w:pPr>
      <w:r w:rsidRPr="00CD5E38">
        <w:rPr>
          <w:rFonts w:ascii="Times New Roman" w:eastAsia="Times New Roman" w:hAnsi="Times New Roman" w:cs="Times New Roman"/>
          <w:b/>
          <w:bCs/>
          <w:kern w:val="0"/>
          <w:sz w:val="22"/>
          <w:szCs w:val="22"/>
          <w14:ligatures w14:val="none"/>
        </w:rPr>
        <w:t>Nustojus vartoti Gopten</w:t>
      </w:r>
    </w:p>
    <w:p w14:paraId="2C4F90DD"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Svarbu, kad gertumėte šias kapsules tol, kol gydytojas lieps nustoti jas vartoti. Nenutraukite jų vartojimo vien dėl to, kad pasijutote geriau. Nustojus vartoti kapsules, būklė gali pablogėti.</w:t>
      </w:r>
    </w:p>
    <w:p w14:paraId="037528A9"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0A57B9D"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78413EC"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10FD0F11"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737B9D8"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4.</w:t>
      </w:r>
      <w:r w:rsidRPr="00CD5E38">
        <w:rPr>
          <w:rFonts w:ascii="Times New Roman" w:eastAsia="Times New Roman" w:hAnsi="Times New Roman" w:cs="Times New Roman"/>
          <w:b/>
          <w:iCs/>
          <w:kern w:val="0"/>
          <w:sz w:val="22"/>
          <w:szCs w:val="22"/>
          <w:lang w:eastAsia="lt-LT"/>
          <w14:ligatures w14:val="none"/>
        </w:rPr>
        <w:tab/>
        <w:t>Galimas šalutinis poveikis</w:t>
      </w:r>
    </w:p>
    <w:p w14:paraId="0FE175EE" w14:textId="77777777" w:rsidR="00CD5E38" w:rsidRPr="00CD5E38" w:rsidRDefault="00CD5E38" w:rsidP="00CD5E38">
      <w:pPr>
        <w:spacing w:after="0" w:line="240" w:lineRule="auto"/>
        <w:rPr>
          <w:rFonts w:ascii="Times New Roman" w:eastAsia="Times New Roman" w:hAnsi="Times New Roman" w:cs="Times New Roman"/>
          <w:kern w:val="0"/>
          <w:sz w:val="22"/>
          <w:szCs w:val="22"/>
          <w14:ligatures w14:val="none"/>
        </w:rPr>
      </w:pPr>
    </w:p>
    <w:p w14:paraId="5775D27F"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5E194453"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0A5F1D77"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Dažni šalutinio poveikio reiškiniai (gali pasireikšti rečiau kaip 1 iš 10 asmenų):</w:t>
      </w:r>
    </w:p>
    <w:p w14:paraId="7DFA14A0" w14:textId="77777777" w:rsidR="00CD5E38" w:rsidRPr="00AE37D2" w:rsidRDefault="00CD5E38" w:rsidP="00AE37D2">
      <w:pPr>
        <w:pStyle w:val="ListParagraph"/>
        <w:numPr>
          <w:ilvl w:val="0"/>
          <w:numId w:val="3"/>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galvos skausmas;</w:t>
      </w:r>
    </w:p>
    <w:p w14:paraId="7DF63961" w14:textId="77777777" w:rsidR="00CD5E38" w:rsidRPr="00AE37D2" w:rsidRDefault="00CD5E38" w:rsidP="00AE37D2">
      <w:pPr>
        <w:pStyle w:val="ListParagraph"/>
        <w:numPr>
          <w:ilvl w:val="0"/>
          <w:numId w:val="3"/>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galvos sukimasis;</w:t>
      </w:r>
    </w:p>
    <w:p w14:paraId="6A0436CC" w14:textId="77777777" w:rsidR="00CD5E38" w:rsidRPr="00AE37D2" w:rsidRDefault="00CD5E38" w:rsidP="00AE37D2">
      <w:pPr>
        <w:pStyle w:val="ListParagraph"/>
        <w:numPr>
          <w:ilvl w:val="0"/>
          <w:numId w:val="3"/>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kosulys;</w:t>
      </w:r>
    </w:p>
    <w:p w14:paraId="3EB713FD" w14:textId="77777777" w:rsidR="00CD5E38" w:rsidRPr="00AE37D2" w:rsidRDefault="00CD5E38" w:rsidP="00AE37D2">
      <w:pPr>
        <w:pStyle w:val="ListParagraph"/>
        <w:numPr>
          <w:ilvl w:val="0"/>
          <w:numId w:val="3"/>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silpnumas;</w:t>
      </w:r>
    </w:p>
    <w:p w14:paraId="1086AF9F" w14:textId="77777777" w:rsidR="00CD5E38" w:rsidRPr="00AE37D2" w:rsidRDefault="00CD5E38" w:rsidP="00AE37D2">
      <w:pPr>
        <w:pStyle w:val="ListParagraph"/>
        <w:numPr>
          <w:ilvl w:val="0"/>
          <w:numId w:val="3"/>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hipotenzija (žemas kraujo spaudimas).</w:t>
      </w:r>
    </w:p>
    <w:p w14:paraId="1A0C310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60C14084"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Nedažni šalutinio poveikio reiškiniai (gali pasireikšti rečiau kaip 1 iš 100 asmenų):</w:t>
      </w:r>
    </w:p>
    <w:p w14:paraId="70D4EE87"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stiprus juntamas širdies plakimas;</w:t>
      </w:r>
    </w:p>
    <w:p w14:paraId="33CFA46F"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paraudimas;</w:t>
      </w:r>
    </w:p>
    <w:p w14:paraId="3FE405AC"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negalavimas;</w:t>
      </w:r>
    </w:p>
    <w:p w14:paraId="29BA7F09"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pykinimas;</w:t>
      </w:r>
    </w:p>
    <w:p w14:paraId="72A85728"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išbėrimas;</w:t>
      </w:r>
    </w:p>
    <w:p w14:paraId="3F248009"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niežulys;</w:t>
      </w:r>
    </w:p>
    <w:p w14:paraId="76509F53"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galvos svaigimas;</w:t>
      </w:r>
    </w:p>
    <w:p w14:paraId="0DFD2CFD"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viduriavimas;</w:t>
      </w:r>
    </w:p>
    <w:p w14:paraId="44B3A6DF"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vidurių skausmas;</w:t>
      </w:r>
    </w:p>
    <w:p w14:paraId="3B15A55C"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sutrikęs virškinimas;</w:t>
      </w:r>
    </w:p>
    <w:p w14:paraId="487586EC"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vidurių užkietėjimas;</w:t>
      </w:r>
    </w:p>
    <w:p w14:paraId="5FC5F708"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viršutinių kvėpavimo takų infekcijos;</w:t>
      </w:r>
    </w:p>
    <w:p w14:paraId="48A2CBF1"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nemiga;</w:t>
      </w:r>
    </w:p>
    <w:p w14:paraId="2876B4D1"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sumažėjęs seksualinis potraukis;</w:t>
      </w:r>
    </w:p>
    <w:p w14:paraId="6D038EB7"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mieguistumas;</w:t>
      </w:r>
    </w:p>
    <w:p w14:paraId="3C86E5B0"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viršutinių kvėpavimo takų uždegimas, paburkimas;</w:t>
      </w:r>
    </w:p>
    <w:p w14:paraId="1E26574C"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nugaros skausmas;</w:t>
      </w:r>
    </w:p>
    <w:p w14:paraId="3FEFC797"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krūtinės skausmas;</w:t>
      </w:r>
    </w:p>
    <w:p w14:paraId="6CC8C28C"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raumenų spazmai;</w:t>
      </w:r>
    </w:p>
    <w:p w14:paraId="6CDC54C4"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skausmas rankose ar kojose;</w:t>
      </w:r>
    </w:p>
    <w:p w14:paraId="5BACD039"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impotencija;</w:t>
      </w:r>
    </w:p>
    <w:p w14:paraId="0FBCFFA4"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tinimai;</w:t>
      </w:r>
    </w:p>
    <w:p w14:paraId="60A7DD64" w14:textId="77777777" w:rsidR="00CD5E38" w:rsidRPr="00AE37D2" w:rsidRDefault="00CD5E38" w:rsidP="00AE37D2">
      <w:pPr>
        <w:pStyle w:val="ListParagraph"/>
        <w:numPr>
          <w:ilvl w:val="0"/>
          <w:numId w:val="14"/>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pakitusi savijauta.</w:t>
      </w:r>
    </w:p>
    <w:p w14:paraId="22E5229E" w14:textId="77777777" w:rsidR="00CD5E38" w:rsidRPr="00CD5E38" w:rsidRDefault="00CD5E38" w:rsidP="00CD5E38">
      <w:pPr>
        <w:spacing w:after="0" w:line="240" w:lineRule="auto"/>
        <w:ind w:left="567"/>
        <w:rPr>
          <w:rFonts w:ascii="Times New Roman" w:eastAsia="Times New Roman" w:hAnsi="Times New Roman" w:cs="Times New Roman"/>
          <w:kern w:val="0"/>
          <w:sz w:val="22"/>
          <w:szCs w:val="22"/>
          <w14:ligatures w14:val="none"/>
        </w:rPr>
      </w:pPr>
    </w:p>
    <w:p w14:paraId="4B6DC058" w14:textId="77777777" w:rsidR="00CD5E38" w:rsidRPr="00CD5E38" w:rsidRDefault="00CD5E38" w:rsidP="00CD5E38">
      <w:pPr>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Reti šalutinio poveikio reiškiniai (gali pasireikšti rečiau kaip 1 iš 1 000 asmenų):</w:t>
      </w:r>
    </w:p>
    <w:p w14:paraId="4C78CB9B"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dusulys;</w:t>
      </w:r>
    </w:p>
    <w:p w14:paraId="5127D8C4"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bronchitas (bronchų uždegimas);</w:t>
      </w:r>
    </w:p>
    <w:p w14:paraId="00B3C0C8"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faringitas (ryklės uždegimas);</w:t>
      </w:r>
    </w:p>
    <w:p w14:paraId="0AF76983"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kraujavimas iš nosies;</w:t>
      </w:r>
    </w:p>
    <w:p w14:paraId="50978A8D" w14:textId="77777777" w:rsidR="00CD5E38" w:rsidRPr="00AE37D2" w:rsidRDefault="00CD5E38" w:rsidP="00AE37D2">
      <w:pPr>
        <w:pStyle w:val="ListParagraph"/>
        <w:widowControl w:val="0"/>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ryklės ir gerklų skausmas;</w:t>
      </w:r>
    </w:p>
    <w:p w14:paraId="60AB1EE5" w14:textId="77777777" w:rsidR="00CD5E38" w:rsidRPr="00AE37D2" w:rsidRDefault="00CD5E38" w:rsidP="00AE37D2">
      <w:pPr>
        <w:pStyle w:val="ListParagraph"/>
        <w:widowControl w:val="0"/>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produktyvus kosulys;</w:t>
      </w:r>
    </w:p>
    <w:p w14:paraId="1FCD2D48"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kvėpavimo sutrikimai;</w:t>
      </w:r>
    </w:p>
    <w:p w14:paraId="1D4EE0D3"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padidėjęs lipidų, cholesterolio, gliukozės, šlapimo rūgšties kiekis kraujyje;</w:t>
      </w:r>
    </w:p>
    <w:p w14:paraId="7613C4EF"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sumažėjęs natrio kiekis kraujyje;</w:t>
      </w:r>
    </w:p>
    <w:p w14:paraId="6F76ED32"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fermentų kiekio kraujyje pakitimai;</w:t>
      </w:r>
    </w:p>
    <w:p w14:paraId="4076986A"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haliucinacijos (nesamų dalykų matymas);</w:t>
      </w:r>
    </w:p>
    <w:p w14:paraId="20C20116"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depresija;</w:t>
      </w:r>
    </w:p>
    <w:p w14:paraId="4DB07605"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miego sutrikimas;</w:t>
      </w:r>
    </w:p>
    <w:p w14:paraId="05AC6D2B"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nerimas;</w:t>
      </w:r>
    </w:p>
    <w:p w14:paraId="42E4CBCF"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ažitacija (susijaudinimas, neįprastas aktyvumas);</w:t>
      </w:r>
    </w:p>
    <w:p w14:paraId="5E6B9F16"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apatija;</w:t>
      </w:r>
    </w:p>
    <w:p w14:paraId="61C2F57E"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kepenų uždegimas;</w:t>
      </w:r>
    </w:p>
    <w:p w14:paraId="0F50CF33"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bilirubino kiekio kraujyje padidėjimas (pasireiškia gelta);</w:t>
      </w:r>
    </w:p>
    <w:p w14:paraId="2A2984A3"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širdies sutrikimai, įskaitant širdies priepuolį (infarktą), širdies skausmus, širdies veiklos nepakankamumą, dažnus širdies susitraukimus ir retus širdies susitraukimus;</w:t>
      </w:r>
    </w:p>
    <w:p w14:paraId="15D22208"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kern w:val="0"/>
          <w:sz w:val="22"/>
          <w:szCs w:val="22"/>
          <w14:ligatures w14:val="none"/>
        </w:rPr>
        <w:t>padidėjęs kraujospūdis;</w:t>
      </w:r>
    </w:p>
    <w:p w14:paraId="397044F4" w14:textId="77777777" w:rsidR="00CD5E38" w:rsidRPr="00AE37D2" w:rsidRDefault="00CD5E38" w:rsidP="00AE37D2">
      <w:pPr>
        <w:pStyle w:val="ListParagraph"/>
        <w:widowControl w:val="0"/>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color w:val="000000"/>
          <w:kern w:val="0"/>
          <w:sz w:val="22"/>
          <w:szCs w:val="22"/>
          <w14:ligatures w14:val="none"/>
        </w:rPr>
        <w:t>kraujagyslių pakitimai;</w:t>
      </w:r>
    </w:p>
    <w:p w14:paraId="23121963" w14:textId="77777777" w:rsidR="00CD5E38" w:rsidRPr="00AE37D2" w:rsidRDefault="00CD5E38" w:rsidP="00AE37D2">
      <w:pPr>
        <w:pStyle w:val="ListParagraph"/>
        <w:widowControl w:val="0"/>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color w:val="000000"/>
          <w:kern w:val="0"/>
          <w:sz w:val="22"/>
          <w:szCs w:val="22"/>
          <w14:ligatures w14:val="none"/>
        </w:rPr>
        <w:t>kraujospūdžio sumažėjimas keičiant kūno padėtį iš gulimos į stovimą;</w:t>
      </w:r>
    </w:p>
    <w:p w14:paraId="0864AF27" w14:textId="77777777" w:rsidR="00CD5E38" w:rsidRPr="00AE37D2" w:rsidRDefault="00CD5E38" w:rsidP="00AE37D2">
      <w:pPr>
        <w:pStyle w:val="ListParagraph"/>
        <w:widowControl w:val="0"/>
        <w:numPr>
          <w:ilvl w:val="0"/>
          <w:numId w:val="15"/>
        </w:numPr>
        <w:autoSpaceDE w:val="0"/>
        <w:autoSpaceDN w:val="0"/>
        <w:adjustRightInd w:val="0"/>
        <w:spacing w:after="0" w:line="240" w:lineRule="auto"/>
        <w:ind w:left="567"/>
        <w:rPr>
          <w:rFonts w:ascii="Times New Roman" w:eastAsia="Times New Roman" w:hAnsi="Times New Roman" w:cs="Times New Roman"/>
          <w:color w:val="000000"/>
          <w:kern w:val="0"/>
          <w:sz w:val="22"/>
          <w:szCs w:val="22"/>
          <w14:ligatures w14:val="none"/>
        </w:rPr>
      </w:pPr>
      <w:r w:rsidRPr="00AE37D2">
        <w:rPr>
          <w:rFonts w:ascii="Times New Roman" w:eastAsia="Times New Roman" w:hAnsi="Times New Roman" w:cs="Times New Roman"/>
          <w:color w:val="000000"/>
          <w:kern w:val="0"/>
          <w:sz w:val="22"/>
          <w:szCs w:val="22"/>
          <w14:ligatures w14:val="none"/>
        </w:rPr>
        <w:t>venų išsiplėtimas;</w:t>
      </w:r>
    </w:p>
    <w:p w14:paraId="19A029E3"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insultas;</w:t>
      </w:r>
    </w:p>
    <w:p w14:paraId="30739E37"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sinkopė (alpulys);</w:t>
      </w:r>
    </w:p>
    <w:p w14:paraId="5E897906"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badymo pojūtis odoje;</w:t>
      </w:r>
    </w:p>
    <w:p w14:paraId="5AF4BB3D"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akių vokų uždegimas;</w:t>
      </w:r>
    </w:p>
    <w:p w14:paraId="79BFE7C0"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akies junginės patinimas;</w:t>
      </w:r>
    </w:p>
    <w:p w14:paraId="522AB3B9" w14:textId="77777777" w:rsidR="00CD5E38" w:rsidRPr="00AE37D2" w:rsidRDefault="00CD5E38" w:rsidP="00AE37D2">
      <w:pPr>
        <w:pStyle w:val="ListParagraph"/>
        <w:numPr>
          <w:ilvl w:val="0"/>
          <w:numId w:val="15"/>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regėjimo sutrikimai;</w:t>
      </w:r>
    </w:p>
    <w:p w14:paraId="4B3DAD87"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akių sutrikimai;</w:t>
      </w:r>
    </w:p>
    <w:p w14:paraId="1836EE69"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spengimas ausyse;</w:t>
      </w:r>
    </w:p>
    <w:p w14:paraId="0E64E7DF"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nenormaliai dažnas šlapinimasis;</w:t>
      </w:r>
    </w:p>
    <w:p w14:paraId="5020128E"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šlapimo takų infekcija;</w:t>
      </w:r>
    </w:p>
    <w:p w14:paraId="7974A26E"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inkstų sutrikimai;</w:t>
      </w:r>
    </w:p>
    <w:p w14:paraId="0A8855CB"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nerimas ar apatija;</w:t>
      </w:r>
    </w:p>
    <w:p w14:paraId="2B4FFBBA"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nevalingi raumenų susitraukimai;</w:t>
      </w:r>
    </w:p>
    <w:p w14:paraId="3678E424"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migrena;</w:t>
      </w:r>
    </w:p>
    <w:p w14:paraId="56D4FD30"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pakitęs skonis;</w:t>
      </w:r>
    </w:p>
    <w:p w14:paraId="4401F88C"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padidėjęs prakaitavimas;</w:t>
      </w:r>
    </w:p>
    <w:p w14:paraId="1AA8F219"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burnos sausumas;</w:t>
      </w:r>
    </w:p>
    <w:p w14:paraId="5E5C5763"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podagra;</w:t>
      </w:r>
    </w:p>
    <w:p w14:paraId="1791548C" w14:textId="77777777" w:rsidR="00CD5E38" w:rsidRPr="00AE37D2" w:rsidRDefault="00CD5E38" w:rsidP="00AE37D2">
      <w:pPr>
        <w:pStyle w:val="ListParagraph"/>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alerginės reakcijos, įskaitant odos sutrikimus;</w:t>
      </w:r>
    </w:p>
    <w:p w14:paraId="3D6541B2"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nuovargis;</w:t>
      </w:r>
    </w:p>
    <w:p w14:paraId="70962466"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apetito stoka ar padidėjęs apetitas;</w:t>
      </w:r>
    </w:p>
    <w:p w14:paraId="4AFF5BFC"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pilvo pūtimas;</w:t>
      </w:r>
    </w:p>
    <w:p w14:paraId="4178A0FF"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vėmimas krauju;</w:t>
      </w:r>
    </w:p>
    <w:p w14:paraId="4BC5374B"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skrandžio uždegimas;</w:t>
      </w:r>
    </w:p>
    <w:p w14:paraId="67E71E39"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pilvo skausmas;</w:t>
      </w:r>
    </w:p>
    <w:p w14:paraId="287F52B7"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vėmimas;</w:t>
      </w:r>
    </w:p>
    <w:p w14:paraId="3795006F"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sąnarių skausmas.</w:t>
      </w:r>
    </w:p>
    <w:p w14:paraId="6A3E86E0"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kaulų skausmas;</w:t>
      </w:r>
    </w:p>
    <w:p w14:paraId="7BC9366F"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osteoartritas (sąnarių uždegimas);</w:t>
      </w:r>
    </w:p>
    <w:p w14:paraId="713A3236"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inkstų nepakankamumas;</w:t>
      </w:r>
    </w:p>
    <w:p w14:paraId="60A5456A"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gausus šlapinimasis;</w:t>
      </w:r>
    </w:p>
    <w:p w14:paraId="3F64E0D4"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 xml:space="preserve">įgimtas netaisyklingas kraujagyslių susiformavimas; </w:t>
      </w:r>
    </w:p>
    <w:p w14:paraId="1C11FF62" w14:textId="77777777" w:rsidR="00CD5E38" w:rsidRPr="00CD5E38" w:rsidRDefault="00CD5E38" w:rsidP="00AE37D2">
      <w:pPr>
        <w:numPr>
          <w:ilvl w:val="0"/>
          <w:numId w:val="12"/>
        </w:numPr>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ichtiozė (sutrikusio odos ragėjimo liga);</w:t>
      </w:r>
    </w:p>
    <w:p w14:paraId="797F0852"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žvynelinė;</w:t>
      </w:r>
    </w:p>
    <w:p w14:paraId="196F3B0F"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egzema (alerginės kilmės odos uždegimas);</w:t>
      </w:r>
    </w:p>
    <w:p w14:paraId="5B397F4C"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spuogai;</w:t>
      </w:r>
    </w:p>
    <w:p w14:paraId="47D56013"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sausa oda;</w:t>
      </w:r>
    </w:p>
    <w:p w14:paraId="5FD38E18"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color w:val="000000"/>
          <w:kern w:val="0"/>
          <w:sz w:val="22"/>
          <w:szCs w:val="22"/>
          <w14:ligatures w14:val="none"/>
        </w:rPr>
        <w:t xml:space="preserve">patinimas, taip pat ir staigus įvairių kūno vietų (lūpų, liežuvio, gerklų, veido) ištinimas; </w:t>
      </w:r>
    </w:p>
    <w:p w14:paraId="51FF1CB6" w14:textId="77777777" w:rsidR="00CD5E38" w:rsidRPr="00CD5E38" w:rsidRDefault="00CD5E38" w:rsidP="00AE37D2">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color w:val="000000"/>
          <w:kern w:val="0"/>
          <w:sz w:val="22"/>
          <w:szCs w:val="22"/>
          <w14:ligatures w14:val="none"/>
        </w:rPr>
      </w:pPr>
      <w:r w:rsidRPr="00CD5E38">
        <w:rPr>
          <w:rFonts w:ascii="Times New Roman" w:eastAsia="Times New Roman" w:hAnsi="Times New Roman" w:cs="Times New Roman"/>
          <w:kern w:val="0"/>
          <w:sz w:val="22"/>
          <w:szCs w:val="22"/>
          <w14:ligatures w14:val="none"/>
        </w:rPr>
        <w:t>sužalojimas.</w:t>
      </w:r>
    </w:p>
    <w:p w14:paraId="42FD64D5" w14:textId="77777777" w:rsidR="00CD5E38" w:rsidRPr="00CD5E38" w:rsidRDefault="00CD5E38" w:rsidP="00CD5E3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0E121CBE"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w:t>
      </w:r>
    </w:p>
    <w:p w14:paraId="67E564EF" w14:textId="299A0354"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 xml:space="preserve">cholestazė (sutrikęs tulžies nutekėjimas, pasireiškia gelta); </w:t>
      </w:r>
    </w:p>
    <w:p w14:paraId="665E22B4" w14:textId="36FAD0C7"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psoriazė (žvynelinė);</w:t>
      </w:r>
    </w:p>
    <w:p w14:paraId="44663339" w14:textId="0AE58AA9"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dermatitas;</w:t>
      </w:r>
    </w:p>
    <w:p w14:paraId="1FC7F7C3" w14:textId="5A2DDCD8"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kalio kiekio kraujyje padidėjimas;</w:t>
      </w:r>
    </w:p>
    <w:p w14:paraId="5578B673" w14:textId="6B2C75D5"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gamagliutamiltransferazės (kepenų fermentas) kiekio padidėjimas;</w:t>
      </w:r>
    </w:p>
    <w:p w14:paraId="12FC45FA" w14:textId="2C90E39C"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lipazės (kasos fermentas) kiekio padidėjimas;</w:t>
      </w:r>
    </w:p>
    <w:p w14:paraId="73154662" w14:textId="0C549AAC" w:rsidR="00CD5E38" w:rsidRPr="00AE37D2" w:rsidRDefault="00CD5E38" w:rsidP="00AE37D2">
      <w:pPr>
        <w:pStyle w:val="ListParagraph"/>
        <w:numPr>
          <w:ilvl w:val="0"/>
          <w:numId w:val="11"/>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imunoglobulino kiekio padidėjimas.</w:t>
      </w:r>
    </w:p>
    <w:p w14:paraId="123A112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8B06F83" w14:textId="77777777" w:rsidR="00CD5E38" w:rsidRPr="00CD5E38" w:rsidRDefault="00CD5E38" w:rsidP="00CD5E38">
      <w:pPr>
        <w:spacing w:after="0" w:line="240" w:lineRule="auto"/>
        <w:rPr>
          <w:rFonts w:ascii="Times New Roman" w:eastAsia="Times New Roman" w:hAnsi="Times New Roman" w:cs="Times New Roman"/>
          <w:bCs/>
          <w:iCs/>
          <w:kern w:val="0"/>
          <w:sz w:val="22"/>
          <w:szCs w:val="22"/>
          <w14:ligatures w14:val="none"/>
        </w:rPr>
      </w:pPr>
      <w:r w:rsidRPr="00CD5E38">
        <w:rPr>
          <w:rFonts w:ascii="Times New Roman" w:eastAsia="Times New Roman" w:hAnsi="Times New Roman" w:cs="Times New Roman"/>
          <w:bCs/>
          <w:iCs/>
          <w:kern w:val="0"/>
          <w:sz w:val="22"/>
          <w:szCs w:val="22"/>
          <w14:ligatures w14:val="none"/>
        </w:rPr>
        <w:t>Šalutinio poveikio reiškiniai, kurių dažnis nežinomas (negali būti apskaičiuotas pagal turimus duomenis):</w:t>
      </w:r>
    </w:p>
    <w:p w14:paraId="03B2E1D7" w14:textId="51918563" w:rsidR="00CD5E38" w:rsidRPr="00AE37D2" w:rsidRDefault="00CD5E38" w:rsidP="00AE37D2">
      <w:pPr>
        <w:pStyle w:val="ListParagraph"/>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iCs/>
          <w:kern w:val="0"/>
          <w:sz w:val="22"/>
          <w:szCs w:val="22"/>
          <w:lang w:eastAsia="lt-LT"/>
          <w14:ligatures w14:val="none"/>
        </w:rPr>
        <w:t>sinusų uždegimas (sinusitas)*, sloga (rinitas)*, liežuvio uždegimas (glositas)</w:t>
      </w:r>
      <w:r w:rsidRPr="00AE37D2">
        <w:rPr>
          <w:rFonts w:ascii="Times New Roman" w:eastAsia="Times New Roman" w:hAnsi="Times New Roman" w:cs="Times New Roman"/>
          <w:kern w:val="0"/>
          <w:sz w:val="22"/>
          <w:szCs w:val="22"/>
          <w:lang w:eastAsia="lt-LT"/>
          <w14:ligatures w14:val="none"/>
        </w:rPr>
        <w:t>*;</w:t>
      </w:r>
    </w:p>
    <w:p w14:paraId="008EA224" w14:textId="7AB9EFB2"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visų kraujo kūnelių kiekio sumažėjimas (pancitopenija);</w:t>
      </w:r>
    </w:p>
    <w:p w14:paraId="7AEEF8EB" w14:textId="3976830B"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mažas leukocitų ir trombocitų kiekis;</w:t>
      </w:r>
    </w:p>
    <w:p w14:paraId="3CD05844" w14:textId="139A56C1"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mažakraujystė dėl raudonųjų kraujo kūnelių žūties*;</w:t>
      </w:r>
    </w:p>
    <w:p w14:paraId="1FD708B0" w14:textId="0F8E2079"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per didelis kalio kiekis kraujyje (hiperkalemija);</w:t>
      </w:r>
    </w:p>
    <w:p w14:paraId="17751591" w14:textId="49DC2F6C"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kern w:val="0"/>
          <w:sz w:val="22"/>
          <w:szCs w:val="22"/>
          <w14:ligatures w14:val="none"/>
        </w:rPr>
        <w:t>minčių susipainiojimas</w:t>
      </w:r>
      <w:r w:rsidRPr="00AE37D2">
        <w:rPr>
          <w:rFonts w:ascii="Times New Roman" w:eastAsia="Times New Roman" w:hAnsi="Times New Roman" w:cs="Times New Roman"/>
          <w:iCs/>
          <w:kern w:val="0"/>
          <w:sz w:val="22"/>
          <w:szCs w:val="22"/>
          <w14:ligatures w14:val="none"/>
        </w:rPr>
        <w:t>*;</w:t>
      </w:r>
    </w:p>
    <w:p w14:paraId="01C9160D" w14:textId="5F081978"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praeinantis smegenų išemijos priepuolis (nedidelis insultas);</w:t>
      </w:r>
    </w:p>
    <w:p w14:paraId="1A5F90F2" w14:textId="1695D8B5"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kraujo išsiliejimas į smegenis;</w:t>
      </w:r>
    </w:p>
    <w:p w14:paraId="5F484B70" w14:textId="35B6C7D7"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pusiausvyros sutrikimai, dėl kurių galite jaustis netvirtai stovintys, apsvaigę ar gali atrodyti, kad sukatės ar svyruojate;</w:t>
      </w:r>
    </w:p>
    <w:p w14:paraId="7382E904" w14:textId="30B49592"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vaizdo susiliejimas (neaiškus matymas)*;</w:t>
      </w:r>
    </w:p>
    <w:p w14:paraId="00323CC9" w14:textId="64FEADF5"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elektrinio impulso perdavimo sutrikimas širdyje, ritmo sutrikimas, pakitimai elektrokardiogramoje ir širdies sustojimas;</w:t>
      </w:r>
    </w:p>
    <w:p w14:paraId="2252A817" w14:textId="46B57309"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broncho spazmas, pasireiškiantis sunkumu įkvėpti (raumenų susitraukimas aplink kvėpavimo takus);</w:t>
      </w:r>
    </w:p>
    <w:p w14:paraId="58072F41" w14:textId="6CC3FB22"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žarnų nepraeinamumas, kasos uždegimas, žarnyno audinių patinimas, galintis pasireikšti pilvo skausmu*;</w:t>
      </w:r>
    </w:p>
    <w:p w14:paraId="26ACC1FB" w14:textId="1156BBCA"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gelta;</w:t>
      </w:r>
    </w:p>
    <w:p w14:paraId="4C9A8D34" w14:textId="2FFA9BD6"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pakitę kepenų fermentų tyrimų rezultatai;</w:t>
      </w:r>
    </w:p>
    <w:p w14:paraId="6027E79E" w14:textId="3CB7B84A" w:rsidR="00CD5E38" w:rsidRPr="00AE37D2" w:rsidRDefault="00CD5E38" w:rsidP="00AE37D2">
      <w:pPr>
        <w:pStyle w:val="ListParagraph"/>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14:paraId="75ED8F88" w14:textId="4F8E5B25" w:rsidR="00CD5E38" w:rsidRPr="00AE37D2" w:rsidRDefault="00CD5E38" w:rsidP="00AE37D2">
      <w:pPr>
        <w:pStyle w:val="ListParagraph"/>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daugiaformė eritema*;</w:t>
      </w:r>
    </w:p>
    <w:p w14:paraId="35A84D44" w14:textId="0E14CC6C" w:rsidR="00CD5E38" w:rsidRPr="00AE37D2" w:rsidRDefault="00CD5E38" w:rsidP="00AE37D2">
      <w:pPr>
        <w:pStyle w:val="ListParagraph"/>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psoriaziforminis dermatitas*;</w:t>
      </w:r>
    </w:p>
    <w:p w14:paraId="14A90318" w14:textId="3B63777E" w:rsidR="00CD5E38" w:rsidRPr="00AE37D2" w:rsidRDefault="00CD5E38" w:rsidP="00AE37D2">
      <w:pPr>
        <w:pStyle w:val="ListParagraph"/>
        <w:numPr>
          <w:ilvl w:val="0"/>
          <w:numId w:val="10"/>
        </w:numPr>
        <w:spacing w:after="0" w:line="240" w:lineRule="auto"/>
        <w:ind w:left="567"/>
        <w:rPr>
          <w:rFonts w:ascii="Times New Roman" w:eastAsia="Times New Roman" w:hAnsi="Times New Roman" w:cs="Times New Roman"/>
          <w:iCs/>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raumenų skausmas;</w:t>
      </w:r>
    </w:p>
    <w:p w14:paraId="32E87DF2" w14:textId="08175A77"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karščiavimas;</w:t>
      </w:r>
    </w:p>
    <w:p w14:paraId="1C3478AB" w14:textId="4F5C597E"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kreatinino ar šlapalo, kepenų fermentų kiekio padidėjimas;</w:t>
      </w:r>
    </w:p>
    <w:p w14:paraId="2406041A" w14:textId="73B8FEF7"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iCs/>
          <w:kern w:val="0"/>
          <w:sz w:val="22"/>
          <w:szCs w:val="22"/>
          <w14:ligatures w14:val="none"/>
        </w:rPr>
      </w:pPr>
      <w:r w:rsidRPr="00AE37D2">
        <w:rPr>
          <w:rFonts w:ascii="Times New Roman" w:eastAsia="Times New Roman" w:hAnsi="Times New Roman" w:cs="Times New Roman"/>
          <w:iCs/>
          <w:kern w:val="0"/>
          <w:sz w:val="22"/>
          <w:szCs w:val="22"/>
          <w14:ligatures w14:val="none"/>
        </w:rPr>
        <w:t>mažakraujystė (hemoglobino ir hematokrito sumažėjimas);</w:t>
      </w:r>
    </w:p>
    <w:p w14:paraId="15D813F8" w14:textId="062440CF" w:rsidR="00CD5E38" w:rsidRPr="00AE37D2" w:rsidRDefault="00CD5E38" w:rsidP="00AE37D2">
      <w:pPr>
        <w:pStyle w:val="ListParagraph"/>
        <w:numPr>
          <w:ilvl w:val="0"/>
          <w:numId w:val="10"/>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iCs/>
          <w:kern w:val="0"/>
          <w:sz w:val="22"/>
          <w:szCs w:val="22"/>
          <w14:ligatures w14:val="none"/>
        </w:rPr>
        <w:t>elektrokardiogramos pokyčiai.</w:t>
      </w:r>
    </w:p>
    <w:p w14:paraId="1D82BF41"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3BEFCFE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 šalutinis poveikis, pasireiškęs vartojant kitus tokios pat klasės kaip Gopten vaistus.</w:t>
      </w:r>
    </w:p>
    <w:p w14:paraId="7A074F44"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578E40F"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CD5E38">
        <w:rPr>
          <w:rFonts w:ascii="Times New Roman" w:eastAsia="Times New Roman" w:hAnsi="Times New Roman" w:cs="Times New Roman"/>
          <w:kern w:val="0"/>
          <w:sz w:val="22"/>
          <w:szCs w:val="22"/>
          <w14:ligatures w14:val="none"/>
        </w:rPr>
        <w:t xml:space="preserve">Jeigu Jums pasireiškia kuris nors iš žemiau išvardytų simptomų, </w:t>
      </w:r>
      <w:r w:rsidRPr="00CD5E38">
        <w:rPr>
          <w:rFonts w:ascii="Times New Roman" w:eastAsia="Times New Roman" w:hAnsi="Times New Roman" w:cs="Times New Roman"/>
          <w:i/>
          <w:iCs/>
          <w:kern w:val="0"/>
          <w:sz w:val="22"/>
          <w:szCs w:val="22"/>
          <w14:ligatures w14:val="none"/>
        </w:rPr>
        <w:t xml:space="preserve">nedelsiant </w:t>
      </w:r>
      <w:r w:rsidRPr="00CD5E38">
        <w:rPr>
          <w:rFonts w:ascii="Times New Roman" w:eastAsia="Times New Roman" w:hAnsi="Times New Roman" w:cs="Times New Roman"/>
          <w:kern w:val="0"/>
          <w:sz w:val="22"/>
          <w:szCs w:val="22"/>
          <w14:ligatures w14:val="none"/>
        </w:rPr>
        <w:t>kreipkitės į gydytoją</w:t>
      </w:r>
      <w:r w:rsidRPr="00CD5E38">
        <w:rPr>
          <w:rFonts w:ascii="Times New Roman" w:eastAsia="Times New Roman" w:hAnsi="Times New Roman" w:cs="Times New Roman"/>
          <w:i/>
          <w:iCs/>
          <w:kern w:val="0"/>
          <w:sz w:val="22"/>
          <w:szCs w:val="22"/>
          <w14:ligatures w14:val="none"/>
        </w:rPr>
        <w:t>:</w:t>
      </w:r>
    </w:p>
    <w:p w14:paraId="09D1CCC6" w14:textId="77777777" w:rsidR="00CD5E38" w:rsidRPr="00AE37D2" w:rsidRDefault="00CD5E38" w:rsidP="00AE37D2">
      <w:pPr>
        <w:pStyle w:val="ListParagraph"/>
        <w:numPr>
          <w:ilvl w:val="0"/>
          <w:numId w:val="9"/>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pageltę akių obuoliai ir (arba) oda;</w:t>
      </w:r>
    </w:p>
    <w:p w14:paraId="50A979AE" w14:textId="77777777" w:rsidR="00CD5E38" w:rsidRPr="00AE37D2" w:rsidRDefault="00CD5E38" w:rsidP="00AE37D2">
      <w:pPr>
        <w:pStyle w:val="ListParagraph"/>
        <w:numPr>
          <w:ilvl w:val="0"/>
          <w:numId w:val="9"/>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ūminis gerklės skausmas ir karščiavimas;</w:t>
      </w:r>
    </w:p>
    <w:p w14:paraId="10ADF96E" w14:textId="77777777" w:rsidR="00CD5E38" w:rsidRPr="00AE37D2" w:rsidRDefault="00CD5E38" w:rsidP="00AE37D2">
      <w:pPr>
        <w:pStyle w:val="ListParagraph"/>
        <w:numPr>
          <w:ilvl w:val="0"/>
          <w:numId w:val="9"/>
        </w:numPr>
        <w:autoSpaceDE w:val="0"/>
        <w:autoSpaceDN w:val="0"/>
        <w:adjustRightInd w:val="0"/>
        <w:spacing w:after="0" w:line="240" w:lineRule="auto"/>
        <w:ind w:left="567"/>
        <w:rPr>
          <w:rFonts w:ascii="Times New Roman" w:eastAsia="Times New Roman" w:hAnsi="Times New Roman" w:cs="Times New Roman"/>
          <w:kern w:val="0"/>
          <w:sz w:val="22"/>
          <w:szCs w:val="22"/>
          <w14:ligatures w14:val="none"/>
        </w:rPr>
      </w:pPr>
      <w:r w:rsidRPr="00AE37D2">
        <w:rPr>
          <w:rFonts w:ascii="Times New Roman" w:eastAsia="Times New Roman" w:hAnsi="Times New Roman" w:cs="Times New Roman"/>
          <w:kern w:val="0"/>
          <w:sz w:val="22"/>
          <w:szCs w:val="22"/>
          <w14:ligatures w14:val="none"/>
        </w:rPr>
        <w:t>ūminis pilvo skausmas kartu su pilvo pūtimu ir pykinimu.</w:t>
      </w:r>
    </w:p>
    <w:p w14:paraId="7D46B60B"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CC2AFF8"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CD5E38">
        <w:rPr>
          <w:rFonts w:ascii="Times New Roman" w:eastAsia="Times New Roman" w:hAnsi="Times New Roman" w:cs="Times New Roman"/>
          <w:kern w:val="0"/>
          <w:sz w:val="22"/>
          <w:szCs w:val="22"/>
          <w14:ligatures w14:val="none"/>
        </w:rPr>
        <w:t xml:space="preserve">Kai kurie žmonės gali būti alergiški Gopten. Jei atsirado išbėrimas ar niežulys, </w:t>
      </w:r>
      <w:r w:rsidRPr="00CD5E38">
        <w:rPr>
          <w:rFonts w:ascii="Times New Roman" w:eastAsia="Times New Roman" w:hAnsi="Times New Roman" w:cs="Times New Roman"/>
          <w:i/>
          <w:iCs/>
          <w:kern w:val="0"/>
          <w:sz w:val="22"/>
          <w:szCs w:val="22"/>
          <w14:ligatures w14:val="none"/>
        </w:rPr>
        <w:t xml:space="preserve">nedelsiant </w:t>
      </w:r>
      <w:r w:rsidRPr="00CD5E38">
        <w:rPr>
          <w:rFonts w:ascii="Times New Roman" w:eastAsia="Times New Roman" w:hAnsi="Times New Roman" w:cs="Times New Roman"/>
          <w:kern w:val="0"/>
          <w:sz w:val="22"/>
          <w:szCs w:val="22"/>
          <w14:ligatures w14:val="none"/>
        </w:rPr>
        <w:t xml:space="preserve">kreipkitės į gydytoją ar vaistininką. Jeigu kvėpavimas pasidarė šiurkštus ar garsus, jeigu patino veidas, burna ar gerklė, nutraukite kapsulių vartojimą ir </w:t>
      </w:r>
      <w:r w:rsidRPr="00CD5E38">
        <w:rPr>
          <w:rFonts w:ascii="Times New Roman" w:eastAsia="Times New Roman" w:hAnsi="Times New Roman" w:cs="Times New Roman"/>
          <w:i/>
          <w:iCs/>
          <w:kern w:val="0"/>
          <w:sz w:val="22"/>
          <w:szCs w:val="22"/>
          <w14:ligatures w14:val="none"/>
        </w:rPr>
        <w:t>nedelsdami kreipkitės į gydytoją.</w:t>
      </w:r>
    </w:p>
    <w:p w14:paraId="73E58D30"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866714F"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r w:rsidRPr="00CD5E38">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1D15BBBE"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65D02BE8" w14:textId="77777777" w:rsidR="00CD5E38" w:rsidRPr="00CD5E38" w:rsidRDefault="00CD5E38" w:rsidP="00CD5E38">
      <w:pPr>
        <w:spacing w:after="0" w:line="240" w:lineRule="auto"/>
        <w:rPr>
          <w:rFonts w:ascii="Times New Roman" w:eastAsia="Times New Roman" w:hAnsi="Times New Roman" w:cs="Times New Roman"/>
          <w:b/>
          <w:kern w:val="0"/>
          <w:sz w:val="22"/>
          <w:szCs w:val="22"/>
          <w14:ligatures w14:val="none"/>
        </w:rPr>
      </w:pPr>
      <w:r w:rsidRPr="00CD5E38">
        <w:rPr>
          <w:rFonts w:ascii="Times New Roman" w:eastAsia="Times New Roman" w:hAnsi="Times New Roman" w:cs="Times New Roman"/>
          <w:b/>
          <w:kern w:val="0"/>
          <w:sz w:val="22"/>
          <w:szCs w:val="22"/>
          <w14:ligatures w14:val="none"/>
        </w:rPr>
        <w:t>Pranešimas apie šalutinį poveikį</w:t>
      </w:r>
    </w:p>
    <w:p w14:paraId="45443A6E" w14:textId="35E54C6A" w:rsidR="00CD5E38" w:rsidRDefault="00AE37D2" w:rsidP="00CD5E38">
      <w:pPr>
        <w:spacing w:after="0" w:line="240" w:lineRule="auto"/>
        <w:rPr>
          <w:rFonts w:ascii="Times New Roman" w:eastAsia="Times New Roman" w:hAnsi="Times New Roman" w:cs="Times New Roman"/>
          <w:kern w:val="0"/>
          <w:sz w:val="22"/>
          <w:szCs w:val="22"/>
          <w:lang w:eastAsia="lt-LT"/>
          <w14:ligatures w14:val="none"/>
        </w:rPr>
      </w:pPr>
      <w:r w:rsidRPr="00AE37D2">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52084">
        <w:rPr>
          <w:rFonts w:ascii="Times New Roman" w:eastAsia="Times New Roman" w:hAnsi="Times New Roman" w:cs="Times New Roman"/>
          <w:kern w:val="0"/>
          <w:sz w:val="22"/>
          <w:szCs w:val="22"/>
          <w:lang w:eastAsia="lt-LT"/>
          <w14:ligatures w14:val="none"/>
        </w:rPr>
        <w:t>+370</w:t>
      </w:r>
      <w:r w:rsidRPr="00AE37D2">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197CBC4F" w14:textId="77777777" w:rsidR="00AE37D2" w:rsidRPr="00CD5E38" w:rsidRDefault="00AE37D2" w:rsidP="00CD5E38">
      <w:pPr>
        <w:spacing w:after="0" w:line="240" w:lineRule="auto"/>
        <w:rPr>
          <w:rFonts w:ascii="Times New Roman" w:eastAsia="Times New Roman" w:hAnsi="Times New Roman" w:cs="Times New Roman"/>
          <w:kern w:val="0"/>
          <w:sz w:val="22"/>
          <w:szCs w:val="22"/>
          <w:lang w:eastAsia="lt-LT"/>
          <w14:ligatures w14:val="none"/>
        </w:rPr>
      </w:pPr>
    </w:p>
    <w:p w14:paraId="65826181"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5E38002"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5.</w:t>
      </w:r>
      <w:r w:rsidRPr="00CD5E38">
        <w:rPr>
          <w:rFonts w:ascii="Times New Roman" w:eastAsia="Times New Roman" w:hAnsi="Times New Roman" w:cs="Times New Roman"/>
          <w:b/>
          <w:iCs/>
          <w:kern w:val="0"/>
          <w:sz w:val="22"/>
          <w:szCs w:val="22"/>
          <w:lang w:eastAsia="lt-LT"/>
          <w14:ligatures w14:val="none"/>
        </w:rPr>
        <w:tab/>
        <w:t>Kaip laikyti Gopten</w:t>
      </w:r>
    </w:p>
    <w:p w14:paraId="13B2A70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7BE1992" w14:textId="77777777" w:rsid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Šį vaistą laikykite vaikams nepastebimoje ir nepasiekiamoje vietoje.</w:t>
      </w:r>
    </w:p>
    <w:p w14:paraId="6182F595" w14:textId="77777777" w:rsidR="00DF0D9D" w:rsidRPr="00CD5E38" w:rsidRDefault="00DF0D9D"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2E7DD10" w14:textId="426ADF9A" w:rsidR="00CD5E38" w:rsidRDefault="00CD5E38" w:rsidP="00CD5E38">
      <w:pPr>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Laikyti ne aukštesnėje kaip 25 </w:t>
      </w:r>
      <w:r w:rsidR="005F31E9" w:rsidRPr="005F31E9">
        <w:rPr>
          <w:rFonts w:ascii="Times New Roman" w:eastAsia="Times New Roman" w:hAnsi="Times New Roman" w:cs="Times New Roman"/>
          <w:kern w:val="0"/>
          <w:sz w:val="22"/>
          <w:szCs w:val="22"/>
          <w14:ligatures w14:val="none"/>
        </w:rPr>
        <w:t>°</w:t>
      </w:r>
      <w:r w:rsidRPr="00CD5E38">
        <w:rPr>
          <w:rFonts w:ascii="Times New Roman" w:eastAsia="Times New Roman" w:hAnsi="Times New Roman" w:cs="Times New Roman"/>
          <w:kern w:val="0"/>
          <w:sz w:val="22"/>
          <w:szCs w:val="22"/>
          <w14:ligatures w14:val="none"/>
        </w:rPr>
        <w:t>C temperatūroje.</w:t>
      </w:r>
    </w:p>
    <w:p w14:paraId="7097AE4A"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0636C3"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376F7D47"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B25ED9A" w14:textId="77777777" w:rsidR="00CD5E38" w:rsidRPr="00CD5E38" w:rsidRDefault="00CD5E38" w:rsidP="00CD5E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918FA80"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1E4EB3E7"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C586F9F" w14:textId="77777777" w:rsidR="00CD5E38" w:rsidRPr="00CD5E38" w:rsidRDefault="00CD5E38" w:rsidP="00CD5E38">
      <w:pPr>
        <w:keepNext/>
        <w:spacing w:after="0" w:line="240" w:lineRule="auto"/>
        <w:outlineLvl w:val="1"/>
        <w:rPr>
          <w:rFonts w:ascii="Times New Roman" w:eastAsia="Times New Roman" w:hAnsi="Times New Roman" w:cs="Times New Roman"/>
          <w:b/>
          <w:iCs/>
          <w:kern w:val="0"/>
          <w:sz w:val="22"/>
          <w:szCs w:val="22"/>
          <w:lang w:eastAsia="lt-LT"/>
          <w14:ligatures w14:val="none"/>
        </w:rPr>
      </w:pPr>
      <w:r w:rsidRPr="00CD5E38">
        <w:rPr>
          <w:rFonts w:ascii="Times New Roman" w:eastAsia="Times New Roman" w:hAnsi="Times New Roman" w:cs="Times New Roman"/>
          <w:b/>
          <w:iCs/>
          <w:kern w:val="0"/>
          <w:sz w:val="22"/>
          <w:szCs w:val="22"/>
          <w:lang w:eastAsia="lt-LT"/>
          <w14:ligatures w14:val="none"/>
        </w:rPr>
        <w:t>6.</w:t>
      </w:r>
      <w:r w:rsidRPr="00CD5E38">
        <w:rPr>
          <w:rFonts w:ascii="Times New Roman" w:eastAsia="Times New Roman" w:hAnsi="Times New Roman" w:cs="Times New Roman"/>
          <w:b/>
          <w:iCs/>
          <w:kern w:val="0"/>
          <w:sz w:val="22"/>
          <w:szCs w:val="22"/>
          <w:lang w:eastAsia="lt-LT"/>
          <w14:ligatures w14:val="none"/>
        </w:rPr>
        <w:tab/>
        <w:t>Pakuotės turinys ir kita informacija</w:t>
      </w:r>
    </w:p>
    <w:p w14:paraId="77BF044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7613BF47" w14:textId="77777777" w:rsidR="00CD5E38" w:rsidRPr="00CD5E38" w:rsidRDefault="00CD5E38" w:rsidP="00CD5E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b/>
          <w:bCs/>
          <w:kern w:val="0"/>
          <w:sz w:val="22"/>
          <w:szCs w:val="22"/>
          <w14:ligatures w14:val="none"/>
        </w:rPr>
        <w:t>Gopten sudėtis</w:t>
      </w:r>
    </w:p>
    <w:p w14:paraId="6E9DFC81" w14:textId="798395EC" w:rsidR="00CD5E38" w:rsidRPr="00CD5E38" w:rsidRDefault="00CD5E38" w:rsidP="00CD5E38">
      <w:p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w:t>
      </w:r>
      <w:r w:rsidRPr="00CD5E38">
        <w:rPr>
          <w:rFonts w:ascii="Times New Roman" w:eastAsia="Times New Roman" w:hAnsi="Times New Roman" w:cs="Times New Roman"/>
          <w:kern w:val="0"/>
          <w:sz w:val="22"/>
          <w:szCs w:val="22"/>
          <w14:ligatures w14:val="none"/>
        </w:rPr>
        <w:tab/>
        <w:t xml:space="preserve">Veiklioji medžiaga yra trandolaprilis. Kiekvienoje kietojoje kapsulėje yra 2 mg trandolaprilio. </w:t>
      </w:r>
    </w:p>
    <w:p w14:paraId="3DECC87D" w14:textId="481B817C" w:rsidR="00CD5E38" w:rsidRPr="00CD5E38" w:rsidRDefault="00CD5E38" w:rsidP="00CD5E38">
      <w:pPr>
        <w:spacing w:after="0" w:line="240" w:lineRule="auto"/>
        <w:ind w:left="567" w:hanging="567"/>
        <w:rPr>
          <w:rFonts w:ascii="Times New Roman" w:eastAsia="Times New Roman" w:hAnsi="Times New Roman" w:cs="Times New Roman"/>
          <w:kern w:val="0"/>
          <w:sz w:val="22"/>
          <w:szCs w:val="22"/>
          <w14:ligatures w14:val="none"/>
        </w:rPr>
      </w:pPr>
      <w:r w:rsidRPr="00CD5E38">
        <w:rPr>
          <w:rFonts w:ascii="Times New Roman" w:eastAsia="Times New Roman" w:hAnsi="Times New Roman" w:cs="Times New Roman"/>
          <w:kern w:val="0"/>
          <w:sz w:val="22"/>
          <w:szCs w:val="22"/>
          <w14:ligatures w14:val="none"/>
        </w:rPr>
        <w:t>-</w:t>
      </w:r>
      <w:r w:rsidRPr="00CD5E38">
        <w:rPr>
          <w:rFonts w:ascii="Times New Roman" w:eastAsia="Times New Roman" w:hAnsi="Times New Roman" w:cs="Times New Roman"/>
          <w:kern w:val="0"/>
          <w:sz w:val="22"/>
          <w:szCs w:val="22"/>
          <w14:ligatures w14:val="none"/>
        </w:rPr>
        <w:tab/>
        <w:t xml:space="preserve">Pagalbinės medžiagos kapsulės turinyje yra: laktozė monohidratas, kukurūzų krakmolas, povidonas K25, natrio stearilfumaratas; </w:t>
      </w:r>
      <w:r w:rsidRPr="00CD5E38">
        <w:rPr>
          <w:rFonts w:ascii="Times New Roman" w:eastAsia="Calibri" w:hAnsi="Times New Roman" w:cs="Times New Roman"/>
          <w:kern w:val="0"/>
          <w:sz w:val="22"/>
          <w:szCs w:val="22"/>
          <w14:ligatures w14:val="none"/>
        </w:rPr>
        <w:t>k</w:t>
      </w:r>
      <w:r w:rsidRPr="00CD5E38">
        <w:rPr>
          <w:rFonts w:ascii="Times New Roman" w:eastAsia="Times New Roman" w:hAnsi="Times New Roman" w:cs="Times New Roman"/>
          <w:kern w:val="0"/>
          <w:sz w:val="22"/>
          <w:szCs w:val="22"/>
          <w14:ligatures w14:val="none"/>
        </w:rPr>
        <w:t>apsulės korpuse – želatina, titano dioksidas (E171), eritrozinas (E127), geltonasis geležies oksidas (E172), natrio laurilsulfatas; kapsulės dangtelyje- želatina, titano dioksidas (E171), eritrozinas (E127), geltonasis geležies oksidas (E172) (tik 2 mg kapsulėje), natrio laurilsulfatas.</w:t>
      </w:r>
    </w:p>
    <w:p w14:paraId="3FD44557"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4D7503F4" w14:textId="77777777" w:rsidR="00CD5E38" w:rsidRPr="00CD5E38" w:rsidRDefault="00CD5E38" w:rsidP="00CD5E38">
      <w:pPr>
        <w:spacing w:after="0" w:line="240" w:lineRule="auto"/>
        <w:rPr>
          <w:rFonts w:ascii="Times New Roman" w:eastAsia="Times New Roman" w:hAnsi="Times New Roman" w:cs="Times New Roman"/>
          <w:color w:val="000000"/>
          <w:kern w:val="0"/>
          <w:sz w:val="22"/>
          <w:szCs w:val="22"/>
          <w:lang w:eastAsia="lt-LT"/>
          <w14:ligatures w14:val="none"/>
        </w:rPr>
      </w:pPr>
      <w:r w:rsidRPr="00CD5E38">
        <w:rPr>
          <w:rFonts w:ascii="Times New Roman" w:eastAsia="Times New Roman" w:hAnsi="Times New Roman" w:cs="Times New Roman"/>
          <w:b/>
          <w:bCs/>
          <w:kern w:val="0"/>
          <w:sz w:val="22"/>
          <w:szCs w:val="22"/>
          <w:lang w:eastAsia="lt-LT"/>
          <w14:ligatures w14:val="none"/>
        </w:rPr>
        <w:t>Gopten išvaizda ir kiekis pakuotėje</w:t>
      </w:r>
    </w:p>
    <w:p w14:paraId="1D259051" w14:textId="5D6A8FD2" w:rsidR="00CD5E38" w:rsidRPr="00CD5E38" w:rsidRDefault="00CD5E38" w:rsidP="00CD5E38">
      <w:pPr>
        <w:spacing w:after="0" w:line="240" w:lineRule="auto"/>
        <w:rPr>
          <w:rFonts w:ascii="Times New Roman" w:eastAsia="Times New Roman" w:hAnsi="Times New Roman" w:cs="Times New Roman"/>
          <w:color w:val="000000"/>
          <w:kern w:val="0"/>
          <w:sz w:val="22"/>
          <w:szCs w:val="22"/>
          <w14:ligatures w14:val="none"/>
        </w:rPr>
      </w:pPr>
      <w:r w:rsidRPr="00CD5E38">
        <w:rPr>
          <w:rFonts w:ascii="Times New Roman" w:eastAsia="Times New Roman" w:hAnsi="Times New Roman" w:cs="Times New Roman"/>
          <w:kern w:val="0"/>
          <w:sz w:val="22"/>
          <w:szCs w:val="22"/>
          <w14:ligatures w14:val="none"/>
        </w:rPr>
        <w:t>Gopten 2 mg kietosios kapsulės sudarytos iš raudono korpuso ir raudono dangtelio,</w:t>
      </w:r>
      <w:r w:rsidRPr="00CD5E38">
        <w:rPr>
          <w:rFonts w:ascii="Times New Roman" w:eastAsia="Times New Roman" w:hAnsi="Times New Roman" w:cs="Times New Roman"/>
          <w:color w:val="000000"/>
          <w:kern w:val="0"/>
          <w:sz w:val="22"/>
          <w:szCs w:val="22"/>
          <w14:ligatures w14:val="none"/>
        </w:rPr>
        <w:t xml:space="preserve"> kapsulės viduje yra balt</w:t>
      </w:r>
      <w:r w:rsidR="00EF4563">
        <w:rPr>
          <w:rFonts w:ascii="Times New Roman" w:eastAsia="Times New Roman" w:hAnsi="Times New Roman" w:cs="Times New Roman"/>
          <w:color w:val="000000"/>
          <w:kern w:val="0"/>
          <w:sz w:val="22"/>
          <w:szCs w:val="22"/>
          <w14:ligatures w14:val="none"/>
        </w:rPr>
        <w:t>i</w:t>
      </w:r>
      <w:r w:rsidRPr="00CD5E38">
        <w:rPr>
          <w:rFonts w:ascii="Times New Roman" w:eastAsia="Times New Roman" w:hAnsi="Times New Roman" w:cs="Times New Roman"/>
          <w:color w:val="000000"/>
          <w:kern w:val="0"/>
          <w:sz w:val="22"/>
          <w:szCs w:val="22"/>
          <w14:ligatures w14:val="none"/>
        </w:rPr>
        <w:t xml:space="preserve"> arba balkšv</w:t>
      </w:r>
      <w:r w:rsidR="00A52084">
        <w:rPr>
          <w:rFonts w:ascii="Times New Roman" w:eastAsia="Times New Roman" w:hAnsi="Times New Roman" w:cs="Times New Roman"/>
          <w:color w:val="000000"/>
          <w:kern w:val="0"/>
          <w:sz w:val="22"/>
          <w:szCs w:val="22"/>
          <w14:ligatures w14:val="none"/>
        </w:rPr>
        <w:t>i</w:t>
      </w:r>
      <w:r w:rsidRPr="00CD5E38">
        <w:rPr>
          <w:rFonts w:ascii="Times New Roman" w:eastAsia="Times New Roman" w:hAnsi="Times New Roman" w:cs="Times New Roman"/>
          <w:color w:val="000000"/>
          <w:kern w:val="0"/>
          <w:sz w:val="22"/>
          <w:szCs w:val="22"/>
          <w14:ligatures w14:val="none"/>
        </w:rPr>
        <w:t xml:space="preserve"> </w:t>
      </w:r>
      <w:r w:rsidR="00A52084">
        <w:rPr>
          <w:rFonts w:ascii="Times New Roman" w:eastAsia="Times New Roman" w:hAnsi="Times New Roman" w:cs="Times New Roman"/>
          <w:color w:val="000000"/>
          <w:kern w:val="0"/>
          <w:sz w:val="22"/>
          <w:szCs w:val="22"/>
          <w14:ligatures w14:val="none"/>
        </w:rPr>
        <w:t>milteliai</w:t>
      </w:r>
      <w:r w:rsidRPr="00CD5E38">
        <w:rPr>
          <w:rFonts w:ascii="Times New Roman" w:eastAsia="Times New Roman" w:hAnsi="Times New Roman" w:cs="Times New Roman"/>
          <w:kern w:val="0"/>
          <w:sz w:val="22"/>
          <w:szCs w:val="22"/>
          <w14:ligatures w14:val="none"/>
        </w:rPr>
        <w:t>.</w:t>
      </w:r>
      <w:r w:rsidRPr="00CD5E38">
        <w:rPr>
          <w:rFonts w:ascii="Times New Roman" w:eastAsia="Times New Roman" w:hAnsi="Times New Roman" w:cs="Times New Roman"/>
          <w:color w:val="000000"/>
          <w:kern w:val="0"/>
          <w:sz w:val="22"/>
          <w:szCs w:val="22"/>
          <w14:ligatures w14:val="none"/>
        </w:rPr>
        <w:t xml:space="preserve"> Kapsulės yra </w:t>
      </w:r>
      <w:r w:rsidRPr="00CD5E38">
        <w:rPr>
          <w:rFonts w:ascii="Times New Roman" w:eastAsia="Times New Roman" w:hAnsi="Times New Roman" w:cs="Times New Roman"/>
          <w:kern w:val="0"/>
          <w:sz w:val="22"/>
          <w:szCs w:val="22"/>
          <w14:ligatures w14:val="none"/>
        </w:rPr>
        <w:t xml:space="preserve">PVC/PVDC/Al </w:t>
      </w:r>
      <w:r w:rsidRPr="00CD5E38">
        <w:rPr>
          <w:rFonts w:ascii="Times New Roman" w:eastAsia="Times New Roman" w:hAnsi="Times New Roman" w:cs="Times New Roman"/>
          <w:color w:val="000000"/>
          <w:kern w:val="0"/>
          <w:sz w:val="22"/>
          <w:szCs w:val="22"/>
          <w14:ligatures w14:val="none"/>
        </w:rPr>
        <w:t>lizdinėse plokštelėse. Dėžut</w:t>
      </w:r>
      <w:r w:rsidRPr="00CD5E38">
        <w:rPr>
          <w:rFonts w:ascii="Times New Roman" w:eastAsia="Times New Roman" w:hAnsi="Times New Roman" w:cs="Times New Roman"/>
          <w:kern w:val="0"/>
          <w:sz w:val="22"/>
          <w:szCs w:val="22"/>
          <w14:ligatures w14:val="none"/>
        </w:rPr>
        <w:t>ėje yra 28 kietosios kapsulės.</w:t>
      </w:r>
    </w:p>
    <w:p w14:paraId="1852142E" w14:textId="77777777" w:rsidR="00CD5E38" w:rsidRDefault="00CD5E38" w:rsidP="00CD5E38">
      <w:pPr>
        <w:spacing w:after="0" w:line="240" w:lineRule="auto"/>
        <w:rPr>
          <w:rFonts w:ascii="Times New Roman" w:eastAsia="Times New Roman" w:hAnsi="Times New Roman" w:cs="Times New Roman"/>
          <w:b/>
          <w:bCs/>
          <w:kern w:val="0"/>
          <w:sz w:val="22"/>
          <w:szCs w:val="22"/>
          <w:lang w:eastAsia="lt-LT"/>
          <w14:ligatures w14:val="none"/>
        </w:rPr>
      </w:pPr>
    </w:p>
    <w:p w14:paraId="00ED3C19" w14:textId="77777777" w:rsidR="00991F00" w:rsidRPr="004C7A7F" w:rsidRDefault="00991F00" w:rsidP="00991F00">
      <w:pPr>
        <w:tabs>
          <w:tab w:val="left" w:pos="567"/>
        </w:tabs>
        <w:spacing w:after="0" w:line="240" w:lineRule="auto"/>
        <w:rPr>
          <w:rFonts w:ascii="Times New Roman" w:eastAsia="Times New Roman" w:hAnsi="Times New Roman" w:cs="Times New Roman"/>
          <w:kern w:val="0"/>
          <w:sz w:val="22"/>
          <w:szCs w:val="22"/>
          <w14:ligatures w14:val="none"/>
        </w:rPr>
      </w:pPr>
      <w:r w:rsidRPr="004C7A7F">
        <w:rPr>
          <w:rFonts w:ascii="Times New Roman" w:eastAsia="Times New Roman" w:hAnsi="Times New Roman" w:cs="Times New Roman"/>
          <w:kern w:val="0"/>
          <w:sz w:val="22"/>
          <w:szCs w:val="22"/>
          <w14:ligatures w14:val="none"/>
        </w:rPr>
        <w:t>Ant lizdinės plokštelės pateiktų santrumpų paaiškinimai:</w:t>
      </w:r>
    </w:p>
    <w:p w14:paraId="282731E6" w14:textId="64A5D11F" w:rsidR="00991F00" w:rsidRDefault="00991F00" w:rsidP="00991F00">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 xml:space="preserve">Po </w:t>
      </w:r>
      <w:r w:rsidRPr="005561D5">
        <w:rPr>
          <w:rFonts w:ascii="Times New Roman" w:eastAsia="Aptos" w:hAnsi="Times New Roman" w:cs="Times New Roman"/>
          <w:iCs/>
          <w:sz w:val="22"/>
          <w:szCs w:val="22"/>
        </w:rPr>
        <w:t>–</w:t>
      </w:r>
      <w:r>
        <w:rPr>
          <w:rFonts w:ascii="Times New Roman" w:eastAsia="Aptos" w:hAnsi="Times New Roman" w:cs="Times New Roman"/>
          <w:iCs/>
          <w:sz w:val="22"/>
          <w:szCs w:val="22"/>
        </w:rPr>
        <w:t xml:space="preserve"> Pirmadienis </w:t>
      </w:r>
    </w:p>
    <w:p w14:paraId="02B1FB7B" w14:textId="6A87B5EA" w:rsidR="00991F00" w:rsidRDefault="00991F00" w:rsidP="00991F00">
      <w:pPr>
        <w:spacing w:after="0" w:line="240" w:lineRule="auto"/>
        <w:rPr>
          <w:rFonts w:ascii="Times New Roman" w:eastAsia="Aptos" w:hAnsi="Times New Roman" w:cs="Times New Roman"/>
          <w:iCs/>
          <w:sz w:val="22"/>
          <w:szCs w:val="22"/>
        </w:rPr>
      </w:pPr>
      <w:r w:rsidRPr="005561D5">
        <w:rPr>
          <w:rFonts w:ascii="Times New Roman" w:eastAsia="Aptos" w:hAnsi="Times New Roman" w:cs="Times New Roman"/>
          <w:iCs/>
          <w:sz w:val="22"/>
          <w:szCs w:val="22"/>
        </w:rPr>
        <w:t>Ú</w:t>
      </w:r>
      <w:r>
        <w:rPr>
          <w:rFonts w:ascii="Times New Roman" w:eastAsia="Aptos" w:hAnsi="Times New Roman" w:cs="Times New Roman"/>
          <w:iCs/>
          <w:sz w:val="22"/>
          <w:szCs w:val="22"/>
        </w:rPr>
        <w:t>t – Antradienis</w:t>
      </w:r>
    </w:p>
    <w:p w14:paraId="01096222" w14:textId="75804652" w:rsidR="00991F00" w:rsidRDefault="00991F00" w:rsidP="00991F00">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St – Trečiadienis</w:t>
      </w:r>
    </w:p>
    <w:p w14:paraId="60067646" w14:textId="18B8D6D8" w:rsidR="00991F00" w:rsidRDefault="00991F00" w:rsidP="00991F00">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Čt – Ketvirtadienis</w:t>
      </w:r>
    </w:p>
    <w:p w14:paraId="72F4524B" w14:textId="303A4233" w:rsidR="00991F00" w:rsidRDefault="00991F00" w:rsidP="00991F00">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P</w:t>
      </w:r>
      <w:r w:rsidRPr="005561D5">
        <w:rPr>
          <w:rFonts w:ascii="Times New Roman" w:eastAsia="Aptos" w:hAnsi="Times New Roman" w:cs="Times New Roman"/>
          <w:iCs/>
          <w:sz w:val="22"/>
          <w:szCs w:val="22"/>
        </w:rPr>
        <w:t>á</w:t>
      </w:r>
      <w:r>
        <w:rPr>
          <w:rFonts w:ascii="Times New Roman" w:eastAsia="Aptos" w:hAnsi="Times New Roman" w:cs="Times New Roman"/>
          <w:iCs/>
          <w:sz w:val="22"/>
          <w:szCs w:val="22"/>
        </w:rPr>
        <w:t xml:space="preserve"> – Penktadienis</w:t>
      </w:r>
    </w:p>
    <w:p w14:paraId="22060E1F" w14:textId="3BB7829C" w:rsidR="00991F00" w:rsidRDefault="00991F00" w:rsidP="00991F00">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So – Šeštadienis</w:t>
      </w:r>
    </w:p>
    <w:p w14:paraId="64DCAD32" w14:textId="1F12A71D" w:rsidR="00991F00" w:rsidRPr="00991F00" w:rsidRDefault="00991F00" w:rsidP="00CD5E38">
      <w:pPr>
        <w:spacing w:after="0" w:line="240" w:lineRule="auto"/>
        <w:rPr>
          <w:rFonts w:ascii="Times New Roman" w:eastAsia="Aptos" w:hAnsi="Times New Roman" w:cs="Times New Roman"/>
          <w:iCs/>
          <w:sz w:val="22"/>
          <w:szCs w:val="22"/>
        </w:rPr>
      </w:pPr>
      <w:r>
        <w:rPr>
          <w:rFonts w:ascii="Times New Roman" w:eastAsia="Aptos" w:hAnsi="Times New Roman" w:cs="Times New Roman"/>
          <w:iCs/>
          <w:sz w:val="22"/>
          <w:szCs w:val="22"/>
        </w:rPr>
        <w:t xml:space="preserve">Ne </w:t>
      </w:r>
      <w:r w:rsidRPr="005561D5">
        <w:rPr>
          <w:rFonts w:ascii="Times New Roman" w:eastAsia="Aptos" w:hAnsi="Times New Roman" w:cs="Times New Roman"/>
          <w:iCs/>
          <w:sz w:val="22"/>
          <w:szCs w:val="22"/>
        </w:rPr>
        <w:t>–</w:t>
      </w:r>
      <w:r>
        <w:rPr>
          <w:rFonts w:ascii="Times New Roman" w:eastAsia="Aptos" w:hAnsi="Times New Roman" w:cs="Times New Roman"/>
          <w:iCs/>
          <w:sz w:val="22"/>
          <w:szCs w:val="22"/>
        </w:rPr>
        <w:t xml:space="preserve"> Sekmadienis</w:t>
      </w:r>
    </w:p>
    <w:p w14:paraId="6467C03D" w14:textId="77777777" w:rsidR="00991F00" w:rsidRPr="00CD5E38" w:rsidRDefault="00991F00" w:rsidP="00CD5E38">
      <w:pPr>
        <w:spacing w:after="0" w:line="240" w:lineRule="auto"/>
        <w:rPr>
          <w:rFonts w:ascii="Times New Roman" w:eastAsia="Times New Roman" w:hAnsi="Times New Roman" w:cs="Times New Roman"/>
          <w:b/>
          <w:bCs/>
          <w:kern w:val="0"/>
          <w:sz w:val="22"/>
          <w:szCs w:val="22"/>
          <w:lang w:eastAsia="lt-LT"/>
          <w14:ligatures w14:val="none"/>
        </w:rPr>
      </w:pPr>
    </w:p>
    <w:p w14:paraId="226746D9" w14:textId="77777777" w:rsidR="00DF0D9D" w:rsidRPr="00DF0D9D" w:rsidRDefault="00DF0D9D" w:rsidP="00DF0D9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F0D9D">
        <w:rPr>
          <w:rFonts w:ascii="Times New Roman" w:eastAsia="Times New Roman" w:hAnsi="Times New Roman" w:cs="Times New Roman"/>
          <w:b/>
          <w:noProof/>
          <w:kern w:val="0"/>
          <w:sz w:val="22"/>
          <w:szCs w:val="22"/>
          <w14:ligatures w14:val="none"/>
        </w:rPr>
        <w:t>Registruotojas eksportuojančioje valstybėje</w:t>
      </w:r>
    </w:p>
    <w:p w14:paraId="436A34C4" w14:textId="77777777" w:rsidR="00A778A1" w:rsidRDefault="00A778A1"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778A1">
        <w:rPr>
          <w:rFonts w:ascii="Times New Roman" w:eastAsia="Aptos" w:hAnsi="Times New Roman" w:cs="Times New Roman"/>
          <w:bCs/>
          <w:color w:val="000000"/>
          <w:kern w:val="0"/>
          <w:sz w:val="22"/>
          <w:szCs w:val="22"/>
          <w14:ligatures w14:val="none"/>
        </w:rPr>
        <w:t xml:space="preserve">Viatris Healthcare Limited, </w:t>
      </w:r>
    </w:p>
    <w:p w14:paraId="615158C7" w14:textId="77777777" w:rsidR="00A778A1" w:rsidRDefault="00A778A1"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778A1">
        <w:rPr>
          <w:rFonts w:ascii="Times New Roman" w:eastAsia="Aptos" w:hAnsi="Times New Roman" w:cs="Times New Roman"/>
          <w:bCs/>
          <w:color w:val="000000"/>
          <w:kern w:val="0"/>
          <w:sz w:val="22"/>
          <w:szCs w:val="22"/>
          <w14:ligatures w14:val="none"/>
        </w:rPr>
        <w:t xml:space="preserve">Damastown Industrial Park, </w:t>
      </w:r>
    </w:p>
    <w:p w14:paraId="4D75C330" w14:textId="77777777" w:rsidR="00A778A1" w:rsidRDefault="00A778A1"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778A1">
        <w:rPr>
          <w:rFonts w:ascii="Times New Roman" w:eastAsia="Aptos" w:hAnsi="Times New Roman" w:cs="Times New Roman"/>
          <w:bCs/>
          <w:color w:val="000000"/>
          <w:kern w:val="0"/>
          <w:sz w:val="22"/>
          <w:szCs w:val="22"/>
          <w14:ligatures w14:val="none"/>
        </w:rPr>
        <w:t xml:space="preserve">Mulhuddart, Dublin 15, </w:t>
      </w:r>
    </w:p>
    <w:p w14:paraId="6F15C254" w14:textId="7071812E" w:rsidR="00DF0D9D" w:rsidRDefault="00A778A1"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778A1">
        <w:rPr>
          <w:rFonts w:ascii="Times New Roman" w:eastAsia="Aptos" w:hAnsi="Times New Roman" w:cs="Times New Roman"/>
          <w:bCs/>
          <w:color w:val="000000"/>
          <w:kern w:val="0"/>
          <w:sz w:val="22"/>
          <w:szCs w:val="22"/>
          <w14:ligatures w14:val="none"/>
        </w:rPr>
        <w:t>Airija</w:t>
      </w:r>
    </w:p>
    <w:p w14:paraId="5C4FF54A"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CD0601"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F0D9D">
        <w:rPr>
          <w:rFonts w:ascii="Times New Roman" w:eastAsia="Aptos" w:hAnsi="Times New Roman" w:cs="Times New Roman"/>
          <w:b/>
          <w:color w:val="000000"/>
          <w:kern w:val="0"/>
          <w:sz w:val="22"/>
          <w:szCs w:val="22"/>
          <w14:ligatures w14:val="none"/>
        </w:rPr>
        <w:t>Gamintojas</w:t>
      </w:r>
    </w:p>
    <w:p w14:paraId="363D6F54"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F0D9D">
        <w:rPr>
          <w:rFonts w:ascii="Times New Roman" w:eastAsia="Aptos" w:hAnsi="Times New Roman" w:cs="Times New Roman"/>
          <w:bCs/>
          <w:color w:val="000000"/>
          <w:kern w:val="0"/>
          <w:sz w:val="22"/>
          <w:szCs w:val="22"/>
          <w14:ligatures w14:val="none"/>
        </w:rPr>
        <w:t xml:space="preserve">Mylan Hungary Kft. </w:t>
      </w:r>
    </w:p>
    <w:p w14:paraId="6DE4ADC6"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F0D9D">
        <w:rPr>
          <w:rFonts w:ascii="Times New Roman" w:eastAsia="Aptos" w:hAnsi="Times New Roman" w:cs="Times New Roman"/>
          <w:bCs/>
          <w:color w:val="000000"/>
          <w:kern w:val="0"/>
          <w:sz w:val="22"/>
          <w:szCs w:val="22"/>
          <w14:ligatures w14:val="none"/>
        </w:rPr>
        <w:t xml:space="preserve">Mylan utca 1, </w:t>
      </w:r>
    </w:p>
    <w:p w14:paraId="78EB70F9"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F0D9D">
        <w:rPr>
          <w:rFonts w:ascii="Times New Roman" w:eastAsia="Aptos" w:hAnsi="Times New Roman" w:cs="Times New Roman"/>
          <w:bCs/>
          <w:color w:val="000000"/>
          <w:kern w:val="0"/>
          <w:sz w:val="22"/>
          <w:szCs w:val="22"/>
          <w14:ligatures w14:val="none"/>
        </w:rPr>
        <w:t xml:space="preserve">Komárom, 2900, </w:t>
      </w:r>
    </w:p>
    <w:p w14:paraId="446C2702" w14:textId="7B59FDF5"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F0D9D">
        <w:rPr>
          <w:rFonts w:ascii="Times New Roman" w:eastAsia="Aptos" w:hAnsi="Times New Roman" w:cs="Times New Roman"/>
          <w:bCs/>
          <w:color w:val="000000"/>
          <w:kern w:val="0"/>
          <w:sz w:val="22"/>
          <w:szCs w:val="22"/>
          <w14:ligatures w14:val="none"/>
        </w:rPr>
        <w:t>Vengrija</w:t>
      </w:r>
    </w:p>
    <w:p w14:paraId="04215EFB" w14:textId="77777777" w:rsidR="00DF0D9D" w:rsidRPr="00DF0D9D" w:rsidRDefault="00DF0D9D" w:rsidP="00DF0D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458234" w14:textId="77777777" w:rsidR="00DF0D9D" w:rsidRPr="00DF0D9D" w:rsidRDefault="00DF0D9D" w:rsidP="00DF0D9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F0D9D">
        <w:rPr>
          <w:rFonts w:ascii="Times New Roman" w:eastAsia="Aptos" w:hAnsi="Times New Roman" w:cs="Times New Roman"/>
          <w:b/>
          <w:color w:val="000000"/>
          <w:kern w:val="0"/>
          <w:sz w:val="22"/>
          <w:szCs w:val="22"/>
          <w14:ligatures w14:val="none"/>
        </w:rPr>
        <w:t xml:space="preserve">Lygiagretus importuotojas </w:t>
      </w:r>
      <w:r w:rsidRPr="00DF0D9D">
        <w:rPr>
          <w:rFonts w:ascii="Times New Roman" w:eastAsia="Aptos" w:hAnsi="Times New Roman" w:cs="Times New Roman"/>
          <w:b/>
          <w:color w:val="000000"/>
          <w:kern w:val="0"/>
          <w:sz w:val="22"/>
          <w:szCs w:val="22"/>
          <w14:ligatures w14:val="none"/>
        </w:rPr>
        <w:br/>
      </w:r>
      <w:r w:rsidRPr="00DF0D9D">
        <w:rPr>
          <w:rFonts w:ascii="Times New Roman" w:eastAsia="TimesNewRoman" w:hAnsi="Times New Roman" w:cs="Times New Roman"/>
          <w:color w:val="000000"/>
          <w:kern w:val="0"/>
          <w:sz w:val="22"/>
          <w:szCs w:val="22"/>
          <w14:ligatures w14:val="none"/>
        </w:rPr>
        <w:t>UAB „Niromed“</w:t>
      </w:r>
      <w:r w:rsidRPr="00DF0D9D">
        <w:rPr>
          <w:rFonts w:ascii="Times New Roman" w:eastAsia="Aptos" w:hAnsi="Times New Roman" w:cs="Times New Roman"/>
          <w:b/>
          <w:color w:val="000000"/>
          <w:kern w:val="0"/>
          <w:sz w:val="22"/>
          <w:szCs w:val="22"/>
          <w14:ligatures w14:val="none"/>
        </w:rPr>
        <w:br/>
      </w:r>
      <w:r w:rsidRPr="00DF0D9D">
        <w:rPr>
          <w:rFonts w:ascii="Times New Roman" w:eastAsia="TimesNewRoman" w:hAnsi="Times New Roman" w:cs="Times New Roman"/>
          <w:color w:val="000000"/>
          <w:kern w:val="0"/>
          <w:sz w:val="22"/>
          <w:szCs w:val="22"/>
          <w14:ligatures w14:val="none"/>
        </w:rPr>
        <w:t>Žirmūnų g. 139A</w:t>
      </w:r>
      <w:r w:rsidRPr="00DF0D9D">
        <w:rPr>
          <w:rFonts w:ascii="Times New Roman" w:eastAsia="Aptos" w:hAnsi="Times New Roman" w:cs="Times New Roman"/>
          <w:b/>
          <w:color w:val="000000"/>
          <w:kern w:val="0"/>
          <w:sz w:val="22"/>
          <w:szCs w:val="22"/>
          <w14:ligatures w14:val="none"/>
        </w:rPr>
        <w:br/>
      </w:r>
      <w:r w:rsidRPr="00DF0D9D">
        <w:rPr>
          <w:rFonts w:ascii="Times New Roman" w:eastAsia="TimesNewRoman" w:hAnsi="Times New Roman" w:cs="Times New Roman"/>
          <w:color w:val="000000"/>
          <w:kern w:val="0"/>
          <w:sz w:val="22"/>
          <w:szCs w:val="22"/>
          <w14:ligatures w14:val="none"/>
        </w:rPr>
        <w:t>LT-09120 Vilnius</w:t>
      </w:r>
      <w:r w:rsidRPr="00DF0D9D">
        <w:rPr>
          <w:rFonts w:ascii="Times New Roman" w:eastAsia="TimesNewRoman" w:hAnsi="Times New Roman" w:cs="Times New Roman"/>
          <w:color w:val="000000"/>
          <w:kern w:val="0"/>
          <w:sz w:val="22"/>
          <w:szCs w:val="22"/>
          <w14:ligatures w14:val="none"/>
        </w:rPr>
        <w:br/>
        <w:t>Lietuva</w:t>
      </w:r>
    </w:p>
    <w:p w14:paraId="78A0AF26" w14:textId="77777777" w:rsidR="00DF0D9D" w:rsidRPr="00DF0D9D" w:rsidRDefault="00DF0D9D" w:rsidP="00DF0D9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76C2FBA" w14:textId="77777777" w:rsidR="00DF0D9D" w:rsidRPr="00DF0D9D" w:rsidRDefault="00DF0D9D" w:rsidP="00DF0D9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F0D9D">
        <w:rPr>
          <w:rFonts w:ascii="Times New Roman" w:eastAsia="Times New Roman" w:hAnsi="Times New Roman" w:cs="Times New Roman"/>
          <w:b/>
          <w:bCs/>
          <w:kern w:val="0"/>
          <w:sz w:val="22"/>
          <w:szCs w:val="22"/>
          <w14:ligatures w14:val="none"/>
        </w:rPr>
        <w:t>Perpakavo</w:t>
      </w:r>
    </w:p>
    <w:p w14:paraId="1C6FD434"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LABOR Przedsiębiorstwo Farmaceutyczno-Chemiczne sp. z o.o.</w:t>
      </w:r>
    </w:p>
    <w:p w14:paraId="092C9C5F"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Ul. Długosza 49,</w:t>
      </w:r>
    </w:p>
    <w:p w14:paraId="0F7794F3"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51-162 Wrocław,</w:t>
      </w:r>
    </w:p>
    <w:p w14:paraId="7999D6BC"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Lenkija</w:t>
      </w:r>
    </w:p>
    <w:p w14:paraId="1DCFEDCC"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E27C8E"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arba</w:t>
      </w:r>
    </w:p>
    <w:p w14:paraId="27D13E6F" w14:textId="77777777" w:rsidR="00DF0D9D" w:rsidRPr="00DF0D9D" w:rsidRDefault="00DF0D9D" w:rsidP="00DF0D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5502EA" w14:textId="77777777" w:rsidR="00DF0D9D" w:rsidRPr="00DF0D9D" w:rsidRDefault="00DF0D9D" w:rsidP="00DF0D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UAB „Entafarma“</w:t>
      </w:r>
    </w:p>
    <w:p w14:paraId="555D95A3" w14:textId="77777777" w:rsidR="00DF0D9D" w:rsidRPr="00DF0D9D" w:rsidRDefault="00DF0D9D" w:rsidP="00DF0D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Klonėnų vs. 1,</w:t>
      </w:r>
    </w:p>
    <w:p w14:paraId="024264C3" w14:textId="77777777" w:rsidR="00DF0D9D" w:rsidRPr="00DF0D9D" w:rsidRDefault="00DF0D9D" w:rsidP="00DF0D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F0D9D">
        <w:rPr>
          <w:rFonts w:ascii="Times New Roman" w:eastAsia="TimesNewRoman" w:hAnsi="Times New Roman" w:cs="Times New Roman"/>
          <w:color w:val="000000"/>
          <w:kern w:val="0"/>
          <w:sz w:val="22"/>
          <w:szCs w:val="22"/>
          <w14:ligatures w14:val="none"/>
        </w:rPr>
        <w:t>LT-19156 Širvintų r. sav.</w:t>
      </w:r>
    </w:p>
    <w:p w14:paraId="48203873" w14:textId="77777777" w:rsidR="00DF0D9D" w:rsidRPr="00DF0D9D" w:rsidRDefault="00DF0D9D" w:rsidP="00DF0D9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F0D9D">
        <w:rPr>
          <w:rFonts w:ascii="Times New Roman" w:eastAsia="TimesNewRoman" w:hAnsi="Times New Roman" w:cs="Times New Roman"/>
          <w:color w:val="000000"/>
          <w:kern w:val="0"/>
          <w:sz w:val="22"/>
          <w:szCs w:val="22"/>
          <w14:ligatures w14:val="none"/>
        </w:rPr>
        <w:t>Lietuva</w:t>
      </w:r>
    </w:p>
    <w:p w14:paraId="57E5C545"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24CDCF9F" w14:textId="24F2A12A" w:rsidR="00CD5E38" w:rsidRPr="00CD5E38" w:rsidRDefault="00CD5E38" w:rsidP="00CD5E38">
      <w:pPr>
        <w:spacing w:after="0" w:line="240" w:lineRule="auto"/>
        <w:rPr>
          <w:rFonts w:ascii="Times New Roman" w:eastAsia="Times New Roman" w:hAnsi="Times New Roman" w:cs="Times New Roman"/>
          <w:b/>
          <w:kern w:val="0"/>
          <w:sz w:val="22"/>
          <w:szCs w:val="22"/>
          <w:lang w:eastAsia="lt-LT"/>
          <w14:ligatures w14:val="none"/>
        </w:rPr>
      </w:pPr>
      <w:r w:rsidRPr="00CD5E38">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B83B94">
        <w:rPr>
          <w:rFonts w:ascii="Times New Roman" w:eastAsia="Times New Roman" w:hAnsi="Times New Roman" w:cs="Times New Roman"/>
          <w:b/>
          <w:kern w:val="0"/>
          <w:sz w:val="22"/>
          <w:szCs w:val="22"/>
          <w:lang w:eastAsia="lt-LT"/>
          <w14:ligatures w14:val="none"/>
        </w:rPr>
        <w:t>2025-06-26</w:t>
      </w:r>
      <w:bookmarkStart w:id="0" w:name="_GoBack"/>
      <w:bookmarkEnd w:id="0"/>
    </w:p>
    <w:p w14:paraId="06A2BB4A" w14:textId="77777777" w:rsidR="00CD5E38" w:rsidRPr="00CD5E38" w:rsidRDefault="00CD5E38" w:rsidP="00CD5E38">
      <w:pPr>
        <w:spacing w:after="0" w:line="240" w:lineRule="auto"/>
        <w:rPr>
          <w:rFonts w:ascii="Times New Roman" w:eastAsia="Times New Roman" w:hAnsi="Times New Roman" w:cs="Times New Roman"/>
          <w:kern w:val="0"/>
          <w:sz w:val="22"/>
          <w:szCs w:val="22"/>
          <w:lang w:eastAsia="lt-LT"/>
          <w14:ligatures w14:val="none"/>
        </w:rPr>
      </w:pPr>
    </w:p>
    <w:p w14:paraId="5B8F2E4C" w14:textId="511CABA9" w:rsidR="000E75BE" w:rsidRDefault="006B3C0B" w:rsidP="006B3C0B">
      <w:pPr>
        <w:spacing w:after="0" w:line="240" w:lineRule="auto"/>
        <w:rPr>
          <w:rFonts w:ascii="Times New Roman" w:eastAsia="Times New Roman" w:hAnsi="Times New Roman" w:cs="Times New Roman"/>
          <w:kern w:val="0"/>
          <w:sz w:val="22"/>
          <w:szCs w:val="22"/>
          <w14:ligatures w14:val="none"/>
        </w:rPr>
      </w:pPr>
      <w:r w:rsidRPr="006B3C0B">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Pr="00566B26">
          <w:rPr>
            <w:rStyle w:val="Hyperlink"/>
            <w:rFonts w:ascii="Times New Roman" w:eastAsia="Times New Roman" w:hAnsi="Times New Roman" w:cs="Times New Roman"/>
            <w:kern w:val="0"/>
            <w:sz w:val="22"/>
            <w:szCs w:val="22"/>
            <w14:ligatures w14:val="none"/>
          </w:rPr>
          <w:t>https://vvkt.lrv.lt/lt/</w:t>
        </w:r>
      </w:hyperlink>
      <w:r w:rsidRPr="006B3C0B">
        <w:rPr>
          <w:rFonts w:ascii="Times New Roman" w:eastAsia="Times New Roman" w:hAnsi="Times New Roman" w:cs="Times New Roman"/>
          <w:kern w:val="0"/>
          <w:sz w:val="22"/>
          <w:szCs w:val="22"/>
          <w14:ligatures w14:val="none"/>
        </w:rPr>
        <w:t>.</w:t>
      </w:r>
    </w:p>
    <w:p w14:paraId="3F6C35C2" w14:textId="77777777" w:rsidR="006B3C0B" w:rsidRDefault="006B3C0B" w:rsidP="006B3C0B">
      <w:pPr>
        <w:spacing w:after="0" w:line="240" w:lineRule="auto"/>
        <w:rPr>
          <w:rFonts w:ascii="Times New Roman" w:eastAsia="Times New Roman" w:hAnsi="Times New Roman" w:cs="Times New Roman"/>
          <w:kern w:val="0"/>
          <w:sz w:val="22"/>
          <w:szCs w:val="22"/>
          <w:lang w:eastAsia="lt-LT"/>
          <w14:ligatures w14:val="none"/>
        </w:rPr>
      </w:pPr>
    </w:p>
    <w:p w14:paraId="558ED954" w14:textId="7A6BB065" w:rsidR="00780AF4" w:rsidRPr="00780AF4" w:rsidRDefault="00780AF4" w:rsidP="00780AF4">
      <w:pPr>
        <w:spacing w:line="259" w:lineRule="auto"/>
        <w:rPr>
          <w:rFonts w:ascii="Times New Roman" w:eastAsia="Aptos" w:hAnsi="Times New Roman" w:cs="Times New Roman"/>
          <w:sz w:val="22"/>
          <w:szCs w:val="22"/>
        </w:rPr>
      </w:pPr>
      <w:r w:rsidRPr="00780AF4">
        <w:rPr>
          <w:rFonts w:ascii="Times New Roman" w:eastAsia="Aptos" w:hAnsi="Times New Roman" w:cs="Times New Roman"/>
          <w:i/>
          <w:iCs/>
          <w:sz w:val="22"/>
          <w:szCs w:val="22"/>
        </w:rPr>
        <w:t>Lygiagrečiai importuojamas vaistas nuo referencinio vaisto skiriasi laikymo sąlygomis: referencinį vaistą laikyti gamintojo pakuotėje, kad vaistas būtų apsaugotas nuo šviesos.</w:t>
      </w:r>
    </w:p>
    <w:sectPr w:rsidR="00780AF4" w:rsidRPr="00780A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24114"/>
    <w:multiLevelType w:val="hybridMultilevel"/>
    <w:tmpl w:val="963E34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73467"/>
    <w:multiLevelType w:val="hybridMultilevel"/>
    <w:tmpl w:val="45E02AE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BC11BA"/>
    <w:multiLevelType w:val="hybridMultilevel"/>
    <w:tmpl w:val="9B023A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55194"/>
    <w:multiLevelType w:val="hybridMultilevel"/>
    <w:tmpl w:val="BF64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177C5"/>
    <w:multiLevelType w:val="hybridMultilevel"/>
    <w:tmpl w:val="1EBC6E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0634D1"/>
    <w:multiLevelType w:val="hybridMultilevel"/>
    <w:tmpl w:val="E45EA3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253CD"/>
    <w:multiLevelType w:val="hybridMultilevel"/>
    <w:tmpl w:val="FF7A71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CE10CE"/>
    <w:multiLevelType w:val="hybridMultilevel"/>
    <w:tmpl w:val="C520D9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D76BB4"/>
    <w:multiLevelType w:val="hybridMultilevel"/>
    <w:tmpl w:val="2C3E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550F39"/>
    <w:multiLevelType w:val="hybridMultilevel"/>
    <w:tmpl w:val="46EAF2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9E28C7"/>
    <w:multiLevelType w:val="hybridMultilevel"/>
    <w:tmpl w:val="3A80C5F8"/>
    <w:lvl w:ilvl="0" w:tplc="3BDE33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F6BBD"/>
    <w:multiLevelType w:val="hybridMultilevel"/>
    <w:tmpl w:val="FB0A6308"/>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9F447E2"/>
    <w:multiLevelType w:val="hybridMultilevel"/>
    <w:tmpl w:val="EEF4AB8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A0A34E4"/>
    <w:multiLevelType w:val="hybridMultilevel"/>
    <w:tmpl w:val="82382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3369EC"/>
    <w:multiLevelType w:val="hybridMultilevel"/>
    <w:tmpl w:val="25045D1A"/>
    <w:lvl w:ilvl="0" w:tplc="832E14A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2D2CDE"/>
    <w:multiLevelType w:val="hybridMultilevel"/>
    <w:tmpl w:val="F1FE2F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325994"/>
    <w:multiLevelType w:val="hybridMultilevel"/>
    <w:tmpl w:val="A2BC9054"/>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5B5111"/>
    <w:multiLevelType w:val="hybridMultilevel"/>
    <w:tmpl w:val="A1F489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C0613"/>
    <w:multiLevelType w:val="hybridMultilevel"/>
    <w:tmpl w:val="76BC95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8822E5"/>
    <w:multiLevelType w:val="hybridMultilevel"/>
    <w:tmpl w:val="73608BF6"/>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177EC"/>
    <w:multiLevelType w:val="hybridMultilevel"/>
    <w:tmpl w:val="7F8A32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0B20F9"/>
    <w:multiLevelType w:val="hybridMultilevel"/>
    <w:tmpl w:val="53CC192E"/>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D437E4"/>
    <w:multiLevelType w:val="hybridMultilevel"/>
    <w:tmpl w:val="69A663BE"/>
    <w:lvl w:ilvl="0" w:tplc="CF2ECD3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4C795C"/>
    <w:multiLevelType w:val="hybridMultilevel"/>
    <w:tmpl w:val="084837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734321"/>
    <w:multiLevelType w:val="hybridMultilevel"/>
    <w:tmpl w:val="067CFD5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5685C81"/>
    <w:multiLevelType w:val="hybridMultilevel"/>
    <w:tmpl w:val="33C0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92F9D"/>
    <w:multiLevelType w:val="hybridMultilevel"/>
    <w:tmpl w:val="A1D053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9A14EC"/>
    <w:multiLevelType w:val="hybridMultilevel"/>
    <w:tmpl w:val="B4906D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25A1F"/>
    <w:multiLevelType w:val="hybridMultilevel"/>
    <w:tmpl w:val="5B183D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E4B6337"/>
    <w:multiLevelType w:val="hybridMultilevel"/>
    <w:tmpl w:val="14008E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21"/>
  </w:num>
  <w:num w:numId="4">
    <w:abstractNumId w:val="27"/>
  </w:num>
  <w:num w:numId="5">
    <w:abstractNumId w:val="5"/>
  </w:num>
  <w:num w:numId="6">
    <w:abstractNumId w:val="12"/>
  </w:num>
  <w:num w:numId="7">
    <w:abstractNumId w:val="30"/>
  </w:num>
  <w:num w:numId="8">
    <w:abstractNumId w:val="15"/>
  </w:num>
  <w:num w:numId="9">
    <w:abstractNumId w:val="8"/>
  </w:num>
  <w:num w:numId="10">
    <w:abstractNumId w:val="29"/>
  </w:num>
  <w:num w:numId="11">
    <w:abstractNumId w:val="11"/>
  </w:num>
  <w:num w:numId="12">
    <w:abstractNumId w:val="26"/>
  </w:num>
  <w:num w:numId="13">
    <w:abstractNumId w:val="14"/>
  </w:num>
  <w:num w:numId="14">
    <w:abstractNumId w:val="28"/>
  </w:num>
  <w:num w:numId="15">
    <w:abstractNumId w:val="4"/>
  </w:num>
  <w:num w:numId="16">
    <w:abstractNumId w:val="3"/>
  </w:num>
  <w:num w:numId="17">
    <w:abstractNumId w:val="6"/>
  </w:num>
  <w:num w:numId="18">
    <w:abstractNumId w:val="9"/>
  </w:num>
  <w:num w:numId="19">
    <w:abstractNumId w:val="25"/>
  </w:num>
  <w:num w:numId="20">
    <w:abstractNumId w:val="19"/>
  </w:num>
  <w:num w:numId="21">
    <w:abstractNumId w:val="13"/>
  </w:num>
  <w:num w:numId="22">
    <w:abstractNumId w:val="7"/>
  </w:num>
  <w:num w:numId="23">
    <w:abstractNumId w:val="31"/>
  </w:num>
  <w:num w:numId="24">
    <w:abstractNumId w:val="23"/>
  </w:num>
  <w:num w:numId="25">
    <w:abstractNumId w:val="18"/>
  </w:num>
  <w:num w:numId="26">
    <w:abstractNumId w:val="1"/>
  </w:num>
  <w:num w:numId="27">
    <w:abstractNumId w:val="20"/>
  </w:num>
  <w:num w:numId="28">
    <w:abstractNumId w:val="17"/>
  </w:num>
  <w:num w:numId="29">
    <w:abstractNumId w:val="10"/>
  </w:num>
  <w:num w:numId="30">
    <w:abstractNumId w:val="24"/>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3A"/>
    <w:rsid w:val="00090DCA"/>
    <w:rsid w:val="000E75BE"/>
    <w:rsid w:val="001A6A92"/>
    <w:rsid w:val="00450904"/>
    <w:rsid w:val="005F31E9"/>
    <w:rsid w:val="006357E8"/>
    <w:rsid w:val="006B3C0B"/>
    <w:rsid w:val="00780AF4"/>
    <w:rsid w:val="007D393A"/>
    <w:rsid w:val="00991F00"/>
    <w:rsid w:val="00A52084"/>
    <w:rsid w:val="00A778A1"/>
    <w:rsid w:val="00AE37D2"/>
    <w:rsid w:val="00B83B94"/>
    <w:rsid w:val="00C129E7"/>
    <w:rsid w:val="00CD5E38"/>
    <w:rsid w:val="00D02774"/>
    <w:rsid w:val="00D87BF3"/>
    <w:rsid w:val="00DF0D9D"/>
    <w:rsid w:val="00EF4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D914"/>
  <w15:chartTrackingRefBased/>
  <w15:docId w15:val="{D869D08E-D606-4F4B-8FF7-AA375F4B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93A"/>
    <w:rPr>
      <w:rFonts w:eastAsiaTheme="majorEastAsia" w:cstheme="majorBidi"/>
      <w:color w:val="272727" w:themeColor="text1" w:themeTint="D8"/>
    </w:rPr>
  </w:style>
  <w:style w:type="paragraph" w:styleId="Title">
    <w:name w:val="Title"/>
    <w:basedOn w:val="Normal"/>
    <w:next w:val="Normal"/>
    <w:link w:val="TitleChar"/>
    <w:uiPriority w:val="10"/>
    <w:qFormat/>
    <w:rsid w:val="007D3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93A"/>
    <w:pPr>
      <w:spacing w:before="160"/>
      <w:jc w:val="center"/>
    </w:pPr>
    <w:rPr>
      <w:i/>
      <w:iCs/>
      <w:color w:val="404040" w:themeColor="text1" w:themeTint="BF"/>
    </w:rPr>
  </w:style>
  <w:style w:type="character" w:customStyle="1" w:styleId="QuoteChar">
    <w:name w:val="Quote Char"/>
    <w:basedOn w:val="DefaultParagraphFont"/>
    <w:link w:val="Quote"/>
    <w:uiPriority w:val="29"/>
    <w:rsid w:val="007D393A"/>
    <w:rPr>
      <w:i/>
      <w:iCs/>
      <w:color w:val="404040" w:themeColor="text1" w:themeTint="BF"/>
    </w:rPr>
  </w:style>
  <w:style w:type="paragraph" w:styleId="ListParagraph">
    <w:name w:val="List Paragraph"/>
    <w:basedOn w:val="Normal"/>
    <w:uiPriority w:val="34"/>
    <w:qFormat/>
    <w:rsid w:val="007D393A"/>
    <w:pPr>
      <w:ind w:left="720"/>
      <w:contextualSpacing/>
    </w:pPr>
  </w:style>
  <w:style w:type="character" w:styleId="IntenseEmphasis">
    <w:name w:val="Intense Emphasis"/>
    <w:basedOn w:val="DefaultParagraphFont"/>
    <w:uiPriority w:val="21"/>
    <w:qFormat/>
    <w:rsid w:val="007D393A"/>
    <w:rPr>
      <w:i/>
      <w:iCs/>
      <w:color w:val="0F4761" w:themeColor="accent1" w:themeShade="BF"/>
    </w:rPr>
  </w:style>
  <w:style w:type="paragraph" w:styleId="IntenseQuote">
    <w:name w:val="Intense Quote"/>
    <w:basedOn w:val="Normal"/>
    <w:next w:val="Normal"/>
    <w:link w:val="IntenseQuoteChar"/>
    <w:uiPriority w:val="30"/>
    <w:qFormat/>
    <w:rsid w:val="007D3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93A"/>
    <w:rPr>
      <w:i/>
      <w:iCs/>
      <w:color w:val="0F4761" w:themeColor="accent1" w:themeShade="BF"/>
    </w:rPr>
  </w:style>
  <w:style w:type="character" w:styleId="IntenseReference">
    <w:name w:val="Intense Reference"/>
    <w:basedOn w:val="DefaultParagraphFont"/>
    <w:uiPriority w:val="32"/>
    <w:qFormat/>
    <w:rsid w:val="007D393A"/>
    <w:rPr>
      <w:b/>
      <w:bCs/>
      <w:smallCaps/>
      <w:color w:val="0F4761" w:themeColor="accent1" w:themeShade="BF"/>
      <w:spacing w:val="5"/>
    </w:rPr>
  </w:style>
  <w:style w:type="character" w:styleId="Hyperlink">
    <w:name w:val="Hyperlink"/>
    <w:basedOn w:val="DefaultParagraphFont"/>
    <w:uiPriority w:val="99"/>
    <w:unhideWhenUsed/>
    <w:rsid w:val="006B3C0B"/>
    <w:rPr>
      <w:color w:val="467886" w:themeColor="hyperlink"/>
      <w:u w:val="single"/>
    </w:rPr>
  </w:style>
  <w:style w:type="character" w:customStyle="1" w:styleId="UnresolvedMention">
    <w:name w:val="Unresolved Mention"/>
    <w:basedOn w:val="DefaultParagraphFont"/>
    <w:uiPriority w:val="99"/>
    <w:semiHidden/>
    <w:unhideWhenUsed/>
    <w:rsid w:val="006B3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12254</Words>
  <Characters>6985</Characters>
  <Application>Microsoft Office Word</Application>
  <DocSecurity>0</DocSecurity>
  <Lines>58</Lines>
  <Paragraphs>38</Paragraphs>
  <ScaleCrop>false</ScaleCrop>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13</cp:revision>
  <dcterms:created xsi:type="dcterms:W3CDTF">2024-11-19T19:17:00Z</dcterms:created>
  <dcterms:modified xsi:type="dcterms:W3CDTF">2025-06-30T19:30:00Z</dcterms:modified>
</cp:coreProperties>
</file>