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21680" w14:textId="74B8717D" w:rsidR="003F7CCA" w:rsidRDefault="004933A6">
      <w:pPr>
        <w:pStyle w:val="Paprastasistekstas"/>
        <w:tabs>
          <w:tab w:val="left" w:pos="4962"/>
        </w:tabs>
        <w:rPr>
          <w:rFonts w:ascii="Times New Roman" w:hAnsi="Times New Roman"/>
          <w:snapToGrid w:val="0"/>
          <w:sz w:val="22"/>
          <w:szCs w:val="22"/>
          <w:lang w:val="lt-LT"/>
        </w:rPr>
      </w:pPr>
      <w:r>
        <w:rPr>
          <w:rFonts w:ascii="Times New Roman" w:hAnsi="Times New Roman"/>
          <w:snapToGrid w:val="0"/>
          <w:sz w:val="22"/>
          <w:szCs w:val="22"/>
          <w:lang w:val="lt-LT"/>
        </w:rPr>
        <w:t xml:space="preserve"> </w:t>
      </w:r>
    </w:p>
    <w:p w14:paraId="249601B2" w14:textId="77777777" w:rsidR="003F7CCA" w:rsidRDefault="003F7CCA">
      <w:pPr>
        <w:pStyle w:val="Paprastasistekstas"/>
        <w:tabs>
          <w:tab w:val="left" w:pos="4962"/>
        </w:tabs>
        <w:rPr>
          <w:rFonts w:ascii="Times New Roman" w:hAnsi="Times New Roman"/>
          <w:sz w:val="22"/>
          <w:szCs w:val="22"/>
          <w:lang w:val="lt-LT"/>
        </w:rPr>
      </w:pPr>
    </w:p>
    <w:p w14:paraId="29CBD14C" w14:textId="77777777" w:rsidR="003F7CCA" w:rsidRDefault="003F7CCA">
      <w:pPr>
        <w:pStyle w:val="Paprastasistekstas"/>
        <w:rPr>
          <w:rFonts w:ascii="Times New Roman" w:hAnsi="Times New Roman"/>
          <w:sz w:val="22"/>
          <w:szCs w:val="22"/>
          <w:lang w:val="lt-LT"/>
        </w:rPr>
      </w:pPr>
    </w:p>
    <w:p w14:paraId="0B291CF7" w14:textId="77777777" w:rsidR="003F7CCA" w:rsidRDefault="003F7CCA">
      <w:pPr>
        <w:widowControl w:val="0"/>
        <w:rPr>
          <w:sz w:val="22"/>
          <w:szCs w:val="22"/>
        </w:rPr>
      </w:pPr>
    </w:p>
    <w:p w14:paraId="4348E6BA" w14:textId="77777777" w:rsidR="003F7CCA" w:rsidRDefault="003F7CCA">
      <w:pPr>
        <w:outlineLvl w:val="0"/>
        <w:rPr>
          <w:b/>
          <w:sz w:val="22"/>
          <w:szCs w:val="22"/>
        </w:rPr>
      </w:pPr>
    </w:p>
    <w:p w14:paraId="5EC853D9" w14:textId="77777777" w:rsidR="003F7CCA" w:rsidRDefault="003F7CCA">
      <w:pPr>
        <w:outlineLvl w:val="0"/>
        <w:rPr>
          <w:b/>
          <w:sz w:val="22"/>
          <w:szCs w:val="22"/>
        </w:rPr>
      </w:pPr>
    </w:p>
    <w:p w14:paraId="46458359" w14:textId="77777777" w:rsidR="003F7CCA" w:rsidRDefault="003F7CCA">
      <w:pPr>
        <w:outlineLvl w:val="0"/>
        <w:rPr>
          <w:b/>
          <w:sz w:val="22"/>
          <w:szCs w:val="22"/>
        </w:rPr>
      </w:pPr>
    </w:p>
    <w:p w14:paraId="73CCCD2A" w14:textId="77777777" w:rsidR="003F7CCA" w:rsidRDefault="003F7CCA">
      <w:pPr>
        <w:outlineLvl w:val="0"/>
        <w:rPr>
          <w:b/>
          <w:sz w:val="22"/>
          <w:szCs w:val="22"/>
        </w:rPr>
      </w:pPr>
    </w:p>
    <w:p w14:paraId="12E7AA50" w14:textId="77777777" w:rsidR="003F7CCA" w:rsidRDefault="003F7CCA">
      <w:pPr>
        <w:tabs>
          <w:tab w:val="left" w:pos="-1440"/>
          <w:tab w:val="left" w:pos="-720"/>
        </w:tabs>
        <w:rPr>
          <w:b/>
          <w:sz w:val="22"/>
          <w:szCs w:val="22"/>
        </w:rPr>
      </w:pPr>
    </w:p>
    <w:p w14:paraId="5C7D81D2" w14:textId="77777777" w:rsidR="003F7CCA" w:rsidRDefault="003F7CCA">
      <w:pPr>
        <w:tabs>
          <w:tab w:val="left" w:pos="-1440"/>
          <w:tab w:val="left" w:pos="-720"/>
        </w:tabs>
        <w:rPr>
          <w:b/>
          <w:sz w:val="22"/>
          <w:szCs w:val="22"/>
        </w:rPr>
      </w:pPr>
    </w:p>
    <w:p w14:paraId="55EA4F6C" w14:textId="77777777" w:rsidR="003F7CCA" w:rsidRDefault="003F7CCA">
      <w:pPr>
        <w:tabs>
          <w:tab w:val="left" w:pos="-1440"/>
          <w:tab w:val="left" w:pos="-720"/>
        </w:tabs>
        <w:rPr>
          <w:b/>
          <w:sz w:val="22"/>
          <w:szCs w:val="22"/>
        </w:rPr>
      </w:pPr>
    </w:p>
    <w:p w14:paraId="18F5BEEC" w14:textId="77777777" w:rsidR="003F7CCA" w:rsidRDefault="003F7CCA">
      <w:pPr>
        <w:tabs>
          <w:tab w:val="left" w:pos="-1440"/>
          <w:tab w:val="left" w:pos="-720"/>
        </w:tabs>
        <w:rPr>
          <w:b/>
          <w:sz w:val="22"/>
          <w:szCs w:val="22"/>
        </w:rPr>
      </w:pPr>
    </w:p>
    <w:p w14:paraId="26AA31A9" w14:textId="77777777" w:rsidR="003F7CCA" w:rsidRDefault="003F7CCA">
      <w:pPr>
        <w:tabs>
          <w:tab w:val="left" w:pos="-1440"/>
          <w:tab w:val="left" w:pos="-720"/>
        </w:tabs>
        <w:rPr>
          <w:b/>
          <w:sz w:val="22"/>
          <w:szCs w:val="22"/>
        </w:rPr>
      </w:pPr>
    </w:p>
    <w:p w14:paraId="6A3FF6A2" w14:textId="77777777" w:rsidR="003F7CCA" w:rsidRDefault="003F7CCA">
      <w:pPr>
        <w:tabs>
          <w:tab w:val="left" w:pos="-1440"/>
          <w:tab w:val="left" w:pos="-720"/>
        </w:tabs>
        <w:rPr>
          <w:b/>
          <w:sz w:val="22"/>
          <w:szCs w:val="22"/>
        </w:rPr>
      </w:pPr>
    </w:p>
    <w:p w14:paraId="32E5A7AD" w14:textId="77777777" w:rsidR="003F7CCA" w:rsidRDefault="003F7CCA">
      <w:pPr>
        <w:tabs>
          <w:tab w:val="left" w:pos="-1440"/>
          <w:tab w:val="left" w:pos="-720"/>
        </w:tabs>
        <w:rPr>
          <w:b/>
          <w:sz w:val="22"/>
          <w:szCs w:val="22"/>
        </w:rPr>
      </w:pPr>
    </w:p>
    <w:p w14:paraId="2F5E773C" w14:textId="77777777" w:rsidR="003F7CCA" w:rsidRDefault="003F7CCA">
      <w:pPr>
        <w:tabs>
          <w:tab w:val="left" w:pos="-1440"/>
          <w:tab w:val="left" w:pos="-720"/>
        </w:tabs>
        <w:rPr>
          <w:b/>
          <w:sz w:val="22"/>
          <w:szCs w:val="22"/>
        </w:rPr>
      </w:pPr>
    </w:p>
    <w:p w14:paraId="5610F50A" w14:textId="77777777" w:rsidR="003F7CCA" w:rsidRDefault="003F7CCA">
      <w:pPr>
        <w:tabs>
          <w:tab w:val="left" w:pos="-1440"/>
          <w:tab w:val="left" w:pos="-720"/>
        </w:tabs>
        <w:rPr>
          <w:b/>
          <w:sz w:val="22"/>
          <w:szCs w:val="22"/>
        </w:rPr>
      </w:pPr>
    </w:p>
    <w:p w14:paraId="63955BF8" w14:textId="77777777" w:rsidR="003F7CCA" w:rsidRDefault="003F7CCA">
      <w:pPr>
        <w:tabs>
          <w:tab w:val="left" w:pos="-1440"/>
          <w:tab w:val="left" w:pos="-720"/>
        </w:tabs>
        <w:rPr>
          <w:b/>
          <w:sz w:val="22"/>
          <w:szCs w:val="22"/>
        </w:rPr>
      </w:pPr>
    </w:p>
    <w:p w14:paraId="73F6230A" w14:textId="77777777" w:rsidR="003F7CCA" w:rsidRDefault="003F7CCA">
      <w:pPr>
        <w:tabs>
          <w:tab w:val="left" w:pos="-1440"/>
          <w:tab w:val="left" w:pos="-720"/>
        </w:tabs>
        <w:rPr>
          <w:b/>
          <w:sz w:val="22"/>
          <w:szCs w:val="22"/>
        </w:rPr>
      </w:pPr>
    </w:p>
    <w:p w14:paraId="44AB30B1" w14:textId="77777777" w:rsidR="003F7CCA" w:rsidRDefault="003F7CCA">
      <w:pPr>
        <w:tabs>
          <w:tab w:val="left" w:pos="-1440"/>
          <w:tab w:val="left" w:pos="-720"/>
        </w:tabs>
        <w:rPr>
          <w:b/>
          <w:sz w:val="22"/>
          <w:szCs w:val="22"/>
        </w:rPr>
      </w:pPr>
    </w:p>
    <w:p w14:paraId="7677CC17" w14:textId="77777777" w:rsidR="003F7CCA" w:rsidRDefault="003F7CCA">
      <w:pPr>
        <w:tabs>
          <w:tab w:val="left" w:pos="-1440"/>
          <w:tab w:val="left" w:pos="-720"/>
        </w:tabs>
        <w:rPr>
          <w:b/>
          <w:sz w:val="22"/>
          <w:szCs w:val="22"/>
        </w:rPr>
      </w:pPr>
    </w:p>
    <w:p w14:paraId="6CDD8DBB" w14:textId="77777777" w:rsidR="003F7CCA" w:rsidRDefault="003F7CCA">
      <w:pPr>
        <w:tabs>
          <w:tab w:val="left" w:pos="-1440"/>
          <w:tab w:val="left" w:pos="-720"/>
        </w:tabs>
        <w:rPr>
          <w:b/>
          <w:sz w:val="22"/>
          <w:szCs w:val="22"/>
        </w:rPr>
      </w:pPr>
    </w:p>
    <w:p w14:paraId="0A93370C" w14:textId="77777777" w:rsidR="003F7CCA" w:rsidRDefault="003F7CCA">
      <w:pPr>
        <w:tabs>
          <w:tab w:val="left" w:pos="-1440"/>
          <w:tab w:val="left" w:pos="-720"/>
        </w:tabs>
        <w:rPr>
          <w:b/>
          <w:sz w:val="22"/>
          <w:szCs w:val="22"/>
        </w:rPr>
      </w:pPr>
    </w:p>
    <w:p w14:paraId="4CB3816E" w14:textId="77777777" w:rsidR="003F7CCA" w:rsidRDefault="0080197E">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1D792A09" w14:textId="77777777" w:rsidR="003F7CCA" w:rsidRDefault="003F7CCA">
      <w:pPr>
        <w:jc w:val="center"/>
        <w:rPr>
          <w:sz w:val="22"/>
          <w:szCs w:val="22"/>
        </w:rPr>
      </w:pPr>
    </w:p>
    <w:p w14:paraId="4C4E6346" w14:textId="77777777" w:rsidR="003F7CCA" w:rsidRDefault="0080197E">
      <w:pPr>
        <w:tabs>
          <w:tab w:val="left" w:pos="-1440"/>
          <w:tab w:val="left" w:pos="-720"/>
        </w:tabs>
        <w:jc w:val="center"/>
        <w:rPr>
          <w:b/>
          <w:sz w:val="22"/>
          <w:szCs w:val="22"/>
        </w:rPr>
      </w:pPr>
      <w:r>
        <w:rPr>
          <w:b/>
          <w:sz w:val="22"/>
          <w:szCs w:val="22"/>
        </w:rPr>
        <w:t>PREPARATO CHARAKTERISTIKŲ SANTRAUKA</w:t>
      </w:r>
    </w:p>
    <w:p w14:paraId="7643639F" w14:textId="77777777" w:rsidR="003F7CCA" w:rsidRDefault="0080197E">
      <w:pPr>
        <w:tabs>
          <w:tab w:val="left" w:pos="-1440"/>
          <w:tab w:val="left" w:pos="-720"/>
        </w:tabs>
        <w:rPr>
          <w:sz w:val="22"/>
          <w:szCs w:val="22"/>
        </w:rPr>
      </w:pPr>
      <w:r>
        <w:rPr>
          <w:sz w:val="22"/>
          <w:szCs w:val="22"/>
          <w:lang w:eastAsia="zh-CN"/>
        </w:rPr>
        <w:br w:type="page"/>
      </w:r>
    </w:p>
    <w:p w14:paraId="1251B9E2" w14:textId="77777777" w:rsidR="003F7CCA" w:rsidRDefault="0080197E">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6454D4F6" w14:textId="77777777" w:rsidR="003F7CCA" w:rsidRDefault="003F7CCA">
      <w:pPr>
        <w:rPr>
          <w:sz w:val="22"/>
          <w:szCs w:val="22"/>
        </w:rPr>
      </w:pPr>
    </w:p>
    <w:p w14:paraId="257AD49C" w14:textId="77777777" w:rsidR="003F7CCA" w:rsidRDefault="0080197E">
      <w:pPr>
        <w:autoSpaceDE w:val="0"/>
        <w:autoSpaceDN w:val="0"/>
        <w:adjustRightInd w:val="0"/>
        <w:rPr>
          <w:rFonts w:eastAsiaTheme="minorHAnsi"/>
          <w:color w:val="000000"/>
          <w:sz w:val="22"/>
          <w:szCs w:val="22"/>
          <w:lang w:eastAsia="en-US"/>
        </w:rPr>
      </w:pPr>
      <w:bookmarkStart w:id="0" w:name="_Hlk222825457"/>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 plėvele dengtos tabletės</w:t>
      </w:r>
    </w:p>
    <w:p w14:paraId="743B2615" w14:textId="77777777" w:rsidR="003F7CCA" w:rsidRDefault="0080197E">
      <w:pPr>
        <w:rPr>
          <w:sz w:val="22"/>
          <w:szCs w:val="22"/>
        </w:rPr>
      </w:pPr>
      <w:bookmarkStart w:id="1" w:name="_Hlk222229695"/>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mg/1 000 mg plėvele dengtos tabletės</w:t>
      </w:r>
    </w:p>
    <w:bookmarkEnd w:id="0"/>
    <w:bookmarkEnd w:id="1"/>
    <w:p w14:paraId="1C30E36D" w14:textId="77777777" w:rsidR="003F7CCA" w:rsidRDefault="003F7CCA">
      <w:pPr>
        <w:rPr>
          <w:sz w:val="22"/>
          <w:szCs w:val="22"/>
        </w:rPr>
      </w:pPr>
    </w:p>
    <w:p w14:paraId="1A918060" w14:textId="77777777" w:rsidR="003F7CCA" w:rsidRDefault="003F7CCA">
      <w:pPr>
        <w:rPr>
          <w:sz w:val="22"/>
          <w:szCs w:val="22"/>
        </w:rPr>
      </w:pPr>
    </w:p>
    <w:p w14:paraId="5AF6AA0E" w14:textId="77777777" w:rsidR="003F7CCA" w:rsidRDefault="0080197E">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43E6CA5B" w14:textId="77777777" w:rsidR="003F7CCA" w:rsidRDefault="003F7CCA">
      <w:pPr>
        <w:rPr>
          <w:sz w:val="22"/>
          <w:szCs w:val="22"/>
        </w:rPr>
      </w:pPr>
    </w:p>
    <w:p w14:paraId="07EDD4C9" w14:textId="77777777" w:rsidR="003F7CCA" w:rsidRDefault="0080197E">
      <w:pPr>
        <w:autoSpaceDE w:val="0"/>
        <w:autoSpaceDN w:val="0"/>
        <w:adjustRightInd w:val="0"/>
        <w:rPr>
          <w:rFonts w:eastAsiaTheme="minorHAnsi"/>
          <w:color w:val="000000"/>
          <w:sz w:val="22"/>
          <w:szCs w:val="22"/>
          <w:u w:val="single"/>
          <w:lang w:eastAsia="en-US"/>
        </w:rPr>
      </w:pPr>
      <w:bookmarkStart w:id="2" w:name="_Hlk199932170"/>
      <w:bookmarkStart w:id="3" w:name="_Hlk223009770"/>
      <w:proofErr w:type="spellStart"/>
      <w:r>
        <w:rPr>
          <w:rFonts w:eastAsiaTheme="minorHAnsi"/>
          <w:color w:val="000000"/>
          <w:sz w:val="22"/>
          <w:szCs w:val="22"/>
          <w:u w:val="single"/>
          <w:lang w:eastAsia="en-US"/>
        </w:rPr>
        <w:t>Lymerexo</w:t>
      </w:r>
      <w:proofErr w:type="spellEnd"/>
      <w:r>
        <w:rPr>
          <w:rFonts w:eastAsiaTheme="minorHAnsi"/>
          <w:color w:val="000000"/>
          <w:sz w:val="22"/>
          <w:szCs w:val="22"/>
          <w:u w:val="single"/>
          <w:lang w:eastAsia="en-US"/>
        </w:rPr>
        <w:t xml:space="preserve"> 2,5 mg/850 mg plėvele dengtos tabletės</w:t>
      </w:r>
    </w:p>
    <w:p w14:paraId="4A08E0AF" w14:textId="451B7289" w:rsidR="003F7CCA" w:rsidRDefault="0080197E">
      <w:pPr>
        <w:autoSpaceDE w:val="0"/>
        <w:autoSpaceDN w:val="0"/>
        <w:adjustRightInd w:val="0"/>
        <w:rPr>
          <w:rFonts w:eastAsiaTheme="minorHAnsi"/>
          <w:color w:val="000000"/>
          <w:sz w:val="22"/>
          <w:szCs w:val="22"/>
          <w:lang w:eastAsia="en-US"/>
        </w:rPr>
      </w:pPr>
      <w:bookmarkStart w:id="4" w:name="_Hlk222229730"/>
      <w:r>
        <w:rPr>
          <w:rFonts w:eastAsiaTheme="minorHAnsi"/>
          <w:color w:val="000000"/>
          <w:sz w:val="22"/>
          <w:szCs w:val="22"/>
          <w:lang w:eastAsia="en-US"/>
        </w:rPr>
        <w:t xml:space="preserve">Kiekvienoje </w:t>
      </w:r>
      <w:r w:rsidR="006274EE">
        <w:rPr>
          <w:rFonts w:eastAsiaTheme="minorHAnsi"/>
          <w:color w:val="000000"/>
          <w:sz w:val="22"/>
          <w:szCs w:val="22"/>
          <w:lang w:eastAsia="en-US"/>
        </w:rPr>
        <w:t xml:space="preserve">plėvele dengtoje </w:t>
      </w:r>
      <w:r>
        <w:rPr>
          <w:rFonts w:eastAsiaTheme="minorHAnsi"/>
          <w:color w:val="000000"/>
          <w:sz w:val="22"/>
          <w:szCs w:val="22"/>
          <w:lang w:eastAsia="en-US"/>
        </w:rPr>
        <w:t xml:space="preserve">tabletėje yra 2,5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bookmarkEnd w:id="4"/>
    <w:p w14:paraId="51A08638" w14:textId="77777777" w:rsidR="003F7CCA" w:rsidRDefault="003F7CCA">
      <w:pPr>
        <w:autoSpaceDE w:val="0"/>
        <w:autoSpaceDN w:val="0"/>
        <w:adjustRightInd w:val="0"/>
        <w:rPr>
          <w:rFonts w:eastAsiaTheme="minorHAnsi"/>
          <w:color w:val="000000"/>
          <w:sz w:val="22"/>
          <w:szCs w:val="22"/>
          <w:lang w:eastAsia="en-US"/>
        </w:rPr>
      </w:pPr>
    </w:p>
    <w:p w14:paraId="1649FAB9" w14:textId="77777777" w:rsidR="003F7CCA" w:rsidRDefault="0080197E">
      <w:pPr>
        <w:rPr>
          <w:sz w:val="22"/>
          <w:szCs w:val="22"/>
          <w:u w:val="single"/>
        </w:rPr>
      </w:pPr>
      <w:proofErr w:type="spellStart"/>
      <w:r>
        <w:rPr>
          <w:rFonts w:eastAsiaTheme="minorHAnsi"/>
          <w:color w:val="000000"/>
          <w:sz w:val="22"/>
          <w:szCs w:val="22"/>
          <w:u w:val="single"/>
          <w:lang w:eastAsia="en-US"/>
        </w:rPr>
        <w:t>Lymerexo</w:t>
      </w:r>
      <w:proofErr w:type="spellEnd"/>
      <w:r>
        <w:rPr>
          <w:rFonts w:eastAsiaTheme="minorHAnsi"/>
          <w:color w:val="000000"/>
          <w:sz w:val="22"/>
          <w:szCs w:val="22"/>
          <w:u w:val="single"/>
          <w:lang w:eastAsia="en-US"/>
        </w:rPr>
        <w:t xml:space="preserve"> 2,5 mg/1 000 mg plėvele dengtos tabletės</w:t>
      </w:r>
    </w:p>
    <w:bookmarkEnd w:id="2"/>
    <w:p w14:paraId="2F243FA8" w14:textId="029BF5FA"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Kiekvienoje </w:t>
      </w:r>
      <w:r w:rsidR="00AC022D">
        <w:rPr>
          <w:rFonts w:eastAsiaTheme="minorHAnsi"/>
          <w:color w:val="000000"/>
          <w:sz w:val="22"/>
          <w:szCs w:val="22"/>
          <w:lang w:eastAsia="en-US"/>
        </w:rPr>
        <w:t xml:space="preserve">plėvele dengtoje </w:t>
      </w:r>
      <w:r>
        <w:rPr>
          <w:rFonts w:eastAsiaTheme="minorHAnsi"/>
          <w:color w:val="000000"/>
          <w:sz w:val="22"/>
          <w:szCs w:val="22"/>
          <w:lang w:eastAsia="en-US"/>
        </w:rPr>
        <w:t xml:space="preserve">tabletėje yra 2,5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bookmarkEnd w:id="3"/>
    <w:p w14:paraId="1CAAEF91" w14:textId="77777777" w:rsidR="003F7CCA" w:rsidRDefault="003F7CCA">
      <w:pPr>
        <w:rPr>
          <w:noProof/>
          <w:sz w:val="22"/>
          <w:szCs w:val="22"/>
        </w:rPr>
      </w:pPr>
    </w:p>
    <w:p w14:paraId="64B557DA" w14:textId="77777777" w:rsidR="003F7CCA" w:rsidRDefault="0080197E">
      <w:pPr>
        <w:rPr>
          <w:sz w:val="22"/>
          <w:szCs w:val="22"/>
        </w:rPr>
      </w:pPr>
      <w:r>
        <w:rPr>
          <w:noProof/>
          <w:sz w:val="22"/>
          <w:szCs w:val="22"/>
        </w:rPr>
        <w:t>Visos pagalbinės medžiagos išvardytos 6.1 skyriuje.</w:t>
      </w:r>
    </w:p>
    <w:p w14:paraId="1BF83FA8" w14:textId="77777777" w:rsidR="003F7CCA" w:rsidRDefault="003F7CCA">
      <w:pPr>
        <w:rPr>
          <w:sz w:val="22"/>
          <w:szCs w:val="22"/>
        </w:rPr>
      </w:pPr>
    </w:p>
    <w:p w14:paraId="1DAED45E" w14:textId="77777777" w:rsidR="003F7CCA" w:rsidRDefault="003F7CCA">
      <w:pPr>
        <w:rPr>
          <w:sz w:val="22"/>
          <w:szCs w:val="22"/>
        </w:rPr>
      </w:pPr>
    </w:p>
    <w:p w14:paraId="5715E6CD" w14:textId="77777777" w:rsidR="003F7CCA" w:rsidRDefault="0080197E">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7E441957" w14:textId="77777777" w:rsidR="003F7CCA" w:rsidRDefault="003F7CCA">
      <w:pPr>
        <w:rPr>
          <w:sz w:val="22"/>
          <w:szCs w:val="22"/>
        </w:rPr>
      </w:pPr>
    </w:p>
    <w:p w14:paraId="158D1AC4" w14:textId="77777777" w:rsidR="003F7CCA" w:rsidRDefault="0080197E">
      <w:pPr>
        <w:rPr>
          <w:sz w:val="22"/>
          <w:szCs w:val="22"/>
        </w:rPr>
      </w:pPr>
      <w:r>
        <w:rPr>
          <w:sz w:val="22"/>
          <w:szCs w:val="22"/>
        </w:rPr>
        <w:t>Plėvele dengta tabletė (tabletė).</w:t>
      </w:r>
    </w:p>
    <w:p w14:paraId="614883EE" w14:textId="77777777" w:rsidR="003F7CCA" w:rsidRDefault="003F7CCA">
      <w:pPr>
        <w:rPr>
          <w:noProof/>
          <w:sz w:val="22"/>
          <w:szCs w:val="22"/>
        </w:rPr>
      </w:pPr>
    </w:p>
    <w:p w14:paraId="35FA1A2D" w14:textId="77777777" w:rsidR="003F7CCA" w:rsidRDefault="0080197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Lymerexo</w:t>
      </w:r>
      <w:proofErr w:type="spellEnd"/>
      <w:r>
        <w:rPr>
          <w:rFonts w:eastAsiaTheme="minorHAnsi"/>
          <w:color w:val="000000"/>
          <w:sz w:val="22"/>
          <w:szCs w:val="22"/>
          <w:u w:val="single"/>
          <w:lang w:eastAsia="en-US"/>
        </w:rPr>
        <w:t xml:space="preserve"> 2,5 mg/850 mg plėvele dengtos tabletės</w:t>
      </w:r>
    </w:p>
    <w:p w14:paraId="56CB0C95" w14:textId="77777777" w:rsidR="003F7CCA" w:rsidRDefault="0080197E">
      <w:pPr>
        <w:rPr>
          <w:sz w:val="22"/>
          <w:szCs w:val="22"/>
        </w:rPr>
      </w:pPr>
      <w:r>
        <w:rPr>
          <w:rFonts w:eastAsiaTheme="minorHAnsi"/>
          <w:color w:val="000000"/>
          <w:sz w:val="22"/>
          <w:szCs w:val="22"/>
          <w:lang w:eastAsia="en-US"/>
        </w:rPr>
        <w:t>Rausvai oranžinės spalvos, ovalios, abipus išgaubtos, plėvele dengtos tabletės, kurių vienoje pusėje yra žyma „L1“. Tabletės matmenys: maždaug 20 mm x 10 mm.</w:t>
      </w:r>
    </w:p>
    <w:p w14:paraId="46AEA0F9" w14:textId="77777777" w:rsidR="003F7CCA" w:rsidRDefault="003F7CCA">
      <w:pPr>
        <w:rPr>
          <w:sz w:val="22"/>
          <w:szCs w:val="22"/>
        </w:rPr>
      </w:pPr>
    </w:p>
    <w:p w14:paraId="34623910" w14:textId="77777777" w:rsidR="003F7CCA" w:rsidRDefault="0080197E">
      <w:pPr>
        <w:rPr>
          <w:sz w:val="22"/>
          <w:szCs w:val="22"/>
          <w:u w:val="single"/>
        </w:rPr>
      </w:pPr>
      <w:proofErr w:type="spellStart"/>
      <w:r>
        <w:rPr>
          <w:rFonts w:eastAsiaTheme="minorHAnsi"/>
          <w:color w:val="000000"/>
          <w:sz w:val="22"/>
          <w:szCs w:val="22"/>
          <w:u w:val="single"/>
          <w:lang w:eastAsia="en-US"/>
        </w:rPr>
        <w:t>Lymerexo</w:t>
      </w:r>
      <w:proofErr w:type="spellEnd"/>
      <w:r>
        <w:rPr>
          <w:rFonts w:eastAsiaTheme="minorHAnsi"/>
          <w:color w:val="000000"/>
          <w:sz w:val="22"/>
          <w:szCs w:val="22"/>
          <w:u w:val="single"/>
          <w:lang w:eastAsia="en-US"/>
        </w:rPr>
        <w:t xml:space="preserve"> 2,5 mg/1 000 mg plėvele dengtos tabletės</w:t>
      </w:r>
    </w:p>
    <w:p w14:paraId="3733F507" w14:textId="77777777" w:rsidR="003F7CCA" w:rsidRDefault="0080197E">
      <w:pPr>
        <w:rPr>
          <w:sz w:val="22"/>
          <w:szCs w:val="22"/>
        </w:rPr>
      </w:pPr>
      <w:r>
        <w:rPr>
          <w:sz w:val="22"/>
          <w:szCs w:val="22"/>
        </w:rPr>
        <w:t>Šviesiai rožinės, ovalios, abipus išgaubtos, plėvele dengtos tabletės, kurių vienoje pusėje yra žyma „L2“. Tabletės matmenys: maždaug 21 mm x 10 mm.</w:t>
      </w:r>
    </w:p>
    <w:p w14:paraId="5F4BDBB1" w14:textId="77777777" w:rsidR="003F7CCA" w:rsidRDefault="003F7CCA">
      <w:pPr>
        <w:rPr>
          <w:sz w:val="22"/>
          <w:szCs w:val="22"/>
        </w:rPr>
      </w:pPr>
    </w:p>
    <w:p w14:paraId="7C380072" w14:textId="77777777" w:rsidR="003F7CCA" w:rsidRDefault="003F7CCA">
      <w:pPr>
        <w:rPr>
          <w:sz w:val="22"/>
          <w:szCs w:val="22"/>
        </w:rPr>
      </w:pPr>
    </w:p>
    <w:p w14:paraId="0B760BE1" w14:textId="77777777" w:rsidR="003F7CCA" w:rsidRDefault="0080197E">
      <w:pPr>
        <w:widowControl w:val="0"/>
        <w:tabs>
          <w:tab w:val="left" w:pos="567"/>
        </w:tabs>
        <w:ind w:left="567" w:hanging="567"/>
        <w:outlineLvl w:val="1"/>
        <w:rPr>
          <w:b/>
          <w:sz w:val="22"/>
          <w:szCs w:val="22"/>
          <w:lang w:eastAsia="en-US"/>
        </w:rPr>
      </w:pPr>
      <w:r>
        <w:rPr>
          <w:b/>
          <w:sz w:val="22"/>
          <w:szCs w:val="22"/>
          <w:lang w:eastAsia="en-US"/>
        </w:rPr>
        <w:t>4.</w:t>
      </w:r>
      <w:r>
        <w:rPr>
          <w:b/>
          <w:sz w:val="22"/>
          <w:szCs w:val="22"/>
          <w:lang w:eastAsia="en-US"/>
        </w:rPr>
        <w:tab/>
        <w:t>KLINIKINĖ INFORMACIJA</w:t>
      </w:r>
    </w:p>
    <w:p w14:paraId="4AB270F5" w14:textId="77777777" w:rsidR="003F7CCA" w:rsidRDefault="003F7CCA">
      <w:pPr>
        <w:widowControl w:val="0"/>
        <w:ind w:left="567" w:hanging="567"/>
        <w:rPr>
          <w:sz w:val="22"/>
          <w:szCs w:val="22"/>
          <w:lang w:eastAsia="en-US"/>
        </w:rPr>
      </w:pPr>
    </w:p>
    <w:p w14:paraId="3AA44603" w14:textId="77777777" w:rsidR="003F7CCA" w:rsidRDefault="0080197E">
      <w:pPr>
        <w:widowControl w:val="0"/>
        <w:tabs>
          <w:tab w:val="left" w:pos="567"/>
        </w:tabs>
        <w:ind w:left="567" w:hanging="567"/>
        <w:outlineLvl w:val="2"/>
        <w:rPr>
          <w:b/>
          <w:kern w:val="28"/>
          <w:sz w:val="22"/>
          <w:szCs w:val="22"/>
          <w:lang w:eastAsia="en-US"/>
        </w:rPr>
      </w:pPr>
      <w:r>
        <w:rPr>
          <w:b/>
          <w:kern w:val="28"/>
          <w:sz w:val="22"/>
          <w:szCs w:val="22"/>
          <w:lang w:eastAsia="en-US"/>
        </w:rPr>
        <w:t>4.1</w:t>
      </w:r>
      <w:r>
        <w:rPr>
          <w:b/>
          <w:kern w:val="28"/>
          <w:sz w:val="22"/>
          <w:szCs w:val="22"/>
          <w:lang w:eastAsia="en-US"/>
        </w:rPr>
        <w:tab/>
        <w:t>Terapinės indikacijos</w:t>
      </w:r>
    </w:p>
    <w:p w14:paraId="4B1EC737" w14:textId="77777777" w:rsidR="003F7CCA" w:rsidRDefault="003F7CCA">
      <w:pPr>
        <w:widowControl w:val="0"/>
        <w:ind w:left="567" w:hanging="567"/>
        <w:rPr>
          <w:sz w:val="22"/>
          <w:szCs w:val="22"/>
          <w:lang w:eastAsia="en-US"/>
        </w:rPr>
      </w:pPr>
    </w:p>
    <w:p w14:paraId="76CD78EC" w14:textId="2EDC9A97" w:rsidR="003F7CCA" w:rsidRDefault="0080197E">
      <w:pPr>
        <w:widowControl w:val="0"/>
        <w:autoSpaceDE w:val="0"/>
        <w:autoSpaceDN w:val="0"/>
        <w:adjustRightInd w:val="0"/>
        <w:rPr>
          <w:sz w:val="22"/>
          <w:szCs w:val="22"/>
          <w:lang w:eastAsia="en-US"/>
        </w:rPr>
      </w:pPr>
      <w:proofErr w:type="spellStart"/>
      <w:r>
        <w:rPr>
          <w:sz w:val="22"/>
          <w:szCs w:val="22"/>
          <w:lang w:eastAsia="en-US"/>
        </w:rPr>
        <w:t>Lymerexo</w:t>
      </w:r>
      <w:proofErr w:type="spellEnd"/>
      <w:r>
        <w:rPr>
          <w:sz w:val="22"/>
          <w:szCs w:val="22"/>
          <w:lang w:eastAsia="en-US"/>
        </w:rPr>
        <w:t xml:space="preserve"> skirtas </w:t>
      </w:r>
      <w:proofErr w:type="spellStart"/>
      <w:r>
        <w:rPr>
          <w:sz w:val="22"/>
          <w:szCs w:val="22"/>
          <w:lang w:eastAsia="en-US"/>
        </w:rPr>
        <w:t>suaugusiesi</w:t>
      </w:r>
      <w:r w:rsidR="00957455">
        <w:rPr>
          <w:sz w:val="22"/>
          <w:szCs w:val="22"/>
          <w:lang w:eastAsia="en-US"/>
        </w:rPr>
        <w:t>ųjų</w:t>
      </w:r>
      <w:proofErr w:type="spellEnd"/>
      <w:r>
        <w:rPr>
          <w:sz w:val="22"/>
          <w:szCs w:val="22"/>
          <w:lang w:eastAsia="en-US"/>
        </w:rPr>
        <w:t xml:space="preserve"> 2 tipo cukrini</w:t>
      </w:r>
      <w:r w:rsidR="00957455">
        <w:rPr>
          <w:sz w:val="22"/>
          <w:szCs w:val="22"/>
          <w:lang w:eastAsia="en-US"/>
        </w:rPr>
        <w:t>o</w:t>
      </w:r>
      <w:r>
        <w:rPr>
          <w:sz w:val="22"/>
          <w:szCs w:val="22"/>
          <w:lang w:eastAsia="en-US"/>
        </w:rPr>
        <w:t xml:space="preserve"> diabet</w:t>
      </w:r>
      <w:r w:rsidR="00957455">
        <w:rPr>
          <w:sz w:val="22"/>
          <w:szCs w:val="22"/>
          <w:lang w:eastAsia="en-US"/>
        </w:rPr>
        <w:t>o</w:t>
      </w:r>
      <w:r>
        <w:rPr>
          <w:sz w:val="22"/>
          <w:szCs w:val="22"/>
          <w:lang w:eastAsia="en-US"/>
        </w:rPr>
        <w:t xml:space="preserve"> </w:t>
      </w:r>
      <w:r w:rsidR="00875846" w:rsidRPr="00875846">
        <w:rPr>
          <w:sz w:val="22"/>
          <w:szCs w:val="22"/>
          <w:lang w:eastAsia="en-US"/>
        </w:rPr>
        <w:t>papildomam gydymui kartu su dieta ir fiziniu krūviu</w:t>
      </w:r>
      <w:r>
        <w:rPr>
          <w:sz w:val="22"/>
          <w:szCs w:val="22"/>
          <w:lang w:eastAsia="en-US"/>
        </w:rPr>
        <w:t xml:space="preserve">, siekiant pagerinti </w:t>
      </w:r>
      <w:proofErr w:type="spellStart"/>
      <w:r>
        <w:rPr>
          <w:sz w:val="22"/>
          <w:szCs w:val="22"/>
          <w:lang w:eastAsia="en-US"/>
        </w:rPr>
        <w:t>glikemijos</w:t>
      </w:r>
      <w:proofErr w:type="spellEnd"/>
      <w:r>
        <w:rPr>
          <w:sz w:val="22"/>
          <w:szCs w:val="22"/>
          <w:lang w:eastAsia="en-US"/>
        </w:rPr>
        <w:t xml:space="preserve"> </w:t>
      </w:r>
      <w:r w:rsidR="002C596B">
        <w:rPr>
          <w:sz w:val="22"/>
          <w:szCs w:val="22"/>
          <w:lang w:eastAsia="en-US"/>
        </w:rPr>
        <w:t>sureguliavimą</w:t>
      </w:r>
      <w:r>
        <w:rPr>
          <w:sz w:val="22"/>
          <w:szCs w:val="22"/>
          <w:lang w:eastAsia="en-US"/>
        </w:rPr>
        <w:t>:</w:t>
      </w:r>
    </w:p>
    <w:p w14:paraId="43A4DDCF" w14:textId="3981BAEB" w:rsidR="003F7CCA" w:rsidRPr="00A6463E" w:rsidRDefault="0080197E">
      <w:pPr>
        <w:numPr>
          <w:ilvl w:val="0"/>
          <w:numId w:val="14"/>
        </w:numPr>
        <w:spacing w:after="15" w:line="248" w:lineRule="auto"/>
        <w:ind w:right="11" w:hanging="566"/>
        <w:rPr>
          <w:sz w:val="22"/>
          <w:szCs w:val="22"/>
          <w:lang w:eastAsia="sl-SI"/>
        </w:rPr>
      </w:pPr>
      <w:r>
        <w:rPr>
          <w:sz w:val="22"/>
          <w:szCs w:val="22"/>
          <w:lang w:eastAsia="en-US"/>
        </w:rPr>
        <w:t xml:space="preserve">pacientams, </w:t>
      </w:r>
      <w:r w:rsidRPr="006864E0">
        <w:rPr>
          <w:sz w:val="22"/>
          <w:szCs w:val="22"/>
          <w:lang w:eastAsia="en-US"/>
        </w:rPr>
        <w:t xml:space="preserve">kuriems </w:t>
      </w:r>
      <w:proofErr w:type="spellStart"/>
      <w:r w:rsidR="0084732F" w:rsidRPr="00A6463E">
        <w:rPr>
          <w:sz w:val="22"/>
          <w:szCs w:val="22"/>
          <w:lang w:eastAsia="en-US"/>
        </w:rPr>
        <w:t>glikemija</w:t>
      </w:r>
      <w:proofErr w:type="spellEnd"/>
      <w:r w:rsidR="0084732F" w:rsidRPr="00A6463E">
        <w:rPr>
          <w:sz w:val="22"/>
          <w:szCs w:val="22"/>
          <w:lang w:eastAsia="en-US"/>
        </w:rPr>
        <w:t xml:space="preserve"> nepakankamai </w:t>
      </w:r>
      <w:r w:rsidR="002139BD" w:rsidRPr="006864E0">
        <w:rPr>
          <w:sz w:val="22"/>
          <w:szCs w:val="22"/>
          <w:lang w:eastAsia="en-US"/>
        </w:rPr>
        <w:t>sureguliuojama</w:t>
      </w:r>
      <w:r w:rsidR="0084732F" w:rsidRPr="00A6463E">
        <w:rPr>
          <w:sz w:val="22"/>
          <w:szCs w:val="22"/>
          <w:lang w:eastAsia="en-US"/>
        </w:rPr>
        <w:t xml:space="preserve"> gydant didžiausia toleruojama </w:t>
      </w:r>
      <w:proofErr w:type="spellStart"/>
      <w:r w:rsidR="0084732F" w:rsidRPr="00A6463E">
        <w:rPr>
          <w:sz w:val="22"/>
          <w:szCs w:val="22"/>
          <w:lang w:eastAsia="en-US"/>
        </w:rPr>
        <w:t>metformino</w:t>
      </w:r>
      <w:proofErr w:type="spellEnd"/>
      <w:r w:rsidR="0084732F" w:rsidRPr="00A6463E">
        <w:rPr>
          <w:sz w:val="22"/>
          <w:szCs w:val="22"/>
          <w:lang w:eastAsia="en-US"/>
        </w:rPr>
        <w:t xml:space="preserve"> </w:t>
      </w:r>
      <w:proofErr w:type="spellStart"/>
      <w:r w:rsidR="0084732F" w:rsidRPr="00A6463E">
        <w:rPr>
          <w:sz w:val="22"/>
          <w:szCs w:val="22"/>
          <w:lang w:eastAsia="en-US"/>
        </w:rPr>
        <w:t>monoterapijos</w:t>
      </w:r>
      <w:proofErr w:type="spellEnd"/>
      <w:r w:rsidR="0084732F" w:rsidRPr="00A6463E">
        <w:rPr>
          <w:sz w:val="22"/>
          <w:szCs w:val="22"/>
          <w:lang w:eastAsia="en-US"/>
        </w:rPr>
        <w:t xml:space="preserve"> doze</w:t>
      </w:r>
      <w:r w:rsidR="002139BD" w:rsidRPr="006864E0">
        <w:rPr>
          <w:sz w:val="22"/>
          <w:szCs w:val="22"/>
          <w:lang w:eastAsia="en-US"/>
        </w:rPr>
        <w:t xml:space="preserve"> </w:t>
      </w:r>
      <w:r w:rsidRPr="006864E0">
        <w:rPr>
          <w:sz w:val="22"/>
          <w:szCs w:val="22"/>
          <w:lang w:eastAsia="en-US"/>
        </w:rPr>
        <w:t>;</w:t>
      </w:r>
    </w:p>
    <w:p w14:paraId="26DE3394" w14:textId="5132A0CE" w:rsidR="003F7CCA" w:rsidRPr="00A6463E" w:rsidRDefault="0080197E">
      <w:pPr>
        <w:numPr>
          <w:ilvl w:val="0"/>
          <w:numId w:val="14"/>
        </w:numPr>
        <w:spacing w:after="15" w:line="248" w:lineRule="auto"/>
        <w:ind w:right="11" w:hanging="566"/>
        <w:rPr>
          <w:sz w:val="22"/>
          <w:szCs w:val="22"/>
          <w:lang w:eastAsia="sl-SI"/>
        </w:rPr>
      </w:pPr>
      <w:r>
        <w:rPr>
          <w:sz w:val="22"/>
          <w:szCs w:val="22"/>
          <w:lang w:eastAsia="en-US"/>
        </w:rPr>
        <w:t>derinyje su kitais vaistiniais preparatais, skirtais cukrinio diabeto gydymui, įskaitant insuliną,</w:t>
      </w:r>
      <w:r w:rsidRPr="00A6463E">
        <w:rPr>
          <w:sz w:val="22"/>
          <w:szCs w:val="22"/>
          <w:lang w:eastAsia="sl-SI"/>
        </w:rPr>
        <w:t xml:space="preserve"> </w:t>
      </w:r>
      <w:r>
        <w:rPr>
          <w:sz w:val="22"/>
          <w:szCs w:val="22"/>
          <w:lang w:eastAsia="en-US"/>
        </w:rPr>
        <w:t xml:space="preserve">pacientams, kuriems </w:t>
      </w:r>
      <w:proofErr w:type="spellStart"/>
      <w:r>
        <w:rPr>
          <w:sz w:val="22"/>
          <w:szCs w:val="22"/>
          <w:lang w:eastAsia="en-US"/>
        </w:rPr>
        <w:t>metforminas</w:t>
      </w:r>
      <w:proofErr w:type="spellEnd"/>
      <w:r>
        <w:rPr>
          <w:sz w:val="22"/>
          <w:szCs w:val="22"/>
          <w:lang w:eastAsia="en-US"/>
        </w:rPr>
        <w:t xml:space="preserve"> ir šie vaistiniai preparatai </w:t>
      </w:r>
      <w:proofErr w:type="spellStart"/>
      <w:r>
        <w:rPr>
          <w:sz w:val="22"/>
          <w:szCs w:val="22"/>
          <w:lang w:eastAsia="en-US"/>
        </w:rPr>
        <w:t>glikemiją</w:t>
      </w:r>
      <w:proofErr w:type="spellEnd"/>
      <w:r>
        <w:rPr>
          <w:sz w:val="22"/>
          <w:szCs w:val="22"/>
          <w:lang w:eastAsia="en-US"/>
        </w:rPr>
        <w:t xml:space="preserve"> </w:t>
      </w:r>
      <w:r w:rsidR="00A60A1C">
        <w:rPr>
          <w:sz w:val="22"/>
          <w:szCs w:val="22"/>
          <w:lang w:eastAsia="en-US"/>
        </w:rPr>
        <w:t>sureguliuoja</w:t>
      </w:r>
      <w:r w:rsidR="00A60A1C" w:rsidRPr="00A6463E">
        <w:rPr>
          <w:sz w:val="22"/>
          <w:szCs w:val="22"/>
          <w:lang w:eastAsia="sl-SI"/>
        </w:rPr>
        <w:t xml:space="preserve"> </w:t>
      </w:r>
      <w:r>
        <w:rPr>
          <w:sz w:val="22"/>
          <w:szCs w:val="22"/>
          <w:lang w:eastAsia="en-US"/>
        </w:rPr>
        <w:t>nepakankamai;</w:t>
      </w:r>
    </w:p>
    <w:p w14:paraId="356D8564" w14:textId="77777777" w:rsidR="003F7CCA" w:rsidRPr="00A6463E" w:rsidRDefault="0080197E">
      <w:pPr>
        <w:numPr>
          <w:ilvl w:val="0"/>
          <w:numId w:val="14"/>
        </w:numPr>
        <w:spacing w:after="15" w:line="248" w:lineRule="auto"/>
        <w:ind w:right="11" w:hanging="566"/>
        <w:rPr>
          <w:sz w:val="22"/>
          <w:szCs w:val="22"/>
          <w:lang w:eastAsia="sl-SI"/>
        </w:rPr>
      </w:pPr>
      <w:r>
        <w:rPr>
          <w:sz w:val="22"/>
          <w:szCs w:val="22"/>
          <w:lang w:eastAsia="en-US"/>
        </w:rPr>
        <w:t xml:space="preserve">pacientams, jau gydomiems atskirų </w:t>
      </w:r>
      <w:proofErr w:type="spellStart"/>
      <w:r>
        <w:rPr>
          <w:sz w:val="22"/>
          <w:szCs w:val="22"/>
          <w:lang w:eastAsia="en-US"/>
        </w:rPr>
        <w:t>linagliptino</w:t>
      </w:r>
      <w:proofErr w:type="spellEnd"/>
      <w:r>
        <w:rPr>
          <w:sz w:val="22"/>
          <w:szCs w:val="22"/>
          <w:lang w:eastAsia="en-US"/>
        </w:rPr>
        <w:t xml:space="preserve"> ir </w:t>
      </w:r>
      <w:proofErr w:type="spellStart"/>
      <w:r>
        <w:rPr>
          <w:sz w:val="22"/>
          <w:szCs w:val="22"/>
          <w:lang w:eastAsia="en-US"/>
        </w:rPr>
        <w:t>metformino</w:t>
      </w:r>
      <w:proofErr w:type="spellEnd"/>
      <w:r>
        <w:rPr>
          <w:sz w:val="22"/>
          <w:szCs w:val="22"/>
          <w:lang w:eastAsia="en-US"/>
        </w:rPr>
        <w:t xml:space="preserve"> tablečių deriniu;</w:t>
      </w:r>
    </w:p>
    <w:p w14:paraId="45A311E3" w14:textId="77777777" w:rsidR="003F7CCA" w:rsidRPr="00A6463E" w:rsidRDefault="0080197E">
      <w:pPr>
        <w:spacing w:after="15" w:line="248" w:lineRule="auto"/>
        <w:ind w:right="11"/>
        <w:rPr>
          <w:sz w:val="22"/>
          <w:szCs w:val="22"/>
          <w:lang w:val="es-ES" w:eastAsia="sl-SI"/>
        </w:rPr>
      </w:pPr>
      <w:r>
        <w:rPr>
          <w:sz w:val="22"/>
          <w:szCs w:val="22"/>
          <w:lang w:eastAsia="en-US"/>
        </w:rPr>
        <w:t>(duomenis apie įvairius derinius žr.  4.4, 4.5 ir 5.1  skyriuose).</w:t>
      </w:r>
    </w:p>
    <w:p w14:paraId="1BF21306" w14:textId="77777777" w:rsidR="003F7CCA" w:rsidRPr="00A6463E" w:rsidRDefault="003F7CCA">
      <w:pPr>
        <w:spacing w:after="15" w:line="248" w:lineRule="auto"/>
        <w:ind w:right="11"/>
        <w:rPr>
          <w:sz w:val="22"/>
          <w:szCs w:val="22"/>
          <w:lang w:val="es-ES" w:eastAsia="sl-SI"/>
        </w:rPr>
      </w:pPr>
    </w:p>
    <w:p w14:paraId="30D093B0" w14:textId="77777777" w:rsidR="003F7CCA" w:rsidRDefault="0080197E">
      <w:pPr>
        <w:widowControl w:val="0"/>
        <w:tabs>
          <w:tab w:val="left" w:pos="567"/>
        </w:tabs>
        <w:ind w:left="567" w:hanging="567"/>
        <w:outlineLvl w:val="2"/>
        <w:rPr>
          <w:b/>
          <w:kern w:val="28"/>
          <w:sz w:val="22"/>
          <w:szCs w:val="22"/>
          <w:lang w:eastAsia="en-US"/>
        </w:rPr>
      </w:pPr>
      <w:r>
        <w:rPr>
          <w:b/>
          <w:kern w:val="28"/>
          <w:sz w:val="22"/>
          <w:szCs w:val="22"/>
          <w:lang w:eastAsia="en-US"/>
        </w:rPr>
        <w:t>4.2</w:t>
      </w:r>
      <w:r>
        <w:rPr>
          <w:b/>
          <w:kern w:val="28"/>
          <w:sz w:val="22"/>
          <w:szCs w:val="22"/>
          <w:lang w:eastAsia="en-US"/>
        </w:rPr>
        <w:tab/>
        <w:t>Dozavimas ir vartojimo metodas</w:t>
      </w:r>
    </w:p>
    <w:p w14:paraId="4CBE9DDB" w14:textId="77777777" w:rsidR="003F7CCA" w:rsidRDefault="003F7CCA">
      <w:pPr>
        <w:widowControl w:val="0"/>
        <w:ind w:left="567" w:hanging="567"/>
        <w:rPr>
          <w:bCs/>
          <w:sz w:val="22"/>
          <w:szCs w:val="22"/>
          <w:lang w:eastAsia="en-US"/>
        </w:rPr>
      </w:pPr>
    </w:p>
    <w:p w14:paraId="47BAA902" w14:textId="77777777" w:rsidR="003F7CCA" w:rsidRDefault="0080197E">
      <w:pPr>
        <w:widowControl w:val="0"/>
        <w:rPr>
          <w:sz w:val="22"/>
          <w:szCs w:val="22"/>
          <w:lang w:eastAsia="en-US"/>
        </w:rPr>
      </w:pPr>
      <w:r>
        <w:rPr>
          <w:sz w:val="22"/>
          <w:szCs w:val="22"/>
          <w:u w:val="single"/>
          <w:lang w:eastAsia="en-US"/>
        </w:rPr>
        <w:t>Dozavimas</w:t>
      </w:r>
    </w:p>
    <w:p w14:paraId="5EF29262" w14:textId="77777777" w:rsidR="003F7CCA" w:rsidRDefault="0080197E">
      <w:pPr>
        <w:rPr>
          <w:i/>
          <w:iCs/>
          <w:snapToGrid w:val="0"/>
          <w:sz w:val="22"/>
          <w:szCs w:val="22"/>
          <w:lang w:eastAsia="en-US"/>
        </w:rPr>
      </w:pPr>
      <w:r>
        <w:rPr>
          <w:i/>
          <w:iCs/>
          <w:snapToGrid w:val="0"/>
          <w:sz w:val="22"/>
          <w:szCs w:val="22"/>
          <w:lang w:eastAsia="en-US"/>
        </w:rPr>
        <w:t>Suaugusieji, kurių inkstų funkcija normali (GFG  ≥ 90 ml/min.)</w:t>
      </w:r>
    </w:p>
    <w:p w14:paraId="1AE69F95" w14:textId="77777777" w:rsidR="003F7CCA" w:rsidRDefault="0080197E">
      <w:pPr>
        <w:rPr>
          <w:snapToGrid w:val="0"/>
          <w:sz w:val="22"/>
          <w:szCs w:val="22"/>
          <w:lang w:eastAsia="en-US"/>
        </w:rPr>
      </w:pPr>
      <w:proofErr w:type="spellStart"/>
      <w:r>
        <w:rPr>
          <w:snapToGrid w:val="0"/>
          <w:sz w:val="22"/>
          <w:szCs w:val="22"/>
          <w:lang w:eastAsia="en-US"/>
        </w:rPr>
        <w:t>Antihiperglikeminiam</w:t>
      </w:r>
      <w:proofErr w:type="spellEnd"/>
      <w:r>
        <w:rPr>
          <w:snapToGrid w:val="0"/>
          <w:sz w:val="22"/>
          <w:szCs w:val="22"/>
          <w:lang w:eastAsia="en-US"/>
        </w:rPr>
        <w:t xml:space="preserve"> gydymui </w:t>
      </w:r>
      <w:proofErr w:type="spellStart"/>
      <w:r>
        <w:rPr>
          <w:snapToGrid w:val="0"/>
          <w:sz w:val="22"/>
          <w:szCs w:val="22"/>
          <w:lang w:eastAsia="en-US"/>
        </w:rPr>
        <w:t>linagliptino</w:t>
      </w:r>
      <w:proofErr w:type="spellEnd"/>
      <w:r>
        <w:rPr>
          <w:snapToGrid w:val="0"/>
          <w:sz w:val="22"/>
          <w:szCs w:val="22"/>
          <w:lang w:eastAsia="en-US"/>
        </w:rPr>
        <w:t>/</w:t>
      </w:r>
      <w:proofErr w:type="spellStart"/>
      <w:r>
        <w:rPr>
          <w:snapToGrid w:val="0"/>
          <w:sz w:val="22"/>
          <w:szCs w:val="22"/>
          <w:lang w:eastAsia="en-US"/>
        </w:rPr>
        <w:t>metformino</w:t>
      </w:r>
      <w:proofErr w:type="spellEnd"/>
      <w:r>
        <w:rPr>
          <w:snapToGrid w:val="0"/>
          <w:sz w:val="22"/>
          <w:szCs w:val="22"/>
          <w:lang w:eastAsia="en-US"/>
        </w:rPr>
        <w:t xml:space="preserve"> dozę reikia nustatyti individualiai, atsižvelgiant į pacientui jau taikomą gydymą, veiksmingumą ir vaistinio preparato toleravimą, tačiau per parą negalima viršyti didžiausios rekomenduojamos 5 mg </w:t>
      </w:r>
      <w:proofErr w:type="spellStart"/>
      <w:r>
        <w:rPr>
          <w:snapToGrid w:val="0"/>
          <w:sz w:val="22"/>
          <w:szCs w:val="22"/>
          <w:lang w:eastAsia="en-US"/>
        </w:rPr>
        <w:t>linagliptino</w:t>
      </w:r>
      <w:proofErr w:type="spellEnd"/>
      <w:r>
        <w:rPr>
          <w:snapToGrid w:val="0"/>
          <w:sz w:val="22"/>
          <w:szCs w:val="22"/>
          <w:lang w:eastAsia="en-US"/>
        </w:rPr>
        <w:t xml:space="preserve"> plius 2 000 mg </w:t>
      </w:r>
      <w:proofErr w:type="spellStart"/>
      <w:r>
        <w:rPr>
          <w:snapToGrid w:val="0"/>
          <w:sz w:val="22"/>
          <w:szCs w:val="22"/>
          <w:lang w:eastAsia="en-US"/>
        </w:rPr>
        <w:t>metformino</w:t>
      </w:r>
      <w:proofErr w:type="spellEnd"/>
      <w:r>
        <w:rPr>
          <w:snapToGrid w:val="0"/>
          <w:sz w:val="22"/>
          <w:szCs w:val="22"/>
          <w:lang w:eastAsia="en-US"/>
        </w:rPr>
        <w:t xml:space="preserve"> hidrochlorido dozės.</w:t>
      </w:r>
    </w:p>
    <w:p w14:paraId="1C84D2C6" w14:textId="77777777" w:rsidR="003F7CCA" w:rsidRDefault="003F7CCA">
      <w:pPr>
        <w:tabs>
          <w:tab w:val="left" w:pos="567"/>
        </w:tabs>
        <w:rPr>
          <w:snapToGrid w:val="0"/>
          <w:sz w:val="22"/>
          <w:szCs w:val="22"/>
          <w:u w:val="single"/>
          <w:lang w:eastAsia="en-US"/>
        </w:rPr>
      </w:pPr>
    </w:p>
    <w:p w14:paraId="2E96BFE3" w14:textId="1E4FE8B6" w:rsidR="003F7CCA" w:rsidRDefault="0080197E">
      <w:pPr>
        <w:tabs>
          <w:tab w:val="left" w:pos="567"/>
        </w:tabs>
        <w:rPr>
          <w:i/>
          <w:iCs/>
          <w:snapToGrid w:val="0"/>
          <w:sz w:val="22"/>
          <w:szCs w:val="22"/>
          <w:lang w:eastAsia="en-US"/>
        </w:rPr>
      </w:pPr>
      <w:r>
        <w:rPr>
          <w:i/>
          <w:iCs/>
          <w:snapToGrid w:val="0"/>
          <w:sz w:val="22"/>
          <w:szCs w:val="22"/>
          <w:lang w:eastAsia="en-US"/>
        </w:rPr>
        <w:t xml:space="preserve">Pacientai, kuriems </w:t>
      </w:r>
      <w:proofErr w:type="spellStart"/>
      <w:r w:rsidR="00AC1A41">
        <w:rPr>
          <w:i/>
          <w:iCs/>
          <w:snapToGrid w:val="0"/>
          <w:sz w:val="22"/>
          <w:szCs w:val="22"/>
          <w:lang w:eastAsia="en-US"/>
        </w:rPr>
        <w:t>glikemija</w:t>
      </w:r>
      <w:proofErr w:type="spellEnd"/>
      <w:r w:rsidR="00AC1A41">
        <w:rPr>
          <w:i/>
          <w:iCs/>
          <w:snapToGrid w:val="0"/>
          <w:sz w:val="22"/>
          <w:szCs w:val="22"/>
          <w:lang w:eastAsia="en-US"/>
        </w:rPr>
        <w:t xml:space="preserve"> </w:t>
      </w:r>
      <w:r w:rsidR="00461881">
        <w:rPr>
          <w:i/>
          <w:iCs/>
          <w:snapToGrid w:val="0"/>
          <w:sz w:val="22"/>
          <w:szCs w:val="22"/>
          <w:lang w:eastAsia="en-US"/>
        </w:rPr>
        <w:t xml:space="preserve">nepakankamai sureguliuojama </w:t>
      </w:r>
      <w:proofErr w:type="spellStart"/>
      <w:r>
        <w:rPr>
          <w:i/>
          <w:iCs/>
          <w:snapToGrid w:val="0"/>
          <w:sz w:val="22"/>
          <w:szCs w:val="22"/>
          <w:lang w:eastAsia="en-US"/>
        </w:rPr>
        <w:t>monoterapija</w:t>
      </w:r>
      <w:proofErr w:type="spellEnd"/>
      <w:r>
        <w:rPr>
          <w:i/>
          <w:iCs/>
          <w:snapToGrid w:val="0"/>
          <w:sz w:val="22"/>
          <w:szCs w:val="22"/>
          <w:lang w:eastAsia="en-US"/>
        </w:rPr>
        <w:t xml:space="preserve"> didžiausia toleruojama </w:t>
      </w:r>
      <w:proofErr w:type="spellStart"/>
      <w:r>
        <w:rPr>
          <w:i/>
          <w:iCs/>
          <w:snapToGrid w:val="0"/>
          <w:sz w:val="22"/>
          <w:szCs w:val="22"/>
          <w:lang w:eastAsia="en-US"/>
        </w:rPr>
        <w:t>metformino</w:t>
      </w:r>
      <w:proofErr w:type="spellEnd"/>
      <w:r>
        <w:rPr>
          <w:i/>
          <w:iCs/>
          <w:snapToGrid w:val="0"/>
          <w:sz w:val="22"/>
          <w:szCs w:val="22"/>
          <w:lang w:eastAsia="en-US"/>
        </w:rPr>
        <w:t xml:space="preserve"> doze </w:t>
      </w:r>
    </w:p>
    <w:p w14:paraId="684C25A7" w14:textId="7A9F5AD7" w:rsidR="003F7CCA" w:rsidRDefault="0080197E">
      <w:pPr>
        <w:tabs>
          <w:tab w:val="left" w:pos="567"/>
        </w:tabs>
        <w:rPr>
          <w:snapToGrid w:val="0"/>
          <w:sz w:val="22"/>
          <w:szCs w:val="22"/>
          <w:lang w:eastAsia="en-US"/>
        </w:rPr>
      </w:pPr>
      <w:r>
        <w:rPr>
          <w:snapToGrid w:val="0"/>
          <w:sz w:val="22"/>
          <w:szCs w:val="22"/>
          <w:lang w:eastAsia="en-US"/>
        </w:rPr>
        <w:lastRenderedPageBreak/>
        <w:t xml:space="preserve">Pacientams, kuriems </w:t>
      </w:r>
      <w:proofErr w:type="spellStart"/>
      <w:r>
        <w:rPr>
          <w:snapToGrid w:val="0"/>
          <w:sz w:val="22"/>
          <w:szCs w:val="22"/>
          <w:lang w:eastAsia="en-US"/>
        </w:rPr>
        <w:t>monoterapija</w:t>
      </w:r>
      <w:proofErr w:type="spellEnd"/>
      <w:r>
        <w:rPr>
          <w:snapToGrid w:val="0"/>
          <w:sz w:val="22"/>
          <w:szCs w:val="22"/>
          <w:lang w:eastAsia="en-US"/>
        </w:rPr>
        <w:t xml:space="preserve"> </w:t>
      </w:r>
      <w:proofErr w:type="spellStart"/>
      <w:r>
        <w:rPr>
          <w:snapToGrid w:val="0"/>
          <w:sz w:val="22"/>
          <w:szCs w:val="22"/>
          <w:lang w:eastAsia="en-US"/>
        </w:rPr>
        <w:t>metforminu</w:t>
      </w:r>
      <w:proofErr w:type="spellEnd"/>
      <w:r>
        <w:rPr>
          <w:snapToGrid w:val="0"/>
          <w:sz w:val="22"/>
          <w:szCs w:val="22"/>
          <w:lang w:eastAsia="en-US"/>
        </w:rPr>
        <w:t xml:space="preserve"> </w:t>
      </w:r>
      <w:proofErr w:type="spellStart"/>
      <w:r>
        <w:rPr>
          <w:snapToGrid w:val="0"/>
          <w:sz w:val="22"/>
          <w:szCs w:val="22"/>
          <w:lang w:eastAsia="en-US"/>
        </w:rPr>
        <w:t>glikemiją</w:t>
      </w:r>
      <w:proofErr w:type="spellEnd"/>
      <w:r>
        <w:rPr>
          <w:snapToGrid w:val="0"/>
          <w:sz w:val="22"/>
          <w:szCs w:val="22"/>
          <w:lang w:eastAsia="en-US"/>
        </w:rPr>
        <w:t xml:space="preserve"> </w:t>
      </w:r>
      <w:r w:rsidR="00765E93">
        <w:rPr>
          <w:snapToGrid w:val="0"/>
          <w:sz w:val="22"/>
          <w:szCs w:val="22"/>
          <w:lang w:eastAsia="en-US"/>
        </w:rPr>
        <w:t xml:space="preserve">sureguliuoja </w:t>
      </w:r>
      <w:r>
        <w:rPr>
          <w:snapToGrid w:val="0"/>
          <w:sz w:val="22"/>
          <w:szCs w:val="22"/>
          <w:lang w:eastAsia="en-US"/>
        </w:rPr>
        <w:t xml:space="preserve">nepakankamai, iš pradžių paprastai reikia skirti vartoti po 2,5 mg </w:t>
      </w:r>
      <w:proofErr w:type="spellStart"/>
      <w:r>
        <w:rPr>
          <w:snapToGrid w:val="0"/>
          <w:sz w:val="22"/>
          <w:szCs w:val="22"/>
          <w:lang w:eastAsia="en-US"/>
        </w:rPr>
        <w:t>linagliptino</w:t>
      </w:r>
      <w:proofErr w:type="spellEnd"/>
      <w:r>
        <w:rPr>
          <w:snapToGrid w:val="0"/>
          <w:sz w:val="22"/>
          <w:szCs w:val="22"/>
          <w:lang w:eastAsia="en-US"/>
        </w:rPr>
        <w:t xml:space="preserve"> du kartus per parą (bendra paros dozė 5 mg) kartu su jau vartojama </w:t>
      </w:r>
      <w:proofErr w:type="spellStart"/>
      <w:r>
        <w:rPr>
          <w:snapToGrid w:val="0"/>
          <w:sz w:val="22"/>
          <w:szCs w:val="22"/>
          <w:lang w:eastAsia="en-US"/>
        </w:rPr>
        <w:t>metformino</w:t>
      </w:r>
      <w:proofErr w:type="spellEnd"/>
      <w:r>
        <w:rPr>
          <w:snapToGrid w:val="0"/>
          <w:sz w:val="22"/>
          <w:szCs w:val="22"/>
          <w:lang w:eastAsia="en-US"/>
        </w:rPr>
        <w:t xml:space="preserve"> doze.</w:t>
      </w:r>
    </w:p>
    <w:p w14:paraId="4C4D6EBB" w14:textId="77777777" w:rsidR="003F7CCA" w:rsidRDefault="003F7CCA">
      <w:pPr>
        <w:tabs>
          <w:tab w:val="left" w:pos="567"/>
        </w:tabs>
        <w:rPr>
          <w:snapToGrid w:val="0"/>
          <w:sz w:val="22"/>
          <w:szCs w:val="22"/>
          <w:u w:val="single"/>
          <w:lang w:eastAsia="en-US"/>
        </w:rPr>
      </w:pPr>
    </w:p>
    <w:p w14:paraId="519DC776" w14:textId="2E48B7C6" w:rsidR="003F7CCA" w:rsidRDefault="0080197E">
      <w:pPr>
        <w:tabs>
          <w:tab w:val="left" w:pos="567"/>
        </w:tabs>
        <w:rPr>
          <w:i/>
          <w:iCs/>
          <w:snapToGrid w:val="0"/>
          <w:sz w:val="22"/>
          <w:szCs w:val="22"/>
          <w:lang w:eastAsia="en-US"/>
        </w:rPr>
      </w:pPr>
      <w:r>
        <w:rPr>
          <w:i/>
          <w:iCs/>
          <w:snapToGrid w:val="0"/>
          <w:sz w:val="22"/>
          <w:szCs w:val="22"/>
          <w:lang w:eastAsia="en-US"/>
        </w:rPr>
        <w:t xml:space="preserve">Pacientai, kuriems keičiamas gydymas </w:t>
      </w:r>
      <w:proofErr w:type="spellStart"/>
      <w:r>
        <w:rPr>
          <w:i/>
          <w:iCs/>
          <w:snapToGrid w:val="0"/>
          <w:sz w:val="22"/>
          <w:szCs w:val="22"/>
          <w:lang w:eastAsia="en-US"/>
        </w:rPr>
        <w:t>linagliptin</w:t>
      </w:r>
      <w:r w:rsidR="008F395F">
        <w:rPr>
          <w:i/>
          <w:iCs/>
          <w:snapToGrid w:val="0"/>
          <w:sz w:val="22"/>
          <w:szCs w:val="22"/>
          <w:lang w:eastAsia="en-US"/>
        </w:rPr>
        <w:t>o</w:t>
      </w:r>
      <w:proofErr w:type="spellEnd"/>
      <w:r>
        <w:rPr>
          <w:i/>
          <w:iCs/>
          <w:snapToGrid w:val="0"/>
          <w:sz w:val="22"/>
          <w:szCs w:val="22"/>
          <w:lang w:eastAsia="en-US"/>
        </w:rPr>
        <w:t xml:space="preserve"> ir </w:t>
      </w:r>
      <w:proofErr w:type="spellStart"/>
      <w:r>
        <w:rPr>
          <w:i/>
          <w:iCs/>
          <w:snapToGrid w:val="0"/>
          <w:sz w:val="22"/>
          <w:szCs w:val="22"/>
          <w:lang w:eastAsia="en-US"/>
        </w:rPr>
        <w:t>metformin</w:t>
      </w:r>
      <w:r w:rsidR="008F395F">
        <w:rPr>
          <w:i/>
          <w:iCs/>
          <w:snapToGrid w:val="0"/>
          <w:sz w:val="22"/>
          <w:szCs w:val="22"/>
          <w:lang w:eastAsia="en-US"/>
        </w:rPr>
        <w:t>o</w:t>
      </w:r>
      <w:proofErr w:type="spellEnd"/>
      <w:r w:rsidR="008F395F">
        <w:rPr>
          <w:i/>
          <w:iCs/>
          <w:snapToGrid w:val="0"/>
          <w:sz w:val="22"/>
          <w:szCs w:val="22"/>
          <w:lang w:eastAsia="en-US"/>
        </w:rPr>
        <w:t xml:space="preserve"> deriniu</w:t>
      </w:r>
    </w:p>
    <w:p w14:paraId="2CF9D74E" w14:textId="77777777" w:rsidR="003F7CCA" w:rsidRDefault="0080197E">
      <w:pPr>
        <w:tabs>
          <w:tab w:val="left" w:pos="567"/>
        </w:tabs>
        <w:rPr>
          <w:snapToGrid w:val="0"/>
          <w:sz w:val="22"/>
          <w:szCs w:val="22"/>
          <w:lang w:eastAsia="en-US"/>
        </w:rPr>
      </w:pPr>
      <w:r>
        <w:rPr>
          <w:snapToGrid w:val="0"/>
          <w:sz w:val="22"/>
          <w:szCs w:val="22"/>
          <w:lang w:eastAsia="en-US"/>
        </w:rPr>
        <w:t xml:space="preserve">Vietoj taikomo gydymo </w:t>
      </w:r>
      <w:proofErr w:type="spellStart"/>
      <w:r>
        <w:rPr>
          <w:snapToGrid w:val="0"/>
          <w:sz w:val="22"/>
          <w:szCs w:val="22"/>
          <w:lang w:eastAsia="en-US"/>
        </w:rPr>
        <w:t>linagliptino</w:t>
      </w:r>
      <w:proofErr w:type="spellEnd"/>
      <w:r>
        <w:rPr>
          <w:snapToGrid w:val="0"/>
          <w:sz w:val="22"/>
          <w:szCs w:val="22"/>
          <w:lang w:eastAsia="en-US"/>
        </w:rPr>
        <w:t xml:space="preserve"> ir </w:t>
      </w:r>
      <w:proofErr w:type="spellStart"/>
      <w:r>
        <w:rPr>
          <w:snapToGrid w:val="0"/>
          <w:sz w:val="22"/>
          <w:szCs w:val="22"/>
          <w:lang w:eastAsia="en-US"/>
        </w:rPr>
        <w:t>metformino</w:t>
      </w:r>
      <w:proofErr w:type="spellEnd"/>
      <w:r>
        <w:rPr>
          <w:snapToGrid w:val="0"/>
          <w:sz w:val="22"/>
          <w:szCs w:val="22"/>
          <w:lang w:eastAsia="en-US"/>
        </w:rPr>
        <w:t xml:space="preserve"> deriniu, iš pradžių reikia skirti tokią šio vaistinio preparato dozę, kokia atitinka jau vartojamą </w:t>
      </w:r>
      <w:proofErr w:type="spellStart"/>
      <w:r>
        <w:rPr>
          <w:snapToGrid w:val="0"/>
          <w:sz w:val="22"/>
          <w:szCs w:val="22"/>
          <w:lang w:eastAsia="en-US"/>
        </w:rPr>
        <w:t>linagliptino</w:t>
      </w:r>
      <w:proofErr w:type="spellEnd"/>
      <w:r>
        <w:rPr>
          <w:snapToGrid w:val="0"/>
          <w:sz w:val="22"/>
          <w:szCs w:val="22"/>
          <w:lang w:eastAsia="en-US"/>
        </w:rPr>
        <w:t xml:space="preserve"> ir </w:t>
      </w:r>
      <w:proofErr w:type="spellStart"/>
      <w:r>
        <w:rPr>
          <w:snapToGrid w:val="0"/>
          <w:sz w:val="22"/>
          <w:szCs w:val="22"/>
          <w:lang w:eastAsia="en-US"/>
        </w:rPr>
        <w:t>metformino</w:t>
      </w:r>
      <w:proofErr w:type="spellEnd"/>
      <w:r>
        <w:rPr>
          <w:snapToGrid w:val="0"/>
          <w:sz w:val="22"/>
          <w:szCs w:val="22"/>
          <w:lang w:eastAsia="en-US"/>
        </w:rPr>
        <w:t xml:space="preserve"> dozę.</w:t>
      </w:r>
    </w:p>
    <w:p w14:paraId="07C59239" w14:textId="77777777" w:rsidR="003F7CCA" w:rsidRPr="006864E0" w:rsidRDefault="003F7CCA">
      <w:pPr>
        <w:tabs>
          <w:tab w:val="left" w:pos="567"/>
        </w:tabs>
        <w:rPr>
          <w:snapToGrid w:val="0"/>
          <w:sz w:val="22"/>
          <w:szCs w:val="22"/>
          <w:u w:val="single"/>
          <w:lang w:eastAsia="en-US"/>
        </w:rPr>
      </w:pPr>
    </w:p>
    <w:p w14:paraId="418741BD" w14:textId="5631B265" w:rsidR="003F7CCA" w:rsidRPr="006864E0" w:rsidRDefault="0080197E">
      <w:pPr>
        <w:tabs>
          <w:tab w:val="left" w:pos="567"/>
        </w:tabs>
        <w:rPr>
          <w:i/>
          <w:iCs/>
          <w:snapToGrid w:val="0"/>
          <w:sz w:val="22"/>
          <w:szCs w:val="22"/>
          <w:lang w:eastAsia="en-US"/>
        </w:rPr>
      </w:pPr>
      <w:r w:rsidRPr="006864E0">
        <w:rPr>
          <w:i/>
          <w:iCs/>
          <w:snapToGrid w:val="0"/>
          <w:sz w:val="22"/>
          <w:szCs w:val="22"/>
          <w:lang w:eastAsia="en-US"/>
        </w:rPr>
        <w:t xml:space="preserve">Pacientai, kuriems dvigubas </w:t>
      </w:r>
      <w:r w:rsidR="00DD7B2A" w:rsidRPr="006864E0">
        <w:rPr>
          <w:i/>
          <w:iCs/>
          <w:snapToGrid w:val="0"/>
          <w:sz w:val="22"/>
          <w:szCs w:val="22"/>
          <w:lang w:eastAsia="en-US"/>
        </w:rPr>
        <w:t xml:space="preserve">sudėtinis </w:t>
      </w:r>
      <w:r w:rsidRPr="006864E0">
        <w:rPr>
          <w:i/>
          <w:iCs/>
          <w:snapToGrid w:val="0"/>
          <w:sz w:val="22"/>
          <w:szCs w:val="22"/>
          <w:lang w:eastAsia="en-US"/>
        </w:rPr>
        <w:t xml:space="preserve">gydymas didžiausia toleruojama </w:t>
      </w:r>
      <w:proofErr w:type="spellStart"/>
      <w:r w:rsidRPr="006864E0">
        <w:rPr>
          <w:i/>
          <w:iCs/>
          <w:snapToGrid w:val="0"/>
          <w:sz w:val="22"/>
          <w:szCs w:val="22"/>
          <w:lang w:eastAsia="en-US"/>
        </w:rPr>
        <w:t>metformino</w:t>
      </w:r>
      <w:proofErr w:type="spellEnd"/>
      <w:r w:rsidRPr="006864E0">
        <w:rPr>
          <w:i/>
          <w:iCs/>
          <w:snapToGrid w:val="0"/>
          <w:sz w:val="22"/>
          <w:szCs w:val="22"/>
          <w:lang w:eastAsia="en-US"/>
        </w:rPr>
        <w:t xml:space="preserve"> doze ir </w:t>
      </w:r>
      <w:proofErr w:type="spellStart"/>
      <w:r w:rsidRPr="006864E0">
        <w:rPr>
          <w:i/>
          <w:iCs/>
          <w:snapToGrid w:val="0"/>
          <w:sz w:val="22"/>
          <w:szCs w:val="22"/>
          <w:lang w:eastAsia="en-US"/>
        </w:rPr>
        <w:t>sulfonilurėjos</w:t>
      </w:r>
      <w:proofErr w:type="spellEnd"/>
      <w:r w:rsidRPr="006864E0">
        <w:rPr>
          <w:i/>
          <w:iCs/>
          <w:snapToGrid w:val="0"/>
          <w:sz w:val="22"/>
          <w:szCs w:val="22"/>
          <w:lang w:eastAsia="en-US"/>
        </w:rPr>
        <w:t xml:space="preserve"> dariniu </w:t>
      </w:r>
      <w:proofErr w:type="spellStart"/>
      <w:r w:rsidRPr="006864E0">
        <w:rPr>
          <w:i/>
          <w:iCs/>
          <w:snapToGrid w:val="0"/>
          <w:sz w:val="22"/>
          <w:szCs w:val="22"/>
          <w:lang w:eastAsia="en-US"/>
        </w:rPr>
        <w:t>glikemiją</w:t>
      </w:r>
      <w:proofErr w:type="spellEnd"/>
      <w:r w:rsidRPr="006864E0">
        <w:rPr>
          <w:i/>
          <w:iCs/>
          <w:snapToGrid w:val="0"/>
          <w:sz w:val="22"/>
          <w:szCs w:val="22"/>
          <w:lang w:eastAsia="en-US"/>
        </w:rPr>
        <w:t xml:space="preserve"> </w:t>
      </w:r>
      <w:r w:rsidR="0057629D" w:rsidRPr="006864E0">
        <w:rPr>
          <w:i/>
          <w:iCs/>
          <w:snapToGrid w:val="0"/>
          <w:sz w:val="22"/>
          <w:szCs w:val="22"/>
          <w:lang w:eastAsia="en-US"/>
        </w:rPr>
        <w:t xml:space="preserve">sureguliuoja </w:t>
      </w:r>
      <w:r w:rsidRPr="006864E0">
        <w:rPr>
          <w:i/>
          <w:iCs/>
          <w:snapToGrid w:val="0"/>
          <w:sz w:val="22"/>
          <w:szCs w:val="22"/>
          <w:lang w:eastAsia="en-US"/>
        </w:rPr>
        <w:t>nepakankamai</w:t>
      </w:r>
    </w:p>
    <w:p w14:paraId="7CF1CFDD" w14:textId="2EC2870B" w:rsidR="003F7CCA" w:rsidRDefault="0080197E">
      <w:pPr>
        <w:tabs>
          <w:tab w:val="left" w:pos="567"/>
        </w:tabs>
        <w:rPr>
          <w:snapToGrid w:val="0"/>
          <w:sz w:val="22"/>
          <w:szCs w:val="22"/>
          <w:lang w:eastAsia="en-US"/>
        </w:rPr>
      </w:pPr>
      <w:r w:rsidRPr="006864E0">
        <w:rPr>
          <w:snapToGrid w:val="0"/>
          <w:sz w:val="22"/>
          <w:szCs w:val="22"/>
          <w:lang w:eastAsia="en-US"/>
        </w:rPr>
        <w:t xml:space="preserve">Reikia skirti tokią </w:t>
      </w:r>
      <w:bookmarkStart w:id="5" w:name="_Hlk222230624"/>
      <w:r w:rsidRPr="006864E0">
        <w:rPr>
          <w:snapToGrid w:val="0"/>
          <w:sz w:val="22"/>
          <w:szCs w:val="22"/>
          <w:lang w:eastAsia="en-US"/>
        </w:rPr>
        <w:t xml:space="preserve">šio vaistinio preparato </w:t>
      </w:r>
      <w:bookmarkEnd w:id="5"/>
      <w:r w:rsidRPr="006864E0">
        <w:rPr>
          <w:snapToGrid w:val="0"/>
          <w:sz w:val="22"/>
          <w:szCs w:val="22"/>
          <w:lang w:eastAsia="en-US"/>
        </w:rPr>
        <w:t xml:space="preserve">dozę, kokia atitinka 2,5 mg </w:t>
      </w:r>
      <w:proofErr w:type="spellStart"/>
      <w:r w:rsidRPr="006864E0">
        <w:rPr>
          <w:snapToGrid w:val="0"/>
          <w:sz w:val="22"/>
          <w:szCs w:val="22"/>
          <w:lang w:eastAsia="en-US"/>
        </w:rPr>
        <w:t>linagliptino</w:t>
      </w:r>
      <w:proofErr w:type="spellEnd"/>
      <w:r w:rsidRPr="006864E0">
        <w:rPr>
          <w:snapToGrid w:val="0"/>
          <w:sz w:val="22"/>
          <w:szCs w:val="22"/>
          <w:lang w:eastAsia="en-US"/>
        </w:rPr>
        <w:t xml:space="preserve"> 2 kartus per parą (bendra paros dozė 5 mg), ir panašią į jau vartojamą </w:t>
      </w:r>
      <w:proofErr w:type="spellStart"/>
      <w:r w:rsidRPr="006864E0">
        <w:rPr>
          <w:snapToGrid w:val="0"/>
          <w:sz w:val="22"/>
          <w:szCs w:val="22"/>
          <w:lang w:eastAsia="en-US"/>
        </w:rPr>
        <w:t>metformino</w:t>
      </w:r>
      <w:proofErr w:type="spellEnd"/>
      <w:r w:rsidRPr="006864E0">
        <w:rPr>
          <w:snapToGrid w:val="0"/>
          <w:sz w:val="22"/>
          <w:szCs w:val="22"/>
          <w:lang w:eastAsia="en-US"/>
        </w:rPr>
        <w:t xml:space="preserve"> dozę. </w:t>
      </w:r>
      <w:r w:rsidR="0022321D" w:rsidRPr="00A6463E">
        <w:rPr>
          <w:snapToGrid w:val="0"/>
          <w:sz w:val="22"/>
          <w:szCs w:val="22"/>
          <w:lang w:eastAsia="en-US"/>
        </w:rPr>
        <w:t xml:space="preserve">Kai </w:t>
      </w:r>
      <w:proofErr w:type="spellStart"/>
      <w:r w:rsidR="0022321D" w:rsidRPr="00A6463E">
        <w:rPr>
          <w:snapToGrid w:val="0"/>
          <w:sz w:val="22"/>
          <w:szCs w:val="22"/>
          <w:lang w:eastAsia="en-US"/>
        </w:rPr>
        <w:t>linagliptinas</w:t>
      </w:r>
      <w:proofErr w:type="spellEnd"/>
      <w:r w:rsidR="0022321D" w:rsidRPr="00A6463E">
        <w:rPr>
          <w:snapToGrid w:val="0"/>
          <w:sz w:val="22"/>
          <w:szCs w:val="22"/>
          <w:lang w:eastAsia="en-US"/>
        </w:rPr>
        <w:t xml:space="preserve"> ir </w:t>
      </w:r>
      <w:proofErr w:type="spellStart"/>
      <w:r w:rsidR="0022321D" w:rsidRPr="00A6463E">
        <w:rPr>
          <w:snapToGrid w:val="0"/>
          <w:sz w:val="22"/>
          <w:szCs w:val="22"/>
          <w:lang w:eastAsia="en-US"/>
        </w:rPr>
        <w:t>metformino</w:t>
      </w:r>
      <w:proofErr w:type="spellEnd"/>
      <w:r w:rsidR="0022321D" w:rsidRPr="00A6463E">
        <w:rPr>
          <w:snapToGrid w:val="0"/>
          <w:sz w:val="22"/>
          <w:szCs w:val="22"/>
          <w:lang w:eastAsia="en-US"/>
        </w:rPr>
        <w:t xml:space="preserve"> hidrochloridas vartojami kartu</w:t>
      </w:r>
      <w:r w:rsidR="00F36747" w:rsidRPr="006864E0">
        <w:rPr>
          <w:snapToGrid w:val="0"/>
          <w:sz w:val="22"/>
          <w:szCs w:val="22"/>
          <w:lang w:eastAsia="en-US"/>
        </w:rPr>
        <w:t xml:space="preserve"> </w:t>
      </w:r>
      <w:r w:rsidRPr="006864E0">
        <w:rPr>
          <w:snapToGrid w:val="0"/>
          <w:sz w:val="22"/>
          <w:szCs w:val="22"/>
          <w:lang w:eastAsia="en-US"/>
        </w:rPr>
        <w:t>su</w:t>
      </w:r>
      <w:r>
        <w:rPr>
          <w:snapToGrid w:val="0"/>
          <w:sz w:val="22"/>
          <w:szCs w:val="22"/>
          <w:lang w:eastAsia="en-US"/>
        </w:rPr>
        <w:t xml:space="preserve"> </w:t>
      </w:r>
      <w:proofErr w:type="spellStart"/>
      <w:r>
        <w:rPr>
          <w:snapToGrid w:val="0"/>
          <w:sz w:val="22"/>
          <w:szCs w:val="22"/>
          <w:lang w:eastAsia="en-US"/>
        </w:rPr>
        <w:t>sulfonilurėjos</w:t>
      </w:r>
      <w:proofErr w:type="spellEnd"/>
      <w:r>
        <w:rPr>
          <w:snapToGrid w:val="0"/>
          <w:sz w:val="22"/>
          <w:szCs w:val="22"/>
          <w:lang w:eastAsia="en-US"/>
        </w:rPr>
        <w:t xml:space="preserve"> dariniu, gali reikėti mažesnės </w:t>
      </w:r>
      <w:proofErr w:type="spellStart"/>
      <w:r>
        <w:rPr>
          <w:snapToGrid w:val="0"/>
          <w:sz w:val="22"/>
          <w:szCs w:val="22"/>
          <w:lang w:eastAsia="en-US"/>
        </w:rPr>
        <w:t>sulfonilurėjos</w:t>
      </w:r>
      <w:proofErr w:type="spellEnd"/>
      <w:r>
        <w:rPr>
          <w:snapToGrid w:val="0"/>
          <w:sz w:val="22"/>
          <w:szCs w:val="22"/>
          <w:lang w:eastAsia="en-US"/>
        </w:rPr>
        <w:t xml:space="preserve"> darinio dozės, kad sumažėtų hipoglikemijos rizika (žr. 4.4 skyrių).</w:t>
      </w:r>
    </w:p>
    <w:p w14:paraId="63C05A2D" w14:textId="77777777" w:rsidR="003F7CCA" w:rsidRDefault="003F7CCA">
      <w:pPr>
        <w:tabs>
          <w:tab w:val="left" w:pos="567"/>
        </w:tabs>
        <w:rPr>
          <w:snapToGrid w:val="0"/>
          <w:sz w:val="22"/>
          <w:szCs w:val="22"/>
          <w:u w:val="single"/>
          <w:lang w:eastAsia="en-US"/>
        </w:rPr>
      </w:pPr>
    </w:p>
    <w:p w14:paraId="65506B27" w14:textId="206D8B0D" w:rsidR="003F7CCA" w:rsidRDefault="0080197E">
      <w:pPr>
        <w:tabs>
          <w:tab w:val="left" w:pos="567"/>
        </w:tabs>
        <w:rPr>
          <w:i/>
          <w:iCs/>
          <w:snapToGrid w:val="0"/>
          <w:sz w:val="22"/>
          <w:szCs w:val="22"/>
          <w:lang w:eastAsia="en-US"/>
        </w:rPr>
      </w:pPr>
      <w:r>
        <w:rPr>
          <w:i/>
          <w:iCs/>
          <w:snapToGrid w:val="0"/>
          <w:sz w:val="22"/>
          <w:szCs w:val="22"/>
          <w:lang w:eastAsia="en-US"/>
        </w:rPr>
        <w:t xml:space="preserve">Pacientai, kuriems </w:t>
      </w:r>
      <w:proofErr w:type="spellStart"/>
      <w:r w:rsidR="008C2DD3">
        <w:rPr>
          <w:i/>
          <w:iCs/>
          <w:snapToGrid w:val="0"/>
          <w:sz w:val="22"/>
          <w:szCs w:val="22"/>
          <w:lang w:eastAsia="en-US"/>
        </w:rPr>
        <w:t>glikemija</w:t>
      </w:r>
      <w:proofErr w:type="spellEnd"/>
      <w:r w:rsidR="008C2DD3">
        <w:rPr>
          <w:i/>
          <w:iCs/>
          <w:snapToGrid w:val="0"/>
          <w:sz w:val="22"/>
          <w:szCs w:val="22"/>
          <w:lang w:eastAsia="en-US"/>
        </w:rPr>
        <w:t xml:space="preserve"> nepakankamai sureguliuojama taikant sudėtinį gy</w:t>
      </w:r>
      <w:r w:rsidR="003D041D">
        <w:rPr>
          <w:i/>
          <w:iCs/>
          <w:snapToGrid w:val="0"/>
          <w:sz w:val="22"/>
          <w:szCs w:val="22"/>
          <w:lang w:eastAsia="en-US"/>
        </w:rPr>
        <w:t xml:space="preserve">dymą </w:t>
      </w:r>
      <w:r>
        <w:rPr>
          <w:i/>
          <w:iCs/>
          <w:snapToGrid w:val="0"/>
          <w:sz w:val="22"/>
          <w:szCs w:val="22"/>
          <w:lang w:eastAsia="en-US"/>
        </w:rPr>
        <w:t xml:space="preserve"> insulinu ir didžiausia toleruojama </w:t>
      </w:r>
      <w:proofErr w:type="spellStart"/>
      <w:r>
        <w:rPr>
          <w:i/>
          <w:iCs/>
          <w:snapToGrid w:val="0"/>
          <w:sz w:val="22"/>
          <w:szCs w:val="22"/>
          <w:lang w:eastAsia="en-US"/>
        </w:rPr>
        <w:t>metformino</w:t>
      </w:r>
      <w:proofErr w:type="spellEnd"/>
      <w:r>
        <w:rPr>
          <w:i/>
          <w:iCs/>
          <w:snapToGrid w:val="0"/>
          <w:sz w:val="22"/>
          <w:szCs w:val="22"/>
          <w:lang w:eastAsia="en-US"/>
        </w:rPr>
        <w:t xml:space="preserve"> doze </w:t>
      </w:r>
    </w:p>
    <w:p w14:paraId="592BAC34" w14:textId="257C2ECB" w:rsidR="003F7CCA" w:rsidRDefault="0080197E">
      <w:pPr>
        <w:tabs>
          <w:tab w:val="left" w:pos="567"/>
        </w:tabs>
        <w:rPr>
          <w:snapToGrid w:val="0"/>
          <w:sz w:val="22"/>
          <w:szCs w:val="22"/>
          <w:lang w:eastAsia="en-US"/>
        </w:rPr>
      </w:pPr>
      <w:r>
        <w:rPr>
          <w:snapToGrid w:val="0"/>
          <w:sz w:val="22"/>
          <w:szCs w:val="22"/>
          <w:lang w:eastAsia="en-US"/>
        </w:rPr>
        <w:t xml:space="preserve">Reikia skirti tokią šio vaistinio preparato dozę, kokia atitinka 2,5 mg </w:t>
      </w:r>
      <w:proofErr w:type="spellStart"/>
      <w:r>
        <w:rPr>
          <w:snapToGrid w:val="0"/>
          <w:sz w:val="22"/>
          <w:szCs w:val="22"/>
          <w:lang w:eastAsia="en-US"/>
        </w:rPr>
        <w:t>linagliptino</w:t>
      </w:r>
      <w:proofErr w:type="spellEnd"/>
      <w:r>
        <w:rPr>
          <w:snapToGrid w:val="0"/>
          <w:sz w:val="22"/>
          <w:szCs w:val="22"/>
          <w:lang w:eastAsia="en-US"/>
        </w:rPr>
        <w:t xml:space="preserve"> 2 kartus per parą (bendra paros dozė 5 mg) ir panašią į jau vartojamą </w:t>
      </w:r>
      <w:proofErr w:type="spellStart"/>
      <w:r>
        <w:rPr>
          <w:snapToGrid w:val="0"/>
          <w:sz w:val="22"/>
          <w:szCs w:val="22"/>
          <w:lang w:eastAsia="en-US"/>
        </w:rPr>
        <w:t>metformino</w:t>
      </w:r>
      <w:proofErr w:type="spellEnd"/>
      <w:r>
        <w:rPr>
          <w:snapToGrid w:val="0"/>
          <w:sz w:val="22"/>
          <w:szCs w:val="22"/>
          <w:lang w:eastAsia="en-US"/>
        </w:rPr>
        <w:t xml:space="preserve"> dozę. </w:t>
      </w:r>
      <w:r w:rsidR="00A12D18" w:rsidRPr="00A6463E">
        <w:rPr>
          <w:snapToGrid w:val="0"/>
          <w:sz w:val="22"/>
          <w:szCs w:val="22"/>
          <w:lang w:eastAsia="en-US"/>
        </w:rPr>
        <w:t xml:space="preserve">Kai </w:t>
      </w:r>
      <w:proofErr w:type="spellStart"/>
      <w:r w:rsidR="00A12D18" w:rsidRPr="00A6463E">
        <w:rPr>
          <w:snapToGrid w:val="0"/>
          <w:sz w:val="22"/>
          <w:szCs w:val="22"/>
          <w:lang w:eastAsia="en-US"/>
        </w:rPr>
        <w:t>linagliptinas</w:t>
      </w:r>
      <w:proofErr w:type="spellEnd"/>
      <w:r w:rsidR="00A12D18" w:rsidRPr="00A6463E">
        <w:rPr>
          <w:snapToGrid w:val="0"/>
          <w:sz w:val="22"/>
          <w:szCs w:val="22"/>
          <w:lang w:eastAsia="en-US"/>
        </w:rPr>
        <w:t xml:space="preserve"> ir </w:t>
      </w:r>
      <w:proofErr w:type="spellStart"/>
      <w:r w:rsidR="00A12D18" w:rsidRPr="00A6463E">
        <w:rPr>
          <w:snapToGrid w:val="0"/>
          <w:sz w:val="22"/>
          <w:szCs w:val="22"/>
          <w:lang w:eastAsia="en-US"/>
        </w:rPr>
        <w:t>metformino</w:t>
      </w:r>
      <w:proofErr w:type="spellEnd"/>
      <w:r w:rsidR="00A12D18" w:rsidRPr="00A6463E">
        <w:rPr>
          <w:snapToGrid w:val="0"/>
          <w:sz w:val="22"/>
          <w:szCs w:val="22"/>
          <w:lang w:eastAsia="en-US"/>
        </w:rPr>
        <w:t xml:space="preserve"> hidrochloridas vartojami kartu </w:t>
      </w:r>
      <w:r>
        <w:rPr>
          <w:snapToGrid w:val="0"/>
          <w:sz w:val="22"/>
          <w:szCs w:val="22"/>
          <w:lang w:eastAsia="en-US"/>
        </w:rPr>
        <w:t>su insulinu, gali reikėti mažesnės insulino dozės, kad sumažėtų hipoglikemijos rizika (žr. 4.4  skyrių).</w:t>
      </w:r>
    </w:p>
    <w:p w14:paraId="7B7A3C73" w14:textId="77777777" w:rsidR="003F7CCA" w:rsidRDefault="003F7CCA">
      <w:pPr>
        <w:tabs>
          <w:tab w:val="left" w:pos="567"/>
        </w:tabs>
        <w:rPr>
          <w:snapToGrid w:val="0"/>
          <w:sz w:val="22"/>
          <w:szCs w:val="22"/>
          <w:u w:val="single"/>
          <w:lang w:eastAsia="en-US"/>
        </w:rPr>
      </w:pPr>
    </w:p>
    <w:p w14:paraId="1B6E07C2" w14:textId="6B29626B" w:rsidR="003F7CCA" w:rsidRDefault="0080197E">
      <w:pPr>
        <w:tabs>
          <w:tab w:val="left" w:pos="567"/>
        </w:tabs>
        <w:rPr>
          <w:snapToGrid w:val="0"/>
          <w:sz w:val="22"/>
          <w:szCs w:val="22"/>
          <w:lang w:eastAsia="en-US"/>
        </w:rPr>
      </w:pPr>
      <w:r>
        <w:rPr>
          <w:snapToGrid w:val="0"/>
          <w:sz w:val="22"/>
          <w:szCs w:val="22"/>
          <w:lang w:eastAsia="en-US"/>
        </w:rPr>
        <w:t xml:space="preserve">Kadangi </w:t>
      </w:r>
      <w:proofErr w:type="spellStart"/>
      <w:r>
        <w:rPr>
          <w:snapToGrid w:val="0"/>
          <w:sz w:val="22"/>
          <w:szCs w:val="22"/>
          <w:lang w:eastAsia="en-US"/>
        </w:rPr>
        <w:t>metformino</w:t>
      </w:r>
      <w:proofErr w:type="spellEnd"/>
      <w:r>
        <w:rPr>
          <w:snapToGrid w:val="0"/>
          <w:sz w:val="22"/>
          <w:szCs w:val="22"/>
          <w:lang w:eastAsia="en-US"/>
        </w:rPr>
        <w:t xml:space="preserve"> dozė yra skirtinga, šis vaist</w:t>
      </w:r>
      <w:r w:rsidR="002804F9">
        <w:rPr>
          <w:snapToGrid w:val="0"/>
          <w:sz w:val="22"/>
          <w:szCs w:val="22"/>
          <w:lang w:eastAsia="en-US"/>
        </w:rPr>
        <w:t>inis preparatas</w:t>
      </w:r>
      <w:r>
        <w:rPr>
          <w:snapToGrid w:val="0"/>
          <w:sz w:val="22"/>
          <w:szCs w:val="22"/>
          <w:lang w:eastAsia="en-US"/>
        </w:rPr>
        <w:t xml:space="preserve"> tiekiamas šių stiprumų</w:t>
      </w:r>
      <w:r w:rsidR="00EC6EA4">
        <w:rPr>
          <w:sz w:val="22"/>
          <w:szCs w:val="22"/>
          <w:lang w:eastAsia="en-US"/>
        </w:rPr>
        <w:t xml:space="preserve"> tabletė</w:t>
      </w:r>
      <w:r w:rsidR="006864E0">
        <w:rPr>
          <w:sz w:val="22"/>
          <w:szCs w:val="22"/>
          <w:lang w:eastAsia="en-US"/>
        </w:rPr>
        <w:t>mi</w:t>
      </w:r>
      <w:r w:rsidR="00EC6EA4">
        <w:rPr>
          <w:sz w:val="22"/>
          <w:szCs w:val="22"/>
          <w:lang w:eastAsia="en-US"/>
        </w:rPr>
        <w:t>s</w:t>
      </w:r>
      <w:r>
        <w:rPr>
          <w:snapToGrid w:val="0"/>
          <w:sz w:val="22"/>
          <w:szCs w:val="22"/>
          <w:lang w:eastAsia="en-US"/>
        </w:rPr>
        <w:t xml:space="preserve">: 2,5 mg </w:t>
      </w:r>
      <w:proofErr w:type="spellStart"/>
      <w:r>
        <w:rPr>
          <w:snapToGrid w:val="0"/>
          <w:sz w:val="22"/>
          <w:szCs w:val="22"/>
          <w:lang w:eastAsia="en-US"/>
        </w:rPr>
        <w:t>linagliptino</w:t>
      </w:r>
      <w:proofErr w:type="spellEnd"/>
      <w:r>
        <w:rPr>
          <w:snapToGrid w:val="0"/>
          <w:sz w:val="22"/>
          <w:szCs w:val="22"/>
          <w:lang w:eastAsia="en-US"/>
        </w:rPr>
        <w:t xml:space="preserve"> plius 850 mg </w:t>
      </w:r>
      <w:proofErr w:type="spellStart"/>
      <w:r>
        <w:rPr>
          <w:snapToGrid w:val="0"/>
          <w:sz w:val="22"/>
          <w:szCs w:val="22"/>
          <w:lang w:eastAsia="en-US"/>
        </w:rPr>
        <w:t>metformino</w:t>
      </w:r>
      <w:proofErr w:type="spellEnd"/>
      <w:r>
        <w:rPr>
          <w:snapToGrid w:val="0"/>
          <w:sz w:val="22"/>
          <w:szCs w:val="22"/>
          <w:lang w:eastAsia="en-US"/>
        </w:rPr>
        <w:t xml:space="preserve"> hidrochlorido ir 2,5 mg </w:t>
      </w:r>
      <w:proofErr w:type="spellStart"/>
      <w:r>
        <w:rPr>
          <w:snapToGrid w:val="0"/>
          <w:sz w:val="22"/>
          <w:szCs w:val="22"/>
          <w:lang w:eastAsia="en-US"/>
        </w:rPr>
        <w:t>linagliptino</w:t>
      </w:r>
      <w:proofErr w:type="spellEnd"/>
      <w:r>
        <w:rPr>
          <w:snapToGrid w:val="0"/>
          <w:sz w:val="22"/>
          <w:szCs w:val="22"/>
          <w:lang w:eastAsia="en-US"/>
        </w:rPr>
        <w:t xml:space="preserve"> plius 1 000 mg </w:t>
      </w:r>
      <w:proofErr w:type="spellStart"/>
      <w:r>
        <w:rPr>
          <w:snapToGrid w:val="0"/>
          <w:sz w:val="22"/>
          <w:szCs w:val="22"/>
          <w:lang w:eastAsia="en-US"/>
        </w:rPr>
        <w:t>metformino</w:t>
      </w:r>
      <w:proofErr w:type="spellEnd"/>
      <w:r>
        <w:rPr>
          <w:snapToGrid w:val="0"/>
          <w:sz w:val="22"/>
          <w:szCs w:val="22"/>
          <w:lang w:eastAsia="en-US"/>
        </w:rPr>
        <w:t xml:space="preserve"> hidrochlorido.</w:t>
      </w:r>
    </w:p>
    <w:p w14:paraId="672C5A3E" w14:textId="77777777" w:rsidR="003F7CCA" w:rsidRDefault="003F7CCA">
      <w:pPr>
        <w:tabs>
          <w:tab w:val="left" w:pos="567"/>
        </w:tabs>
        <w:rPr>
          <w:snapToGrid w:val="0"/>
          <w:sz w:val="22"/>
          <w:szCs w:val="22"/>
          <w:u w:val="single"/>
          <w:lang w:eastAsia="en-US"/>
        </w:rPr>
      </w:pPr>
    </w:p>
    <w:p w14:paraId="2B8EE247" w14:textId="77777777" w:rsidR="003F7CCA" w:rsidRDefault="0080197E">
      <w:pPr>
        <w:tabs>
          <w:tab w:val="left" w:pos="567"/>
        </w:tabs>
        <w:rPr>
          <w:snapToGrid w:val="0"/>
          <w:sz w:val="22"/>
          <w:szCs w:val="22"/>
          <w:u w:val="single"/>
          <w:lang w:eastAsia="en-US"/>
        </w:rPr>
      </w:pPr>
      <w:r>
        <w:rPr>
          <w:snapToGrid w:val="0"/>
          <w:sz w:val="22"/>
          <w:szCs w:val="22"/>
          <w:u w:val="single"/>
          <w:lang w:eastAsia="en-US"/>
        </w:rPr>
        <w:t>Ypatingos populiacijos</w:t>
      </w:r>
    </w:p>
    <w:p w14:paraId="238B8AE5" w14:textId="77777777" w:rsidR="003F7CCA" w:rsidRDefault="0080197E">
      <w:pPr>
        <w:rPr>
          <w:i/>
          <w:snapToGrid w:val="0"/>
          <w:sz w:val="22"/>
          <w:szCs w:val="22"/>
          <w:lang w:eastAsia="en-US"/>
        </w:rPr>
      </w:pPr>
      <w:r>
        <w:rPr>
          <w:i/>
          <w:snapToGrid w:val="0"/>
          <w:sz w:val="22"/>
          <w:szCs w:val="22"/>
          <w:lang w:eastAsia="en-US"/>
        </w:rPr>
        <w:t>Senyviems pacientams</w:t>
      </w:r>
    </w:p>
    <w:p w14:paraId="3B5C4982" w14:textId="7B16F87C" w:rsidR="003F7CCA" w:rsidRDefault="0080197E">
      <w:pPr>
        <w:rPr>
          <w:snapToGrid w:val="0"/>
          <w:color w:val="000000"/>
          <w:sz w:val="22"/>
          <w:szCs w:val="22"/>
          <w:lang w:eastAsia="en-US"/>
        </w:rPr>
      </w:pPr>
      <w:r>
        <w:rPr>
          <w:snapToGrid w:val="0"/>
          <w:color w:val="000000"/>
          <w:sz w:val="22"/>
          <w:szCs w:val="22"/>
          <w:lang w:eastAsia="en-US"/>
        </w:rPr>
        <w:t xml:space="preserve">Kadangi </w:t>
      </w:r>
      <w:proofErr w:type="spellStart"/>
      <w:r>
        <w:rPr>
          <w:snapToGrid w:val="0"/>
          <w:color w:val="000000"/>
          <w:sz w:val="22"/>
          <w:szCs w:val="22"/>
          <w:lang w:eastAsia="en-US"/>
        </w:rPr>
        <w:t>metforminas</w:t>
      </w:r>
      <w:proofErr w:type="spellEnd"/>
      <w:r>
        <w:rPr>
          <w:snapToGrid w:val="0"/>
          <w:color w:val="000000"/>
          <w:sz w:val="22"/>
          <w:szCs w:val="22"/>
          <w:lang w:eastAsia="en-US"/>
        </w:rPr>
        <w:t xml:space="preserve"> iš organizmo išsiskiria </w:t>
      </w:r>
      <w:r w:rsidR="007D0562">
        <w:rPr>
          <w:snapToGrid w:val="0"/>
          <w:color w:val="000000"/>
          <w:sz w:val="22"/>
          <w:szCs w:val="22"/>
          <w:lang w:eastAsia="en-US"/>
        </w:rPr>
        <w:t xml:space="preserve">per </w:t>
      </w:r>
      <w:r>
        <w:rPr>
          <w:snapToGrid w:val="0"/>
          <w:color w:val="000000"/>
          <w:sz w:val="22"/>
          <w:szCs w:val="22"/>
          <w:lang w:eastAsia="en-US"/>
        </w:rPr>
        <w:t xml:space="preserve">inkstus, </w:t>
      </w:r>
      <w:r w:rsidR="007D0562">
        <w:rPr>
          <w:snapToGrid w:val="0"/>
          <w:color w:val="000000"/>
          <w:sz w:val="22"/>
          <w:szCs w:val="22"/>
          <w:lang w:eastAsia="en-US"/>
        </w:rPr>
        <w:t>vyresnio amžiaus pacientams</w:t>
      </w:r>
      <w:r>
        <w:rPr>
          <w:snapToGrid w:val="0"/>
          <w:color w:val="000000"/>
          <w:sz w:val="22"/>
          <w:szCs w:val="22"/>
          <w:lang w:eastAsia="en-US"/>
        </w:rPr>
        <w:t xml:space="preserve">, </w:t>
      </w:r>
      <w:proofErr w:type="spellStart"/>
      <w:r>
        <w:rPr>
          <w:snapToGrid w:val="0"/>
          <w:sz w:val="22"/>
          <w:szCs w:val="22"/>
          <w:lang w:eastAsia="en-US"/>
        </w:rPr>
        <w:t>linagliptino</w:t>
      </w:r>
      <w:proofErr w:type="spellEnd"/>
      <w:r>
        <w:rPr>
          <w:snapToGrid w:val="0"/>
          <w:sz w:val="22"/>
          <w:szCs w:val="22"/>
          <w:lang w:eastAsia="en-US"/>
        </w:rPr>
        <w:t>/</w:t>
      </w:r>
      <w:proofErr w:type="spellStart"/>
      <w:r>
        <w:rPr>
          <w:snapToGrid w:val="0"/>
          <w:sz w:val="22"/>
          <w:szCs w:val="22"/>
          <w:lang w:eastAsia="en-US"/>
        </w:rPr>
        <w:t>metformino</w:t>
      </w:r>
      <w:proofErr w:type="spellEnd"/>
      <w:r>
        <w:rPr>
          <w:snapToGrid w:val="0"/>
          <w:color w:val="000000"/>
          <w:sz w:val="22"/>
          <w:szCs w:val="22"/>
          <w:lang w:eastAsia="en-US"/>
        </w:rPr>
        <w:t xml:space="preserve"> reikia vartoti atsargiai. Būtina </w:t>
      </w:r>
      <w:r w:rsidR="00652F0B">
        <w:rPr>
          <w:snapToGrid w:val="0"/>
          <w:color w:val="000000"/>
          <w:sz w:val="22"/>
          <w:szCs w:val="22"/>
          <w:lang w:eastAsia="en-US"/>
        </w:rPr>
        <w:t xml:space="preserve">stebėti </w:t>
      </w:r>
      <w:r>
        <w:rPr>
          <w:snapToGrid w:val="0"/>
          <w:color w:val="000000"/>
          <w:sz w:val="22"/>
          <w:szCs w:val="22"/>
          <w:lang w:eastAsia="en-US"/>
        </w:rPr>
        <w:t xml:space="preserve">inkstų funkciją, kad būtų galima </w:t>
      </w:r>
      <w:r w:rsidR="00652F0B">
        <w:rPr>
          <w:snapToGrid w:val="0"/>
          <w:color w:val="000000"/>
          <w:sz w:val="22"/>
          <w:szCs w:val="22"/>
          <w:lang w:eastAsia="en-US"/>
        </w:rPr>
        <w:t xml:space="preserve"> išvengti</w:t>
      </w:r>
      <w:r>
        <w:rPr>
          <w:snapToGrid w:val="0"/>
          <w:color w:val="000000"/>
          <w:sz w:val="22"/>
          <w:szCs w:val="22"/>
          <w:lang w:eastAsia="en-US"/>
        </w:rPr>
        <w:t xml:space="preserve"> su </w:t>
      </w:r>
      <w:proofErr w:type="spellStart"/>
      <w:r>
        <w:rPr>
          <w:snapToGrid w:val="0"/>
          <w:color w:val="000000"/>
          <w:sz w:val="22"/>
          <w:szCs w:val="22"/>
          <w:lang w:eastAsia="en-US"/>
        </w:rPr>
        <w:t>metformino</w:t>
      </w:r>
      <w:proofErr w:type="spellEnd"/>
      <w:r>
        <w:rPr>
          <w:snapToGrid w:val="0"/>
          <w:color w:val="000000"/>
          <w:sz w:val="22"/>
          <w:szCs w:val="22"/>
          <w:lang w:eastAsia="en-US"/>
        </w:rPr>
        <w:t xml:space="preserve"> vartojimu susijusios pieno rūgšties </w:t>
      </w:r>
      <w:proofErr w:type="spellStart"/>
      <w:r>
        <w:rPr>
          <w:snapToGrid w:val="0"/>
          <w:color w:val="000000"/>
          <w:sz w:val="22"/>
          <w:szCs w:val="22"/>
          <w:lang w:eastAsia="en-US"/>
        </w:rPr>
        <w:t>acidozės</w:t>
      </w:r>
      <w:proofErr w:type="spellEnd"/>
      <w:r>
        <w:rPr>
          <w:snapToGrid w:val="0"/>
          <w:color w:val="000000"/>
          <w:sz w:val="22"/>
          <w:szCs w:val="22"/>
          <w:lang w:eastAsia="en-US"/>
        </w:rPr>
        <w:t xml:space="preserve"> </w:t>
      </w:r>
      <w:r w:rsidR="00AC6303">
        <w:rPr>
          <w:snapToGrid w:val="0"/>
          <w:color w:val="000000"/>
          <w:sz w:val="22"/>
          <w:szCs w:val="22"/>
          <w:lang w:eastAsia="en-US"/>
        </w:rPr>
        <w:t xml:space="preserve"> pasireiškimo</w:t>
      </w:r>
      <w:r>
        <w:rPr>
          <w:snapToGrid w:val="0"/>
          <w:color w:val="000000"/>
          <w:sz w:val="22"/>
          <w:szCs w:val="22"/>
          <w:lang w:eastAsia="en-US"/>
        </w:rPr>
        <w:t xml:space="preserve">, ypač senyviems </w:t>
      </w:r>
      <w:r w:rsidR="00AC6303">
        <w:rPr>
          <w:snapToGrid w:val="0"/>
          <w:color w:val="000000"/>
          <w:sz w:val="22"/>
          <w:szCs w:val="22"/>
          <w:lang w:eastAsia="en-US"/>
        </w:rPr>
        <w:t xml:space="preserve">pacientams </w:t>
      </w:r>
      <w:r>
        <w:rPr>
          <w:snapToGrid w:val="0"/>
          <w:color w:val="000000"/>
          <w:sz w:val="22"/>
          <w:szCs w:val="22"/>
          <w:lang w:eastAsia="en-US"/>
        </w:rPr>
        <w:t>(žr. 4.3 ir 4.4  skyrius).</w:t>
      </w:r>
    </w:p>
    <w:p w14:paraId="5E7CE3A8" w14:textId="77777777" w:rsidR="003F7CCA" w:rsidRDefault="003F7CCA">
      <w:pPr>
        <w:rPr>
          <w:i/>
          <w:iCs/>
          <w:snapToGrid w:val="0"/>
          <w:color w:val="000000"/>
          <w:sz w:val="22"/>
          <w:szCs w:val="22"/>
          <w:lang w:eastAsia="en-US"/>
        </w:rPr>
      </w:pPr>
    </w:p>
    <w:p w14:paraId="78367F4A" w14:textId="77777777" w:rsidR="003F7CCA" w:rsidRDefault="0080197E">
      <w:pPr>
        <w:rPr>
          <w:bCs/>
          <w:i/>
          <w:iCs/>
          <w:snapToGrid w:val="0"/>
          <w:sz w:val="22"/>
          <w:szCs w:val="22"/>
          <w:lang w:eastAsia="en-US"/>
        </w:rPr>
      </w:pPr>
      <w:r>
        <w:rPr>
          <w:i/>
          <w:iCs/>
          <w:snapToGrid w:val="0"/>
          <w:color w:val="000000"/>
          <w:sz w:val="22"/>
          <w:szCs w:val="22"/>
          <w:lang w:eastAsia="en-US"/>
        </w:rPr>
        <w:t>Pacientams, kurių inkstų funkcija sutrikusi</w:t>
      </w:r>
    </w:p>
    <w:p w14:paraId="5DBE433A" w14:textId="4AF8EBDE" w:rsidR="003F7CCA" w:rsidRDefault="0080197E">
      <w:pPr>
        <w:rPr>
          <w:sz w:val="22"/>
          <w:szCs w:val="22"/>
          <w:lang w:eastAsia="sl-SI"/>
        </w:rPr>
      </w:pPr>
      <w:r>
        <w:rPr>
          <w:sz w:val="22"/>
          <w:szCs w:val="22"/>
          <w:lang w:eastAsia="sl-SI"/>
        </w:rPr>
        <w:t xml:space="preserve">Prieš pradedant gydymą vaistiniais preparatais, kurių sudėtyje yra </w:t>
      </w:r>
      <w:proofErr w:type="spellStart"/>
      <w:r>
        <w:rPr>
          <w:sz w:val="22"/>
          <w:szCs w:val="22"/>
          <w:lang w:eastAsia="sl-SI"/>
        </w:rPr>
        <w:t>metformino</w:t>
      </w:r>
      <w:proofErr w:type="spellEnd"/>
      <w:r>
        <w:rPr>
          <w:sz w:val="22"/>
          <w:szCs w:val="22"/>
          <w:lang w:eastAsia="sl-SI"/>
        </w:rPr>
        <w:t xml:space="preserve">, </w:t>
      </w:r>
      <w:r w:rsidR="00BD2330">
        <w:rPr>
          <w:sz w:val="22"/>
          <w:szCs w:val="22"/>
          <w:lang w:eastAsia="sl-SI"/>
        </w:rPr>
        <w:t>reikia įvertinti GFG</w:t>
      </w:r>
      <w:r w:rsidR="009B1D7E">
        <w:rPr>
          <w:sz w:val="22"/>
          <w:szCs w:val="22"/>
          <w:lang w:eastAsia="sl-SI"/>
        </w:rPr>
        <w:t xml:space="preserve">, po to </w:t>
      </w:r>
      <w:r w:rsidR="00634F93">
        <w:rPr>
          <w:sz w:val="22"/>
          <w:szCs w:val="22"/>
          <w:lang w:eastAsia="sl-SI"/>
        </w:rPr>
        <w:t xml:space="preserve">GFG </w:t>
      </w:r>
      <w:r w:rsidR="000C527C">
        <w:rPr>
          <w:sz w:val="22"/>
          <w:szCs w:val="22"/>
          <w:lang w:eastAsia="sl-SI"/>
        </w:rPr>
        <w:t>vertinti</w:t>
      </w:r>
      <w:r w:rsidR="00634F93">
        <w:rPr>
          <w:sz w:val="22"/>
          <w:szCs w:val="22"/>
          <w:lang w:eastAsia="sl-SI"/>
        </w:rPr>
        <w:t xml:space="preserve"> </w:t>
      </w:r>
      <w:r w:rsidR="009B1D7E">
        <w:rPr>
          <w:sz w:val="22"/>
          <w:szCs w:val="22"/>
          <w:lang w:eastAsia="sl-SI"/>
        </w:rPr>
        <w:t xml:space="preserve">bent </w:t>
      </w:r>
      <w:r w:rsidR="00B60FF9">
        <w:rPr>
          <w:sz w:val="22"/>
          <w:szCs w:val="22"/>
          <w:lang w:eastAsia="sl-SI"/>
        </w:rPr>
        <w:t xml:space="preserve">kartą </w:t>
      </w:r>
      <w:r w:rsidR="00634F93">
        <w:rPr>
          <w:sz w:val="22"/>
          <w:szCs w:val="22"/>
          <w:lang w:eastAsia="sl-SI"/>
        </w:rPr>
        <w:t>metuose</w:t>
      </w:r>
      <w:r w:rsidR="00B60FF9">
        <w:rPr>
          <w:sz w:val="22"/>
          <w:szCs w:val="22"/>
          <w:lang w:eastAsia="sl-SI"/>
        </w:rPr>
        <w:t xml:space="preserve"> </w:t>
      </w:r>
      <w:r>
        <w:rPr>
          <w:sz w:val="22"/>
          <w:szCs w:val="22"/>
          <w:lang w:eastAsia="sl-SI"/>
        </w:rPr>
        <w:t xml:space="preserve">. Pacientams, kuriems yra padidėjusi inkstų funkcijos </w:t>
      </w:r>
      <w:r w:rsidR="00DF3DE0">
        <w:rPr>
          <w:sz w:val="22"/>
          <w:szCs w:val="22"/>
          <w:lang w:eastAsia="sl-SI"/>
        </w:rPr>
        <w:t xml:space="preserve">nepakankamumo </w:t>
      </w:r>
      <w:r>
        <w:rPr>
          <w:sz w:val="22"/>
          <w:szCs w:val="22"/>
          <w:lang w:eastAsia="sl-SI"/>
        </w:rPr>
        <w:t xml:space="preserve">progresavimo rizika, ir senyviems </w:t>
      </w:r>
      <w:r w:rsidR="00DF3DE0">
        <w:rPr>
          <w:sz w:val="22"/>
          <w:szCs w:val="22"/>
          <w:lang w:eastAsia="sl-SI"/>
        </w:rPr>
        <w:t>pacientams</w:t>
      </w:r>
      <w:r w:rsidR="007F5891">
        <w:rPr>
          <w:sz w:val="22"/>
          <w:szCs w:val="22"/>
          <w:lang w:eastAsia="sl-SI"/>
        </w:rPr>
        <w:t>,</w:t>
      </w:r>
      <w:r w:rsidR="00DF3DE0">
        <w:rPr>
          <w:sz w:val="22"/>
          <w:szCs w:val="22"/>
          <w:lang w:eastAsia="sl-SI"/>
        </w:rPr>
        <w:t xml:space="preserve"> </w:t>
      </w:r>
      <w:r>
        <w:rPr>
          <w:sz w:val="22"/>
          <w:szCs w:val="22"/>
          <w:lang w:eastAsia="sl-SI"/>
        </w:rPr>
        <w:t>inkstų funkciją reikia vertinti dažniau, pvz., kas 3-6 mėnesius.</w:t>
      </w:r>
    </w:p>
    <w:p w14:paraId="6725DFF6" w14:textId="59EE798F" w:rsidR="003F7CCA" w:rsidRDefault="0080197E">
      <w:pPr>
        <w:rPr>
          <w:sz w:val="22"/>
          <w:szCs w:val="22"/>
          <w:lang w:eastAsia="sl-SI"/>
        </w:rPr>
      </w:pPr>
      <w:r>
        <w:rPr>
          <w:sz w:val="22"/>
          <w:szCs w:val="22"/>
          <w:lang w:eastAsia="sl-SI"/>
        </w:rPr>
        <w:t xml:space="preserve">Prieš svarstant galimybę pradėti gydymą </w:t>
      </w:r>
      <w:proofErr w:type="spellStart"/>
      <w:r>
        <w:rPr>
          <w:sz w:val="22"/>
          <w:szCs w:val="22"/>
          <w:lang w:eastAsia="sl-SI"/>
        </w:rPr>
        <w:t>metforminu</w:t>
      </w:r>
      <w:proofErr w:type="spellEnd"/>
      <w:r>
        <w:rPr>
          <w:sz w:val="22"/>
          <w:szCs w:val="22"/>
          <w:lang w:eastAsia="sl-SI"/>
        </w:rPr>
        <w:t xml:space="preserve"> pacientams, kurių GFG &lt; 60 ml/min., reikia peržiūrėti veiksnius, kurie gali </w:t>
      </w:r>
      <w:r w:rsidR="002B32D0">
        <w:rPr>
          <w:sz w:val="22"/>
          <w:szCs w:val="22"/>
          <w:lang w:eastAsia="sl-SI"/>
        </w:rPr>
        <w:t>pa</w:t>
      </w:r>
      <w:r>
        <w:rPr>
          <w:sz w:val="22"/>
          <w:szCs w:val="22"/>
          <w:lang w:eastAsia="sl-SI"/>
        </w:rPr>
        <w:t xml:space="preserve">didinti pieno rūgšties </w:t>
      </w:r>
      <w:proofErr w:type="spellStart"/>
      <w:r>
        <w:rPr>
          <w:sz w:val="22"/>
          <w:szCs w:val="22"/>
          <w:lang w:eastAsia="sl-SI"/>
        </w:rPr>
        <w:t>acidozės</w:t>
      </w:r>
      <w:proofErr w:type="spellEnd"/>
      <w:r>
        <w:rPr>
          <w:sz w:val="22"/>
          <w:szCs w:val="22"/>
          <w:lang w:eastAsia="sl-SI"/>
        </w:rPr>
        <w:t xml:space="preserve"> riziką (žr. 4.4 skyrių).</w:t>
      </w:r>
    </w:p>
    <w:p w14:paraId="330DBCAE" w14:textId="4A7D7924" w:rsidR="003F7CCA" w:rsidRDefault="0080197E">
      <w:pPr>
        <w:rPr>
          <w:sz w:val="22"/>
          <w:szCs w:val="22"/>
          <w:lang w:eastAsia="sl-SI"/>
        </w:rPr>
      </w:pPr>
      <w:r>
        <w:rPr>
          <w:sz w:val="22"/>
          <w:szCs w:val="22"/>
          <w:lang w:eastAsia="sl-SI"/>
        </w:rPr>
        <w:t xml:space="preserve">Jei nėra tinkamo šio </w:t>
      </w:r>
      <w:r w:rsidR="002B32D0">
        <w:rPr>
          <w:sz w:val="22"/>
          <w:szCs w:val="22"/>
          <w:lang w:eastAsia="sl-SI"/>
        </w:rPr>
        <w:t xml:space="preserve">vaistinio preparato </w:t>
      </w:r>
      <w:r>
        <w:rPr>
          <w:sz w:val="22"/>
          <w:szCs w:val="22"/>
          <w:lang w:eastAsia="sl-SI"/>
        </w:rPr>
        <w:t>stiprumo, vietoj fiksuotų dozių derinio reikia vartoti atskirus vieną veikliąją medžiagą turinčius komponentus.</w:t>
      </w:r>
    </w:p>
    <w:p w14:paraId="310C30A9" w14:textId="77777777" w:rsidR="003F7CCA" w:rsidRDefault="003F7CCA">
      <w:pPr>
        <w:rPr>
          <w:bCs/>
          <w:iCs/>
          <w:sz w:val="22"/>
          <w:szCs w:val="22"/>
          <w:lang w:eastAsia="sl-SI"/>
        </w:rPr>
      </w:pPr>
    </w:p>
    <w:p w14:paraId="3BB387E1" w14:textId="77777777" w:rsidR="003F7CCA" w:rsidRDefault="0080197E">
      <w:pPr>
        <w:rPr>
          <w:bCs/>
          <w:iCs/>
          <w:sz w:val="22"/>
          <w:szCs w:val="22"/>
          <w:lang w:eastAsia="sl-SI"/>
        </w:rPr>
      </w:pPr>
      <w:r>
        <w:rPr>
          <w:bCs/>
          <w:iCs/>
          <w:sz w:val="22"/>
          <w:szCs w:val="22"/>
          <w:lang w:eastAsia="sl-SI"/>
        </w:rPr>
        <w:t>1 lentelė. Dozavimas pacientams, kuriems yra inkstų funkcijos sutrikimas</w:t>
      </w:r>
    </w:p>
    <w:p w14:paraId="71709D53" w14:textId="77777777" w:rsidR="003F7CCA" w:rsidRDefault="003F7CCA">
      <w:pPr>
        <w:rPr>
          <w:bCs/>
          <w:iCs/>
          <w:sz w:val="22"/>
          <w:szCs w:val="22"/>
          <w:lang w:eastAsia="sl-SI"/>
        </w:rPr>
      </w:pPr>
    </w:p>
    <w:tbl>
      <w:tblPr>
        <w:tblStyle w:val="TableGrid1"/>
        <w:tblW w:w="9288" w:type="dxa"/>
        <w:tblInd w:w="-108" w:type="dxa"/>
        <w:tblCellMar>
          <w:top w:w="51" w:type="dxa"/>
          <w:left w:w="108" w:type="dxa"/>
          <w:right w:w="115" w:type="dxa"/>
        </w:tblCellMar>
        <w:tblLook w:val="04A0" w:firstRow="1" w:lastRow="0" w:firstColumn="1" w:lastColumn="0" w:noHBand="0" w:noVBand="1"/>
      </w:tblPr>
      <w:tblGrid>
        <w:gridCol w:w="1673"/>
        <w:gridCol w:w="3809"/>
        <w:gridCol w:w="3806"/>
      </w:tblGrid>
      <w:tr w:rsidR="003F7CCA" w14:paraId="0B0C1938" w14:textId="77777777" w:rsidTr="00653CC9">
        <w:trPr>
          <w:trHeight w:val="264"/>
        </w:trPr>
        <w:tc>
          <w:tcPr>
            <w:tcW w:w="1673" w:type="dxa"/>
            <w:tcBorders>
              <w:top w:val="single" w:sz="4" w:space="0" w:color="000000"/>
              <w:left w:val="single" w:sz="4" w:space="0" w:color="000000"/>
              <w:bottom w:val="single" w:sz="4" w:space="0" w:color="000000"/>
              <w:right w:val="single" w:sz="4" w:space="0" w:color="000000"/>
            </w:tcBorders>
          </w:tcPr>
          <w:p w14:paraId="08506A26" w14:textId="77777777" w:rsidR="003F7CCA" w:rsidRDefault="0080197E">
            <w:pPr>
              <w:spacing w:line="259" w:lineRule="auto"/>
              <w:rPr>
                <w:lang w:eastAsia="sl-SI"/>
              </w:rPr>
            </w:pPr>
            <w:r>
              <w:rPr>
                <w:lang w:eastAsia="sl-SI"/>
              </w:rPr>
              <w:t>GFG ml/min</w:t>
            </w:r>
          </w:p>
        </w:tc>
        <w:tc>
          <w:tcPr>
            <w:tcW w:w="3809" w:type="dxa"/>
            <w:tcBorders>
              <w:top w:val="single" w:sz="4" w:space="0" w:color="000000"/>
              <w:left w:val="single" w:sz="4" w:space="0" w:color="000000"/>
              <w:bottom w:val="single" w:sz="4" w:space="0" w:color="000000"/>
              <w:right w:val="single" w:sz="4" w:space="0" w:color="000000"/>
            </w:tcBorders>
          </w:tcPr>
          <w:p w14:paraId="1004E3FD" w14:textId="77777777" w:rsidR="003F7CCA" w:rsidRDefault="0080197E">
            <w:pPr>
              <w:spacing w:line="259" w:lineRule="auto"/>
              <w:rPr>
                <w:lang w:eastAsia="sl-SI"/>
              </w:rPr>
            </w:pPr>
            <w:r>
              <w:rPr>
                <w:lang w:eastAsia="sl-SI"/>
              </w:rPr>
              <w:t>Metforminas</w:t>
            </w:r>
          </w:p>
        </w:tc>
        <w:tc>
          <w:tcPr>
            <w:tcW w:w="3806" w:type="dxa"/>
            <w:tcBorders>
              <w:top w:val="single" w:sz="4" w:space="0" w:color="000000"/>
              <w:left w:val="single" w:sz="4" w:space="0" w:color="000000"/>
              <w:bottom w:val="single" w:sz="4" w:space="0" w:color="000000"/>
              <w:right w:val="single" w:sz="4" w:space="0" w:color="000000"/>
            </w:tcBorders>
          </w:tcPr>
          <w:p w14:paraId="26AB0C85" w14:textId="77777777" w:rsidR="003F7CCA" w:rsidRDefault="0080197E">
            <w:pPr>
              <w:spacing w:line="259" w:lineRule="auto"/>
              <w:rPr>
                <w:lang w:eastAsia="sl-SI"/>
              </w:rPr>
            </w:pPr>
            <w:r>
              <w:rPr>
                <w:lang w:eastAsia="sl-SI"/>
              </w:rPr>
              <w:t>Linagliptinas</w:t>
            </w:r>
          </w:p>
        </w:tc>
      </w:tr>
      <w:tr w:rsidR="003F7CCA" w14:paraId="7304A5B1" w14:textId="77777777" w:rsidTr="00653CC9">
        <w:trPr>
          <w:trHeight w:val="768"/>
        </w:trPr>
        <w:tc>
          <w:tcPr>
            <w:tcW w:w="1673" w:type="dxa"/>
            <w:tcBorders>
              <w:top w:val="single" w:sz="4" w:space="0" w:color="000000"/>
              <w:left w:val="single" w:sz="4" w:space="0" w:color="000000"/>
              <w:bottom w:val="single" w:sz="4" w:space="0" w:color="000000"/>
              <w:right w:val="single" w:sz="4" w:space="0" w:color="000000"/>
            </w:tcBorders>
          </w:tcPr>
          <w:p w14:paraId="6A303715" w14:textId="77777777" w:rsidR="003F7CCA" w:rsidRDefault="0080197E">
            <w:pPr>
              <w:spacing w:line="259" w:lineRule="auto"/>
              <w:rPr>
                <w:lang w:eastAsia="sl-SI"/>
              </w:rPr>
            </w:pPr>
            <w:r>
              <w:rPr>
                <w:lang w:eastAsia="sl-SI"/>
              </w:rPr>
              <w:t>60 - 89</w:t>
            </w:r>
          </w:p>
        </w:tc>
        <w:tc>
          <w:tcPr>
            <w:tcW w:w="3809" w:type="dxa"/>
            <w:tcBorders>
              <w:top w:val="single" w:sz="4" w:space="0" w:color="000000"/>
              <w:left w:val="single" w:sz="4" w:space="0" w:color="000000"/>
              <w:bottom w:val="single" w:sz="4" w:space="0" w:color="000000"/>
              <w:right w:val="single" w:sz="4" w:space="0" w:color="000000"/>
            </w:tcBorders>
          </w:tcPr>
          <w:p w14:paraId="56BE143E" w14:textId="77777777" w:rsidR="003F7CCA" w:rsidRDefault="0080197E">
            <w:pPr>
              <w:spacing w:line="259" w:lineRule="auto"/>
              <w:ind w:right="121"/>
              <w:rPr>
                <w:lang w:eastAsia="sl-SI"/>
              </w:rPr>
            </w:pPr>
            <w:r>
              <w:rPr>
                <w:lang w:eastAsia="sl-SI"/>
              </w:rPr>
              <w:t>Didžiausia paros dozė yra 3 000 mg.</w:t>
            </w:r>
          </w:p>
          <w:p w14:paraId="551B72C7" w14:textId="4A9D3D95" w:rsidR="003F7CCA" w:rsidRDefault="00653CC9">
            <w:pPr>
              <w:spacing w:line="259" w:lineRule="auto"/>
              <w:ind w:right="121"/>
              <w:rPr>
                <w:lang w:eastAsia="sl-SI"/>
              </w:rPr>
            </w:pPr>
            <w:r>
              <w:rPr>
                <w:lang w:eastAsia="sl-SI"/>
              </w:rPr>
              <w:t xml:space="preserve"> Atsižvelgiant į inkstų funkcijos blogėjimą, gali būti svarstomas dozės mažinimas</w:t>
            </w:r>
            <w:r w:rsidR="0080197E">
              <w:rPr>
                <w:lang w:eastAsia="sl-SI"/>
              </w:rPr>
              <w:t>.</w:t>
            </w:r>
          </w:p>
        </w:tc>
        <w:tc>
          <w:tcPr>
            <w:tcW w:w="3806" w:type="dxa"/>
            <w:tcBorders>
              <w:top w:val="single" w:sz="4" w:space="0" w:color="000000"/>
              <w:left w:val="single" w:sz="4" w:space="0" w:color="000000"/>
              <w:bottom w:val="single" w:sz="4" w:space="0" w:color="000000"/>
              <w:right w:val="single" w:sz="4" w:space="0" w:color="000000"/>
            </w:tcBorders>
          </w:tcPr>
          <w:p w14:paraId="190F177C" w14:textId="77777777" w:rsidR="003F7CCA" w:rsidRDefault="0080197E">
            <w:pPr>
              <w:spacing w:line="259" w:lineRule="auto"/>
              <w:rPr>
                <w:lang w:eastAsia="sl-SI"/>
              </w:rPr>
            </w:pPr>
            <w:r>
              <w:rPr>
                <w:lang w:eastAsia="sl-SI"/>
              </w:rPr>
              <w:t>Dozės koreguoti nereikia.</w:t>
            </w:r>
          </w:p>
        </w:tc>
      </w:tr>
      <w:tr w:rsidR="003F7CCA" w14:paraId="22B3A48D" w14:textId="77777777" w:rsidTr="00653CC9">
        <w:trPr>
          <w:trHeight w:val="768"/>
        </w:trPr>
        <w:tc>
          <w:tcPr>
            <w:tcW w:w="1673" w:type="dxa"/>
            <w:tcBorders>
              <w:top w:val="single" w:sz="4" w:space="0" w:color="000000"/>
              <w:left w:val="single" w:sz="4" w:space="0" w:color="000000"/>
              <w:bottom w:val="single" w:sz="4" w:space="0" w:color="000000"/>
              <w:right w:val="single" w:sz="4" w:space="0" w:color="000000"/>
            </w:tcBorders>
          </w:tcPr>
          <w:p w14:paraId="1455799B" w14:textId="77777777" w:rsidR="003F7CCA" w:rsidRDefault="0080197E">
            <w:pPr>
              <w:spacing w:line="259" w:lineRule="auto"/>
              <w:rPr>
                <w:lang w:eastAsia="sl-SI"/>
              </w:rPr>
            </w:pPr>
            <w:r>
              <w:rPr>
                <w:lang w:eastAsia="sl-SI"/>
              </w:rPr>
              <w:t>45 - 59</w:t>
            </w:r>
          </w:p>
        </w:tc>
        <w:tc>
          <w:tcPr>
            <w:tcW w:w="3809" w:type="dxa"/>
            <w:tcBorders>
              <w:top w:val="single" w:sz="4" w:space="0" w:color="000000"/>
              <w:left w:val="single" w:sz="4" w:space="0" w:color="000000"/>
              <w:bottom w:val="single" w:sz="4" w:space="0" w:color="000000"/>
              <w:right w:val="single" w:sz="4" w:space="0" w:color="000000"/>
            </w:tcBorders>
          </w:tcPr>
          <w:p w14:paraId="2E26DDFE" w14:textId="77777777" w:rsidR="003F7CCA" w:rsidRDefault="0080197E">
            <w:pPr>
              <w:spacing w:line="259" w:lineRule="auto"/>
              <w:rPr>
                <w:lang w:eastAsia="sl-SI"/>
              </w:rPr>
            </w:pPr>
            <w:r>
              <w:rPr>
                <w:lang w:eastAsia="sl-SI"/>
              </w:rPr>
              <w:t>Didžiausia paros dozė yra 2 000 mg.</w:t>
            </w:r>
          </w:p>
          <w:p w14:paraId="241F12F8" w14:textId="77777777" w:rsidR="003F7CCA" w:rsidRDefault="0080197E">
            <w:pPr>
              <w:spacing w:line="259" w:lineRule="auto"/>
              <w:rPr>
                <w:lang w:eastAsia="sl-SI"/>
              </w:rPr>
            </w:pPr>
            <w:r>
              <w:rPr>
                <w:lang w:eastAsia="sl-SI"/>
              </w:rPr>
              <w:t>Pradinė dozė yra ne daugiau kaip pusė didžiausios dozės.</w:t>
            </w:r>
          </w:p>
        </w:tc>
        <w:tc>
          <w:tcPr>
            <w:tcW w:w="3806" w:type="dxa"/>
            <w:tcBorders>
              <w:top w:val="single" w:sz="4" w:space="0" w:color="000000"/>
              <w:left w:val="single" w:sz="4" w:space="0" w:color="000000"/>
              <w:bottom w:val="single" w:sz="4" w:space="0" w:color="000000"/>
              <w:right w:val="single" w:sz="4" w:space="0" w:color="000000"/>
            </w:tcBorders>
          </w:tcPr>
          <w:p w14:paraId="572788B0" w14:textId="77777777" w:rsidR="003F7CCA" w:rsidRDefault="0080197E">
            <w:pPr>
              <w:spacing w:line="259" w:lineRule="auto"/>
              <w:rPr>
                <w:lang w:eastAsia="sl-SI"/>
              </w:rPr>
            </w:pPr>
            <w:r>
              <w:rPr>
                <w:lang w:eastAsia="sl-SI"/>
              </w:rPr>
              <w:t>Dozės koreguoti nereikia.</w:t>
            </w:r>
          </w:p>
        </w:tc>
      </w:tr>
      <w:tr w:rsidR="003F7CCA" w14:paraId="5B8089C6" w14:textId="77777777" w:rsidTr="00653CC9">
        <w:trPr>
          <w:trHeight w:val="770"/>
        </w:trPr>
        <w:tc>
          <w:tcPr>
            <w:tcW w:w="1673" w:type="dxa"/>
            <w:tcBorders>
              <w:top w:val="single" w:sz="4" w:space="0" w:color="000000"/>
              <w:left w:val="single" w:sz="4" w:space="0" w:color="000000"/>
              <w:bottom w:val="single" w:sz="4" w:space="0" w:color="000000"/>
              <w:right w:val="single" w:sz="4" w:space="0" w:color="000000"/>
            </w:tcBorders>
          </w:tcPr>
          <w:p w14:paraId="60BC7C2E" w14:textId="77777777" w:rsidR="003F7CCA" w:rsidRDefault="0080197E">
            <w:pPr>
              <w:spacing w:line="259" w:lineRule="auto"/>
              <w:rPr>
                <w:lang w:eastAsia="sl-SI"/>
              </w:rPr>
            </w:pPr>
            <w:r>
              <w:rPr>
                <w:lang w:eastAsia="sl-SI"/>
              </w:rPr>
              <w:lastRenderedPageBreak/>
              <w:t>30 - 44</w:t>
            </w:r>
          </w:p>
        </w:tc>
        <w:tc>
          <w:tcPr>
            <w:tcW w:w="3809" w:type="dxa"/>
            <w:tcBorders>
              <w:top w:val="single" w:sz="4" w:space="0" w:color="000000"/>
              <w:left w:val="single" w:sz="4" w:space="0" w:color="000000"/>
              <w:bottom w:val="single" w:sz="4" w:space="0" w:color="000000"/>
              <w:right w:val="single" w:sz="4" w:space="0" w:color="000000"/>
            </w:tcBorders>
          </w:tcPr>
          <w:p w14:paraId="39F4CB13" w14:textId="77777777" w:rsidR="003F7CCA" w:rsidRDefault="0080197E">
            <w:pPr>
              <w:spacing w:line="259" w:lineRule="auto"/>
              <w:rPr>
                <w:lang w:eastAsia="sl-SI"/>
              </w:rPr>
            </w:pPr>
            <w:r>
              <w:rPr>
                <w:lang w:eastAsia="sl-SI"/>
              </w:rPr>
              <w:t>Didžiausia paros dozė yra 1 000 mg.</w:t>
            </w:r>
          </w:p>
          <w:p w14:paraId="7F1F73FC" w14:textId="77777777" w:rsidR="003F7CCA" w:rsidRDefault="0080197E">
            <w:pPr>
              <w:spacing w:line="259" w:lineRule="auto"/>
              <w:rPr>
                <w:lang w:eastAsia="sl-SI"/>
              </w:rPr>
            </w:pPr>
            <w:r>
              <w:rPr>
                <w:lang w:eastAsia="sl-SI"/>
              </w:rPr>
              <w:t>Pradinė dozė yra ne daugiau kaip pusė didžiausios dozės.</w:t>
            </w:r>
          </w:p>
        </w:tc>
        <w:tc>
          <w:tcPr>
            <w:tcW w:w="3806" w:type="dxa"/>
            <w:tcBorders>
              <w:top w:val="single" w:sz="4" w:space="0" w:color="000000"/>
              <w:left w:val="single" w:sz="4" w:space="0" w:color="000000"/>
              <w:bottom w:val="single" w:sz="4" w:space="0" w:color="000000"/>
              <w:right w:val="single" w:sz="4" w:space="0" w:color="000000"/>
            </w:tcBorders>
          </w:tcPr>
          <w:p w14:paraId="74B193D0" w14:textId="77777777" w:rsidR="003F7CCA" w:rsidRDefault="0080197E">
            <w:pPr>
              <w:spacing w:line="259" w:lineRule="auto"/>
              <w:rPr>
                <w:lang w:eastAsia="sl-SI"/>
              </w:rPr>
            </w:pPr>
            <w:r>
              <w:rPr>
                <w:lang w:eastAsia="sl-SI"/>
              </w:rPr>
              <w:t>Dozės koreguoti nereikia.</w:t>
            </w:r>
          </w:p>
        </w:tc>
      </w:tr>
      <w:tr w:rsidR="003F7CCA" w14:paraId="11C61862" w14:textId="77777777" w:rsidTr="00653CC9">
        <w:trPr>
          <w:trHeight w:val="262"/>
        </w:trPr>
        <w:tc>
          <w:tcPr>
            <w:tcW w:w="1673" w:type="dxa"/>
            <w:tcBorders>
              <w:top w:val="single" w:sz="4" w:space="0" w:color="000000"/>
              <w:left w:val="single" w:sz="4" w:space="0" w:color="000000"/>
              <w:bottom w:val="single" w:sz="4" w:space="0" w:color="000000"/>
              <w:right w:val="single" w:sz="4" w:space="0" w:color="000000"/>
            </w:tcBorders>
          </w:tcPr>
          <w:p w14:paraId="6D324A77" w14:textId="77777777" w:rsidR="003F7CCA" w:rsidRDefault="0080197E">
            <w:pPr>
              <w:spacing w:line="259" w:lineRule="auto"/>
              <w:rPr>
                <w:lang w:eastAsia="sl-SI"/>
              </w:rPr>
            </w:pPr>
            <w:r>
              <w:rPr>
                <w:lang w:eastAsia="sl-SI"/>
              </w:rPr>
              <w:t>&lt; 30</w:t>
            </w:r>
          </w:p>
        </w:tc>
        <w:tc>
          <w:tcPr>
            <w:tcW w:w="3809" w:type="dxa"/>
            <w:tcBorders>
              <w:top w:val="single" w:sz="4" w:space="0" w:color="000000"/>
              <w:left w:val="single" w:sz="4" w:space="0" w:color="000000"/>
              <w:bottom w:val="single" w:sz="4" w:space="0" w:color="000000"/>
              <w:right w:val="single" w:sz="4" w:space="0" w:color="000000"/>
            </w:tcBorders>
          </w:tcPr>
          <w:p w14:paraId="3D5FB9C2" w14:textId="77777777" w:rsidR="003F7CCA" w:rsidRDefault="0080197E">
            <w:pPr>
              <w:spacing w:line="259" w:lineRule="auto"/>
              <w:rPr>
                <w:lang w:eastAsia="sl-SI"/>
              </w:rPr>
            </w:pPr>
            <w:r>
              <w:rPr>
                <w:lang w:eastAsia="sl-SI"/>
              </w:rPr>
              <w:t>Metformino vartoti draudžiama.</w:t>
            </w:r>
          </w:p>
        </w:tc>
        <w:tc>
          <w:tcPr>
            <w:tcW w:w="3806" w:type="dxa"/>
            <w:tcBorders>
              <w:top w:val="single" w:sz="4" w:space="0" w:color="000000"/>
              <w:left w:val="single" w:sz="4" w:space="0" w:color="000000"/>
              <w:bottom w:val="single" w:sz="4" w:space="0" w:color="000000"/>
              <w:right w:val="single" w:sz="4" w:space="0" w:color="000000"/>
            </w:tcBorders>
          </w:tcPr>
          <w:p w14:paraId="1C660B24" w14:textId="77777777" w:rsidR="003F7CCA" w:rsidRDefault="0080197E">
            <w:pPr>
              <w:spacing w:line="259" w:lineRule="auto"/>
              <w:rPr>
                <w:lang w:eastAsia="sl-SI"/>
              </w:rPr>
            </w:pPr>
            <w:r>
              <w:rPr>
                <w:lang w:eastAsia="sl-SI"/>
              </w:rPr>
              <w:t>Dozės koreguoti nereikia.</w:t>
            </w:r>
          </w:p>
        </w:tc>
      </w:tr>
    </w:tbl>
    <w:p w14:paraId="77A212D5" w14:textId="77777777" w:rsidR="003F7CCA" w:rsidRDefault="003F7CCA">
      <w:pPr>
        <w:rPr>
          <w:sz w:val="22"/>
          <w:szCs w:val="22"/>
          <w:lang w:eastAsia="sl-SI"/>
        </w:rPr>
      </w:pPr>
    </w:p>
    <w:p w14:paraId="1FB96E2A" w14:textId="77777777" w:rsidR="003F7CCA" w:rsidRDefault="0080197E">
      <w:pPr>
        <w:rPr>
          <w:bCs/>
          <w:i/>
          <w:iCs/>
          <w:snapToGrid w:val="0"/>
          <w:sz w:val="22"/>
          <w:szCs w:val="22"/>
          <w:lang w:eastAsia="en-US"/>
        </w:rPr>
      </w:pPr>
      <w:r>
        <w:rPr>
          <w:i/>
          <w:iCs/>
          <w:snapToGrid w:val="0"/>
          <w:color w:val="000000"/>
          <w:sz w:val="22"/>
          <w:szCs w:val="22"/>
          <w:lang w:eastAsia="en-US"/>
        </w:rPr>
        <w:t>Pacientams, kurių kepenų funkcija sutrikusi</w:t>
      </w:r>
    </w:p>
    <w:p w14:paraId="27C4139B" w14:textId="77777777" w:rsidR="003F7CCA" w:rsidRDefault="0080197E">
      <w:pPr>
        <w:rPr>
          <w:snapToGrid w:val="0"/>
          <w:sz w:val="22"/>
          <w:szCs w:val="22"/>
          <w:lang w:eastAsia="en-US"/>
        </w:rPr>
      </w:pPr>
      <w:r>
        <w:rPr>
          <w:snapToGrid w:val="0"/>
          <w:sz w:val="22"/>
          <w:szCs w:val="22"/>
          <w:lang w:eastAsia="en-US"/>
        </w:rPr>
        <w:t xml:space="preserve">Pacientus, kuriems yra sutrikusi kepenų funkcija, gydyti šiuo vaistiniu preparatu nerekomenduojama, kadangi vaistinio preparato sudėtyje yra veikliosios medžiagos </w:t>
      </w:r>
      <w:proofErr w:type="spellStart"/>
      <w:r>
        <w:rPr>
          <w:snapToGrid w:val="0"/>
          <w:sz w:val="22"/>
          <w:szCs w:val="22"/>
          <w:lang w:eastAsia="en-US"/>
        </w:rPr>
        <w:t>metformino</w:t>
      </w:r>
      <w:proofErr w:type="spellEnd"/>
      <w:r>
        <w:rPr>
          <w:snapToGrid w:val="0"/>
          <w:sz w:val="22"/>
          <w:szCs w:val="22"/>
          <w:lang w:eastAsia="en-US"/>
        </w:rPr>
        <w:t xml:space="preserve"> (žr. 4.3 ir 5.2  skyrius). Pacientų, kurių kepenų funkcija yra sutrikusi, gydymo šiuo vaistiniu preparatu klinikinės patirties nėra.</w:t>
      </w:r>
    </w:p>
    <w:p w14:paraId="2830ECB0" w14:textId="77777777" w:rsidR="003F7CCA" w:rsidRDefault="003F7CCA">
      <w:pPr>
        <w:tabs>
          <w:tab w:val="left" w:pos="567"/>
        </w:tabs>
        <w:rPr>
          <w:snapToGrid w:val="0"/>
          <w:sz w:val="22"/>
          <w:szCs w:val="22"/>
          <w:lang w:eastAsia="en-US"/>
        </w:rPr>
      </w:pPr>
    </w:p>
    <w:p w14:paraId="77F4EB6F" w14:textId="77777777" w:rsidR="003F7CCA" w:rsidRDefault="0080197E">
      <w:pPr>
        <w:tabs>
          <w:tab w:val="left" w:pos="567"/>
        </w:tabs>
        <w:rPr>
          <w:iCs/>
          <w:snapToGrid w:val="0"/>
          <w:sz w:val="22"/>
          <w:szCs w:val="22"/>
          <w:u w:val="single"/>
          <w:lang w:eastAsia="en-US"/>
        </w:rPr>
      </w:pPr>
      <w:r>
        <w:rPr>
          <w:iCs/>
          <w:snapToGrid w:val="0"/>
          <w:sz w:val="22"/>
          <w:szCs w:val="22"/>
          <w:u w:val="single"/>
          <w:lang w:eastAsia="en-US"/>
        </w:rPr>
        <w:t>Vaikų populiacija</w:t>
      </w:r>
    </w:p>
    <w:p w14:paraId="09F8F6D1" w14:textId="0D505F5D" w:rsidR="003F7CCA" w:rsidRDefault="0080197E">
      <w:pPr>
        <w:tabs>
          <w:tab w:val="left" w:pos="567"/>
        </w:tabs>
        <w:rPr>
          <w:bCs/>
          <w:iCs/>
          <w:sz w:val="22"/>
          <w:szCs w:val="22"/>
          <w:lang w:eastAsia="sl-SI"/>
        </w:rPr>
      </w:pPr>
      <w:r>
        <w:rPr>
          <w:bCs/>
          <w:iCs/>
          <w:sz w:val="22"/>
          <w:szCs w:val="22"/>
          <w:lang w:eastAsia="sl-SI"/>
        </w:rPr>
        <w:t xml:space="preserve">Klinikiniu tyrimu nepavyko nustatyti veiksmingumo 10 -17 metų pacientams vaikams (žr. 4.8, 5.1 ir 5.2 skyrius), todėl vaikų ir paauglių gydyti </w:t>
      </w:r>
      <w:proofErr w:type="spellStart"/>
      <w:r>
        <w:rPr>
          <w:bCs/>
          <w:iCs/>
          <w:sz w:val="22"/>
          <w:szCs w:val="22"/>
          <w:lang w:eastAsia="sl-SI"/>
        </w:rPr>
        <w:t>linagliptinu</w:t>
      </w:r>
      <w:proofErr w:type="spellEnd"/>
      <w:r>
        <w:rPr>
          <w:bCs/>
          <w:iCs/>
          <w:sz w:val="22"/>
          <w:szCs w:val="22"/>
          <w:lang w:eastAsia="sl-SI"/>
        </w:rPr>
        <w:t xml:space="preserve"> nerekomenduojama. </w:t>
      </w:r>
      <w:proofErr w:type="spellStart"/>
      <w:r>
        <w:rPr>
          <w:bCs/>
          <w:iCs/>
          <w:sz w:val="22"/>
          <w:szCs w:val="22"/>
          <w:lang w:eastAsia="sl-SI"/>
        </w:rPr>
        <w:t>Linagliptinas</w:t>
      </w:r>
      <w:proofErr w:type="spellEnd"/>
      <w:r>
        <w:rPr>
          <w:bCs/>
          <w:iCs/>
          <w:sz w:val="22"/>
          <w:szCs w:val="22"/>
          <w:lang w:eastAsia="sl-SI"/>
        </w:rPr>
        <w:t xml:space="preserve"> netirtas su jaunesniais kaip 10 metų vaikais.</w:t>
      </w:r>
    </w:p>
    <w:p w14:paraId="2F215C36" w14:textId="77777777" w:rsidR="003F7CCA" w:rsidRDefault="003F7CCA">
      <w:pPr>
        <w:tabs>
          <w:tab w:val="left" w:pos="567"/>
        </w:tabs>
        <w:rPr>
          <w:snapToGrid w:val="0"/>
          <w:sz w:val="22"/>
          <w:szCs w:val="22"/>
          <w:lang w:eastAsia="en-US"/>
        </w:rPr>
      </w:pPr>
    </w:p>
    <w:p w14:paraId="2DDB4482" w14:textId="77777777" w:rsidR="003F7CCA" w:rsidRDefault="0080197E">
      <w:pPr>
        <w:tabs>
          <w:tab w:val="left" w:pos="567"/>
        </w:tabs>
        <w:rPr>
          <w:snapToGrid w:val="0"/>
          <w:sz w:val="22"/>
          <w:szCs w:val="22"/>
          <w:u w:val="single"/>
          <w:lang w:eastAsia="en-US"/>
        </w:rPr>
      </w:pPr>
      <w:r>
        <w:rPr>
          <w:snapToGrid w:val="0"/>
          <w:sz w:val="22"/>
          <w:szCs w:val="22"/>
          <w:u w:val="single"/>
          <w:lang w:eastAsia="en-US"/>
        </w:rPr>
        <w:t>Vartojimo metodas</w:t>
      </w:r>
    </w:p>
    <w:p w14:paraId="4FDFEE3E" w14:textId="5F672B48"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Šį vaistinį preparatą reikia gerti 2 kartus per parą valgio metu, kad sumažėtų</w:t>
      </w:r>
      <w:r w:rsidR="00394E4D" w:rsidRPr="00A6463E">
        <w:rPr>
          <w:rFonts w:eastAsia="TimesNewRoman"/>
          <w:sz w:val="22"/>
          <w:szCs w:val="22"/>
          <w:lang w:eastAsia="en-US"/>
        </w:rPr>
        <w:t xml:space="preserve"> su </w:t>
      </w:r>
      <w:proofErr w:type="spellStart"/>
      <w:r w:rsidR="00394E4D" w:rsidRPr="00A6463E">
        <w:rPr>
          <w:rFonts w:eastAsia="TimesNewRoman"/>
          <w:sz w:val="22"/>
          <w:szCs w:val="22"/>
          <w:lang w:eastAsia="en-US"/>
        </w:rPr>
        <w:t>metformino</w:t>
      </w:r>
      <w:proofErr w:type="spellEnd"/>
      <w:r w:rsidR="00394E4D" w:rsidRPr="00A6463E">
        <w:rPr>
          <w:rFonts w:eastAsia="TimesNewRoman"/>
          <w:sz w:val="22"/>
          <w:szCs w:val="22"/>
          <w:lang w:eastAsia="en-US"/>
        </w:rPr>
        <w:t xml:space="preserve"> vartojimu susijusių nepageidaujamų reakcijų virškinimo traktui rizika</w:t>
      </w:r>
      <w:r>
        <w:rPr>
          <w:rFonts w:eastAsia="TimesNewRoman"/>
          <w:sz w:val="22"/>
          <w:szCs w:val="22"/>
          <w:lang w:eastAsia="en-US"/>
        </w:rPr>
        <w:t>.</w:t>
      </w:r>
    </w:p>
    <w:p w14:paraId="5CC39125" w14:textId="1C7BC528"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Visi pacientai turi toliau laikytis dietos</w:t>
      </w:r>
      <w:r w:rsidR="002E2095" w:rsidRPr="00A6463E">
        <w:rPr>
          <w:rFonts w:eastAsia="TimesNewRoman"/>
          <w:sz w:val="22"/>
          <w:szCs w:val="22"/>
          <w:lang w:eastAsia="en-US"/>
        </w:rPr>
        <w:t xml:space="preserve"> ir tinkamai paskirstyti angliavandenių kiekį per parą</w:t>
      </w:r>
      <w:r>
        <w:rPr>
          <w:rFonts w:eastAsia="TimesNewRoman"/>
          <w:sz w:val="22"/>
          <w:szCs w:val="22"/>
          <w:lang w:eastAsia="en-US"/>
        </w:rPr>
        <w:t>. Antsvorio turintys pacientai turi toliau laikytis</w:t>
      </w:r>
      <w:r w:rsidR="002C72A4" w:rsidRPr="00A6463E">
        <w:rPr>
          <w:rFonts w:eastAsia="TimesNewRoman"/>
          <w:sz w:val="22"/>
          <w:szCs w:val="22"/>
          <w:lang w:eastAsia="en-US"/>
        </w:rPr>
        <w:t xml:space="preserve"> riboto energijos kiekio dietos</w:t>
      </w:r>
      <w:r>
        <w:rPr>
          <w:rFonts w:eastAsia="TimesNewRoman"/>
          <w:sz w:val="22"/>
          <w:szCs w:val="22"/>
          <w:lang w:eastAsia="en-US"/>
        </w:rPr>
        <w:t>.</w:t>
      </w:r>
    </w:p>
    <w:p w14:paraId="55A4235D" w14:textId="77777777" w:rsidR="003F7CCA" w:rsidRDefault="003F7CCA">
      <w:pPr>
        <w:widowControl w:val="0"/>
        <w:autoSpaceDE w:val="0"/>
        <w:autoSpaceDN w:val="0"/>
        <w:adjustRightInd w:val="0"/>
        <w:rPr>
          <w:rFonts w:eastAsia="TimesNewRoman"/>
          <w:sz w:val="22"/>
          <w:szCs w:val="22"/>
          <w:lang w:eastAsia="en-US"/>
        </w:rPr>
      </w:pPr>
    </w:p>
    <w:p w14:paraId="14ED8858" w14:textId="77777777"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Jeigu pacientas praleidžia dozę, ją jis turi išgerti tuoj pat, kai tik prisimena. Vis dėlto dvigubos dozės vienu metu gerti negalima. Tokiu atveju pamirštąją dozę reikia praleisti.</w:t>
      </w:r>
    </w:p>
    <w:p w14:paraId="77945E79" w14:textId="77777777" w:rsidR="003F7CCA" w:rsidRDefault="003F7CCA">
      <w:pPr>
        <w:widowControl w:val="0"/>
        <w:ind w:left="567" w:hanging="567"/>
        <w:rPr>
          <w:bCs/>
          <w:iCs/>
          <w:sz w:val="22"/>
          <w:szCs w:val="22"/>
          <w:lang w:eastAsia="sl-SI"/>
        </w:rPr>
      </w:pPr>
    </w:p>
    <w:p w14:paraId="11F9453E" w14:textId="77777777" w:rsidR="003F7CCA" w:rsidRDefault="0080197E">
      <w:pPr>
        <w:widowControl w:val="0"/>
        <w:tabs>
          <w:tab w:val="left" w:pos="567"/>
        </w:tabs>
        <w:ind w:left="567" w:hanging="567"/>
        <w:outlineLvl w:val="2"/>
        <w:rPr>
          <w:b/>
          <w:kern w:val="28"/>
          <w:sz w:val="22"/>
          <w:szCs w:val="22"/>
          <w:lang w:eastAsia="en-US"/>
        </w:rPr>
      </w:pPr>
      <w:r>
        <w:rPr>
          <w:b/>
          <w:kern w:val="28"/>
          <w:sz w:val="22"/>
          <w:szCs w:val="22"/>
          <w:lang w:eastAsia="en-US"/>
        </w:rPr>
        <w:t>4.3</w:t>
      </w:r>
      <w:r>
        <w:rPr>
          <w:b/>
          <w:kern w:val="28"/>
          <w:sz w:val="22"/>
          <w:szCs w:val="22"/>
          <w:lang w:eastAsia="en-US"/>
        </w:rPr>
        <w:tab/>
        <w:t>Kontraindikacijos</w:t>
      </w:r>
    </w:p>
    <w:p w14:paraId="22E2039D" w14:textId="77777777" w:rsidR="003F7CCA" w:rsidRDefault="003F7CCA">
      <w:pPr>
        <w:widowControl w:val="0"/>
        <w:tabs>
          <w:tab w:val="left" w:pos="567"/>
        </w:tabs>
        <w:rPr>
          <w:snapToGrid w:val="0"/>
          <w:sz w:val="22"/>
          <w:szCs w:val="22"/>
          <w:lang w:eastAsia="en-US"/>
        </w:rPr>
      </w:pPr>
    </w:p>
    <w:p w14:paraId="53B15854" w14:textId="77777777" w:rsidR="003F7CCA" w:rsidRDefault="0080197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Padidėjęs jautrumas veikliajai arba bet kuriai 6.1 skyriuje nurodytai pagalbinei medžiagai.</w:t>
      </w:r>
    </w:p>
    <w:p w14:paraId="5596747E" w14:textId="77777777" w:rsidR="003F7CCA" w:rsidRDefault="0080197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Bet kokio tipo ūminė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(pvz., pieno rūgšties </w:t>
      </w:r>
      <w:proofErr w:type="spellStart"/>
      <w:r>
        <w:rPr>
          <w:sz w:val="22"/>
          <w:szCs w:val="22"/>
          <w:lang w:eastAsia="sl-SI"/>
        </w:rPr>
        <w:t>acidozė</w:t>
      </w:r>
      <w:proofErr w:type="spellEnd"/>
      <w:r>
        <w:rPr>
          <w:sz w:val="22"/>
          <w:szCs w:val="22"/>
          <w:lang w:eastAsia="sl-SI"/>
        </w:rPr>
        <w:t xml:space="preserve"> , diabetinė </w:t>
      </w:r>
      <w:proofErr w:type="spellStart"/>
      <w:r>
        <w:rPr>
          <w:sz w:val="22"/>
          <w:szCs w:val="22"/>
          <w:lang w:eastAsia="sl-SI"/>
        </w:rPr>
        <w:t>ketoacidozė</w:t>
      </w:r>
      <w:proofErr w:type="spellEnd"/>
      <w:r>
        <w:rPr>
          <w:sz w:val="22"/>
          <w:szCs w:val="22"/>
          <w:lang w:eastAsia="sl-SI"/>
        </w:rPr>
        <w:t>).</w:t>
      </w:r>
    </w:p>
    <w:p w14:paraId="07FFE7C9" w14:textId="71E7DE1E" w:rsidR="003F7CCA" w:rsidRDefault="0080197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Diabetinė </w:t>
      </w:r>
      <w:proofErr w:type="spellStart"/>
      <w:r>
        <w:rPr>
          <w:sz w:val="22"/>
          <w:szCs w:val="22"/>
          <w:lang w:eastAsia="sl-SI"/>
        </w:rPr>
        <w:t>prekominė</w:t>
      </w:r>
      <w:proofErr w:type="spellEnd"/>
      <w:r>
        <w:rPr>
          <w:sz w:val="22"/>
          <w:szCs w:val="22"/>
          <w:lang w:eastAsia="sl-SI"/>
        </w:rPr>
        <w:t xml:space="preserve"> būklė.</w:t>
      </w:r>
    </w:p>
    <w:p w14:paraId="7F6BAD9B" w14:textId="77777777" w:rsidR="003F7CCA" w:rsidRDefault="0080197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Sunkus inkstų nepakankamumas(GFG</w:t>
      </w:r>
      <w:r w:rsidRPr="00A6463E">
        <w:rPr>
          <w:sz w:val="22"/>
          <w:szCs w:val="18"/>
          <w:lang w:val="sv-SE" w:eastAsia="sl-SI"/>
        </w:rPr>
        <w:t xml:space="preserve"> &lt; 30 </w:t>
      </w:r>
      <w:r>
        <w:rPr>
          <w:sz w:val="22"/>
          <w:szCs w:val="22"/>
          <w:lang w:eastAsia="sl-SI"/>
        </w:rPr>
        <w:t>ml/min.).</w:t>
      </w:r>
    </w:p>
    <w:p w14:paraId="60F01E39" w14:textId="47397F36" w:rsidR="003F7CCA" w:rsidRDefault="0080197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Ūminė būklė, galinti pakeisti inkstų funkciją, pvz., dehidratacija, sunki infekci</w:t>
      </w:r>
      <w:r w:rsidR="00461016">
        <w:rPr>
          <w:sz w:val="22"/>
          <w:szCs w:val="22"/>
          <w:lang w:eastAsia="sl-SI"/>
        </w:rPr>
        <w:t>ja</w:t>
      </w:r>
      <w:r>
        <w:rPr>
          <w:sz w:val="22"/>
          <w:szCs w:val="22"/>
          <w:lang w:eastAsia="sl-SI"/>
        </w:rPr>
        <w:t xml:space="preserve"> , šokas.</w:t>
      </w:r>
    </w:p>
    <w:p w14:paraId="76C467EA" w14:textId="2F13EAE8" w:rsidR="003F7CCA" w:rsidRDefault="0080197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Liga, galinti sukelti audinių hipoksiją (ypač ūmi</w:t>
      </w:r>
      <w:r w:rsidR="0096525E">
        <w:rPr>
          <w:sz w:val="22"/>
          <w:szCs w:val="22"/>
          <w:lang w:eastAsia="sl-SI"/>
        </w:rPr>
        <w:t>nė</w:t>
      </w:r>
      <w:r>
        <w:rPr>
          <w:sz w:val="22"/>
          <w:szCs w:val="22"/>
          <w:lang w:eastAsia="sl-SI"/>
        </w:rPr>
        <w:t xml:space="preserve"> liga ar lėtinės ligos </w:t>
      </w:r>
      <w:r w:rsidR="0096525E">
        <w:rPr>
          <w:sz w:val="22"/>
          <w:szCs w:val="22"/>
          <w:lang w:eastAsia="sl-SI"/>
        </w:rPr>
        <w:t xml:space="preserve"> paūmėjimas</w:t>
      </w:r>
      <w:r>
        <w:rPr>
          <w:sz w:val="22"/>
          <w:szCs w:val="22"/>
          <w:lang w:eastAsia="sl-SI"/>
        </w:rPr>
        <w:t xml:space="preserve">), pvz., </w:t>
      </w:r>
      <w:proofErr w:type="spellStart"/>
      <w:r>
        <w:rPr>
          <w:sz w:val="22"/>
          <w:szCs w:val="22"/>
          <w:lang w:eastAsia="sl-SI"/>
        </w:rPr>
        <w:t>dekompensuotas</w:t>
      </w:r>
      <w:proofErr w:type="spellEnd"/>
      <w:r>
        <w:rPr>
          <w:sz w:val="22"/>
          <w:szCs w:val="22"/>
          <w:lang w:eastAsia="sl-SI"/>
        </w:rPr>
        <w:t xml:space="preserve"> širdies arba kvėpavimo nepakankamumas, nesen</w:t>
      </w:r>
      <w:r w:rsidR="004F0F17">
        <w:rPr>
          <w:sz w:val="22"/>
          <w:szCs w:val="22"/>
          <w:lang w:eastAsia="sl-SI"/>
        </w:rPr>
        <w:t>i</w:t>
      </w:r>
      <w:r>
        <w:rPr>
          <w:sz w:val="22"/>
          <w:szCs w:val="22"/>
          <w:lang w:eastAsia="sl-SI"/>
        </w:rPr>
        <w:t>a</w:t>
      </w:r>
      <w:r w:rsidR="004F0F17">
        <w:rPr>
          <w:sz w:val="22"/>
          <w:szCs w:val="22"/>
          <w:lang w:eastAsia="sl-SI"/>
        </w:rPr>
        <w:t>i įvykęs</w:t>
      </w:r>
      <w:r>
        <w:rPr>
          <w:sz w:val="22"/>
          <w:szCs w:val="22"/>
          <w:lang w:eastAsia="sl-SI"/>
        </w:rPr>
        <w:t xml:space="preserve"> miokardo infarktas, šokas.</w:t>
      </w:r>
    </w:p>
    <w:p w14:paraId="67D37BD5" w14:textId="77777777" w:rsidR="003F7CCA" w:rsidRDefault="0080197E">
      <w:pPr>
        <w:widowControl w:val="0"/>
        <w:numPr>
          <w:ilvl w:val="0"/>
          <w:numId w:val="7"/>
        </w:numPr>
        <w:tabs>
          <w:tab w:val="left" w:pos="567"/>
        </w:tabs>
        <w:autoSpaceDE w:val="0"/>
        <w:autoSpaceDN w:val="0"/>
        <w:adjustRightInd w:val="0"/>
        <w:spacing w:line="260" w:lineRule="exact"/>
        <w:ind w:left="567" w:hanging="567"/>
        <w:rPr>
          <w:sz w:val="22"/>
          <w:szCs w:val="22"/>
          <w:lang w:eastAsia="sl-SI"/>
        </w:rPr>
      </w:pPr>
      <w:r>
        <w:rPr>
          <w:sz w:val="22"/>
          <w:szCs w:val="22"/>
          <w:lang w:eastAsia="sl-SI"/>
        </w:rPr>
        <w:t>Kepenų funkcijos sutrikimas, ūminė intoksikacija alkoholiu, alkoholizmas (žr. 4.5  skyrių).</w:t>
      </w:r>
    </w:p>
    <w:p w14:paraId="37429616" w14:textId="77777777" w:rsidR="003F7CCA" w:rsidRDefault="003F7CCA">
      <w:pPr>
        <w:widowControl w:val="0"/>
        <w:tabs>
          <w:tab w:val="left" w:pos="567"/>
        </w:tabs>
        <w:autoSpaceDE w:val="0"/>
        <w:autoSpaceDN w:val="0"/>
        <w:adjustRightInd w:val="0"/>
        <w:spacing w:line="260" w:lineRule="exact"/>
        <w:rPr>
          <w:sz w:val="22"/>
          <w:szCs w:val="22"/>
          <w:lang w:eastAsia="sl-SI"/>
        </w:rPr>
      </w:pPr>
    </w:p>
    <w:p w14:paraId="10849F90" w14:textId="77777777" w:rsidR="003F7CCA" w:rsidRDefault="0080197E">
      <w:pPr>
        <w:widowControl w:val="0"/>
        <w:tabs>
          <w:tab w:val="left" w:pos="567"/>
        </w:tabs>
        <w:ind w:left="567" w:hanging="567"/>
        <w:outlineLvl w:val="2"/>
        <w:rPr>
          <w:b/>
          <w:sz w:val="22"/>
          <w:szCs w:val="22"/>
          <w:lang w:eastAsia="en-US"/>
        </w:rPr>
      </w:pPr>
      <w:r>
        <w:rPr>
          <w:b/>
          <w:kern w:val="28"/>
          <w:sz w:val="22"/>
          <w:szCs w:val="22"/>
          <w:lang w:eastAsia="en-US"/>
        </w:rPr>
        <w:t>4.4</w:t>
      </w:r>
      <w:r>
        <w:rPr>
          <w:b/>
          <w:kern w:val="28"/>
          <w:sz w:val="22"/>
          <w:szCs w:val="22"/>
          <w:lang w:eastAsia="en-US"/>
        </w:rPr>
        <w:tab/>
        <w:t>Specialūs įspėjimai ir atsargumo priemonės</w:t>
      </w:r>
    </w:p>
    <w:p w14:paraId="4AEA1B6C" w14:textId="77777777" w:rsidR="003F7CCA" w:rsidRDefault="003F7CCA">
      <w:pPr>
        <w:widowControl w:val="0"/>
        <w:ind w:left="567" w:hanging="567"/>
        <w:rPr>
          <w:bCs/>
          <w:sz w:val="22"/>
          <w:szCs w:val="22"/>
          <w:lang w:eastAsia="en-US"/>
        </w:rPr>
      </w:pPr>
    </w:p>
    <w:p w14:paraId="122ADC59" w14:textId="77777777" w:rsidR="003F7CCA" w:rsidRDefault="0080197E">
      <w:pPr>
        <w:widowControl w:val="0"/>
        <w:ind w:left="567" w:hanging="567"/>
        <w:rPr>
          <w:bCs/>
          <w:sz w:val="22"/>
          <w:szCs w:val="22"/>
          <w:u w:val="single"/>
          <w:lang w:eastAsia="en-US"/>
        </w:rPr>
      </w:pPr>
      <w:r>
        <w:rPr>
          <w:bCs/>
          <w:sz w:val="22"/>
          <w:szCs w:val="22"/>
          <w:u w:val="single"/>
          <w:lang w:eastAsia="en-US"/>
        </w:rPr>
        <w:t>Bendrieji įspėjimai</w:t>
      </w:r>
    </w:p>
    <w:p w14:paraId="1153FB35" w14:textId="77777777" w:rsidR="003F7CCA" w:rsidRDefault="0080197E">
      <w:pPr>
        <w:widowControl w:val="0"/>
        <w:ind w:left="567" w:hanging="567"/>
        <w:rPr>
          <w:bCs/>
          <w:sz w:val="22"/>
          <w:szCs w:val="22"/>
          <w:lang w:eastAsia="en-US"/>
        </w:rPr>
      </w:pPr>
      <w:r>
        <w:rPr>
          <w:bCs/>
          <w:sz w:val="22"/>
          <w:szCs w:val="22"/>
          <w:lang w:eastAsia="en-US"/>
        </w:rPr>
        <w:t xml:space="preserve">Pacientų, sergančių 1 tipo cukriniu diabetu, </w:t>
      </w:r>
      <w:proofErr w:type="spellStart"/>
      <w:r>
        <w:rPr>
          <w:bCs/>
          <w:sz w:val="22"/>
          <w:szCs w:val="22"/>
          <w:lang w:eastAsia="en-US"/>
        </w:rPr>
        <w:t>linagliptinu</w:t>
      </w:r>
      <w:proofErr w:type="spellEnd"/>
      <w:r>
        <w:rPr>
          <w:bCs/>
          <w:sz w:val="22"/>
          <w:szCs w:val="22"/>
          <w:lang w:eastAsia="en-US"/>
        </w:rPr>
        <w:t>/</w:t>
      </w:r>
      <w:proofErr w:type="spellStart"/>
      <w:r>
        <w:rPr>
          <w:bCs/>
          <w:sz w:val="22"/>
          <w:szCs w:val="22"/>
          <w:lang w:eastAsia="en-US"/>
        </w:rPr>
        <w:t>metforminu</w:t>
      </w:r>
      <w:proofErr w:type="spellEnd"/>
      <w:r>
        <w:rPr>
          <w:bCs/>
          <w:sz w:val="22"/>
          <w:szCs w:val="22"/>
          <w:lang w:eastAsia="en-US"/>
        </w:rPr>
        <w:t xml:space="preserve"> gydyti negalima.</w:t>
      </w:r>
    </w:p>
    <w:p w14:paraId="5DD8CE8F" w14:textId="77777777" w:rsidR="003F7CCA" w:rsidRDefault="003F7CCA">
      <w:pPr>
        <w:tabs>
          <w:tab w:val="left" w:pos="567"/>
        </w:tabs>
        <w:spacing w:line="260" w:lineRule="exact"/>
        <w:jc w:val="both"/>
        <w:rPr>
          <w:bCs/>
          <w:sz w:val="22"/>
          <w:szCs w:val="22"/>
          <w:lang w:eastAsia="en-US"/>
        </w:rPr>
      </w:pPr>
    </w:p>
    <w:p w14:paraId="61792787" w14:textId="77777777" w:rsidR="003F7CCA" w:rsidRDefault="0080197E">
      <w:pPr>
        <w:tabs>
          <w:tab w:val="left" w:pos="567"/>
        </w:tabs>
        <w:spacing w:line="260" w:lineRule="exact"/>
        <w:jc w:val="both"/>
        <w:rPr>
          <w:snapToGrid w:val="0"/>
          <w:sz w:val="22"/>
          <w:szCs w:val="22"/>
          <w:u w:val="single"/>
          <w:lang w:eastAsia="en-US"/>
        </w:rPr>
      </w:pPr>
      <w:r>
        <w:rPr>
          <w:snapToGrid w:val="0"/>
          <w:sz w:val="22"/>
          <w:szCs w:val="22"/>
          <w:u w:val="single"/>
          <w:lang w:eastAsia="en-US"/>
        </w:rPr>
        <w:t>Hipoglikemija</w:t>
      </w:r>
    </w:p>
    <w:p w14:paraId="7FEE4F3D" w14:textId="2A279F73" w:rsidR="003F7CCA" w:rsidRDefault="00423720">
      <w:pPr>
        <w:tabs>
          <w:tab w:val="left" w:pos="567"/>
        </w:tabs>
        <w:spacing w:line="260" w:lineRule="exact"/>
        <w:jc w:val="both"/>
        <w:rPr>
          <w:snapToGrid w:val="0"/>
          <w:sz w:val="22"/>
          <w:szCs w:val="22"/>
          <w:lang w:eastAsia="en-US"/>
        </w:rPr>
      </w:pPr>
      <w:r w:rsidRPr="00A6463E">
        <w:rPr>
          <w:snapToGrid w:val="0"/>
          <w:sz w:val="22"/>
          <w:szCs w:val="22"/>
          <w:lang w:eastAsia="en-US"/>
        </w:rPr>
        <w:t xml:space="preserve"> </w:t>
      </w:r>
      <w:proofErr w:type="spellStart"/>
      <w:r w:rsidRPr="00A6463E">
        <w:rPr>
          <w:snapToGrid w:val="0"/>
          <w:sz w:val="22"/>
          <w:szCs w:val="22"/>
          <w:lang w:eastAsia="en-US"/>
        </w:rPr>
        <w:t>Linagliptiną</w:t>
      </w:r>
      <w:proofErr w:type="spellEnd"/>
      <w:r w:rsidRPr="00A6463E">
        <w:rPr>
          <w:snapToGrid w:val="0"/>
          <w:sz w:val="22"/>
          <w:szCs w:val="22"/>
          <w:lang w:eastAsia="en-US"/>
        </w:rPr>
        <w:t xml:space="preserve"> skiriant papildomai prie gydymo </w:t>
      </w:r>
      <w:proofErr w:type="spellStart"/>
      <w:r w:rsidRPr="00A6463E">
        <w:rPr>
          <w:snapToGrid w:val="0"/>
          <w:sz w:val="22"/>
          <w:szCs w:val="22"/>
          <w:lang w:eastAsia="en-US"/>
        </w:rPr>
        <w:t>sulfonilurėjos</w:t>
      </w:r>
      <w:proofErr w:type="spellEnd"/>
      <w:r w:rsidRPr="00A6463E">
        <w:rPr>
          <w:snapToGrid w:val="0"/>
          <w:sz w:val="22"/>
          <w:szCs w:val="22"/>
          <w:lang w:eastAsia="en-US"/>
        </w:rPr>
        <w:t xml:space="preserve"> dariniu ir </w:t>
      </w:r>
      <w:proofErr w:type="spellStart"/>
      <w:r w:rsidRPr="00A6463E">
        <w:rPr>
          <w:snapToGrid w:val="0"/>
          <w:sz w:val="22"/>
          <w:szCs w:val="22"/>
          <w:lang w:eastAsia="en-US"/>
        </w:rPr>
        <w:t>metforminu</w:t>
      </w:r>
      <w:proofErr w:type="spellEnd"/>
      <w:r w:rsidRPr="00A6463E">
        <w:rPr>
          <w:snapToGrid w:val="0"/>
          <w:sz w:val="22"/>
          <w:szCs w:val="22"/>
          <w:lang w:eastAsia="en-US"/>
        </w:rPr>
        <w:t>, hipoglikemijos dažnis buvo didesnis nei vartojant placebą</w:t>
      </w:r>
      <w:r w:rsidR="0080197E">
        <w:rPr>
          <w:snapToGrid w:val="0"/>
          <w:sz w:val="22"/>
          <w:szCs w:val="22"/>
          <w:lang w:eastAsia="en-US"/>
        </w:rPr>
        <w:t>.</w:t>
      </w:r>
    </w:p>
    <w:p w14:paraId="7462D842" w14:textId="77777777" w:rsidR="003F7CCA" w:rsidRDefault="0080197E">
      <w:pPr>
        <w:tabs>
          <w:tab w:val="left" w:pos="567"/>
        </w:tabs>
        <w:spacing w:line="260" w:lineRule="exact"/>
        <w:jc w:val="both"/>
        <w:rPr>
          <w:snapToGrid w:val="0"/>
          <w:sz w:val="22"/>
          <w:szCs w:val="22"/>
          <w:lang w:eastAsia="en-US"/>
        </w:rPr>
      </w:pPr>
      <w:r>
        <w:rPr>
          <w:snapToGrid w:val="0"/>
          <w:sz w:val="22"/>
          <w:szCs w:val="22"/>
          <w:lang w:eastAsia="en-US"/>
        </w:rPr>
        <w:t xml:space="preserve">Žinoma, kad </w:t>
      </w:r>
      <w:proofErr w:type="spellStart"/>
      <w:r>
        <w:rPr>
          <w:snapToGrid w:val="0"/>
          <w:sz w:val="22"/>
          <w:szCs w:val="22"/>
          <w:lang w:eastAsia="en-US"/>
        </w:rPr>
        <w:t>sulfonilurėjos</w:t>
      </w:r>
      <w:proofErr w:type="spellEnd"/>
      <w:r>
        <w:rPr>
          <w:snapToGrid w:val="0"/>
          <w:sz w:val="22"/>
          <w:szCs w:val="22"/>
          <w:lang w:eastAsia="en-US"/>
        </w:rPr>
        <w:t xml:space="preserve"> dariniai ir insulinas sukelia hipoglikemiją, todėl </w:t>
      </w:r>
      <w:proofErr w:type="spellStart"/>
      <w:r>
        <w:rPr>
          <w:snapToGrid w:val="0"/>
          <w:sz w:val="22"/>
          <w:szCs w:val="22"/>
          <w:lang w:eastAsia="en-US"/>
        </w:rPr>
        <w:t>linagliptino</w:t>
      </w:r>
      <w:proofErr w:type="spellEnd"/>
      <w:r>
        <w:rPr>
          <w:snapToGrid w:val="0"/>
          <w:sz w:val="22"/>
          <w:szCs w:val="22"/>
          <w:lang w:eastAsia="en-US"/>
        </w:rPr>
        <w:t>/</w:t>
      </w:r>
      <w:proofErr w:type="spellStart"/>
      <w:r>
        <w:rPr>
          <w:snapToGrid w:val="0"/>
          <w:sz w:val="22"/>
          <w:szCs w:val="22"/>
          <w:lang w:eastAsia="en-US"/>
        </w:rPr>
        <w:t>metformino</w:t>
      </w:r>
      <w:proofErr w:type="spellEnd"/>
      <w:r>
        <w:rPr>
          <w:snapToGrid w:val="0"/>
          <w:sz w:val="22"/>
          <w:szCs w:val="22"/>
          <w:lang w:eastAsia="en-US"/>
        </w:rPr>
        <w:t xml:space="preserve"> kartu su </w:t>
      </w:r>
      <w:proofErr w:type="spellStart"/>
      <w:r>
        <w:rPr>
          <w:snapToGrid w:val="0"/>
          <w:sz w:val="22"/>
          <w:szCs w:val="22"/>
          <w:lang w:eastAsia="en-US"/>
        </w:rPr>
        <w:t>sulfonilurėjos</w:t>
      </w:r>
      <w:proofErr w:type="spellEnd"/>
      <w:r>
        <w:rPr>
          <w:snapToGrid w:val="0"/>
          <w:sz w:val="22"/>
          <w:szCs w:val="22"/>
          <w:lang w:eastAsia="en-US"/>
        </w:rPr>
        <w:t xml:space="preserve"> dariniu ir (arba) insulinu patariama gydyti atsargiai. Galima svarstyti </w:t>
      </w:r>
      <w:proofErr w:type="spellStart"/>
      <w:r>
        <w:rPr>
          <w:snapToGrid w:val="0"/>
          <w:sz w:val="22"/>
          <w:szCs w:val="22"/>
          <w:lang w:eastAsia="en-US"/>
        </w:rPr>
        <w:t>sulfonilurėjos</w:t>
      </w:r>
      <w:proofErr w:type="spellEnd"/>
      <w:r>
        <w:rPr>
          <w:snapToGrid w:val="0"/>
          <w:sz w:val="22"/>
          <w:szCs w:val="22"/>
          <w:lang w:eastAsia="en-US"/>
        </w:rPr>
        <w:t xml:space="preserve"> darinio arba insulino dozės mažinimą (žr. 4.2 skyrių).</w:t>
      </w:r>
    </w:p>
    <w:p w14:paraId="0F0F5AFC" w14:textId="77777777" w:rsidR="003F7CCA" w:rsidRDefault="003F7CCA">
      <w:pPr>
        <w:tabs>
          <w:tab w:val="left" w:pos="567"/>
        </w:tabs>
        <w:spacing w:line="260" w:lineRule="exact"/>
        <w:jc w:val="both"/>
        <w:rPr>
          <w:snapToGrid w:val="0"/>
          <w:sz w:val="22"/>
          <w:szCs w:val="22"/>
          <w:lang w:eastAsia="en-US"/>
        </w:rPr>
      </w:pPr>
    </w:p>
    <w:p w14:paraId="5B222487" w14:textId="4D1CB819" w:rsidR="003F7CCA" w:rsidRDefault="003627A1">
      <w:pPr>
        <w:tabs>
          <w:tab w:val="left" w:pos="567"/>
        </w:tabs>
        <w:spacing w:line="260" w:lineRule="exact"/>
        <w:jc w:val="both"/>
        <w:rPr>
          <w:snapToGrid w:val="0"/>
          <w:sz w:val="22"/>
          <w:szCs w:val="22"/>
          <w:lang w:eastAsia="en-US"/>
        </w:rPr>
      </w:pPr>
      <w:r w:rsidRPr="00A6463E">
        <w:rPr>
          <w:snapToGrid w:val="0"/>
          <w:sz w:val="22"/>
          <w:szCs w:val="22"/>
          <w:lang w:eastAsia="en-US"/>
        </w:rPr>
        <w:t xml:space="preserve"> Hipoglikemija nebuvo nustatyta kaip nepageidaujama reakcija vartojant vien </w:t>
      </w:r>
      <w:proofErr w:type="spellStart"/>
      <w:r w:rsidRPr="00A6463E">
        <w:rPr>
          <w:snapToGrid w:val="0"/>
          <w:sz w:val="22"/>
          <w:szCs w:val="22"/>
          <w:lang w:eastAsia="en-US"/>
        </w:rPr>
        <w:t>linagliptiną</w:t>
      </w:r>
      <w:proofErr w:type="spellEnd"/>
      <w:r w:rsidRPr="00A6463E">
        <w:rPr>
          <w:snapToGrid w:val="0"/>
          <w:sz w:val="22"/>
          <w:szCs w:val="22"/>
          <w:lang w:eastAsia="en-US"/>
        </w:rPr>
        <w:t xml:space="preserve">, vien </w:t>
      </w:r>
      <w:proofErr w:type="spellStart"/>
      <w:r w:rsidRPr="00A6463E">
        <w:rPr>
          <w:snapToGrid w:val="0"/>
          <w:sz w:val="22"/>
          <w:szCs w:val="22"/>
          <w:lang w:eastAsia="en-US"/>
        </w:rPr>
        <w:t>metforminą</w:t>
      </w:r>
      <w:proofErr w:type="spellEnd"/>
      <w:r w:rsidRPr="00A6463E">
        <w:rPr>
          <w:snapToGrid w:val="0"/>
          <w:sz w:val="22"/>
          <w:szCs w:val="22"/>
          <w:lang w:eastAsia="en-US"/>
        </w:rPr>
        <w:t xml:space="preserve"> arba </w:t>
      </w:r>
      <w:proofErr w:type="spellStart"/>
      <w:r w:rsidRPr="00A6463E">
        <w:rPr>
          <w:snapToGrid w:val="0"/>
          <w:sz w:val="22"/>
          <w:szCs w:val="22"/>
          <w:lang w:eastAsia="en-US"/>
        </w:rPr>
        <w:t>linagliptino</w:t>
      </w:r>
      <w:proofErr w:type="spellEnd"/>
      <w:r w:rsidRPr="00A6463E">
        <w:rPr>
          <w:snapToGrid w:val="0"/>
          <w:sz w:val="22"/>
          <w:szCs w:val="22"/>
          <w:lang w:eastAsia="en-US"/>
        </w:rPr>
        <w:t xml:space="preserve"> ir </w:t>
      </w:r>
      <w:proofErr w:type="spellStart"/>
      <w:r w:rsidRPr="00A6463E">
        <w:rPr>
          <w:snapToGrid w:val="0"/>
          <w:sz w:val="22"/>
          <w:szCs w:val="22"/>
          <w:lang w:eastAsia="en-US"/>
        </w:rPr>
        <w:t>metformino</w:t>
      </w:r>
      <w:proofErr w:type="spellEnd"/>
      <w:r w:rsidRPr="00A6463E">
        <w:rPr>
          <w:snapToGrid w:val="0"/>
          <w:sz w:val="22"/>
          <w:szCs w:val="22"/>
          <w:lang w:eastAsia="en-US"/>
        </w:rPr>
        <w:t xml:space="preserve"> derinį</w:t>
      </w:r>
      <w:r w:rsidR="0080197E">
        <w:rPr>
          <w:snapToGrid w:val="0"/>
          <w:sz w:val="22"/>
          <w:szCs w:val="22"/>
          <w:lang w:eastAsia="en-US"/>
        </w:rPr>
        <w:t xml:space="preserve">. Klinikinių tyrimų metu pacientams, vartojantiems </w:t>
      </w:r>
      <w:proofErr w:type="spellStart"/>
      <w:r w:rsidR="0080197E">
        <w:rPr>
          <w:snapToGrid w:val="0"/>
          <w:sz w:val="22"/>
          <w:szCs w:val="22"/>
          <w:lang w:eastAsia="en-US"/>
        </w:rPr>
        <w:t>linagliptino</w:t>
      </w:r>
      <w:proofErr w:type="spellEnd"/>
      <w:r w:rsidR="0080197E">
        <w:rPr>
          <w:snapToGrid w:val="0"/>
          <w:sz w:val="22"/>
          <w:szCs w:val="22"/>
          <w:lang w:eastAsia="en-US"/>
        </w:rPr>
        <w:t xml:space="preserve"> kartu su </w:t>
      </w:r>
      <w:proofErr w:type="spellStart"/>
      <w:r w:rsidR="0080197E">
        <w:rPr>
          <w:snapToGrid w:val="0"/>
          <w:sz w:val="22"/>
          <w:szCs w:val="22"/>
          <w:lang w:eastAsia="en-US"/>
        </w:rPr>
        <w:t>metforminu</w:t>
      </w:r>
      <w:proofErr w:type="spellEnd"/>
      <w:r w:rsidR="0080197E">
        <w:rPr>
          <w:snapToGrid w:val="0"/>
          <w:sz w:val="22"/>
          <w:szCs w:val="22"/>
          <w:lang w:eastAsia="en-US"/>
        </w:rPr>
        <w:t xml:space="preserve"> arba vien </w:t>
      </w:r>
      <w:proofErr w:type="spellStart"/>
      <w:r w:rsidR="0080197E">
        <w:rPr>
          <w:snapToGrid w:val="0"/>
          <w:sz w:val="22"/>
          <w:szCs w:val="22"/>
          <w:lang w:eastAsia="en-US"/>
        </w:rPr>
        <w:t>metformino</w:t>
      </w:r>
      <w:proofErr w:type="spellEnd"/>
      <w:r w:rsidR="0080197E">
        <w:rPr>
          <w:snapToGrid w:val="0"/>
          <w:sz w:val="22"/>
          <w:szCs w:val="22"/>
          <w:lang w:eastAsia="en-US"/>
        </w:rPr>
        <w:t>, hipoglikemijos dažnis buvo palyginti mažas.</w:t>
      </w:r>
    </w:p>
    <w:p w14:paraId="47E0249C" w14:textId="77777777" w:rsidR="003F7CCA" w:rsidRDefault="003F7CCA">
      <w:pPr>
        <w:tabs>
          <w:tab w:val="left" w:pos="567"/>
        </w:tabs>
        <w:jc w:val="both"/>
        <w:rPr>
          <w:snapToGrid w:val="0"/>
          <w:sz w:val="22"/>
          <w:szCs w:val="22"/>
          <w:lang w:eastAsia="en-US"/>
        </w:rPr>
      </w:pPr>
    </w:p>
    <w:p w14:paraId="7CE95F24" w14:textId="77777777" w:rsidR="003F7CCA" w:rsidRDefault="0080197E">
      <w:pPr>
        <w:tabs>
          <w:tab w:val="left" w:pos="567"/>
        </w:tabs>
        <w:jc w:val="both"/>
        <w:rPr>
          <w:snapToGrid w:val="0"/>
          <w:sz w:val="22"/>
          <w:szCs w:val="22"/>
          <w:u w:val="single"/>
          <w:lang w:eastAsia="en-US"/>
        </w:rPr>
      </w:pPr>
      <w:r>
        <w:rPr>
          <w:snapToGrid w:val="0"/>
          <w:sz w:val="22"/>
          <w:szCs w:val="22"/>
          <w:u w:val="single"/>
          <w:lang w:eastAsia="en-US"/>
        </w:rPr>
        <w:t xml:space="preserve">Pieno rūgšties </w:t>
      </w:r>
      <w:proofErr w:type="spellStart"/>
      <w:r>
        <w:rPr>
          <w:snapToGrid w:val="0"/>
          <w:sz w:val="22"/>
          <w:szCs w:val="22"/>
          <w:u w:val="single"/>
          <w:lang w:eastAsia="en-US"/>
        </w:rPr>
        <w:t>acidozė</w:t>
      </w:r>
      <w:proofErr w:type="spellEnd"/>
    </w:p>
    <w:p w14:paraId="1FF3EC8E" w14:textId="6DE9C261" w:rsidR="003F7CCA" w:rsidRDefault="0080197E">
      <w:pPr>
        <w:tabs>
          <w:tab w:val="left" w:pos="567"/>
        </w:tabs>
        <w:jc w:val="both"/>
        <w:rPr>
          <w:snapToGrid w:val="0"/>
          <w:sz w:val="22"/>
          <w:szCs w:val="22"/>
          <w:lang w:eastAsia="en-US"/>
        </w:rPr>
      </w:pPr>
      <w:r>
        <w:rPr>
          <w:snapToGrid w:val="0"/>
          <w:sz w:val="22"/>
          <w:szCs w:val="22"/>
          <w:lang w:eastAsia="en-US"/>
        </w:rPr>
        <w:lastRenderedPageBreak/>
        <w:t xml:space="preserve">Pieno rūgšties </w:t>
      </w:r>
      <w:proofErr w:type="spellStart"/>
      <w:r>
        <w:rPr>
          <w:snapToGrid w:val="0"/>
          <w:sz w:val="22"/>
          <w:szCs w:val="22"/>
          <w:lang w:eastAsia="en-US"/>
        </w:rPr>
        <w:t>acidozė</w:t>
      </w:r>
      <w:proofErr w:type="spellEnd"/>
      <w:r>
        <w:rPr>
          <w:snapToGrid w:val="0"/>
          <w:sz w:val="22"/>
          <w:szCs w:val="22"/>
          <w:lang w:eastAsia="en-US"/>
        </w:rPr>
        <w:t xml:space="preserve"> – labai reta, bet sunki </w:t>
      </w:r>
      <w:proofErr w:type="spellStart"/>
      <w:r>
        <w:rPr>
          <w:snapToGrid w:val="0"/>
          <w:sz w:val="22"/>
          <w:szCs w:val="22"/>
          <w:lang w:eastAsia="en-US"/>
        </w:rPr>
        <w:t>metabolinė</w:t>
      </w:r>
      <w:proofErr w:type="spellEnd"/>
      <w:r>
        <w:rPr>
          <w:snapToGrid w:val="0"/>
          <w:sz w:val="22"/>
          <w:szCs w:val="22"/>
          <w:lang w:eastAsia="en-US"/>
        </w:rPr>
        <w:t xml:space="preserve"> komplikacija, dažniausiai pasireiškia esant ūminiam inkstų funkcijos </w:t>
      </w:r>
      <w:r w:rsidR="00BE6DAE">
        <w:rPr>
          <w:snapToGrid w:val="0"/>
          <w:sz w:val="22"/>
          <w:szCs w:val="22"/>
          <w:lang w:eastAsia="en-US"/>
        </w:rPr>
        <w:t>sutrikimui</w:t>
      </w:r>
      <w:r>
        <w:rPr>
          <w:snapToGrid w:val="0"/>
          <w:sz w:val="22"/>
          <w:szCs w:val="22"/>
          <w:lang w:eastAsia="en-US"/>
        </w:rPr>
        <w:t>, širdies ir kvėpavimo</w:t>
      </w:r>
      <w:r w:rsidR="008177E1">
        <w:rPr>
          <w:snapToGrid w:val="0"/>
          <w:sz w:val="22"/>
          <w:szCs w:val="22"/>
          <w:lang w:eastAsia="en-US"/>
        </w:rPr>
        <w:t xml:space="preserve"> takų</w:t>
      </w:r>
      <w:r>
        <w:rPr>
          <w:snapToGrid w:val="0"/>
          <w:sz w:val="22"/>
          <w:szCs w:val="22"/>
          <w:lang w:eastAsia="en-US"/>
        </w:rPr>
        <w:t xml:space="preserve"> ligai arba sepsiui. Esant ūminiam inkstų funkcijos </w:t>
      </w:r>
      <w:r w:rsidR="008177E1">
        <w:rPr>
          <w:snapToGrid w:val="0"/>
          <w:sz w:val="22"/>
          <w:szCs w:val="22"/>
          <w:lang w:eastAsia="en-US"/>
        </w:rPr>
        <w:t>sutrikimui</w:t>
      </w:r>
      <w:r>
        <w:rPr>
          <w:snapToGrid w:val="0"/>
          <w:sz w:val="22"/>
          <w:szCs w:val="22"/>
          <w:lang w:eastAsia="en-US"/>
        </w:rPr>
        <w:t xml:space="preserve">, </w:t>
      </w:r>
      <w:proofErr w:type="spellStart"/>
      <w:r>
        <w:rPr>
          <w:snapToGrid w:val="0"/>
          <w:sz w:val="22"/>
          <w:szCs w:val="22"/>
          <w:lang w:eastAsia="en-US"/>
        </w:rPr>
        <w:t>metforminas</w:t>
      </w:r>
      <w:proofErr w:type="spellEnd"/>
      <w:r>
        <w:rPr>
          <w:snapToGrid w:val="0"/>
          <w:sz w:val="22"/>
          <w:szCs w:val="22"/>
          <w:lang w:eastAsia="en-US"/>
        </w:rPr>
        <w:t xml:space="preserve"> kaupiasi</w:t>
      </w:r>
      <w:r w:rsidR="008177E1">
        <w:rPr>
          <w:snapToGrid w:val="0"/>
          <w:sz w:val="22"/>
          <w:szCs w:val="22"/>
          <w:lang w:eastAsia="en-US"/>
        </w:rPr>
        <w:t xml:space="preserve"> organizme</w:t>
      </w:r>
      <w:r>
        <w:rPr>
          <w:snapToGrid w:val="0"/>
          <w:sz w:val="22"/>
          <w:szCs w:val="22"/>
          <w:lang w:eastAsia="en-US"/>
        </w:rPr>
        <w:t xml:space="preserve"> ir didina pieno rūgšties </w:t>
      </w:r>
      <w:proofErr w:type="spellStart"/>
      <w:r>
        <w:rPr>
          <w:snapToGrid w:val="0"/>
          <w:sz w:val="22"/>
          <w:szCs w:val="22"/>
          <w:lang w:eastAsia="en-US"/>
        </w:rPr>
        <w:t>acidozės</w:t>
      </w:r>
      <w:proofErr w:type="spellEnd"/>
      <w:r>
        <w:rPr>
          <w:snapToGrid w:val="0"/>
          <w:sz w:val="22"/>
          <w:szCs w:val="22"/>
          <w:lang w:eastAsia="en-US"/>
        </w:rPr>
        <w:t xml:space="preserve"> riziką.</w:t>
      </w:r>
    </w:p>
    <w:p w14:paraId="6BC6BC74" w14:textId="77777777" w:rsidR="003F7CCA" w:rsidRDefault="003F7CCA">
      <w:pPr>
        <w:tabs>
          <w:tab w:val="left" w:pos="567"/>
        </w:tabs>
        <w:jc w:val="both"/>
        <w:rPr>
          <w:snapToGrid w:val="0"/>
          <w:sz w:val="22"/>
          <w:szCs w:val="22"/>
          <w:lang w:eastAsia="en-US"/>
        </w:rPr>
      </w:pPr>
    </w:p>
    <w:p w14:paraId="4238A92C" w14:textId="77777777" w:rsidR="003F7CCA" w:rsidRDefault="0080197E">
      <w:pPr>
        <w:tabs>
          <w:tab w:val="left" w:pos="567"/>
        </w:tabs>
        <w:jc w:val="both"/>
        <w:rPr>
          <w:snapToGrid w:val="0"/>
          <w:sz w:val="22"/>
          <w:szCs w:val="22"/>
          <w:lang w:eastAsia="en-US"/>
        </w:rPr>
      </w:pPr>
      <w:r>
        <w:rPr>
          <w:snapToGrid w:val="0"/>
          <w:sz w:val="22"/>
          <w:szCs w:val="22"/>
          <w:lang w:eastAsia="en-US"/>
        </w:rPr>
        <w:t xml:space="preserve">Esant dehidratacijai (sunkiam viduriavimui ar vėmimui, karščiavimui ar sumažėjusiam skysčių vartojimui), reikia laikinai nutraukti </w:t>
      </w:r>
      <w:proofErr w:type="spellStart"/>
      <w:r>
        <w:rPr>
          <w:snapToGrid w:val="0"/>
          <w:sz w:val="22"/>
          <w:szCs w:val="22"/>
          <w:lang w:eastAsia="en-US"/>
        </w:rPr>
        <w:t>metformino</w:t>
      </w:r>
      <w:proofErr w:type="spellEnd"/>
      <w:r>
        <w:rPr>
          <w:snapToGrid w:val="0"/>
          <w:sz w:val="22"/>
          <w:szCs w:val="22"/>
          <w:lang w:eastAsia="en-US"/>
        </w:rPr>
        <w:t xml:space="preserve"> vartojimą ir rekomenduojama kreiptis į sveikatos priežiūros specialistą.</w:t>
      </w:r>
    </w:p>
    <w:p w14:paraId="12BEE0B8" w14:textId="77777777" w:rsidR="003F7CCA" w:rsidRDefault="003F7CCA">
      <w:pPr>
        <w:tabs>
          <w:tab w:val="left" w:pos="567"/>
        </w:tabs>
        <w:jc w:val="both"/>
        <w:rPr>
          <w:snapToGrid w:val="0"/>
          <w:sz w:val="22"/>
          <w:szCs w:val="22"/>
          <w:lang w:eastAsia="en-US"/>
        </w:rPr>
      </w:pPr>
    </w:p>
    <w:p w14:paraId="3FBF9D41" w14:textId="3BD2EEB0" w:rsidR="003F7CCA" w:rsidRDefault="0080197E">
      <w:pPr>
        <w:tabs>
          <w:tab w:val="left" w:pos="567"/>
        </w:tabs>
        <w:jc w:val="both"/>
        <w:rPr>
          <w:snapToGrid w:val="0"/>
          <w:sz w:val="22"/>
          <w:szCs w:val="22"/>
          <w:lang w:eastAsia="en-US"/>
        </w:rPr>
      </w:pPr>
      <w:r>
        <w:rPr>
          <w:snapToGrid w:val="0"/>
          <w:sz w:val="22"/>
          <w:szCs w:val="22"/>
          <w:lang w:eastAsia="en-US"/>
        </w:rPr>
        <w:t xml:space="preserve">Vaistinius preparatus, kurie gali sukelti ūminį inkstų funkcijos sutrikimą (pvz., </w:t>
      </w:r>
      <w:proofErr w:type="spellStart"/>
      <w:r>
        <w:rPr>
          <w:snapToGrid w:val="0"/>
          <w:sz w:val="22"/>
          <w:szCs w:val="22"/>
          <w:lang w:eastAsia="en-US"/>
        </w:rPr>
        <w:t>antihipertenzinius</w:t>
      </w:r>
      <w:proofErr w:type="spellEnd"/>
      <w:r>
        <w:rPr>
          <w:snapToGrid w:val="0"/>
          <w:sz w:val="22"/>
          <w:szCs w:val="22"/>
          <w:lang w:eastAsia="en-US"/>
        </w:rPr>
        <w:t xml:space="preserve"> vaistinius preparatus, diuretikus ir NVNU), </w:t>
      </w:r>
      <w:proofErr w:type="spellStart"/>
      <w:r>
        <w:rPr>
          <w:snapToGrid w:val="0"/>
          <w:sz w:val="22"/>
          <w:szCs w:val="22"/>
          <w:lang w:eastAsia="en-US"/>
        </w:rPr>
        <w:t>metforminu</w:t>
      </w:r>
      <w:proofErr w:type="spellEnd"/>
      <w:r>
        <w:rPr>
          <w:snapToGrid w:val="0"/>
          <w:sz w:val="22"/>
          <w:szCs w:val="22"/>
          <w:lang w:eastAsia="en-US"/>
        </w:rPr>
        <w:t xml:space="preserve"> gydomiems pacientams reikia skirti atsargiai. Kiti pieno rūgšties </w:t>
      </w:r>
      <w:proofErr w:type="spellStart"/>
      <w:r>
        <w:rPr>
          <w:snapToGrid w:val="0"/>
          <w:sz w:val="22"/>
          <w:szCs w:val="22"/>
          <w:lang w:eastAsia="en-US"/>
        </w:rPr>
        <w:t>acidozės</w:t>
      </w:r>
      <w:proofErr w:type="spellEnd"/>
      <w:r>
        <w:rPr>
          <w:snapToGrid w:val="0"/>
          <w:sz w:val="22"/>
          <w:szCs w:val="22"/>
          <w:lang w:eastAsia="en-US"/>
        </w:rPr>
        <w:t xml:space="preserve"> rizikos veiksniai yra piktnaudžiavimas alkoholiu, kepenų funkcijos sutrikimas, nepakankamai </w:t>
      </w:r>
      <w:r w:rsidR="00616B15">
        <w:rPr>
          <w:snapToGrid w:val="0"/>
          <w:sz w:val="22"/>
          <w:szCs w:val="22"/>
          <w:lang w:eastAsia="en-US"/>
        </w:rPr>
        <w:t xml:space="preserve">sureguliuojamas cukrinis </w:t>
      </w:r>
      <w:r>
        <w:rPr>
          <w:snapToGrid w:val="0"/>
          <w:sz w:val="22"/>
          <w:szCs w:val="22"/>
          <w:lang w:eastAsia="en-US"/>
        </w:rPr>
        <w:t xml:space="preserve">diabetas, ketozė, ilgalaikis badavimas ir su hipoksija susijusios būklės, taip pat kartu vartojimas vaistinių preparatų, kurie gali sukelti pieno rūgšties </w:t>
      </w:r>
      <w:proofErr w:type="spellStart"/>
      <w:r>
        <w:rPr>
          <w:snapToGrid w:val="0"/>
          <w:sz w:val="22"/>
          <w:szCs w:val="22"/>
          <w:lang w:eastAsia="en-US"/>
        </w:rPr>
        <w:t>acidozę</w:t>
      </w:r>
      <w:proofErr w:type="spellEnd"/>
      <w:r>
        <w:rPr>
          <w:snapToGrid w:val="0"/>
          <w:sz w:val="22"/>
          <w:szCs w:val="22"/>
          <w:lang w:eastAsia="en-US"/>
        </w:rPr>
        <w:t xml:space="preserve"> (žr. 4.3 ir 4.5 skyrius).</w:t>
      </w:r>
    </w:p>
    <w:p w14:paraId="3500991C" w14:textId="77777777" w:rsidR="003F7CCA" w:rsidRDefault="003F7CCA">
      <w:pPr>
        <w:tabs>
          <w:tab w:val="left" w:pos="567"/>
        </w:tabs>
        <w:jc w:val="both"/>
        <w:rPr>
          <w:snapToGrid w:val="0"/>
          <w:sz w:val="22"/>
          <w:szCs w:val="22"/>
          <w:lang w:eastAsia="en-US"/>
        </w:rPr>
      </w:pPr>
    </w:p>
    <w:p w14:paraId="72FEA07C" w14:textId="261B9BB3" w:rsidR="003F7CCA" w:rsidRDefault="0080197E">
      <w:pPr>
        <w:tabs>
          <w:tab w:val="left" w:pos="567"/>
        </w:tabs>
        <w:jc w:val="both"/>
        <w:rPr>
          <w:snapToGrid w:val="0"/>
          <w:sz w:val="22"/>
          <w:szCs w:val="22"/>
          <w:lang w:eastAsia="en-US"/>
        </w:rPr>
      </w:pPr>
      <w:r>
        <w:rPr>
          <w:snapToGrid w:val="0"/>
          <w:sz w:val="22"/>
          <w:szCs w:val="22"/>
          <w:lang w:eastAsia="en-US"/>
        </w:rPr>
        <w:t xml:space="preserve">Pacientus ir (arba) juos slaugančius asmenis reikia informuoti apie pieno rūgšties </w:t>
      </w:r>
      <w:proofErr w:type="spellStart"/>
      <w:r>
        <w:rPr>
          <w:snapToGrid w:val="0"/>
          <w:sz w:val="22"/>
          <w:szCs w:val="22"/>
          <w:lang w:eastAsia="en-US"/>
        </w:rPr>
        <w:t>acidozės</w:t>
      </w:r>
      <w:proofErr w:type="spellEnd"/>
      <w:r>
        <w:rPr>
          <w:snapToGrid w:val="0"/>
          <w:sz w:val="22"/>
          <w:szCs w:val="22"/>
          <w:lang w:eastAsia="en-US"/>
        </w:rPr>
        <w:t xml:space="preserve"> riziką. Pieno rūgšties </w:t>
      </w:r>
      <w:proofErr w:type="spellStart"/>
      <w:r>
        <w:rPr>
          <w:snapToGrid w:val="0"/>
          <w:sz w:val="22"/>
          <w:szCs w:val="22"/>
          <w:lang w:eastAsia="en-US"/>
        </w:rPr>
        <w:t>acidozei</w:t>
      </w:r>
      <w:proofErr w:type="spellEnd"/>
      <w:r>
        <w:rPr>
          <w:snapToGrid w:val="0"/>
          <w:sz w:val="22"/>
          <w:szCs w:val="22"/>
          <w:lang w:eastAsia="en-US"/>
        </w:rPr>
        <w:t xml:space="preserve"> būdingas </w:t>
      </w:r>
      <w:proofErr w:type="spellStart"/>
      <w:r>
        <w:rPr>
          <w:snapToGrid w:val="0"/>
          <w:sz w:val="22"/>
          <w:szCs w:val="22"/>
          <w:lang w:eastAsia="en-US"/>
        </w:rPr>
        <w:t>acidozinis</w:t>
      </w:r>
      <w:proofErr w:type="spellEnd"/>
      <w:r>
        <w:rPr>
          <w:snapToGrid w:val="0"/>
          <w:sz w:val="22"/>
          <w:szCs w:val="22"/>
          <w:lang w:eastAsia="en-US"/>
        </w:rPr>
        <w:t xml:space="preserve"> dusulys, pilvo skausmas, raumenų mėšlungis, </w:t>
      </w:r>
      <w:proofErr w:type="spellStart"/>
      <w:r>
        <w:rPr>
          <w:snapToGrid w:val="0"/>
          <w:sz w:val="22"/>
          <w:szCs w:val="22"/>
          <w:lang w:eastAsia="en-US"/>
        </w:rPr>
        <w:t>astenija</w:t>
      </w:r>
      <w:proofErr w:type="spellEnd"/>
      <w:r>
        <w:rPr>
          <w:snapToGrid w:val="0"/>
          <w:sz w:val="22"/>
          <w:szCs w:val="22"/>
          <w:lang w:eastAsia="en-US"/>
        </w:rPr>
        <w:t xml:space="preserve"> ir hipotermija, po kurių ištinka koma. Įtarus simptomus, pacientas turi nutraukti </w:t>
      </w:r>
      <w:proofErr w:type="spellStart"/>
      <w:r>
        <w:rPr>
          <w:snapToGrid w:val="0"/>
          <w:sz w:val="22"/>
          <w:szCs w:val="22"/>
          <w:lang w:eastAsia="en-US"/>
        </w:rPr>
        <w:t>metformino</w:t>
      </w:r>
      <w:proofErr w:type="spellEnd"/>
      <w:r>
        <w:rPr>
          <w:snapToGrid w:val="0"/>
          <w:sz w:val="22"/>
          <w:szCs w:val="22"/>
          <w:lang w:eastAsia="en-US"/>
        </w:rPr>
        <w:t xml:space="preserve"> vartojimą ir nedelsdamas kreiptis </w:t>
      </w:r>
      <w:r w:rsidR="00362A3C">
        <w:rPr>
          <w:snapToGrid w:val="0"/>
          <w:sz w:val="22"/>
          <w:szCs w:val="22"/>
          <w:lang w:eastAsia="en-US"/>
        </w:rPr>
        <w:t xml:space="preserve">medicininės </w:t>
      </w:r>
      <w:r>
        <w:rPr>
          <w:snapToGrid w:val="0"/>
          <w:sz w:val="22"/>
          <w:szCs w:val="22"/>
          <w:lang w:eastAsia="en-US"/>
        </w:rPr>
        <w:t>pagalbos . Diagnostiniai laboratorinių tyrimų duomenys yra sumažėjęs kraujo pH (&lt; 7,35), padidėjusi laktatų koncentracija kraujo plazmoje (&gt; 5 </w:t>
      </w:r>
      <w:proofErr w:type="spellStart"/>
      <w:r>
        <w:rPr>
          <w:snapToGrid w:val="0"/>
          <w:sz w:val="22"/>
          <w:szCs w:val="22"/>
          <w:lang w:eastAsia="en-US"/>
        </w:rPr>
        <w:t>mmol</w:t>
      </w:r>
      <w:proofErr w:type="spellEnd"/>
      <w:r>
        <w:rPr>
          <w:snapToGrid w:val="0"/>
          <w:sz w:val="22"/>
          <w:szCs w:val="22"/>
          <w:lang w:eastAsia="en-US"/>
        </w:rPr>
        <w:t xml:space="preserve">/l) ir padidėjęs anijoninis tarpas bei laktatų / </w:t>
      </w:r>
      <w:proofErr w:type="spellStart"/>
      <w:r>
        <w:rPr>
          <w:snapToGrid w:val="0"/>
          <w:sz w:val="22"/>
          <w:szCs w:val="22"/>
          <w:lang w:eastAsia="en-US"/>
        </w:rPr>
        <w:t>piruvato</w:t>
      </w:r>
      <w:proofErr w:type="spellEnd"/>
      <w:r>
        <w:rPr>
          <w:snapToGrid w:val="0"/>
          <w:sz w:val="22"/>
          <w:szCs w:val="22"/>
          <w:lang w:eastAsia="en-US"/>
        </w:rPr>
        <w:t xml:space="preserve"> santykis.</w:t>
      </w:r>
    </w:p>
    <w:p w14:paraId="2D5FA2AB" w14:textId="77777777" w:rsidR="003F7CCA" w:rsidRDefault="003F7CCA">
      <w:pPr>
        <w:tabs>
          <w:tab w:val="left" w:pos="567"/>
        </w:tabs>
        <w:jc w:val="both"/>
        <w:rPr>
          <w:snapToGrid w:val="0"/>
          <w:sz w:val="22"/>
          <w:szCs w:val="22"/>
          <w:lang w:eastAsia="en-US"/>
        </w:rPr>
      </w:pPr>
    </w:p>
    <w:p w14:paraId="48F04A12" w14:textId="0C30D9A1" w:rsidR="003F7CCA" w:rsidRDefault="0080197E">
      <w:pPr>
        <w:tabs>
          <w:tab w:val="left" w:pos="567"/>
        </w:tabs>
        <w:jc w:val="both"/>
        <w:rPr>
          <w:i/>
          <w:iCs/>
          <w:snapToGrid w:val="0"/>
          <w:sz w:val="22"/>
          <w:szCs w:val="22"/>
          <w:lang w:eastAsia="en-US"/>
        </w:rPr>
      </w:pPr>
      <w:r>
        <w:rPr>
          <w:i/>
          <w:iCs/>
          <w:snapToGrid w:val="0"/>
          <w:sz w:val="22"/>
          <w:szCs w:val="22"/>
          <w:lang w:eastAsia="en-US"/>
        </w:rPr>
        <w:t xml:space="preserve">Pacientai, kuriems diagnozuotos arba įtariamos </w:t>
      </w:r>
      <w:proofErr w:type="spellStart"/>
      <w:r>
        <w:rPr>
          <w:i/>
          <w:iCs/>
          <w:snapToGrid w:val="0"/>
          <w:sz w:val="22"/>
          <w:szCs w:val="22"/>
          <w:lang w:eastAsia="en-US"/>
        </w:rPr>
        <w:t>mitochondri</w:t>
      </w:r>
      <w:r w:rsidR="002B5C66">
        <w:rPr>
          <w:i/>
          <w:iCs/>
          <w:snapToGrid w:val="0"/>
          <w:sz w:val="22"/>
          <w:szCs w:val="22"/>
          <w:lang w:eastAsia="en-US"/>
        </w:rPr>
        <w:t>jų</w:t>
      </w:r>
      <w:proofErr w:type="spellEnd"/>
      <w:r>
        <w:rPr>
          <w:i/>
          <w:iCs/>
          <w:snapToGrid w:val="0"/>
          <w:sz w:val="22"/>
          <w:szCs w:val="22"/>
          <w:lang w:eastAsia="en-US"/>
        </w:rPr>
        <w:t xml:space="preserve"> ligos</w:t>
      </w:r>
    </w:p>
    <w:p w14:paraId="4556671C" w14:textId="7005993A" w:rsidR="003F7CCA" w:rsidRDefault="0080197E">
      <w:pPr>
        <w:tabs>
          <w:tab w:val="left" w:pos="567"/>
        </w:tabs>
        <w:jc w:val="both"/>
        <w:rPr>
          <w:snapToGrid w:val="0"/>
          <w:sz w:val="22"/>
          <w:szCs w:val="22"/>
          <w:lang w:eastAsia="en-US"/>
        </w:rPr>
      </w:pPr>
      <w:r>
        <w:rPr>
          <w:snapToGrid w:val="0"/>
          <w:sz w:val="22"/>
          <w:szCs w:val="22"/>
          <w:lang w:eastAsia="en-US"/>
        </w:rPr>
        <w:t xml:space="preserve">Pacientams, kuriems diagnozuotos </w:t>
      </w:r>
      <w:proofErr w:type="spellStart"/>
      <w:r>
        <w:rPr>
          <w:snapToGrid w:val="0"/>
          <w:sz w:val="22"/>
          <w:szCs w:val="22"/>
          <w:lang w:eastAsia="en-US"/>
        </w:rPr>
        <w:t>mitochondri</w:t>
      </w:r>
      <w:r w:rsidR="00F72427">
        <w:rPr>
          <w:snapToGrid w:val="0"/>
          <w:sz w:val="22"/>
          <w:szCs w:val="22"/>
          <w:lang w:eastAsia="en-US"/>
        </w:rPr>
        <w:t>jų</w:t>
      </w:r>
      <w:proofErr w:type="spellEnd"/>
      <w:r>
        <w:rPr>
          <w:snapToGrid w:val="0"/>
          <w:sz w:val="22"/>
          <w:szCs w:val="22"/>
          <w:lang w:eastAsia="en-US"/>
        </w:rPr>
        <w:t xml:space="preserve"> ligos, pvz., </w:t>
      </w:r>
      <w:proofErr w:type="spellStart"/>
      <w:r>
        <w:rPr>
          <w:snapToGrid w:val="0"/>
          <w:sz w:val="22"/>
          <w:szCs w:val="22"/>
          <w:lang w:eastAsia="en-US"/>
        </w:rPr>
        <w:t>mitochondri</w:t>
      </w:r>
      <w:r w:rsidR="00FE494D">
        <w:rPr>
          <w:snapToGrid w:val="0"/>
          <w:sz w:val="22"/>
          <w:szCs w:val="22"/>
          <w:lang w:eastAsia="en-US"/>
        </w:rPr>
        <w:t>jų</w:t>
      </w:r>
      <w:proofErr w:type="spellEnd"/>
      <w:r>
        <w:rPr>
          <w:snapToGrid w:val="0"/>
          <w:sz w:val="22"/>
          <w:szCs w:val="22"/>
          <w:lang w:eastAsia="en-US"/>
        </w:rPr>
        <w:t xml:space="preserve"> </w:t>
      </w:r>
      <w:proofErr w:type="spellStart"/>
      <w:r>
        <w:rPr>
          <w:snapToGrid w:val="0"/>
          <w:sz w:val="22"/>
          <w:szCs w:val="22"/>
          <w:lang w:eastAsia="en-US"/>
        </w:rPr>
        <w:t>encefalopatij</w:t>
      </w:r>
      <w:r w:rsidR="007142E7">
        <w:rPr>
          <w:snapToGrid w:val="0"/>
          <w:sz w:val="22"/>
          <w:szCs w:val="22"/>
          <w:lang w:eastAsia="en-US"/>
        </w:rPr>
        <w:t>a</w:t>
      </w:r>
      <w:proofErr w:type="spellEnd"/>
      <w:r>
        <w:rPr>
          <w:snapToGrid w:val="0"/>
          <w:sz w:val="22"/>
          <w:szCs w:val="22"/>
          <w:lang w:eastAsia="en-US"/>
        </w:rPr>
        <w:t xml:space="preserve"> su pieno rūgšties </w:t>
      </w:r>
      <w:proofErr w:type="spellStart"/>
      <w:r>
        <w:rPr>
          <w:snapToGrid w:val="0"/>
          <w:sz w:val="22"/>
          <w:szCs w:val="22"/>
          <w:lang w:eastAsia="en-US"/>
        </w:rPr>
        <w:t>acidoze</w:t>
      </w:r>
      <w:proofErr w:type="spellEnd"/>
      <w:r>
        <w:rPr>
          <w:snapToGrid w:val="0"/>
          <w:sz w:val="22"/>
          <w:szCs w:val="22"/>
          <w:lang w:eastAsia="en-US"/>
        </w:rPr>
        <w:t xml:space="preserve"> ir į insultą panašiais epizodais (angl. </w:t>
      </w:r>
      <w:proofErr w:type="spellStart"/>
      <w:r>
        <w:rPr>
          <w:snapToGrid w:val="0"/>
          <w:sz w:val="22"/>
          <w:szCs w:val="22"/>
          <w:lang w:eastAsia="en-US"/>
        </w:rPr>
        <w:t>Mitochondrial</w:t>
      </w:r>
      <w:proofErr w:type="spellEnd"/>
      <w:r>
        <w:rPr>
          <w:snapToGrid w:val="0"/>
          <w:sz w:val="22"/>
          <w:szCs w:val="22"/>
          <w:lang w:eastAsia="en-US"/>
        </w:rPr>
        <w:t xml:space="preserve"> </w:t>
      </w:r>
      <w:proofErr w:type="spellStart"/>
      <w:r>
        <w:rPr>
          <w:snapToGrid w:val="0"/>
          <w:sz w:val="22"/>
          <w:szCs w:val="22"/>
          <w:lang w:eastAsia="en-US"/>
        </w:rPr>
        <w:t>encephalomyopathy</w:t>
      </w:r>
      <w:proofErr w:type="spellEnd"/>
      <w:r>
        <w:rPr>
          <w:snapToGrid w:val="0"/>
          <w:sz w:val="22"/>
          <w:szCs w:val="22"/>
          <w:lang w:eastAsia="en-US"/>
        </w:rPr>
        <w:t xml:space="preserve"> </w:t>
      </w:r>
      <w:proofErr w:type="spellStart"/>
      <w:r>
        <w:rPr>
          <w:snapToGrid w:val="0"/>
          <w:sz w:val="22"/>
          <w:szCs w:val="22"/>
          <w:lang w:eastAsia="en-US"/>
        </w:rPr>
        <w:t>with</w:t>
      </w:r>
      <w:proofErr w:type="spellEnd"/>
      <w:r>
        <w:rPr>
          <w:snapToGrid w:val="0"/>
          <w:sz w:val="22"/>
          <w:szCs w:val="22"/>
          <w:lang w:eastAsia="en-US"/>
        </w:rPr>
        <w:t xml:space="preserve"> </w:t>
      </w:r>
      <w:proofErr w:type="spellStart"/>
      <w:r>
        <w:rPr>
          <w:snapToGrid w:val="0"/>
          <w:sz w:val="22"/>
          <w:szCs w:val="22"/>
          <w:lang w:eastAsia="en-US"/>
        </w:rPr>
        <w:t>lactic</w:t>
      </w:r>
      <w:proofErr w:type="spellEnd"/>
      <w:r>
        <w:rPr>
          <w:snapToGrid w:val="0"/>
          <w:sz w:val="22"/>
          <w:szCs w:val="22"/>
          <w:lang w:eastAsia="en-US"/>
        </w:rPr>
        <w:t xml:space="preserve"> </w:t>
      </w:r>
      <w:proofErr w:type="spellStart"/>
      <w:r>
        <w:rPr>
          <w:snapToGrid w:val="0"/>
          <w:sz w:val="22"/>
          <w:szCs w:val="22"/>
          <w:lang w:eastAsia="en-US"/>
        </w:rPr>
        <w:t>acidosis</w:t>
      </w:r>
      <w:proofErr w:type="spellEnd"/>
      <w:r>
        <w:rPr>
          <w:snapToGrid w:val="0"/>
          <w:sz w:val="22"/>
          <w:szCs w:val="22"/>
          <w:lang w:eastAsia="en-US"/>
        </w:rPr>
        <w:t xml:space="preserve"> </w:t>
      </w:r>
      <w:proofErr w:type="spellStart"/>
      <w:r>
        <w:rPr>
          <w:snapToGrid w:val="0"/>
          <w:sz w:val="22"/>
          <w:szCs w:val="22"/>
          <w:lang w:eastAsia="en-US"/>
        </w:rPr>
        <w:t>and</w:t>
      </w:r>
      <w:proofErr w:type="spellEnd"/>
      <w:r>
        <w:rPr>
          <w:snapToGrid w:val="0"/>
          <w:sz w:val="22"/>
          <w:szCs w:val="22"/>
          <w:lang w:eastAsia="en-US"/>
        </w:rPr>
        <w:t xml:space="preserve"> </w:t>
      </w:r>
      <w:proofErr w:type="spellStart"/>
      <w:r>
        <w:rPr>
          <w:snapToGrid w:val="0"/>
          <w:sz w:val="22"/>
          <w:szCs w:val="22"/>
          <w:lang w:eastAsia="en-US"/>
        </w:rPr>
        <w:t>stroke-like</w:t>
      </w:r>
      <w:proofErr w:type="spellEnd"/>
      <w:r>
        <w:rPr>
          <w:snapToGrid w:val="0"/>
          <w:sz w:val="22"/>
          <w:szCs w:val="22"/>
          <w:lang w:eastAsia="en-US"/>
        </w:rPr>
        <w:t xml:space="preserve"> </w:t>
      </w:r>
      <w:proofErr w:type="spellStart"/>
      <w:r>
        <w:rPr>
          <w:snapToGrid w:val="0"/>
          <w:sz w:val="22"/>
          <w:szCs w:val="22"/>
          <w:lang w:eastAsia="en-US"/>
        </w:rPr>
        <w:t>episodes</w:t>
      </w:r>
      <w:proofErr w:type="spellEnd"/>
      <w:r>
        <w:rPr>
          <w:snapToGrid w:val="0"/>
          <w:sz w:val="22"/>
          <w:szCs w:val="22"/>
          <w:lang w:eastAsia="en-US"/>
        </w:rPr>
        <w:t xml:space="preserve">, MELAS) sindromas ir motinos </w:t>
      </w:r>
      <w:r w:rsidR="00646052">
        <w:rPr>
          <w:snapToGrid w:val="0"/>
          <w:sz w:val="22"/>
          <w:szCs w:val="22"/>
          <w:lang w:eastAsia="en-US"/>
        </w:rPr>
        <w:t xml:space="preserve">linija </w:t>
      </w:r>
      <w:r>
        <w:rPr>
          <w:snapToGrid w:val="0"/>
          <w:sz w:val="22"/>
          <w:szCs w:val="22"/>
          <w:lang w:eastAsia="en-US"/>
        </w:rPr>
        <w:t>paveld</w:t>
      </w:r>
      <w:r w:rsidR="00646052">
        <w:rPr>
          <w:snapToGrid w:val="0"/>
          <w:sz w:val="22"/>
          <w:szCs w:val="22"/>
          <w:lang w:eastAsia="en-US"/>
        </w:rPr>
        <w:t>imas cukrinis</w:t>
      </w:r>
      <w:r>
        <w:rPr>
          <w:snapToGrid w:val="0"/>
          <w:sz w:val="22"/>
          <w:szCs w:val="22"/>
          <w:lang w:eastAsia="en-US"/>
        </w:rPr>
        <w:t xml:space="preserve"> diabetas bei kurtumas (angl. </w:t>
      </w:r>
      <w:proofErr w:type="spellStart"/>
      <w:r>
        <w:rPr>
          <w:snapToGrid w:val="0"/>
          <w:sz w:val="22"/>
          <w:szCs w:val="22"/>
          <w:lang w:eastAsia="en-US"/>
        </w:rPr>
        <w:t>Maternal</w:t>
      </w:r>
      <w:proofErr w:type="spellEnd"/>
      <w:r>
        <w:rPr>
          <w:snapToGrid w:val="0"/>
          <w:sz w:val="22"/>
          <w:szCs w:val="22"/>
          <w:lang w:eastAsia="en-US"/>
        </w:rPr>
        <w:t xml:space="preserve"> </w:t>
      </w:r>
      <w:proofErr w:type="spellStart"/>
      <w:r>
        <w:rPr>
          <w:snapToGrid w:val="0"/>
          <w:sz w:val="22"/>
          <w:szCs w:val="22"/>
          <w:lang w:eastAsia="en-US"/>
        </w:rPr>
        <w:t>inherited</w:t>
      </w:r>
      <w:proofErr w:type="spellEnd"/>
      <w:r>
        <w:rPr>
          <w:snapToGrid w:val="0"/>
          <w:sz w:val="22"/>
          <w:szCs w:val="22"/>
          <w:lang w:eastAsia="en-US"/>
        </w:rPr>
        <w:t xml:space="preserve"> </w:t>
      </w:r>
      <w:proofErr w:type="spellStart"/>
      <w:r>
        <w:rPr>
          <w:snapToGrid w:val="0"/>
          <w:sz w:val="22"/>
          <w:szCs w:val="22"/>
          <w:lang w:eastAsia="en-US"/>
        </w:rPr>
        <w:t>diabetes</w:t>
      </w:r>
      <w:proofErr w:type="spellEnd"/>
      <w:r>
        <w:rPr>
          <w:snapToGrid w:val="0"/>
          <w:sz w:val="22"/>
          <w:szCs w:val="22"/>
          <w:lang w:eastAsia="en-US"/>
        </w:rPr>
        <w:t xml:space="preserve"> </w:t>
      </w:r>
      <w:proofErr w:type="spellStart"/>
      <w:r>
        <w:rPr>
          <w:snapToGrid w:val="0"/>
          <w:sz w:val="22"/>
          <w:szCs w:val="22"/>
          <w:lang w:eastAsia="en-US"/>
        </w:rPr>
        <w:t>and</w:t>
      </w:r>
      <w:proofErr w:type="spellEnd"/>
      <w:r>
        <w:rPr>
          <w:snapToGrid w:val="0"/>
          <w:sz w:val="22"/>
          <w:szCs w:val="22"/>
          <w:lang w:eastAsia="en-US"/>
        </w:rPr>
        <w:t xml:space="preserve"> </w:t>
      </w:r>
      <w:proofErr w:type="spellStart"/>
      <w:r>
        <w:rPr>
          <w:snapToGrid w:val="0"/>
          <w:sz w:val="22"/>
          <w:szCs w:val="22"/>
          <w:lang w:eastAsia="en-US"/>
        </w:rPr>
        <w:t>deafness</w:t>
      </w:r>
      <w:proofErr w:type="spellEnd"/>
      <w:r>
        <w:rPr>
          <w:snapToGrid w:val="0"/>
          <w:sz w:val="22"/>
          <w:szCs w:val="22"/>
          <w:lang w:eastAsia="en-US"/>
        </w:rPr>
        <w:t xml:space="preserve">, MIDD), </w:t>
      </w:r>
      <w:proofErr w:type="spellStart"/>
      <w:r>
        <w:rPr>
          <w:snapToGrid w:val="0"/>
          <w:sz w:val="22"/>
          <w:szCs w:val="22"/>
          <w:lang w:eastAsia="en-US"/>
        </w:rPr>
        <w:t>metformino</w:t>
      </w:r>
      <w:proofErr w:type="spellEnd"/>
      <w:r>
        <w:rPr>
          <w:snapToGrid w:val="0"/>
          <w:sz w:val="22"/>
          <w:szCs w:val="22"/>
          <w:lang w:eastAsia="en-US"/>
        </w:rPr>
        <w:t xml:space="preserve"> vartoti nerekomenduojama dėl pieno rūgšties </w:t>
      </w:r>
      <w:proofErr w:type="spellStart"/>
      <w:r>
        <w:rPr>
          <w:snapToGrid w:val="0"/>
          <w:sz w:val="22"/>
          <w:szCs w:val="22"/>
          <w:lang w:eastAsia="en-US"/>
        </w:rPr>
        <w:t>acidozės</w:t>
      </w:r>
      <w:proofErr w:type="spellEnd"/>
      <w:r>
        <w:rPr>
          <w:snapToGrid w:val="0"/>
          <w:sz w:val="22"/>
          <w:szCs w:val="22"/>
          <w:lang w:eastAsia="en-US"/>
        </w:rPr>
        <w:t xml:space="preserve"> paūmėjimo ir neurologinių komplikacijų, dėl kurių gali pasunkėti liga, rizikos.</w:t>
      </w:r>
    </w:p>
    <w:p w14:paraId="1EBE7D75" w14:textId="77777777" w:rsidR="003F7CCA" w:rsidRDefault="003F7CCA">
      <w:pPr>
        <w:tabs>
          <w:tab w:val="left" w:pos="567"/>
        </w:tabs>
        <w:jc w:val="both"/>
        <w:rPr>
          <w:snapToGrid w:val="0"/>
          <w:sz w:val="22"/>
          <w:szCs w:val="22"/>
          <w:lang w:eastAsia="en-US"/>
        </w:rPr>
      </w:pPr>
    </w:p>
    <w:p w14:paraId="0CDFB4A5" w14:textId="21D4441A" w:rsidR="003F7CCA" w:rsidRDefault="0080197E">
      <w:pPr>
        <w:tabs>
          <w:tab w:val="left" w:pos="567"/>
        </w:tabs>
        <w:jc w:val="both"/>
        <w:rPr>
          <w:snapToGrid w:val="0"/>
          <w:sz w:val="22"/>
          <w:szCs w:val="22"/>
          <w:lang w:eastAsia="en-US"/>
        </w:rPr>
      </w:pPr>
      <w:r>
        <w:rPr>
          <w:snapToGrid w:val="0"/>
          <w:sz w:val="22"/>
          <w:szCs w:val="22"/>
          <w:lang w:eastAsia="en-US"/>
        </w:rPr>
        <w:t xml:space="preserve">Jei pavartojus </w:t>
      </w:r>
      <w:proofErr w:type="spellStart"/>
      <w:r>
        <w:rPr>
          <w:snapToGrid w:val="0"/>
          <w:sz w:val="22"/>
          <w:szCs w:val="22"/>
          <w:lang w:eastAsia="en-US"/>
        </w:rPr>
        <w:t>metformino</w:t>
      </w:r>
      <w:proofErr w:type="spellEnd"/>
      <w:r>
        <w:rPr>
          <w:snapToGrid w:val="0"/>
          <w:sz w:val="22"/>
          <w:szCs w:val="22"/>
          <w:lang w:eastAsia="en-US"/>
        </w:rPr>
        <w:t xml:space="preserve"> atsiranda požymių ir simptomų, būdingų MELAS sindromui arba MIDD, reikia nedelsiant nutraukti gydymą </w:t>
      </w:r>
      <w:proofErr w:type="spellStart"/>
      <w:r>
        <w:rPr>
          <w:snapToGrid w:val="0"/>
          <w:sz w:val="22"/>
          <w:szCs w:val="22"/>
          <w:lang w:eastAsia="en-US"/>
        </w:rPr>
        <w:t>metforminu</w:t>
      </w:r>
      <w:proofErr w:type="spellEnd"/>
      <w:r>
        <w:rPr>
          <w:snapToGrid w:val="0"/>
          <w:sz w:val="22"/>
          <w:szCs w:val="22"/>
          <w:lang w:eastAsia="en-US"/>
        </w:rPr>
        <w:t xml:space="preserve"> ir </w:t>
      </w:r>
      <w:r w:rsidR="00C3056E">
        <w:rPr>
          <w:snapToGrid w:val="0"/>
          <w:sz w:val="22"/>
          <w:szCs w:val="22"/>
          <w:lang w:eastAsia="en-US"/>
        </w:rPr>
        <w:t xml:space="preserve">skubiai </w:t>
      </w:r>
      <w:r>
        <w:rPr>
          <w:snapToGrid w:val="0"/>
          <w:sz w:val="22"/>
          <w:szCs w:val="22"/>
          <w:lang w:eastAsia="en-US"/>
        </w:rPr>
        <w:t>atlikti diagnostinį įvertinimą.</w:t>
      </w:r>
    </w:p>
    <w:p w14:paraId="7D21C7D3" w14:textId="77777777" w:rsidR="003F7CCA" w:rsidRDefault="003F7CCA">
      <w:pPr>
        <w:tabs>
          <w:tab w:val="left" w:pos="567"/>
        </w:tabs>
        <w:jc w:val="both"/>
        <w:rPr>
          <w:snapToGrid w:val="0"/>
          <w:sz w:val="22"/>
          <w:szCs w:val="22"/>
          <w:lang w:eastAsia="en-US"/>
        </w:rPr>
      </w:pPr>
    </w:p>
    <w:p w14:paraId="13FBD81A" w14:textId="77777777" w:rsidR="003F7CCA" w:rsidRDefault="0080197E">
      <w:pPr>
        <w:tabs>
          <w:tab w:val="left" w:pos="567"/>
        </w:tabs>
        <w:jc w:val="both"/>
        <w:rPr>
          <w:snapToGrid w:val="0"/>
          <w:sz w:val="22"/>
          <w:szCs w:val="22"/>
          <w:u w:val="single"/>
          <w:lang w:eastAsia="en-US"/>
        </w:rPr>
      </w:pPr>
      <w:r>
        <w:rPr>
          <w:snapToGrid w:val="0"/>
          <w:sz w:val="22"/>
          <w:szCs w:val="22"/>
          <w:u w:val="single"/>
          <w:lang w:eastAsia="en-US"/>
        </w:rPr>
        <w:t>Jodo turinčių kontrastinių medžiagų skyrimas</w:t>
      </w:r>
    </w:p>
    <w:p w14:paraId="3F9E0708" w14:textId="67456100" w:rsidR="003F7CCA" w:rsidRDefault="0080197E">
      <w:pPr>
        <w:tabs>
          <w:tab w:val="left" w:pos="567"/>
        </w:tabs>
        <w:jc w:val="both"/>
        <w:rPr>
          <w:snapToGrid w:val="0"/>
          <w:sz w:val="22"/>
          <w:szCs w:val="22"/>
          <w:lang w:eastAsia="en-US"/>
        </w:rPr>
      </w:pPr>
      <w:r>
        <w:rPr>
          <w:snapToGrid w:val="0"/>
          <w:sz w:val="22"/>
          <w:szCs w:val="22"/>
          <w:lang w:eastAsia="en-US"/>
        </w:rPr>
        <w:t xml:space="preserve">Jodo turinčių kontrastinių medžiagų suleidus į kraujagysles, gali pasireikšti kontrastinių medžiagų sukeliama </w:t>
      </w:r>
      <w:proofErr w:type="spellStart"/>
      <w:r>
        <w:rPr>
          <w:snapToGrid w:val="0"/>
          <w:sz w:val="22"/>
          <w:szCs w:val="22"/>
          <w:lang w:eastAsia="en-US"/>
        </w:rPr>
        <w:t>nefropatija</w:t>
      </w:r>
      <w:proofErr w:type="spellEnd"/>
      <w:r>
        <w:rPr>
          <w:snapToGrid w:val="0"/>
          <w:sz w:val="22"/>
          <w:szCs w:val="22"/>
          <w:lang w:eastAsia="en-US"/>
        </w:rPr>
        <w:t xml:space="preserve">, dėl to gali kauptis </w:t>
      </w:r>
      <w:proofErr w:type="spellStart"/>
      <w:r>
        <w:rPr>
          <w:snapToGrid w:val="0"/>
          <w:sz w:val="22"/>
          <w:szCs w:val="22"/>
          <w:lang w:eastAsia="en-US"/>
        </w:rPr>
        <w:t>metforminas</w:t>
      </w:r>
      <w:proofErr w:type="spellEnd"/>
      <w:r>
        <w:rPr>
          <w:snapToGrid w:val="0"/>
          <w:sz w:val="22"/>
          <w:szCs w:val="22"/>
          <w:lang w:eastAsia="en-US"/>
        </w:rPr>
        <w:t xml:space="preserve"> ir padidėti pieno rūgšties </w:t>
      </w:r>
      <w:proofErr w:type="spellStart"/>
      <w:r>
        <w:rPr>
          <w:snapToGrid w:val="0"/>
          <w:sz w:val="22"/>
          <w:szCs w:val="22"/>
          <w:lang w:eastAsia="en-US"/>
        </w:rPr>
        <w:t>acidozės</w:t>
      </w:r>
      <w:proofErr w:type="spellEnd"/>
      <w:r>
        <w:rPr>
          <w:snapToGrid w:val="0"/>
          <w:sz w:val="22"/>
          <w:szCs w:val="22"/>
          <w:lang w:eastAsia="en-US"/>
        </w:rPr>
        <w:t xml:space="preserve"> rizika. Prieš </w:t>
      </w:r>
      <w:r w:rsidR="008329FD">
        <w:rPr>
          <w:snapToGrid w:val="0"/>
          <w:sz w:val="22"/>
          <w:szCs w:val="22"/>
          <w:lang w:eastAsia="en-US"/>
        </w:rPr>
        <w:t xml:space="preserve">radiologinio tyrimo </w:t>
      </w:r>
      <w:r>
        <w:rPr>
          <w:snapToGrid w:val="0"/>
          <w:sz w:val="22"/>
          <w:szCs w:val="22"/>
          <w:lang w:eastAsia="en-US"/>
        </w:rPr>
        <w:t xml:space="preserve">procedūrą arba jos metu </w:t>
      </w:r>
      <w:proofErr w:type="spellStart"/>
      <w:r>
        <w:rPr>
          <w:snapToGrid w:val="0"/>
          <w:sz w:val="22"/>
          <w:szCs w:val="22"/>
          <w:lang w:eastAsia="en-US"/>
        </w:rPr>
        <w:t>metformino</w:t>
      </w:r>
      <w:proofErr w:type="spellEnd"/>
      <w:r>
        <w:rPr>
          <w:snapToGrid w:val="0"/>
          <w:sz w:val="22"/>
          <w:szCs w:val="22"/>
          <w:lang w:eastAsia="en-US"/>
        </w:rPr>
        <w:t xml:space="preserve"> vartojimą reikia nutraukti. Vėl vartoti galima tik praėjus ne mažiau kaip 48 valandoms po procedūros ir tik jei buvo atlikti tyrimai, kurie parodė stabilią inkstų funkciją (žr. 4.2 ir 4.5 skyrius).</w:t>
      </w:r>
    </w:p>
    <w:p w14:paraId="2C80907B" w14:textId="77777777" w:rsidR="003F7CCA" w:rsidRDefault="003F7CCA">
      <w:pPr>
        <w:tabs>
          <w:tab w:val="left" w:pos="567"/>
        </w:tabs>
        <w:jc w:val="both"/>
        <w:rPr>
          <w:snapToGrid w:val="0"/>
          <w:sz w:val="22"/>
          <w:szCs w:val="22"/>
          <w:lang w:eastAsia="en-US"/>
        </w:rPr>
      </w:pPr>
    </w:p>
    <w:p w14:paraId="5B33789A" w14:textId="77777777" w:rsidR="003F7CCA" w:rsidRDefault="0080197E">
      <w:pPr>
        <w:tabs>
          <w:tab w:val="left" w:pos="567"/>
        </w:tabs>
        <w:jc w:val="both"/>
        <w:rPr>
          <w:snapToGrid w:val="0"/>
          <w:sz w:val="22"/>
          <w:szCs w:val="22"/>
          <w:u w:val="single"/>
          <w:lang w:eastAsia="en-US"/>
        </w:rPr>
      </w:pPr>
      <w:r>
        <w:rPr>
          <w:snapToGrid w:val="0"/>
          <w:sz w:val="22"/>
          <w:szCs w:val="22"/>
          <w:u w:val="single"/>
          <w:lang w:eastAsia="en-US"/>
        </w:rPr>
        <w:t>Inkstų funkcija</w:t>
      </w:r>
    </w:p>
    <w:p w14:paraId="60A69571" w14:textId="77777777" w:rsidR="003F7CCA" w:rsidRDefault="0080197E">
      <w:pPr>
        <w:tabs>
          <w:tab w:val="left" w:pos="567"/>
        </w:tabs>
        <w:jc w:val="both"/>
        <w:rPr>
          <w:snapToGrid w:val="0"/>
          <w:sz w:val="22"/>
          <w:szCs w:val="22"/>
          <w:lang w:eastAsia="en-US"/>
        </w:rPr>
      </w:pPr>
      <w:r>
        <w:rPr>
          <w:snapToGrid w:val="0"/>
          <w:sz w:val="22"/>
          <w:szCs w:val="22"/>
          <w:lang w:eastAsia="en-US"/>
        </w:rPr>
        <w:t xml:space="preserve">Prieš pradedant gydymą ir paskui reguliariai reikia vertinti GFG (žr. 4.2 skyrių). </w:t>
      </w:r>
      <w:proofErr w:type="spellStart"/>
      <w:r>
        <w:rPr>
          <w:snapToGrid w:val="0"/>
          <w:sz w:val="22"/>
          <w:szCs w:val="22"/>
          <w:lang w:eastAsia="en-US"/>
        </w:rPr>
        <w:t>Metforminą</w:t>
      </w:r>
      <w:proofErr w:type="spellEnd"/>
      <w:r>
        <w:rPr>
          <w:snapToGrid w:val="0"/>
          <w:sz w:val="22"/>
          <w:szCs w:val="22"/>
          <w:lang w:eastAsia="en-US"/>
        </w:rPr>
        <w:t xml:space="preserve"> draudžiama vartoti pacientams, kurių GFG &lt; 30 ml/min., jo vartojimą reikia laikinai nutraukti, esant būklėms, kurios sutrikdo inkstų funkciją (žr. 4.3 skyrių).</w:t>
      </w:r>
    </w:p>
    <w:p w14:paraId="71C006A9" w14:textId="77777777" w:rsidR="003F7CCA" w:rsidRDefault="003F7CCA">
      <w:pPr>
        <w:tabs>
          <w:tab w:val="left" w:pos="567"/>
        </w:tabs>
        <w:jc w:val="both"/>
        <w:rPr>
          <w:snapToGrid w:val="0"/>
          <w:sz w:val="22"/>
          <w:szCs w:val="22"/>
          <w:lang w:eastAsia="en-US"/>
        </w:rPr>
      </w:pPr>
    </w:p>
    <w:p w14:paraId="6ECC6FD6" w14:textId="77777777" w:rsidR="003F7CCA" w:rsidRDefault="0080197E">
      <w:pPr>
        <w:autoSpaceDE w:val="0"/>
        <w:autoSpaceDN w:val="0"/>
        <w:adjustRightInd w:val="0"/>
        <w:rPr>
          <w:rFonts w:eastAsia="Calibri"/>
          <w:sz w:val="22"/>
          <w:szCs w:val="22"/>
          <w:u w:val="single"/>
          <w:lang w:eastAsia="en-US"/>
        </w:rPr>
      </w:pPr>
      <w:r>
        <w:rPr>
          <w:rFonts w:eastAsia="Calibri"/>
          <w:sz w:val="22"/>
          <w:szCs w:val="22"/>
          <w:u w:val="single"/>
          <w:lang w:eastAsia="en-US"/>
        </w:rPr>
        <w:t>Širdies funkcija</w:t>
      </w:r>
    </w:p>
    <w:p w14:paraId="33EB5B0E" w14:textId="6BA728BF" w:rsidR="003F7CCA" w:rsidRDefault="0080197E">
      <w:pPr>
        <w:autoSpaceDE w:val="0"/>
        <w:autoSpaceDN w:val="0"/>
        <w:adjustRightInd w:val="0"/>
        <w:rPr>
          <w:rFonts w:eastAsia="Calibri"/>
          <w:sz w:val="22"/>
          <w:szCs w:val="22"/>
          <w:lang w:eastAsia="en-US"/>
        </w:rPr>
      </w:pPr>
      <w:r>
        <w:rPr>
          <w:rFonts w:eastAsia="Calibri"/>
          <w:sz w:val="22"/>
          <w:szCs w:val="22"/>
          <w:lang w:eastAsia="en-US"/>
        </w:rPr>
        <w:t xml:space="preserve">Pacientams, sergantiems širdies nepakankamumu, yra didesnis hipoksijos ir inkstų funkcijos sutrikimo pavojus. Pacientams, kuriems lėtinis širdies nepakankamumas yra stabilus, </w:t>
      </w:r>
      <w:proofErr w:type="spellStart"/>
      <w:r>
        <w:rPr>
          <w:rFonts w:eastAsia="Calibri"/>
          <w:sz w:val="22"/>
          <w:szCs w:val="22"/>
          <w:lang w:eastAsia="en-US"/>
        </w:rPr>
        <w:t>linagliptino</w:t>
      </w:r>
      <w:proofErr w:type="spellEnd"/>
      <w:r>
        <w:rPr>
          <w:rFonts w:eastAsia="Calibri"/>
          <w:sz w:val="22"/>
          <w:szCs w:val="22"/>
          <w:lang w:eastAsia="en-US"/>
        </w:rPr>
        <w:t>/</w:t>
      </w:r>
      <w:proofErr w:type="spellStart"/>
      <w:r>
        <w:rPr>
          <w:rFonts w:eastAsia="Calibri"/>
          <w:sz w:val="22"/>
          <w:szCs w:val="22"/>
          <w:lang w:eastAsia="en-US"/>
        </w:rPr>
        <w:t>metformino</w:t>
      </w:r>
      <w:proofErr w:type="spellEnd"/>
      <w:r>
        <w:rPr>
          <w:rFonts w:eastAsia="Calibri"/>
          <w:sz w:val="22"/>
          <w:szCs w:val="22"/>
          <w:lang w:eastAsia="en-US"/>
        </w:rPr>
        <w:t xml:space="preserve"> galima vartoti reguliariai </w:t>
      </w:r>
      <w:r w:rsidR="00573E3F">
        <w:rPr>
          <w:rFonts w:eastAsia="Calibri"/>
          <w:sz w:val="22"/>
          <w:szCs w:val="22"/>
          <w:lang w:eastAsia="en-US"/>
        </w:rPr>
        <w:t>ste</w:t>
      </w:r>
      <w:r w:rsidR="000C6C5D">
        <w:rPr>
          <w:rFonts w:eastAsia="Calibri"/>
          <w:sz w:val="22"/>
          <w:szCs w:val="22"/>
          <w:lang w:eastAsia="en-US"/>
        </w:rPr>
        <w:t>bint</w:t>
      </w:r>
      <w:r w:rsidR="00573E3F">
        <w:rPr>
          <w:rFonts w:eastAsia="Calibri"/>
          <w:sz w:val="22"/>
          <w:szCs w:val="22"/>
          <w:lang w:eastAsia="en-US"/>
        </w:rPr>
        <w:t xml:space="preserve"> </w:t>
      </w:r>
      <w:r>
        <w:rPr>
          <w:rFonts w:eastAsia="Calibri"/>
          <w:sz w:val="22"/>
          <w:szCs w:val="22"/>
          <w:lang w:eastAsia="en-US"/>
        </w:rPr>
        <w:t xml:space="preserve">širdies ir inkstų funkciją. Pacientams, kuriems yra ūminis ir nestabilus širdies nepakankamumas, </w:t>
      </w:r>
      <w:proofErr w:type="spellStart"/>
      <w:r>
        <w:rPr>
          <w:rFonts w:eastAsia="Calibri"/>
          <w:sz w:val="22"/>
          <w:szCs w:val="22"/>
          <w:lang w:eastAsia="en-US"/>
        </w:rPr>
        <w:t>linagliptino</w:t>
      </w:r>
      <w:proofErr w:type="spellEnd"/>
      <w:r>
        <w:rPr>
          <w:rFonts w:eastAsia="Calibri"/>
          <w:sz w:val="22"/>
          <w:szCs w:val="22"/>
          <w:lang w:eastAsia="en-US"/>
        </w:rPr>
        <w:t>/</w:t>
      </w:r>
      <w:proofErr w:type="spellStart"/>
      <w:r>
        <w:rPr>
          <w:rFonts w:eastAsia="Calibri"/>
          <w:sz w:val="22"/>
          <w:szCs w:val="22"/>
          <w:lang w:eastAsia="en-US"/>
        </w:rPr>
        <w:t>metformino</w:t>
      </w:r>
      <w:proofErr w:type="spellEnd"/>
      <w:r>
        <w:rPr>
          <w:rFonts w:eastAsia="Calibri"/>
          <w:sz w:val="22"/>
          <w:szCs w:val="22"/>
          <w:lang w:eastAsia="en-US"/>
        </w:rPr>
        <w:t xml:space="preserve"> vartoti draudžiama (žr. 4.3 skyrių).</w:t>
      </w:r>
    </w:p>
    <w:p w14:paraId="6710FABB" w14:textId="77777777" w:rsidR="003F7CCA" w:rsidRDefault="003F7CCA">
      <w:pPr>
        <w:autoSpaceDE w:val="0"/>
        <w:autoSpaceDN w:val="0"/>
        <w:adjustRightInd w:val="0"/>
        <w:rPr>
          <w:rFonts w:eastAsia="Calibri"/>
          <w:sz w:val="22"/>
          <w:szCs w:val="22"/>
          <w:lang w:eastAsia="en-US"/>
        </w:rPr>
      </w:pPr>
    </w:p>
    <w:p w14:paraId="116FBF30" w14:textId="77777777" w:rsidR="003F7CCA" w:rsidRDefault="0080197E">
      <w:pPr>
        <w:autoSpaceDE w:val="0"/>
        <w:autoSpaceDN w:val="0"/>
        <w:adjustRightInd w:val="0"/>
        <w:rPr>
          <w:rFonts w:eastAsia="Calibri"/>
          <w:sz w:val="22"/>
          <w:szCs w:val="22"/>
          <w:u w:val="single"/>
          <w:lang w:eastAsia="en-US"/>
        </w:rPr>
      </w:pPr>
      <w:r>
        <w:rPr>
          <w:rFonts w:eastAsia="Calibri"/>
          <w:sz w:val="22"/>
          <w:szCs w:val="22"/>
          <w:u w:val="single"/>
          <w:lang w:eastAsia="en-US"/>
        </w:rPr>
        <w:t>Operacija</w:t>
      </w:r>
    </w:p>
    <w:p w14:paraId="07065375" w14:textId="690812A0" w:rsidR="003F7CCA" w:rsidRDefault="0080197E">
      <w:pPr>
        <w:autoSpaceDE w:val="0"/>
        <w:autoSpaceDN w:val="0"/>
        <w:adjustRightInd w:val="0"/>
        <w:rPr>
          <w:rFonts w:eastAsia="Calibri"/>
          <w:sz w:val="22"/>
          <w:szCs w:val="22"/>
          <w:lang w:eastAsia="en-US"/>
        </w:rPr>
      </w:pPr>
      <w:r>
        <w:rPr>
          <w:rFonts w:eastAsia="Calibri"/>
          <w:sz w:val="22"/>
          <w:szCs w:val="22"/>
          <w:lang w:eastAsia="en-US"/>
        </w:rPr>
        <w:t xml:space="preserve">Operacijos metu taikant bendrąją, </w:t>
      </w:r>
      <w:proofErr w:type="spellStart"/>
      <w:r>
        <w:rPr>
          <w:rFonts w:eastAsia="Calibri"/>
          <w:sz w:val="22"/>
          <w:szCs w:val="22"/>
          <w:lang w:eastAsia="en-US"/>
        </w:rPr>
        <w:t>spinalinę</w:t>
      </w:r>
      <w:proofErr w:type="spellEnd"/>
      <w:r>
        <w:rPr>
          <w:rFonts w:eastAsia="Calibri"/>
          <w:sz w:val="22"/>
          <w:szCs w:val="22"/>
          <w:lang w:eastAsia="en-US"/>
        </w:rPr>
        <w:t xml:space="preserve"> arba </w:t>
      </w:r>
      <w:proofErr w:type="spellStart"/>
      <w:r>
        <w:rPr>
          <w:rFonts w:eastAsia="Calibri"/>
          <w:sz w:val="22"/>
          <w:szCs w:val="22"/>
          <w:lang w:eastAsia="en-US"/>
        </w:rPr>
        <w:t>epidurinę</w:t>
      </w:r>
      <w:proofErr w:type="spellEnd"/>
      <w:r>
        <w:rPr>
          <w:rFonts w:eastAsia="Calibri"/>
          <w:sz w:val="22"/>
          <w:szCs w:val="22"/>
          <w:lang w:eastAsia="en-US"/>
        </w:rPr>
        <w:t xml:space="preserve"> nejautrą, </w:t>
      </w:r>
      <w:proofErr w:type="spellStart"/>
      <w:r>
        <w:rPr>
          <w:rFonts w:eastAsia="Calibri"/>
          <w:sz w:val="22"/>
          <w:szCs w:val="22"/>
          <w:lang w:eastAsia="en-US"/>
        </w:rPr>
        <w:t>metformino</w:t>
      </w:r>
      <w:proofErr w:type="spellEnd"/>
      <w:r>
        <w:rPr>
          <w:rFonts w:eastAsia="Calibri"/>
          <w:sz w:val="22"/>
          <w:szCs w:val="22"/>
          <w:lang w:eastAsia="en-US"/>
        </w:rPr>
        <w:t xml:space="preserve"> vartojimą reikia nutraukti. Gydymą galima atnaujinti praėjus ne mažiau kaip 48 valandoms po operacijos arba </w:t>
      </w:r>
      <w:r w:rsidR="00E974B0">
        <w:rPr>
          <w:rFonts w:eastAsia="Calibri"/>
          <w:sz w:val="22"/>
          <w:szCs w:val="22"/>
          <w:lang w:eastAsia="en-US"/>
        </w:rPr>
        <w:t xml:space="preserve">pradėjus maitintis </w:t>
      </w:r>
      <w:r>
        <w:rPr>
          <w:rFonts w:eastAsia="Calibri"/>
          <w:sz w:val="22"/>
          <w:szCs w:val="22"/>
          <w:lang w:eastAsia="en-US"/>
        </w:rPr>
        <w:t xml:space="preserve"> per burną ir tik jei buvo </w:t>
      </w:r>
      <w:r w:rsidR="00D65483">
        <w:rPr>
          <w:rFonts w:eastAsia="Calibri"/>
          <w:sz w:val="22"/>
          <w:szCs w:val="22"/>
          <w:lang w:eastAsia="en-US"/>
        </w:rPr>
        <w:t xml:space="preserve">naujai </w:t>
      </w:r>
      <w:r>
        <w:rPr>
          <w:rFonts w:eastAsia="Calibri"/>
          <w:sz w:val="22"/>
          <w:szCs w:val="22"/>
          <w:lang w:eastAsia="en-US"/>
        </w:rPr>
        <w:t>atlikti tyrimai, kurie parodė stabilią inkstų funkciją.</w:t>
      </w:r>
    </w:p>
    <w:p w14:paraId="18BC59C4" w14:textId="77777777" w:rsidR="003F7CCA" w:rsidRDefault="003F7CCA">
      <w:pPr>
        <w:autoSpaceDE w:val="0"/>
        <w:autoSpaceDN w:val="0"/>
        <w:adjustRightInd w:val="0"/>
        <w:rPr>
          <w:rFonts w:eastAsia="Calibri"/>
          <w:sz w:val="22"/>
          <w:szCs w:val="22"/>
          <w:lang w:eastAsia="en-US"/>
        </w:rPr>
      </w:pPr>
    </w:p>
    <w:p w14:paraId="0CCC78C4" w14:textId="75BF6621" w:rsidR="003F7CCA" w:rsidRDefault="0080197E">
      <w:pPr>
        <w:autoSpaceDE w:val="0"/>
        <w:autoSpaceDN w:val="0"/>
        <w:adjustRightInd w:val="0"/>
        <w:rPr>
          <w:rFonts w:eastAsia="Calibri"/>
          <w:sz w:val="22"/>
          <w:szCs w:val="22"/>
          <w:u w:val="single"/>
          <w:lang w:eastAsia="en-US"/>
        </w:rPr>
      </w:pPr>
      <w:r>
        <w:rPr>
          <w:rFonts w:eastAsia="Calibri"/>
          <w:sz w:val="22"/>
          <w:szCs w:val="22"/>
          <w:u w:val="single"/>
          <w:lang w:eastAsia="en-US"/>
        </w:rPr>
        <w:t xml:space="preserve">Senyvi </w:t>
      </w:r>
      <w:r w:rsidR="001C3CA5">
        <w:rPr>
          <w:rFonts w:eastAsia="Calibri"/>
          <w:sz w:val="22"/>
          <w:szCs w:val="22"/>
          <w:u w:val="single"/>
          <w:lang w:eastAsia="en-US"/>
        </w:rPr>
        <w:t>pacientai</w:t>
      </w:r>
    </w:p>
    <w:p w14:paraId="1B41B266" w14:textId="77777777" w:rsidR="003F7CCA" w:rsidRDefault="0080197E">
      <w:pPr>
        <w:autoSpaceDE w:val="0"/>
        <w:autoSpaceDN w:val="0"/>
        <w:adjustRightInd w:val="0"/>
        <w:rPr>
          <w:rFonts w:eastAsia="Calibri"/>
          <w:sz w:val="22"/>
          <w:szCs w:val="22"/>
          <w:lang w:eastAsia="en-US"/>
        </w:rPr>
      </w:pPr>
      <w:r>
        <w:rPr>
          <w:rFonts w:eastAsia="Calibri"/>
          <w:sz w:val="22"/>
          <w:szCs w:val="22"/>
          <w:lang w:eastAsia="en-US"/>
        </w:rPr>
        <w:lastRenderedPageBreak/>
        <w:t>80 metų ir vyresnius pacientus reikia gydyti atsargiai (žr. 4.2 skyrių).</w:t>
      </w:r>
    </w:p>
    <w:p w14:paraId="4265B990" w14:textId="77777777" w:rsidR="003F7CCA" w:rsidRDefault="003F7CCA">
      <w:pPr>
        <w:autoSpaceDE w:val="0"/>
        <w:autoSpaceDN w:val="0"/>
        <w:adjustRightInd w:val="0"/>
        <w:rPr>
          <w:rFonts w:eastAsia="Calibri"/>
          <w:sz w:val="22"/>
          <w:szCs w:val="22"/>
          <w:lang w:eastAsia="en-US"/>
        </w:rPr>
      </w:pPr>
    </w:p>
    <w:p w14:paraId="538CA03A" w14:textId="73B8C4F6" w:rsidR="003F7CCA" w:rsidRDefault="0080197E">
      <w:pPr>
        <w:autoSpaceDE w:val="0"/>
        <w:autoSpaceDN w:val="0"/>
        <w:adjustRightInd w:val="0"/>
        <w:rPr>
          <w:rFonts w:eastAsia="Calibri"/>
          <w:sz w:val="22"/>
          <w:szCs w:val="22"/>
          <w:u w:val="single"/>
          <w:lang w:eastAsia="en-US"/>
        </w:rPr>
      </w:pPr>
      <w:r>
        <w:rPr>
          <w:rFonts w:eastAsia="Calibri"/>
          <w:sz w:val="22"/>
          <w:szCs w:val="22"/>
          <w:u w:val="single"/>
          <w:lang w:eastAsia="en-US"/>
        </w:rPr>
        <w:t xml:space="preserve">Pacientų, kurių 2 tipo cukrinis diabetas anksčiau buvo </w:t>
      </w:r>
      <w:r w:rsidR="00BB0E90">
        <w:rPr>
          <w:rFonts w:eastAsia="Calibri"/>
          <w:sz w:val="22"/>
          <w:szCs w:val="22"/>
          <w:u w:val="single"/>
          <w:lang w:eastAsia="en-US"/>
        </w:rPr>
        <w:t>sureguliuotas</w:t>
      </w:r>
      <w:r>
        <w:rPr>
          <w:rFonts w:eastAsia="Calibri"/>
          <w:sz w:val="22"/>
          <w:szCs w:val="22"/>
          <w:u w:val="single"/>
          <w:lang w:eastAsia="en-US"/>
        </w:rPr>
        <w:t xml:space="preserve">, klinikinės būklės </w:t>
      </w:r>
      <w:r w:rsidR="00BB0E90">
        <w:rPr>
          <w:rFonts w:eastAsia="Calibri"/>
          <w:sz w:val="22"/>
          <w:szCs w:val="22"/>
          <w:u w:val="single"/>
          <w:lang w:eastAsia="en-US"/>
        </w:rPr>
        <w:t>pasikeitimas</w:t>
      </w:r>
    </w:p>
    <w:p w14:paraId="54EBC5E2" w14:textId="1832615B" w:rsidR="003F7CCA" w:rsidRDefault="0080197E">
      <w:pPr>
        <w:autoSpaceDE w:val="0"/>
        <w:autoSpaceDN w:val="0"/>
        <w:adjustRightInd w:val="0"/>
        <w:rPr>
          <w:rFonts w:eastAsia="Calibri"/>
          <w:sz w:val="22"/>
          <w:szCs w:val="22"/>
          <w:lang w:eastAsia="en-US"/>
        </w:rPr>
      </w:pPr>
      <w:r>
        <w:rPr>
          <w:rFonts w:eastAsia="Calibri"/>
          <w:sz w:val="22"/>
          <w:szCs w:val="22"/>
          <w:lang w:eastAsia="en-US"/>
        </w:rPr>
        <w:t xml:space="preserve">Kadangi </w:t>
      </w:r>
      <w:proofErr w:type="spellStart"/>
      <w:r>
        <w:rPr>
          <w:rFonts w:eastAsia="Calibri"/>
          <w:sz w:val="22"/>
          <w:szCs w:val="22"/>
          <w:lang w:eastAsia="en-US"/>
        </w:rPr>
        <w:t>Lymerexo</w:t>
      </w:r>
      <w:proofErr w:type="spellEnd"/>
      <w:r>
        <w:rPr>
          <w:rFonts w:eastAsia="Calibri"/>
          <w:sz w:val="22"/>
          <w:szCs w:val="22"/>
          <w:lang w:eastAsia="en-US"/>
        </w:rPr>
        <w:t xml:space="preserve"> sudėtyje yra </w:t>
      </w:r>
      <w:proofErr w:type="spellStart"/>
      <w:r>
        <w:rPr>
          <w:rFonts w:eastAsia="Calibri"/>
          <w:sz w:val="22"/>
          <w:szCs w:val="22"/>
          <w:lang w:eastAsia="en-US"/>
        </w:rPr>
        <w:t>metformino</w:t>
      </w:r>
      <w:proofErr w:type="spellEnd"/>
      <w:r>
        <w:rPr>
          <w:rFonts w:eastAsia="Calibri"/>
          <w:sz w:val="22"/>
          <w:szCs w:val="22"/>
          <w:lang w:eastAsia="en-US"/>
        </w:rPr>
        <w:t xml:space="preserve">, pacientus, kuriems 2 tipo cukrinį diabetą šis vaistinis preparatas anksčiau </w:t>
      </w:r>
      <w:r w:rsidR="0004793A">
        <w:rPr>
          <w:rFonts w:eastAsia="Calibri"/>
          <w:sz w:val="22"/>
          <w:szCs w:val="22"/>
          <w:lang w:eastAsia="en-US"/>
        </w:rPr>
        <w:t xml:space="preserve">sureguliavo </w:t>
      </w:r>
      <w:r>
        <w:rPr>
          <w:rFonts w:eastAsia="Calibri"/>
          <w:sz w:val="22"/>
          <w:szCs w:val="22"/>
          <w:lang w:eastAsia="en-US"/>
        </w:rPr>
        <w:t xml:space="preserve">gerai, tačiau kuriems laboratorinių tyrimų duomenys nukrypo nuo normos arba atsirado klinikinių </w:t>
      </w:r>
      <w:r w:rsidR="0082413A">
        <w:rPr>
          <w:rFonts w:eastAsia="Calibri"/>
          <w:sz w:val="22"/>
          <w:szCs w:val="22"/>
          <w:lang w:eastAsia="en-US"/>
        </w:rPr>
        <w:t xml:space="preserve">ligos požymių </w:t>
      </w:r>
      <w:r>
        <w:rPr>
          <w:rFonts w:eastAsia="Calibri"/>
          <w:sz w:val="22"/>
          <w:szCs w:val="22"/>
          <w:lang w:eastAsia="en-US"/>
        </w:rPr>
        <w:t xml:space="preserve">(ypač neaiškių ir sunkiai </w:t>
      </w:r>
      <w:r w:rsidR="002921F5">
        <w:rPr>
          <w:rFonts w:eastAsia="Calibri"/>
          <w:sz w:val="22"/>
          <w:szCs w:val="22"/>
          <w:lang w:eastAsia="en-US"/>
        </w:rPr>
        <w:t xml:space="preserve">apibūdinamų </w:t>
      </w:r>
      <w:r>
        <w:rPr>
          <w:rFonts w:eastAsia="Calibri"/>
          <w:sz w:val="22"/>
          <w:szCs w:val="22"/>
          <w:lang w:eastAsia="en-US"/>
        </w:rPr>
        <w:t xml:space="preserve">negalavimų), reikia tuoj pat ištirti, ar nėra </w:t>
      </w:r>
      <w:proofErr w:type="spellStart"/>
      <w:r>
        <w:rPr>
          <w:rFonts w:eastAsia="Calibri"/>
          <w:sz w:val="22"/>
          <w:szCs w:val="22"/>
          <w:lang w:eastAsia="en-US"/>
        </w:rPr>
        <w:t>ketoacidozės</w:t>
      </w:r>
      <w:proofErr w:type="spellEnd"/>
      <w:r>
        <w:rPr>
          <w:rFonts w:eastAsia="Calibri"/>
          <w:sz w:val="22"/>
          <w:szCs w:val="22"/>
          <w:lang w:eastAsia="en-US"/>
        </w:rPr>
        <w:t xml:space="preserve"> ar pieno rūgšties </w:t>
      </w:r>
      <w:proofErr w:type="spellStart"/>
      <w:r>
        <w:rPr>
          <w:rFonts w:eastAsia="Calibri"/>
          <w:sz w:val="22"/>
          <w:szCs w:val="22"/>
          <w:lang w:eastAsia="en-US"/>
        </w:rPr>
        <w:t>acidozės</w:t>
      </w:r>
      <w:proofErr w:type="spellEnd"/>
      <w:r w:rsidR="002921F5">
        <w:rPr>
          <w:rFonts w:eastAsia="Calibri"/>
          <w:sz w:val="22"/>
          <w:szCs w:val="22"/>
          <w:lang w:eastAsia="en-US"/>
        </w:rPr>
        <w:t xml:space="preserve"> požymių</w:t>
      </w:r>
      <w:r>
        <w:rPr>
          <w:rFonts w:eastAsia="Calibri"/>
          <w:sz w:val="22"/>
          <w:szCs w:val="22"/>
          <w:lang w:eastAsia="en-US"/>
        </w:rPr>
        <w:t xml:space="preserve">. Tyrimas turi apimti elektrolitų ir ketonų kiekio kraujo serume, gliukozės </w:t>
      </w:r>
      <w:r w:rsidR="009010AF">
        <w:rPr>
          <w:rFonts w:eastAsia="Calibri"/>
          <w:sz w:val="22"/>
          <w:szCs w:val="22"/>
          <w:lang w:eastAsia="en-US"/>
        </w:rPr>
        <w:t xml:space="preserve">koncentracijos </w:t>
      </w:r>
      <w:r>
        <w:rPr>
          <w:rFonts w:eastAsia="Calibri"/>
          <w:sz w:val="22"/>
          <w:szCs w:val="22"/>
          <w:lang w:eastAsia="en-US"/>
        </w:rPr>
        <w:t xml:space="preserve">kraujyje ir, jei reikia, kraujo pH, laktatų, </w:t>
      </w:r>
      <w:proofErr w:type="spellStart"/>
      <w:r>
        <w:rPr>
          <w:rFonts w:eastAsia="Calibri"/>
          <w:sz w:val="22"/>
          <w:szCs w:val="22"/>
          <w:lang w:eastAsia="en-US"/>
        </w:rPr>
        <w:t>piruvato</w:t>
      </w:r>
      <w:proofErr w:type="spellEnd"/>
      <w:r>
        <w:rPr>
          <w:rFonts w:eastAsia="Calibri"/>
          <w:sz w:val="22"/>
          <w:szCs w:val="22"/>
          <w:lang w:eastAsia="en-US"/>
        </w:rPr>
        <w:t xml:space="preserve"> ir </w:t>
      </w:r>
      <w:proofErr w:type="spellStart"/>
      <w:r>
        <w:rPr>
          <w:rFonts w:eastAsia="Calibri"/>
          <w:sz w:val="22"/>
          <w:szCs w:val="22"/>
          <w:lang w:eastAsia="en-US"/>
        </w:rPr>
        <w:t>metformino</w:t>
      </w:r>
      <w:proofErr w:type="spellEnd"/>
      <w:r>
        <w:rPr>
          <w:rFonts w:eastAsia="Calibri"/>
          <w:sz w:val="22"/>
          <w:szCs w:val="22"/>
          <w:lang w:eastAsia="en-US"/>
        </w:rPr>
        <w:t xml:space="preserve"> kiekio kraujyje tyrimus. Jeigu pasireiškia bet kurios rūšies </w:t>
      </w:r>
      <w:proofErr w:type="spellStart"/>
      <w:r>
        <w:rPr>
          <w:rFonts w:eastAsia="Calibri"/>
          <w:sz w:val="22"/>
          <w:szCs w:val="22"/>
          <w:lang w:eastAsia="en-US"/>
        </w:rPr>
        <w:t>acidozė</w:t>
      </w:r>
      <w:proofErr w:type="spellEnd"/>
      <w:r>
        <w:rPr>
          <w:rFonts w:eastAsia="Calibri"/>
          <w:sz w:val="22"/>
          <w:szCs w:val="22"/>
          <w:lang w:eastAsia="en-US"/>
        </w:rPr>
        <w:t>, vaistinio preparato vartojimą būtina tuoj pat nutraukti ir pradėti gydyti kitomis tinkamomis korekcinėmis priemonėmis.</w:t>
      </w:r>
    </w:p>
    <w:p w14:paraId="74134FC2" w14:textId="77777777" w:rsidR="003F7CCA" w:rsidRDefault="003F7CCA">
      <w:pPr>
        <w:autoSpaceDE w:val="0"/>
        <w:autoSpaceDN w:val="0"/>
        <w:adjustRightInd w:val="0"/>
        <w:rPr>
          <w:rFonts w:eastAsia="Calibri"/>
          <w:sz w:val="22"/>
          <w:szCs w:val="22"/>
          <w:lang w:eastAsia="en-US"/>
        </w:rPr>
      </w:pPr>
    </w:p>
    <w:p w14:paraId="23E7AB75" w14:textId="77777777" w:rsidR="003F7CCA" w:rsidRDefault="0080197E">
      <w:pPr>
        <w:autoSpaceDE w:val="0"/>
        <w:autoSpaceDN w:val="0"/>
        <w:adjustRightInd w:val="0"/>
        <w:rPr>
          <w:rFonts w:eastAsia="Calibri"/>
          <w:sz w:val="22"/>
          <w:szCs w:val="22"/>
          <w:u w:val="single"/>
          <w:lang w:eastAsia="en-US"/>
        </w:rPr>
      </w:pPr>
      <w:r>
        <w:rPr>
          <w:rFonts w:eastAsia="Calibri"/>
          <w:sz w:val="22"/>
          <w:szCs w:val="22"/>
          <w:u w:val="single"/>
          <w:lang w:eastAsia="en-US"/>
        </w:rPr>
        <w:t>Ūminis pankreatitas</w:t>
      </w:r>
    </w:p>
    <w:p w14:paraId="09A9633A" w14:textId="7C03EE6C" w:rsidR="003F7CCA" w:rsidRDefault="0080197E">
      <w:pPr>
        <w:autoSpaceDE w:val="0"/>
        <w:autoSpaceDN w:val="0"/>
        <w:adjustRightInd w:val="0"/>
        <w:rPr>
          <w:rFonts w:eastAsia="Calibri"/>
          <w:sz w:val="22"/>
          <w:szCs w:val="22"/>
          <w:lang w:eastAsia="en-US"/>
        </w:rPr>
      </w:pPr>
      <w:r>
        <w:rPr>
          <w:rFonts w:eastAsia="Calibri"/>
          <w:sz w:val="22"/>
          <w:szCs w:val="22"/>
          <w:lang w:eastAsia="en-US"/>
        </w:rPr>
        <w:t xml:space="preserve">DPP-4 inhibitorių vartojimas yra susijęs su ūminio pankreatito išsivystymo rizika. </w:t>
      </w:r>
      <w:proofErr w:type="spellStart"/>
      <w:r>
        <w:rPr>
          <w:rFonts w:eastAsia="Calibri"/>
          <w:sz w:val="22"/>
          <w:szCs w:val="22"/>
          <w:lang w:eastAsia="en-US"/>
        </w:rPr>
        <w:t>Linagliptiną</w:t>
      </w:r>
      <w:proofErr w:type="spellEnd"/>
      <w:r>
        <w:rPr>
          <w:rFonts w:eastAsia="Calibri"/>
          <w:sz w:val="22"/>
          <w:szCs w:val="22"/>
          <w:lang w:eastAsia="en-US"/>
        </w:rPr>
        <w:t xml:space="preserve"> vartojusiems pacientams stebėtas ūminis pankreatitas. Saugumo širdies ir kraujagyslių sistemai bei inkstams tyrimo (CARMELINA), kurio stebėjimo laikotarpio mediana siekė 2,2 metų, metu gauta pranešimų apie nepriklausomai pripažintą ūminį pankreatitą, pasireiškusį 0,3 % pacientų, vartojusių </w:t>
      </w:r>
      <w:proofErr w:type="spellStart"/>
      <w:r>
        <w:rPr>
          <w:rFonts w:eastAsia="Calibri"/>
          <w:sz w:val="22"/>
          <w:szCs w:val="22"/>
          <w:lang w:eastAsia="en-US"/>
        </w:rPr>
        <w:t>linagliptiną</w:t>
      </w:r>
      <w:proofErr w:type="spellEnd"/>
      <w:r>
        <w:rPr>
          <w:rFonts w:eastAsia="Calibri"/>
          <w:sz w:val="22"/>
          <w:szCs w:val="22"/>
          <w:lang w:eastAsia="en-US"/>
        </w:rPr>
        <w:t xml:space="preserve">, ir 0,1 % pacientų, vartojusių placebą. </w:t>
      </w:r>
      <w:r w:rsidR="00920302">
        <w:rPr>
          <w:rFonts w:eastAsia="Calibri"/>
          <w:sz w:val="22"/>
          <w:szCs w:val="22"/>
          <w:lang w:eastAsia="en-US"/>
        </w:rPr>
        <w:t>Jei įtariamas</w:t>
      </w:r>
      <w:r>
        <w:rPr>
          <w:rFonts w:eastAsia="Calibri"/>
          <w:sz w:val="22"/>
          <w:szCs w:val="22"/>
          <w:lang w:eastAsia="en-US"/>
        </w:rPr>
        <w:t xml:space="preserve"> pankreatitas, šio vaistinio preparato vartojimą reikia nutraukti; jei patvirtinama</w:t>
      </w:r>
      <w:r w:rsidR="00761638">
        <w:rPr>
          <w:rFonts w:eastAsia="Calibri"/>
          <w:sz w:val="22"/>
          <w:szCs w:val="22"/>
          <w:lang w:eastAsia="en-US"/>
        </w:rPr>
        <w:t>s</w:t>
      </w:r>
      <w:r>
        <w:rPr>
          <w:rFonts w:eastAsia="Calibri"/>
          <w:sz w:val="22"/>
          <w:szCs w:val="22"/>
          <w:lang w:eastAsia="en-US"/>
        </w:rPr>
        <w:t xml:space="preserve"> ūmini</w:t>
      </w:r>
      <w:r w:rsidR="00761638">
        <w:rPr>
          <w:rFonts w:eastAsia="Calibri"/>
          <w:sz w:val="22"/>
          <w:szCs w:val="22"/>
          <w:lang w:eastAsia="en-US"/>
        </w:rPr>
        <w:t>s</w:t>
      </w:r>
      <w:r>
        <w:rPr>
          <w:rFonts w:eastAsia="Calibri"/>
          <w:sz w:val="22"/>
          <w:szCs w:val="22"/>
          <w:lang w:eastAsia="en-US"/>
        </w:rPr>
        <w:t xml:space="preserve"> pankreatit</w:t>
      </w:r>
      <w:r w:rsidR="00761638">
        <w:rPr>
          <w:rFonts w:eastAsia="Calibri"/>
          <w:sz w:val="22"/>
          <w:szCs w:val="22"/>
          <w:lang w:eastAsia="en-US"/>
        </w:rPr>
        <w:t>as</w:t>
      </w:r>
      <w:r>
        <w:rPr>
          <w:rFonts w:eastAsia="Calibri"/>
          <w:sz w:val="22"/>
          <w:szCs w:val="22"/>
          <w:lang w:eastAsia="en-US"/>
        </w:rPr>
        <w:t xml:space="preserve">, </w:t>
      </w:r>
      <w:proofErr w:type="spellStart"/>
      <w:r w:rsidR="00761638">
        <w:rPr>
          <w:rFonts w:eastAsia="Calibri"/>
          <w:sz w:val="22"/>
          <w:szCs w:val="22"/>
          <w:lang w:eastAsia="en-US"/>
        </w:rPr>
        <w:t>linagliptino</w:t>
      </w:r>
      <w:proofErr w:type="spellEnd"/>
      <w:r w:rsidR="00761638">
        <w:rPr>
          <w:rFonts w:eastAsia="Calibri"/>
          <w:sz w:val="22"/>
          <w:szCs w:val="22"/>
          <w:lang w:eastAsia="en-US"/>
        </w:rPr>
        <w:t>/</w:t>
      </w:r>
      <w:proofErr w:type="spellStart"/>
      <w:r w:rsidR="00761638">
        <w:rPr>
          <w:rFonts w:eastAsia="Calibri"/>
          <w:sz w:val="22"/>
          <w:szCs w:val="22"/>
          <w:lang w:eastAsia="en-US"/>
        </w:rPr>
        <w:t>metformino</w:t>
      </w:r>
      <w:proofErr w:type="spellEnd"/>
      <w:r w:rsidR="00761638">
        <w:rPr>
          <w:rFonts w:eastAsia="Calibri"/>
          <w:sz w:val="22"/>
          <w:szCs w:val="22"/>
          <w:lang w:eastAsia="en-US"/>
        </w:rPr>
        <w:t xml:space="preserve"> vartojimo atnaujinti </w:t>
      </w:r>
      <w:r>
        <w:rPr>
          <w:rFonts w:eastAsia="Calibri"/>
          <w:sz w:val="22"/>
          <w:szCs w:val="22"/>
          <w:lang w:eastAsia="en-US"/>
        </w:rPr>
        <w:t>negalima . Pacientus, kurie buvo sirgę pankreatitu, reikia gydyti atsargiai.</w:t>
      </w:r>
    </w:p>
    <w:p w14:paraId="425052A1" w14:textId="77777777" w:rsidR="003F7CCA" w:rsidRDefault="003F7CCA">
      <w:pPr>
        <w:autoSpaceDE w:val="0"/>
        <w:autoSpaceDN w:val="0"/>
        <w:adjustRightInd w:val="0"/>
        <w:rPr>
          <w:rFonts w:eastAsia="Calibri"/>
          <w:sz w:val="22"/>
          <w:szCs w:val="22"/>
          <w:lang w:eastAsia="en-US"/>
        </w:rPr>
      </w:pPr>
    </w:p>
    <w:p w14:paraId="1E7ECAEC" w14:textId="77777777" w:rsidR="003F7CCA" w:rsidRDefault="0080197E">
      <w:pPr>
        <w:autoSpaceDE w:val="0"/>
        <w:autoSpaceDN w:val="0"/>
        <w:adjustRightInd w:val="0"/>
        <w:rPr>
          <w:rFonts w:eastAsia="Calibri"/>
          <w:sz w:val="22"/>
          <w:szCs w:val="22"/>
          <w:u w:val="single"/>
          <w:lang w:eastAsia="en-US"/>
        </w:rPr>
      </w:pPr>
      <w:proofErr w:type="spellStart"/>
      <w:r>
        <w:rPr>
          <w:rFonts w:eastAsia="Calibri"/>
          <w:sz w:val="22"/>
          <w:szCs w:val="22"/>
          <w:u w:val="single"/>
          <w:lang w:eastAsia="en-US"/>
        </w:rPr>
        <w:t>Pūslinis</w:t>
      </w:r>
      <w:proofErr w:type="spellEnd"/>
      <w:r>
        <w:rPr>
          <w:rFonts w:eastAsia="Calibri"/>
          <w:sz w:val="22"/>
          <w:szCs w:val="22"/>
          <w:u w:val="single"/>
          <w:lang w:eastAsia="en-US"/>
        </w:rPr>
        <w:t xml:space="preserve"> </w:t>
      </w:r>
      <w:proofErr w:type="spellStart"/>
      <w:r>
        <w:rPr>
          <w:rFonts w:eastAsia="Calibri"/>
          <w:sz w:val="22"/>
          <w:szCs w:val="22"/>
          <w:u w:val="single"/>
          <w:lang w:eastAsia="en-US"/>
        </w:rPr>
        <w:t>pemfigoidas</w:t>
      </w:r>
      <w:proofErr w:type="spellEnd"/>
    </w:p>
    <w:p w14:paraId="013B90D0" w14:textId="6E4DE816" w:rsidR="003F7CCA" w:rsidRDefault="0080197E">
      <w:pPr>
        <w:autoSpaceDE w:val="0"/>
        <w:autoSpaceDN w:val="0"/>
        <w:adjustRightInd w:val="0"/>
        <w:rPr>
          <w:rFonts w:eastAsia="Calibri"/>
          <w:sz w:val="22"/>
          <w:szCs w:val="22"/>
          <w:lang w:eastAsia="en-US"/>
        </w:rPr>
      </w:pPr>
      <w:proofErr w:type="spellStart"/>
      <w:r>
        <w:rPr>
          <w:rFonts w:eastAsia="Calibri"/>
          <w:sz w:val="22"/>
          <w:szCs w:val="22"/>
          <w:lang w:eastAsia="en-US"/>
        </w:rPr>
        <w:t>Linagliptiną</w:t>
      </w:r>
      <w:proofErr w:type="spellEnd"/>
      <w:r>
        <w:rPr>
          <w:rFonts w:eastAsia="Calibri"/>
          <w:sz w:val="22"/>
          <w:szCs w:val="22"/>
          <w:lang w:eastAsia="en-US"/>
        </w:rPr>
        <w:t xml:space="preserve"> vartojusiems pacientams stebėta </w:t>
      </w:r>
      <w:proofErr w:type="spellStart"/>
      <w:r>
        <w:rPr>
          <w:rFonts w:eastAsia="Calibri"/>
          <w:sz w:val="22"/>
          <w:szCs w:val="22"/>
          <w:lang w:eastAsia="en-US"/>
        </w:rPr>
        <w:t>pūslini</w:t>
      </w:r>
      <w:r w:rsidR="00C851E7">
        <w:rPr>
          <w:rFonts w:eastAsia="Calibri"/>
          <w:sz w:val="22"/>
          <w:szCs w:val="22"/>
          <w:lang w:eastAsia="en-US"/>
        </w:rPr>
        <w:t>o</w:t>
      </w:r>
      <w:proofErr w:type="spellEnd"/>
      <w:r>
        <w:rPr>
          <w:rFonts w:eastAsia="Calibri"/>
          <w:sz w:val="22"/>
          <w:szCs w:val="22"/>
          <w:lang w:eastAsia="en-US"/>
        </w:rPr>
        <w:t xml:space="preserve"> </w:t>
      </w:r>
      <w:proofErr w:type="spellStart"/>
      <w:r>
        <w:rPr>
          <w:rFonts w:eastAsia="Calibri"/>
          <w:sz w:val="22"/>
          <w:szCs w:val="22"/>
          <w:lang w:eastAsia="en-US"/>
        </w:rPr>
        <w:t>pemfigoid</w:t>
      </w:r>
      <w:r w:rsidR="00C851E7">
        <w:rPr>
          <w:rFonts w:eastAsia="Calibri"/>
          <w:sz w:val="22"/>
          <w:szCs w:val="22"/>
          <w:lang w:eastAsia="en-US"/>
        </w:rPr>
        <w:t>o</w:t>
      </w:r>
      <w:proofErr w:type="spellEnd"/>
      <w:r w:rsidR="00C851E7">
        <w:rPr>
          <w:rFonts w:eastAsia="Calibri"/>
          <w:sz w:val="22"/>
          <w:szCs w:val="22"/>
          <w:lang w:eastAsia="en-US"/>
        </w:rPr>
        <w:t xml:space="preserve"> atvejų</w:t>
      </w:r>
      <w:r>
        <w:rPr>
          <w:rFonts w:eastAsia="Calibri"/>
          <w:sz w:val="22"/>
          <w:szCs w:val="22"/>
          <w:lang w:eastAsia="en-US"/>
        </w:rPr>
        <w:t xml:space="preserve">. CARMELINA tyrimo metu buvo gauta pranešimų apie </w:t>
      </w:r>
      <w:proofErr w:type="spellStart"/>
      <w:r>
        <w:rPr>
          <w:rFonts w:eastAsia="Calibri"/>
          <w:sz w:val="22"/>
          <w:szCs w:val="22"/>
          <w:lang w:eastAsia="en-US"/>
        </w:rPr>
        <w:t>pūslinį</w:t>
      </w:r>
      <w:proofErr w:type="spellEnd"/>
      <w:r>
        <w:rPr>
          <w:rFonts w:eastAsia="Calibri"/>
          <w:sz w:val="22"/>
          <w:szCs w:val="22"/>
          <w:lang w:eastAsia="en-US"/>
        </w:rPr>
        <w:t xml:space="preserve"> </w:t>
      </w:r>
      <w:proofErr w:type="spellStart"/>
      <w:r>
        <w:rPr>
          <w:rFonts w:eastAsia="Calibri"/>
          <w:sz w:val="22"/>
          <w:szCs w:val="22"/>
          <w:lang w:eastAsia="en-US"/>
        </w:rPr>
        <w:t>pemfigoidą</w:t>
      </w:r>
      <w:proofErr w:type="spellEnd"/>
      <w:r>
        <w:rPr>
          <w:rFonts w:eastAsia="Calibri"/>
          <w:sz w:val="22"/>
          <w:szCs w:val="22"/>
          <w:lang w:eastAsia="en-US"/>
        </w:rPr>
        <w:t xml:space="preserve">, pasireiškusį 0,2 % pacientų, vartojusių </w:t>
      </w:r>
      <w:proofErr w:type="spellStart"/>
      <w:r>
        <w:rPr>
          <w:rFonts w:eastAsia="Calibri"/>
          <w:sz w:val="22"/>
          <w:szCs w:val="22"/>
          <w:lang w:eastAsia="en-US"/>
        </w:rPr>
        <w:t>linagliptiną</w:t>
      </w:r>
      <w:proofErr w:type="spellEnd"/>
      <w:r>
        <w:rPr>
          <w:rFonts w:eastAsia="Calibri"/>
          <w:sz w:val="22"/>
          <w:szCs w:val="22"/>
          <w:lang w:eastAsia="en-US"/>
        </w:rPr>
        <w:t xml:space="preserve">; iš placebą vartojusių pacientų tokių pranešimų negauta. Jei įtariamas </w:t>
      </w:r>
      <w:proofErr w:type="spellStart"/>
      <w:r>
        <w:rPr>
          <w:rFonts w:eastAsia="Calibri"/>
          <w:sz w:val="22"/>
          <w:szCs w:val="22"/>
          <w:lang w:eastAsia="en-US"/>
        </w:rPr>
        <w:t>pūslinis</w:t>
      </w:r>
      <w:proofErr w:type="spellEnd"/>
      <w:r>
        <w:rPr>
          <w:rFonts w:eastAsia="Calibri"/>
          <w:sz w:val="22"/>
          <w:szCs w:val="22"/>
          <w:lang w:eastAsia="en-US"/>
        </w:rPr>
        <w:t xml:space="preserve"> </w:t>
      </w:r>
      <w:proofErr w:type="spellStart"/>
      <w:r>
        <w:rPr>
          <w:rFonts w:eastAsia="Calibri"/>
          <w:sz w:val="22"/>
          <w:szCs w:val="22"/>
          <w:lang w:eastAsia="en-US"/>
        </w:rPr>
        <w:t>pemfigoidas</w:t>
      </w:r>
      <w:proofErr w:type="spellEnd"/>
      <w:r>
        <w:rPr>
          <w:rFonts w:eastAsia="Calibri"/>
          <w:sz w:val="22"/>
          <w:szCs w:val="22"/>
          <w:lang w:eastAsia="en-US"/>
        </w:rPr>
        <w:t xml:space="preserve">, </w:t>
      </w:r>
      <w:proofErr w:type="spellStart"/>
      <w:r>
        <w:rPr>
          <w:rFonts w:eastAsia="Calibri"/>
          <w:sz w:val="22"/>
          <w:szCs w:val="22"/>
          <w:lang w:eastAsia="en-US"/>
        </w:rPr>
        <w:t>linagliptino</w:t>
      </w:r>
      <w:proofErr w:type="spellEnd"/>
      <w:r>
        <w:rPr>
          <w:rFonts w:eastAsia="Calibri"/>
          <w:sz w:val="22"/>
          <w:szCs w:val="22"/>
          <w:lang w:eastAsia="en-US"/>
        </w:rPr>
        <w:t>/</w:t>
      </w:r>
      <w:proofErr w:type="spellStart"/>
      <w:r>
        <w:rPr>
          <w:rFonts w:eastAsia="Calibri"/>
          <w:sz w:val="22"/>
          <w:szCs w:val="22"/>
          <w:lang w:eastAsia="en-US"/>
        </w:rPr>
        <w:t>metformino</w:t>
      </w:r>
      <w:proofErr w:type="spellEnd"/>
      <w:r>
        <w:rPr>
          <w:rFonts w:eastAsia="Calibri"/>
          <w:sz w:val="22"/>
          <w:szCs w:val="22"/>
          <w:lang w:eastAsia="en-US"/>
        </w:rPr>
        <w:t xml:space="preserve"> vartojimą reikia nutraukti.</w:t>
      </w:r>
    </w:p>
    <w:p w14:paraId="652F1D34" w14:textId="77777777" w:rsidR="003F7CCA" w:rsidRDefault="003F7CCA">
      <w:pPr>
        <w:autoSpaceDE w:val="0"/>
        <w:autoSpaceDN w:val="0"/>
        <w:adjustRightInd w:val="0"/>
        <w:rPr>
          <w:rFonts w:eastAsia="Calibri"/>
          <w:sz w:val="22"/>
          <w:szCs w:val="22"/>
          <w:lang w:eastAsia="en-US"/>
        </w:rPr>
      </w:pPr>
    </w:p>
    <w:p w14:paraId="5B804316" w14:textId="77777777" w:rsidR="003F7CCA" w:rsidRDefault="0080197E">
      <w:pPr>
        <w:autoSpaceDE w:val="0"/>
        <w:autoSpaceDN w:val="0"/>
        <w:adjustRightInd w:val="0"/>
        <w:rPr>
          <w:rFonts w:eastAsia="Calibri"/>
          <w:sz w:val="22"/>
          <w:szCs w:val="22"/>
          <w:u w:val="single"/>
          <w:lang w:eastAsia="en-US"/>
        </w:rPr>
      </w:pPr>
      <w:r>
        <w:rPr>
          <w:rFonts w:eastAsia="Calibri"/>
          <w:sz w:val="22"/>
          <w:szCs w:val="22"/>
          <w:u w:val="single"/>
          <w:lang w:eastAsia="en-US"/>
        </w:rPr>
        <w:t>Vitaminas B12</w:t>
      </w:r>
    </w:p>
    <w:p w14:paraId="629A7736" w14:textId="554983A4" w:rsidR="003F7CCA" w:rsidRDefault="0080197E">
      <w:pPr>
        <w:autoSpaceDE w:val="0"/>
        <w:autoSpaceDN w:val="0"/>
        <w:adjustRightInd w:val="0"/>
        <w:rPr>
          <w:rFonts w:eastAsia="Calibri"/>
          <w:sz w:val="22"/>
          <w:szCs w:val="22"/>
          <w:lang w:eastAsia="en-US"/>
        </w:rPr>
      </w:pPr>
      <w:r>
        <w:rPr>
          <w:rFonts w:eastAsia="Calibri"/>
          <w:sz w:val="22"/>
          <w:szCs w:val="22"/>
          <w:lang w:eastAsia="en-US"/>
        </w:rPr>
        <w:t>Metforminas gali sumažinti vitamino B12 koncentraciją. Vitamino B12 koncentracijos sumažėjimo rizika didėja did</w:t>
      </w:r>
      <w:r w:rsidR="00752E3E">
        <w:rPr>
          <w:rFonts w:eastAsia="Calibri"/>
          <w:sz w:val="22"/>
          <w:szCs w:val="22"/>
          <w:lang w:eastAsia="en-US"/>
        </w:rPr>
        <w:t>inant</w:t>
      </w:r>
      <w:r>
        <w:rPr>
          <w:rFonts w:eastAsia="Calibri"/>
          <w:sz w:val="22"/>
          <w:szCs w:val="22"/>
          <w:lang w:eastAsia="en-US"/>
        </w:rPr>
        <w:t xml:space="preserve"> </w:t>
      </w:r>
      <w:proofErr w:type="spellStart"/>
      <w:r>
        <w:rPr>
          <w:rFonts w:eastAsia="Calibri"/>
          <w:sz w:val="22"/>
          <w:szCs w:val="22"/>
          <w:lang w:eastAsia="en-US"/>
        </w:rPr>
        <w:t>metformino</w:t>
      </w:r>
      <w:proofErr w:type="spellEnd"/>
      <w:r>
        <w:rPr>
          <w:rFonts w:eastAsia="Calibri"/>
          <w:sz w:val="22"/>
          <w:szCs w:val="22"/>
          <w:lang w:eastAsia="en-US"/>
        </w:rPr>
        <w:t xml:space="preserve"> doz</w:t>
      </w:r>
      <w:r w:rsidR="00752E3E">
        <w:rPr>
          <w:rFonts w:eastAsia="Calibri"/>
          <w:sz w:val="22"/>
          <w:szCs w:val="22"/>
          <w:lang w:eastAsia="en-US"/>
        </w:rPr>
        <w:t>ę</w:t>
      </w:r>
      <w:r>
        <w:rPr>
          <w:rFonts w:eastAsia="Calibri"/>
          <w:sz w:val="22"/>
          <w:szCs w:val="22"/>
          <w:lang w:eastAsia="en-US"/>
        </w:rPr>
        <w:t>, ilg</w:t>
      </w:r>
      <w:r w:rsidR="000D35BA">
        <w:rPr>
          <w:rFonts w:eastAsia="Calibri"/>
          <w:sz w:val="22"/>
          <w:szCs w:val="22"/>
          <w:lang w:eastAsia="en-US"/>
        </w:rPr>
        <w:t>inant</w:t>
      </w:r>
      <w:r>
        <w:rPr>
          <w:rFonts w:eastAsia="Calibri"/>
          <w:sz w:val="22"/>
          <w:szCs w:val="22"/>
          <w:lang w:eastAsia="en-US"/>
        </w:rPr>
        <w:t xml:space="preserve"> gydymo trukm</w:t>
      </w:r>
      <w:r w:rsidR="000D35BA">
        <w:rPr>
          <w:rFonts w:eastAsia="Calibri"/>
          <w:sz w:val="22"/>
          <w:szCs w:val="22"/>
          <w:lang w:eastAsia="en-US"/>
        </w:rPr>
        <w:t>ę</w:t>
      </w:r>
      <w:r>
        <w:rPr>
          <w:rFonts w:eastAsia="Calibri"/>
          <w:sz w:val="22"/>
          <w:szCs w:val="22"/>
          <w:lang w:eastAsia="en-US"/>
        </w:rPr>
        <w:t xml:space="preserve"> ir (arba) pacientams, kuriems yra vitamino B12 stoką sukeliančių rizikos veiksnių. Įtarus vitamino B12 stoką (pvz., anemiją arba neuropatiją), reikia stebėti vitamino B12 koncentraciją serume. Pacientams, kuriems yra vitamino B12 stokos rizikos veiksnių, gali reikėti periodiškai </w:t>
      </w:r>
      <w:r w:rsidR="007F5EDF">
        <w:rPr>
          <w:rFonts w:eastAsia="Calibri"/>
          <w:sz w:val="22"/>
          <w:szCs w:val="22"/>
          <w:lang w:eastAsia="en-US"/>
        </w:rPr>
        <w:t xml:space="preserve">stebėti </w:t>
      </w:r>
      <w:r>
        <w:rPr>
          <w:rFonts w:eastAsia="Calibri"/>
          <w:sz w:val="22"/>
          <w:szCs w:val="22"/>
          <w:lang w:eastAsia="en-US"/>
        </w:rPr>
        <w:t xml:space="preserve">vitamino B12 koncentraciją. Gydymą </w:t>
      </w:r>
      <w:proofErr w:type="spellStart"/>
      <w:r>
        <w:rPr>
          <w:rFonts w:eastAsia="Calibri"/>
          <w:sz w:val="22"/>
          <w:szCs w:val="22"/>
          <w:lang w:eastAsia="en-US"/>
        </w:rPr>
        <w:t>metforminu</w:t>
      </w:r>
      <w:proofErr w:type="spellEnd"/>
      <w:r>
        <w:rPr>
          <w:rFonts w:eastAsia="Calibri"/>
          <w:sz w:val="22"/>
          <w:szCs w:val="22"/>
          <w:lang w:eastAsia="en-US"/>
        </w:rPr>
        <w:t xml:space="preserve"> reikia tęsti tol, kol jis toleruojamas ir nėra kontraindikacijų, kartu taikant tinkamą korekcinį vitamino B12 stokos gydymą, vadovaujantis galiojančiomis klinikinėmis gairėmis.</w:t>
      </w:r>
    </w:p>
    <w:p w14:paraId="5ADC32C0" w14:textId="77777777" w:rsidR="003F7CCA" w:rsidRDefault="003F7CCA">
      <w:pPr>
        <w:autoSpaceDE w:val="0"/>
        <w:autoSpaceDN w:val="0"/>
        <w:adjustRightInd w:val="0"/>
        <w:rPr>
          <w:rFonts w:eastAsia="TimesNewRoman"/>
          <w:sz w:val="22"/>
          <w:szCs w:val="22"/>
          <w:lang w:eastAsia="lt-LT"/>
        </w:rPr>
      </w:pPr>
    </w:p>
    <w:p w14:paraId="4C93CB50" w14:textId="77777777" w:rsidR="003F7CCA" w:rsidRDefault="0080197E">
      <w:pPr>
        <w:autoSpaceDE w:val="0"/>
        <w:autoSpaceDN w:val="0"/>
        <w:adjustRightInd w:val="0"/>
        <w:rPr>
          <w:rFonts w:eastAsia="TimesNewRoman"/>
          <w:sz w:val="22"/>
          <w:szCs w:val="22"/>
          <w:u w:val="single"/>
          <w:lang w:eastAsia="lt-LT"/>
        </w:rPr>
      </w:pPr>
      <w:r>
        <w:rPr>
          <w:rFonts w:eastAsia="TimesNewRoman"/>
          <w:sz w:val="22"/>
          <w:szCs w:val="22"/>
          <w:u w:val="single"/>
          <w:lang w:eastAsia="lt-LT"/>
        </w:rPr>
        <w:t>Natris</w:t>
      </w:r>
    </w:p>
    <w:p w14:paraId="5CEB948D" w14:textId="004C149B" w:rsidR="003F7CCA" w:rsidRDefault="0080197E">
      <w:pPr>
        <w:autoSpaceDE w:val="0"/>
        <w:autoSpaceDN w:val="0"/>
        <w:adjustRightInd w:val="0"/>
        <w:rPr>
          <w:rFonts w:eastAsia="TimesNewRoman"/>
          <w:sz w:val="22"/>
          <w:szCs w:val="22"/>
          <w:lang w:eastAsia="lt-LT"/>
        </w:rPr>
      </w:pPr>
      <w:r>
        <w:rPr>
          <w:rFonts w:eastAsia="TimesNewRoman"/>
          <w:sz w:val="22"/>
          <w:szCs w:val="22"/>
          <w:lang w:eastAsia="lt-LT"/>
        </w:rPr>
        <w:t xml:space="preserve">Šio vaistinio preparato </w:t>
      </w:r>
      <w:r w:rsidR="002F36D0">
        <w:rPr>
          <w:rFonts w:eastAsia="TimesNewRoman"/>
          <w:sz w:val="22"/>
          <w:szCs w:val="22"/>
          <w:lang w:eastAsia="lt-LT"/>
        </w:rPr>
        <w:t>dozėje</w:t>
      </w:r>
      <w:r>
        <w:rPr>
          <w:rFonts w:eastAsia="TimesNewRoman"/>
          <w:sz w:val="22"/>
          <w:szCs w:val="22"/>
          <w:lang w:eastAsia="lt-LT"/>
        </w:rPr>
        <w:t xml:space="preserve"> yra mažiau kaip 1 </w:t>
      </w:r>
      <w:proofErr w:type="spellStart"/>
      <w:r>
        <w:rPr>
          <w:rFonts w:eastAsia="TimesNewRoman"/>
          <w:sz w:val="22"/>
          <w:szCs w:val="22"/>
          <w:lang w:eastAsia="lt-LT"/>
        </w:rPr>
        <w:t>mmol</w:t>
      </w:r>
      <w:proofErr w:type="spellEnd"/>
      <w:r>
        <w:rPr>
          <w:rFonts w:eastAsia="TimesNewRoman"/>
          <w:sz w:val="22"/>
          <w:szCs w:val="22"/>
          <w:lang w:eastAsia="lt-LT"/>
        </w:rPr>
        <w:t xml:space="preserve"> (23 mg) natrio, t. y., jis beveik neturi reikšmės.</w:t>
      </w:r>
    </w:p>
    <w:p w14:paraId="54AED2EB" w14:textId="77777777" w:rsidR="003F7CCA" w:rsidRDefault="003F7CCA">
      <w:pPr>
        <w:autoSpaceDE w:val="0"/>
        <w:autoSpaceDN w:val="0"/>
        <w:adjustRightInd w:val="0"/>
        <w:rPr>
          <w:rFonts w:eastAsia="TimesNewRoman"/>
          <w:sz w:val="22"/>
          <w:szCs w:val="22"/>
          <w:lang w:eastAsia="lt-LT"/>
        </w:rPr>
      </w:pPr>
    </w:p>
    <w:p w14:paraId="51DE5836" w14:textId="77777777" w:rsidR="003F7CCA" w:rsidRDefault="0080197E">
      <w:pPr>
        <w:widowControl w:val="0"/>
        <w:tabs>
          <w:tab w:val="left" w:pos="567"/>
        </w:tabs>
        <w:ind w:left="567" w:hanging="567"/>
        <w:outlineLvl w:val="2"/>
        <w:rPr>
          <w:b/>
          <w:kern w:val="28"/>
          <w:sz w:val="22"/>
          <w:szCs w:val="22"/>
          <w:lang w:eastAsia="en-US"/>
        </w:rPr>
      </w:pPr>
      <w:r>
        <w:rPr>
          <w:b/>
          <w:kern w:val="28"/>
          <w:sz w:val="22"/>
          <w:szCs w:val="22"/>
          <w:lang w:eastAsia="en-US"/>
        </w:rPr>
        <w:t>4.5</w:t>
      </w:r>
      <w:r>
        <w:rPr>
          <w:b/>
          <w:kern w:val="28"/>
          <w:sz w:val="22"/>
          <w:szCs w:val="22"/>
          <w:lang w:eastAsia="en-US"/>
        </w:rPr>
        <w:tab/>
        <w:t>Sąveika su kitais vaistiniais preparatais ir kitokia sąveika</w:t>
      </w:r>
    </w:p>
    <w:p w14:paraId="59EAFD76" w14:textId="77777777" w:rsidR="003F7CCA" w:rsidRDefault="003F7CCA">
      <w:pPr>
        <w:widowControl w:val="0"/>
        <w:ind w:left="567" w:hanging="567"/>
        <w:rPr>
          <w:bCs/>
          <w:sz w:val="22"/>
          <w:szCs w:val="22"/>
          <w:lang w:eastAsia="en-US"/>
        </w:rPr>
      </w:pPr>
    </w:p>
    <w:p w14:paraId="270A7CA6" w14:textId="77777777" w:rsidR="003F7CCA" w:rsidRDefault="0080197E">
      <w:pPr>
        <w:tabs>
          <w:tab w:val="left" w:pos="567"/>
        </w:tabs>
        <w:rPr>
          <w:snapToGrid w:val="0"/>
          <w:sz w:val="22"/>
          <w:szCs w:val="22"/>
          <w:lang w:eastAsia="en-US"/>
        </w:rPr>
      </w:pPr>
      <w:r>
        <w:rPr>
          <w:snapToGrid w:val="0"/>
          <w:sz w:val="22"/>
          <w:szCs w:val="22"/>
          <w:lang w:eastAsia="en-US"/>
        </w:rPr>
        <w:t xml:space="preserve">Sąveikos tyrimų neatlikta, tačiau kiekvienos veikliosios medžiagos, t. y. </w:t>
      </w:r>
      <w:proofErr w:type="spellStart"/>
      <w:r>
        <w:rPr>
          <w:snapToGrid w:val="0"/>
          <w:sz w:val="22"/>
          <w:szCs w:val="22"/>
          <w:lang w:eastAsia="en-US"/>
        </w:rPr>
        <w:t>linagliptino</w:t>
      </w:r>
      <w:proofErr w:type="spellEnd"/>
      <w:r>
        <w:rPr>
          <w:snapToGrid w:val="0"/>
          <w:sz w:val="22"/>
          <w:szCs w:val="22"/>
          <w:lang w:eastAsia="en-US"/>
        </w:rPr>
        <w:t xml:space="preserve"> ir </w:t>
      </w:r>
      <w:proofErr w:type="spellStart"/>
      <w:r>
        <w:rPr>
          <w:snapToGrid w:val="0"/>
          <w:sz w:val="22"/>
          <w:szCs w:val="22"/>
          <w:lang w:eastAsia="en-US"/>
        </w:rPr>
        <w:t>metformino</w:t>
      </w:r>
      <w:proofErr w:type="spellEnd"/>
      <w:r>
        <w:rPr>
          <w:snapToGrid w:val="0"/>
          <w:sz w:val="22"/>
          <w:szCs w:val="22"/>
          <w:lang w:eastAsia="en-US"/>
        </w:rPr>
        <w:t xml:space="preserve">, tokia sąveika tirta. Daugkartines </w:t>
      </w:r>
      <w:proofErr w:type="spellStart"/>
      <w:r>
        <w:rPr>
          <w:snapToGrid w:val="0"/>
          <w:sz w:val="22"/>
          <w:szCs w:val="22"/>
          <w:lang w:eastAsia="en-US"/>
        </w:rPr>
        <w:t>linagliptino</w:t>
      </w:r>
      <w:proofErr w:type="spellEnd"/>
      <w:r>
        <w:rPr>
          <w:snapToGrid w:val="0"/>
          <w:sz w:val="22"/>
          <w:szCs w:val="22"/>
          <w:lang w:eastAsia="en-US"/>
        </w:rPr>
        <w:t xml:space="preserve"> ir </w:t>
      </w:r>
      <w:proofErr w:type="spellStart"/>
      <w:r>
        <w:rPr>
          <w:snapToGrid w:val="0"/>
          <w:sz w:val="22"/>
          <w:szCs w:val="22"/>
          <w:lang w:eastAsia="en-US"/>
        </w:rPr>
        <w:t>metformino</w:t>
      </w:r>
      <w:proofErr w:type="spellEnd"/>
      <w:r>
        <w:rPr>
          <w:snapToGrid w:val="0"/>
          <w:sz w:val="22"/>
          <w:szCs w:val="22"/>
          <w:lang w:eastAsia="en-US"/>
        </w:rPr>
        <w:t xml:space="preserve"> dozes vartojant kartu, sveikų savanorių ir pacientų organizme </w:t>
      </w:r>
      <w:proofErr w:type="spellStart"/>
      <w:r>
        <w:rPr>
          <w:snapToGrid w:val="0"/>
          <w:sz w:val="22"/>
          <w:szCs w:val="22"/>
          <w:lang w:eastAsia="en-US"/>
        </w:rPr>
        <w:t>linagliptino</w:t>
      </w:r>
      <w:proofErr w:type="spellEnd"/>
      <w:r>
        <w:rPr>
          <w:snapToGrid w:val="0"/>
          <w:sz w:val="22"/>
          <w:szCs w:val="22"/>
          <w:lang w:eastAsia="en-US"/>
        </w:rPr>
        <w:t xml:space="preserve"> ar </w:t>
      </w:r>
      <w:proofErr w:type="spellStart"/>
      <w:r>
        <w:rPr>
          <w:snapToGrid w:val="0"/>
          <w:sz w:val="22"/>
          <w:szCs w:val="22"/>
          <w:lang w:eastAsia="en-US"/>
        </w:rPr>
        <w:t>metformino</w:t>
      </w:r>
      <w:proofErr w:type="spellEnd"/>
      <w:r>
        <w:rPr>
          <w:snapToGrid w:val="0"/>
          <w:sz w:val="22"/>
          <w:szCs w:val="22"/>
          <w:lang w:eastAsia="en-US"/>
        </w:rPr>
        <w:t xml:space="preserve"> farmakokinetika reikšmingai nekito.</w:t>
      </w:r>
    </w:p>
    <w:p w14:paraId="585CAB8B" w14:textId="77777777" w:rsidR="003F7CCA" w:rsidRDefault="003F7CCA">
      <w:pPr>
        <w:tabs>
          <w:tab w:val="left" w:pos="567"/>
        </w:tabs>
        <w:rPr>
          <w:snapToGrid w:val="0"/>
          <w:sz w:val="22"/>
          <w:szCs w:val="22"/>
          <w:lang w:eastAsia="en-US"/>
        </w:rPr>
      </w:pPr>
    </w:p>
    <w:p w14:paraId="762DD905" w14:textId="77777777" w:rsidR="003F7CCA" w:rsidRDefault="0080197E">
      <w:pPr>
        <w:tabs>
          <w:tab w:val="left" w:pos="567"/>
        </w:tabs>
        <w:rPr>
          <w:snapToGrid w:val="0"/>
          <w:sz w:val="22"/>
          <w:szCs w:val="22"/>
          <w:u w:val="single"/>
          <w:lang w:eastAsia="en-US"/>
        </w:rPr>
      </w:pPr>
      <w:proofErr w:type="spellStart"/>
      <w:r>
        <w:rPr>
          <w:snapToGrid w:val="0"/>
          <w:sz w:val="22"/>
          <w:szCs w:val="22"/>
          <w:u w:val="single"/>
          <w:lang w:eastAsia="en-US"/>
        </w:rPr>
        <w:t>Linagliptinas</w:t>
      </w:r>
      <w:proofErr w:type="spellEnd"/>
    </w:p>
    <w:p w14:paraId="57EB99BD" w14:textId="77777777" w:rsidR="003F7CCA" w:rsidRDefault="0080197E">
      <w:pPr>
        <w:tabs>
          <w:tab w:val="left" w:pos="567"/>
        </w:tabs>
        <w:rPr>
          <w:i/>
          <w:iCs/>
          <w:snapToGrid w:val="0"/>
          <w:sz w:val="22"/>
          <w:szCs w:val="22"/>
          <w:lang w:eastAsia="en-US"/>
        </w:rPr>
      </w:pPr>
      <w:r>
        <w:rPr>
          <w:i/>
          <w:iCs/>
          <w:snapToGrid w:val="0"/>
          <w:sz w:val="22"/>
          <w:szCs w:val="22"/>
          <w:lang w:eastAsia="en-US"/>
        </w:rPr>
        <w:t xml:space="preserve">Sąveikos tyrimai </w:t>
      </w:r>
      <w:proofErr w:type="spellStart"/>
      <w:r>
        <w:rPr>
          <w:i/>
          <w:iCs/>
          <w:snapToGrid w:val="0"/>
          <w:sz w:val="22"/>
          <w:szCs w:val="22"/>
          <w:lang w:eastAsia="en-US"/>
        </w:rPr>
        <w:t>in</w:t>
      </w:r>
      <w:proofErr w:type="spellEnd"/>
      <w:r>
        <w:rPr>
          <w:i/>
          <w:iCs/>
          <w:snapToGrid w:val="0"/>
          <w:sz w:val="22"/>
          <w:szCs w:val="22"/>
          <w:lang w:eastAsia="en-US"/>
        </w:rPr>
        <w:t xml:space="preserve"> </w:t>
      </w:r>
      <w:proofErr w:type="spellStart"/>
      <w:r>
        <w:rPr>
          <w:i/>
          <w:iCs/>
          <w:snapToGrid w:val="0"/>
          <w:sz w:val="22"/>
          <w:szCs w:val="22"/>
          <w:lang w:eastAsia="en-US"/>
        </w:rPr>
        <w:t>vitro</w:t>
      </w:r>
      <w:proofErr w:type="spellEnd"/>
    </w:p>
    <w:p w14:paraId="0475CA7F" w14:textId="77777777" w:rsidR="003F7CCA" w:rsidRDefault="0080197E">
      <w:pPr>
        <w:tabs>
          <w:tab w:val="left" w:pos="567"/>
        </w:tabs>
        <w:rPr>
          <w:snapToGrid w:val="0"/>
          <w:sz w:val="22"/>
          <w:szCs w:val="22"/>
          <w:lang w:eastAsia="en-US"/>
        </w:rPr>
      </w:pPr>
      <w:proofErr w:type="spellStart"/>
      <w:r>
        <w:rPr>
          <w:snapToGrid w:val="0"/>
          <w:sz w:val="22"/>
          <w:szCs w:val="22"/>
          <w:lang w:eastAsia="en-US"/>
        </w:rPr>
        <w:t>Linagliptinas</w:t>
      </w:r>
      <w:proofErr w:type="spellEnd"/>
      <w:r>
        <w:rPr>
          <w:snapToGrid w:val="0"/>
          <w:sz w:val="22"/>
          <w:szCs w:val="22"/>
          <w:lang w:eastAsia="en-US"/>
        </w:rPr>
        <w:t xml:space="preserve"> silpnai konkurenciniu būdu ir silpnai arba vidutiniškai nuo veikimo mechanizmo priklausomu būdu slopina CYP </w:t>
      </w:r>
      <w:proofErr w:type="spellStart"/>
      <w:r>
        <w:rPr>
          <w:snapToGrid w:val="0"/>
          <w:sz w:val="22"/>
          <w:szCs w:val="22"/>
          <w:lang w:eastAsia="en-US"/>
        </w:rPr>
        <w:t>izofermentą</w:t>
      </w:r>
      <w:proofErr w:type="spellEnd"/>
      <w:r>
        <w:rPr>
          <w:snapToGrid w:val="0"/>
          <w:sz w:val="22"/>
          <w:szCs w:val="22"/>
          <w:lang w:eastAsia="en-US"/>
        </w:rPr>
        <w:t xml:space="preserve"> CYP 3A4, tačiau kitų CYP </w:t>
      </w:r>
      <w:proofErr w:type="spellStart"/>
      <w:r>
        <w:rPr>
          <w:snapToGrid w:val="0"/>
          <w:sz w:val="22"/>
          <w:szCs w:val="22"/>
          <w:lang w:eastAsia="en-US"/>
        </w:rPr>
        <w:t>izofermentų</w:t>
      </w:r>
      <w:proofErr w:type="spellEnd"/>
      <w:r>
        <w:rPr>
          <w:snapToGrid w:val="0"/>
          <w:sz w:val="22"/>
          <w:szCs w:val="22"/>
          <w:lang w:eastAsia="en-US"/>
        </w:rPr>
        <w:t xml:space="preserve"> neslopina. CYP </w:t>
      </w:r>
      <w:proofErr w:type="spellStart"/>
      <w:r>
        <w:rPr>
          <w:snapToGrid w:val="0"/>
          <w:sz w:val="22"/>
          <w:szCs w:val="22"/>
          <w:lang w:eastAsia="en-US"/>
        </w:rPr>
        <w:t>izofermentų</w:t>
      </w:r>
      <w:proofErr w:type="spellEnd"/>
      <w:r>
        <w:rPr>
          <w:snapToGrid w:val="0"/>
          <w:sz w:val="22"/>
          <w:szCs w:val="22"/>
          <w:lang w:eastAsia="en-US"/>
        </w:rPr>
        <w:t xml:space="preserve"> </w:t>
      </w:r>
      <w:proofErr w:type="spellStart"/>
      <w:r>
        <w:rPr>
          <w:snapToGrid w:val="0"/>
          <w:sz w:val="22"/>
          <w:szCs w:val="22"/>
          <w:lang w:eastAsia="en-US"/>
        </w:rPr>
        <w:t>linagliptinas</w:t>
      </w:r>
      <w:proofErr w:type="spellEnd"/>
      <w:r>
        <w:rPr>
          <w:snapToGrid w:val="0"/>
          <w:sz w:val="22"/>
          <w:szCs w:val="22"/>
          <w:lang w:eastAsia="en-US"/>
        </w:rPr>
        <w:t xml:space="preserve"> neindukuoja.</w:t>
      </w:r>
    </w:p>
    <w:p w14:paraId="35E60DA7" w14:textId="77777777" w:rsidR="003F7CCA" w:rsidRDefault="003F7CCA">
      <w:pPr>
        <w:tabs>
          <w:tab w:val="left" w:pos="567"/>
        </w:tabs>
        <w:rPr>
          <w:snapToGrid w:val="0"/>
          <w:sz w:val="22"/>
          <w:szCs w:val="22"/>
          <w:lang w:eastAsia="en-US"/>
        </w:rPr>
      </w:pPr>
    </w:p>
    <w:p w14:paraId="55A69D41" w14:textId="77777777" w:rsidR="003F7CCA" w:rsidRDefault="0080197E">
      <w:pPr>
        <w:tabs>
          <w:tab w:val="left" w:pos="567"/>
        </w:tabs>
        <w:rPr>
          <w:snapToGrid w:val="0"/>
          <w:sz w:val="22"/>
          <w:szCs w:val="22"/>
          <w:lang w:eastAsia="en-US"/>
        </w:rPr>
      </w:pPr>
      <w:proofErr w:type="spellStart"/>
      <w:r>
        <w:rPr>
          <w:snapToGrid w:val="0"/>
          <w:sz w:val="22"/>
          <w:szCs w:val="22"/>
          <w:lang w:eastAsia="en-US"/>
        </w:rPr>
        <w:t>Linagliptinas</w:t>
      </w:r>
      <w:proofErr w:type="spellEnd"/>
      <w:r>
        <w:rPr>
          <w:snapToGrid w:val="0"/>
          <w:sz w:val="22"/>
          <w:szCs w:val="22"/>
          <w:lang w:eastAsia="en-US"/>
        </w:rPr>
        <w:t xml:space="preserve"> yra P </w:t>
      </w:r>
      <w:proofErr w:type="spellStart"/>
      <w:r>
        <w:rPr>
          <w:snapToGrid w:val="0"/>
          <w:sz w:val="22"/>
          <w:szCs w:val="22"/>
          <w:lang w:eastAsia="en-US"/>
        </w:rPr>
        <w:t>glikoproteino</w:t>
      </w:r>
      <w:proofErr w:type="spellEnd"/>
      <w:r>
        <w:rPr>
          <w:snapToGrid w:val="0"/>
          <w:sz w:val="22"/>
          <w:szCs w:val="22"/>
          <w:lang w:eastAsia="en-US"/>
        </w:rPr>
        <w:t xml:space="preserve"> substratas ir šiek tiek slopina </w:t>
      </w:r>
      <w:proofErr w:type="spellStart"/>
      <w:r>
        <w:rPr>
          <w:snapToGrid w:val="0"/>
          <w:sz w:val="22"/>
          <w:szCs w:val="22"/>
          <w:lang w:eastAsia="en-US"/>
        </w:rPr>
        <w:t>digoksino</w:t>
      </w:r>
      <w:proofErr w:type="spellEnd"/>
      <w:r>
        <w:rPr>
          <w:snapToGrid w:val="0"/>
          <w:sz w:val="22"/>
          <w:szCs w:val="22"/>
          <w:lang w:eastAsia="en-US"/>
        </w:rPr>
        <w:t xml:space="preserve"> pernašą, vykstančią tarpininkaujant P </w:t>
      </w:r>
      <w:proofErr w:type="spellStart"/>
      <w:r>
        <w:rPr>
          <w:snapToGrid w:val="0"/>
          <w:sz w:val="22"/>
          <w:szCs w:val="22"/>
          <w:lang w:eastAsia="en-US"/>
        </w:rPr>
        <w:t>glikoproteinui</w:t>
      </w:r>
      <w:proofErr w:type="spellEnd"/>
      <w:r>
        <w:rPr>
          <w:snapToGrid w:val="0"/>
          <w:sz w:val="22"/>
          <w:szCs w:val="22"/>
          <w:lang w:eastAsia="en-US"/>
        </w:rPr>
        <w:t xml:space="preserve">. Remiantis šiais rezultatais bei vaistinių preparatų sąveikos tyrimais </w:t>
      </w:r>
      <w:proofErr w:type="spellStart"/>
      <w:r>
        <w:rPr>
          <w:snapToGrid w:val="0"/>
          <w:sz w:val="22"/>
          <w:szCs w:val="22"/>
          <w:lang w:eastAsia="en-US"/>
        </w:rPr>
        <w:t>in</w:t>
      </w:r>
      <w:proofErr w:type="spellEnd"/>
      <w:r>
        <w:rPr>
          <w:snapToGrid w:val="0"/>
          <w:sz w:val="22"/>
          <w:szCs w:val="22"/>
          <w:lang w:eastAsia="en-US"/>
        </w:rPr>
        <w:t xml:space="preserve"> </w:t>
      </w:r>
      <w:proofErr w:type="spellStart"/>
      <w:r>
        <w:rPr>
          <w:snapToGrid w:val="0"/>
          <w:sz w:val="22"/>
          <w:szCs w:val="22"/>
          <w:lang w:eastAsia="en-US"/>
        </w:rPr>
        <w:t>vivo</w:t>
      </w:r>
      <w:proofErr w:type="spellEnd"/>
      <w:r>
        <w:rPr>
          <w:snapToGrid w:val="0"/>
          <w:sz w:val="22"/>
          <w:szCs w:val="22"/>
          <w:lang w:eastAsia="en-US"/>
        </w:rPr>
        <w:t xml:space="preserve">, manoma, kad </w:t>
      </w:r>
      <w:proofErr w:type="spellStart"/>
      <w:r>
        <w:rPr>
          <w:snapToGrid w:val="0"/>
          <w:sz w:val="22"/>
          <w:szCs w:val="22"/>
          <w:lang w:eastAsia="en-US"/>
        </w:rPr>
        <w:t>linagliptino</w:t>
      </w:r>
      <w:proofErr w:type="spellEnd"/>
      <w:r>
        <w:rPr>
          <w:snapToGrid w:val="0"/>
          <w:sz w:val="22"/>
          <w:szCs w:val="22"/>
          <w:lang w:eastAsia="en-US"/>
        </w:rPr>
        <w:t xml:space="preserve"> ir kitų P </w:t>
      </w:r>
      <w:proofErr w:type="spellStart"/>
      <w:r>
        <w:rPr>
          <w:snapToGrid w:val="0"/>
          <w:sz w:val="22"/>
          <w:szCs w:val="22"/>
          <w:lang w:eastAsia="en-US"/>
        </w:rPr>
        <w:t>gp</w:t>
      </w:r>
      <w:proofErr w:type="spellEnd"/>
      <w:r>
        <w:rPr>
          <w:snapToGrid w:val="0"/>
          <w:sz w:val="22"/>
          <w:szCs w:val="22"/>
          <w:lang w:eastAsia="en-US"/>
        </w:rPr>
        <w:t xml:space="preserve"> substratų sąveika pasireikšti neturėtų.</w:t>
      </w:r>
    </w:p>
    <w:p w14:paraId="73EB9B6E" w14:textId="77777777" w:rsidR="003F7CCA" w:rsidRDefault="003F7CCA">
      <w:pPr>
        <w:tabs>
          <w:tab w:val="left" w:pos="567"/>
        </w:tabs>
        <w:rPr>
          <w:snapToGrid w:val="0"/>
          <w:sz w:val="22"/>
          <w:szCs w:val="22"/>
          <w:lang w:eastAsia="en-US"/>
        </w:rPr>
      </w:pPr>
    </w:p>
    <w:p w14:paraId="30B6BC7B" w14:textId="77777777" w:rsidR="003F7CCA" w:rsidRDefault="0080197E">
      <w:pPr>
        <w:tabs>
          <w:tab w:val="left" w:pos="567"/>
        </w:tabs>
        <w:rPr>
          <w:i/>
          <w:iCs/>
          <w:snapToGrid w:val="0"/>
          <w:sz w:val="22"/>
          <w:szCs w:val="22"/>
          <w:lang w:eastAsia="en-US"/>
        </w:rPr>
      </w:pPr>
      <w:r>
        <w:rPr>
          <w:i/>
          <w:iCs/>
          <w:snapToGrid w:val="0"/>
          <w:sz w:val="22"/>
          <w:szCs w:val="22"/>
          <w:lang w:eastAsia="en-US"/>
        </w:rPr>
        <w:t xml:space="preserve">Sąveikos tyrimai </w:t>
      </w:r>
      <w:proofErr w:type="spellStart"/>
      <w:r>
        <w:rPr>
          <w:i/>
          <w:iCs/>
          <w:snapToGrid w:val="0"/>
          <w:sz w:val="22"/>
          <w:szCs w:val="22"/>
          <w:lang w:eastAsia="en-US"/>
        </w:rPr>
        <w:t>in</w:t>
      </w:r>
      <w:proofErr w:type="spellEnd"/>
      <w:r>
        <w:rPr>
          <w:i/>
          <w:iCs/>
          <w:snapToGrid w:val="0"/>
          <w:sz w:val="22"/>
          <w:szCs w:val="22"/>
          <w:lang w:eastAsia="en-US"/>
        </w:rPr>
        <w:t xml:space="preserve"> </w:t>
      </w:r>
      <w:proofErr w:type="spellStart"/>
      <w:r>
        <w:rPr>
          <w:i/>
          <w:iCs/>
          <w:snapToGrid w:val="0"/>
          <w:sz w:val="22"/>
          <w:szCs w:val="22"/>
          <w:lang w:eastAsia="en-US"/>
        </w:rPr>
        <w:t>vivo</w:t>
      </w:r>
      <w:proofErr w:type="spellEnd"/>
    </w:p>
    <w:p w14:paraId="6D69755A" w14:textId="77777777" w:rsidR="003F7CCA" w:rsidRDefault="0080197E">
      <w:pPr>
        <w:tabs>
          <w:tab w:val="left" w:pos="567"/>
        </w:tabs>
        <w:rPr>
          <w:i/>
          <w:iCs/>
          <w:snapToGrid w:val="0"/>
          <w:sz w:val="22"/>
          <w:szCs w:val="22"/>
          <w:u w:val="single"/>
          <w:lang w:eastAsia="en-US"/>
        </w:rPr>
      </w:pPr>
      <w:r>
        <w:rPr>
          <w:i/>
          <w:iCs/>
          <w:snapToGrid w:val="0"/>
          <w:sz w:val="22"/>
          <w:szCs w:val="22"/>
          <w:u w:val="single"/>
          <w:lang w:eastAsia="en-US"/>
        </w:rPr>
        <w:t xml:space="preserve">Kitų vaistinių preparatų poveikis </w:t>
      </w:r>
      <w:proofErr w:type="spellStart"/>
      <w:r>
        <w:rPr>
          <w:i/>
          <w:iCs/>
          <w:snapToGrid w:val="0"/>
          <w:sz w:val="22"/>
          <w:szCs w:val="22"/>
          <w:u w:val="single"/>
          <w:lang w:eastAsia="en-US"/>
        </w:rPr>
        <w:t>linagliptinui</w:t>
      </w:r>
      <w:proofErr w:type="spellEnd"/>
    </w:p>
    <w:p w14:paraId="01C7E028" w14:textId="77777777" w:rsidR="003F7CCA" w:rsidRDefault="0080197E">
      <w:pPr>
        <w:tabs>
          <w:tab w:val="left" w:pos="567"/>
        </w:tabs>
        <w:rPr>
          <w:snapToGrid w:val="0"/>
          <w:sz w:val="22"/>
          <w:szCs w:val="22"/>
          <w:lang w:eastAsia="en-US"/>
        </w:rPr>
      </w:pPr>
      <w:r>
        <w:rPr>
          <w:snapToGrid w:val="0"/>
          <w:sz w:val="22"/>
          <w:szCs w:val="22"/>
          <w:lang w:eastAsia="en-US"/>
        </w:rPr>
        <w:lastRenderedPageBreak/>
        <w:t>Toliau pateikti klinikiniai duomenys rodo, kad kliniškai reikšmingos sąveikos su kartu vartojamais vaistiniais preparatais rizika yra maža.</w:t>
      </w:r>
    </w:p>
    <w:p w14:paraId="6BEF05B7" w14:textId="77777777" w:rsidR="003F7CCA" w:rsidRDefault="003F7CCA">
      <w:pPr>
        <w:tabs>
          <w:tab w:val="left" w:pos="567"/>
        </w:tabs>
        <w:rPr>
          <w:snapToGrid w:val="0"/>
          <w:sz w:val="22"/>
          <w:szCs w:val="22"/>
          <w:lang w:eastAsia="en-US"/>
        </w:rPr>
      </w:pPr>
    </w:p>
    <w:p w14:paraId="4BBB3D9C" w14:textId="77777777" w:rsidR="003F7CCA" w:rsidRDefault="0080197E">
      <w:pPr>
        <w:tabs>
          <w:tab w:val="left" w:pos="567"/>
        </w:tabs>
        <w:rPr>
          <w:snapToGrid w:val="0"/>
          <w:sz w:val="22"/>
          <w:szCs w:val="22"/>
          <w:lang w:eastAsia="en-US"/>
        </w:rPr>
      </w:pPr>
      <w:r>
        <w:rPr>
          <w:snapToGrid w:val="0"/>
          <w:sz w:val="22"/>
          <w:szCs w:val="22"/>
          <w:lang w:eastAsia="en-US"/>
        </w:rPr>
        <w:t>Metforminas</w:t>
      </w:r>
    </w:p>
    <w:p w14:paraId="69376B73" w14:textId="77777777" w:rsidR="003F7CCA" w:rsidRDefault="0080197E">
      <w:pPr>
        <w:tabs>
          <w:tab w:val="left" w:pos="567"/>
        </w:tabs>
        <w:rPr>
          <w:snapToGrid w:val="0"/>
          <w:sz w:val="22"/>
          <w:szCs w:val="22"/>
          <w:lang w:eastAsia="en-US"/>
        </w:rPr>
      </w:pPr>
      <w:r>
        <w:rPr>
          <w:snapToGrid w:val="0"/>
          <w:sz w:val="22"/>
          <w:szCs w:val="22"/>
          <w:lang w:eastAsia="en-US"/>
        </w:rPr>
        <w:t xml:space="preserve">Sveikų tiriamųjų, kartu su daugkartinėmis tris kartus per parą geriamomis 850 mg </w:t>
      </w:r>
      <w:proofErr w:type="spellStart"/>
      <w:r>
        <w:rPr>
          <w:snapToGrid w:val="0"/>
          <w:sz w:val="22"/>
          <w:szCs w:val="22"/>
          <w:lang w:eastAsia="en-US"/>
        </w:rPr>
        <w:t>metformino</w:t>
      </w:r>
      <w:proofErr w:type="spellEnd"/>
      <w:r>
        <w:rPr>
          <w:snapToGrid w:val="0"/>
          <w:sz w:val="22"/>
          <w:szCs w:val="22"/>
          <w:lang w:eastAsia="en-US"/>
        </w:rPr>
        <w:t xml:space="preserve"> hidrochlorido dozėmis vartojusių 10 mg </w:t>
      </w:r>
      <w:proofErr w:type="spellStart"/>
      <w:r>
        <w:rPr>
          <w:snapToGrid w:val="0"/>
          <w:sz w:val="22"/>
          <w:szCs w:val="22"/>
          <w:lang w:eastAsia="en-US"/>
        </w:rPr>
        <w:t>linagliptino</w:t>
      </w:r>
      <w:proofErr w:type="spellEnd"/>
      <w:r>
        <w:rPr>
          <w:snapToGrid w:val="0"/>
          <w:sz w:val="22"/>
          <w:szCs w:val="22"/>
          <w:lang w:eastAsia="en-US"/>
        </w:rPr>
        <w:t xml:space="preserve"> dozę kartą per parą, organizme kliniškai reikšmingai </w:t>
      </w:r>
      <w:proofErr w:type="spellStart"/>
      <w:r>
        <w:rPr>
          <w:snapToGrid w:val="0"/>
          <w:sz w:val="22"/>
          <w:szCs w:val="22"/>
          <w:lang w:eastAsia="en-US"/>
        </w:rPr>
        <w:t>linagliptino</w:t>
      </w:r>
      <w:proofErr w:type="spellEnd"/>
      <w:r>
        <w:rPr>
          <w:snapToGrid w:val="0"/>
          <w:sz w:val="22"/>
          <w:szCs w:val="22"/>
          <w:lang w:eastAsia="en-US"/>
        </w:rPr>
        <w:t xml:space="preserve"> farmakokinetika nekito.</w:t>
      </w:r>
    </w:p>
    <w:p w14:paraId="0E221C8E" w14:textId="77777777" w:rsidR="003F7CCA" w:rsidRDefault="003F7CCA">
      <w:pPr>
        <w:tabs>
          <w:tab w:val="left" w:pos="567"/>
        </w:tabs>
        <w:rPr>
          <w:snapToGrid w:val="0"/>
          <w:sz w:val="22"/>
          <w:szCs w:val="22"/>
          <w:lang w:eastAsia="en-US"/>
        </w:rPr>
      </w:pPr>
    </w:p>
    <w:p w14:paraId="4DAE3E24" w14:textId="77777777" w:rsidR="003F7CCA" w:rsidRDefault="0080197E">
      <w:pPr>
        <w:tabs>
          <w:tab w:val="left" w:pos="567"/>
        </w:tabs>
        <w:rPr>
          <w:snapToGrid w:val="0"/>
          <w:sz w:val="22"/>
          <w:szCs w:val="22"/>
          <w:lang w:eastAsia="en-US"/>
        </w:rPr>
      </w:pPr>
      <w:proofErr w:type="spellStart"/>
      <w:r>
        <w:rPr>
          <w:snapToGrid w:val="0"/>
          <w:sz w:val="22"/>
          <w:szCs w:val="22"/>
          <w:lang w:eastAsia="en-US"/>
        </w:rPr>
        <w:t>Sulfonilurėjos</w:t>
      </w:r>
      <w:proofErr w:type="spellEnd"/>
      <w:r>
        <w:rPr>
          <w:snapToGrid w:val="0"/>
          <w:sz w:val="22"/>
          <w:szCs w:val="22"/>
          <w:lang w:eastAsia="en-US"/>
        </w:rPr>
        <w:t xml:space="preserve"> dariniai</w:t>
      </w:r>
    </w:p>
    <w:p w14:paraId="3092BAA7" w14:textId="77777777" w:rsidR="003F7CCA" w:rsidRDefault="0080197E">
      <w:pPr>
        <w:tabs>
          <w:tab w:val="left" w:pos="567"/>
        </w:tabs>
        <w:rPr>
          <w:snapToGrid w:val="0"/>
          <w:sz w:val="22"/>
          <w:szCs w:val="22"/>
          <w:lang w:eastAsia="en-US"/>
        </w:rPr>
      </w:pPr>
      <w:r>
        <w:rPr>
          <w:snapToGrid w:val="0"/>
          <w:sz w:val="22"/>
          <w:szCs w:val="22"/>
          <w:lang w:eastAsia="en-US"/>
        </w:rPr>
        <w:t xml:space="preserve">5 mg </w:t>
      </w:r>
      <w:proofErr w:type="spellStart"/>
      <w:r>
        <w:rPr>
          <w:snapToGrid w:val="0"/>
          <w:sz w:val="22"/>
          <w:szCs w:val="22"/>
          <w:lang w:eastAsia="en-US"/>
        </w:rPr>
        <w:t>linagliptino</w:t>
      </w:r>
      <w:proofErr w:type="spellEnd"/>
      <w:r>
        <w:rPr>
          <w:snapToGrid w:val="0"/>
          <w:sz w:val="22"/>
          <w:szCs w:val="22"/>
          <w:lang w:eastAsia="en-US"/>
        </w:rPr>
        <w:t xml:space="preserve"> farmakokinetikos tuo metu, kai apykaita </w:t>
      </w:r>
      <w:proofErr w:type="spellStart"/>
      <w:r>
        <w:rPr>
          <w:snapToGrid w:val="0"/>
          <w:sz w:val="22"/>
          <w:szCs w:val="22"/>
          <w:lang w:eastAsia="en-US"/>
        </w:rPr>
        <w:t>pusiausvyrinė</w:t>
      </w:r>
      <w:proofErr w:type="spellEnd"/>
      <w:r>
        <w:rPr>
          <w:snapToGrid w:val="0"/>
          <w:sz w:val="22"/>
          <w:szCs w:val="22"/>
          <w:lang w:eastAsia="en-US"/>
        </w:rPr>
        <w:t xml:space="preserve">, kartu pavartota viena 1,75 mg </w:t>
      </w:r>
      <w:proofErr w:type="spellStart"/>
      <w:r>
        <w:rPr>
          <w:snapToGrid w:val="0"/>
          <w:sz w:val="22"/>
          <w:szCs w:val="22"/>
          <w:lang w:eastAsia="en-US"/>
        </w:rPr>
        <w:t>glibenklamido</w:t>
      </w:r>
      <w:proofErr w:type="spellEnd"/>
      <w:r>
        <w:rPr>
          <w:snapToGrid w:val="0"/>
          <w:sz w:val="22"/>
          <w:szCs w:val="22"/>
          <w:lang w:eastAsia="en-US"/>
        </w:rPr>
        <w:t xml:space="preserve"> (</w:t>
      </w:r>
      <w:proofErr w:type="spellStart"/>
      <w:r>
        <w:rPr>
          <w:snapToGrid w:val="0"/>
          <w:sz w:val="22"/>
          <w:szCs w:val="22"/>
          <w:lang w:eastAsia="en-US"/>
        </w:rPr>
        <w:t>gliburido</w:t>
      </w:r>
      <w:proofErr w:type="spellEnd"/>
      <w:r>
        <w:rPr>
          <w:snapToGrid w:val="0"/>
          <w:sz w:val="22"/>
          <w:szCs w:val="22"/>
          <w:lang w:eastAsia="en-US"/>
        </w:rPr>
        <w:t>) dozė nepakeitė.</w:t>
      </w:r>
    </w:p>
    <w:p w14:paraId="080F6EC4" w14:textId="77777777" w:rsidR="003F7CCA" w:rsidRDefault="003F7CCA">
      <w:pPr>
        <w:tabs>
          <w:tab w:val="left" w:pos="567"/>
        </w:tabs>
        <w:rPr>
          <w:snapToGrid w:val="0"/>
          <w:sz w:val="22"/>
          <w:szCs w:val="22"/>
          <w:lang w:eastAsia="en-US"/>
        </w:rPr>
      </w:pPr>
    </w:p>
    <w:p w14:paraId="5318FD5D" w14:textId="77777777" w:rsidR="003F7CCA" w:rsidRDefault="0080197E">
      <w:pPr>
        <w:tabs>
          <w:tab w:val="left" w:pos="567"/>
        </w:tabs>
        <w:rPr>
          <w:snapToGrid w:val="0"/>
          <w:sz w:val="22"/>
          <w:szCs w:val="22"/>
          <w:lang w:eastAsia="en-US"/>
        </w:rPr>
      </w:pPr>
      <w:r>
        <w:rPr>
          <w:snapToGrid w:val="0"/>
          <w:sz w:val="22"/>
          <w:szCs w:val="22"/>
          <w:lang w:eastAsia="en-US"/>
        </w:rPr>
        <w:t>Ritonaviras</w:t>
      </w:r>
    </w:p>
    <w:p w14:paraId="00BCC06A" w14:textId="77777777" w:rsidR="003F7CCA" w:rsidRDefault="0080197E">
      <w:pPr>
        <w:tabs>
          <w:tab w:val="left" w:pos="567"/>
        </w:tabs>
        <w:rPr>
          <w:snapToGrid w:val="0"/>
          <w:sz w:val="22"/>
          <w:szCs w:val="22"/>
          <w:lang w:eastAsia="en-US"/>
        </w:rPr>
      </w:pPr>
      <w:r>
        <w:rPr>
          <w:snapToGrid w:val="0"/>
          <w:sz w:val="22"/>
          <w:szCs w:val="22"/>
          <w:lang w:eastAsia="en-US"/>
        </w:rPr>
        <w:t xml:space="preserve">Vieną 5 mg </w:t>
      </w:r>
      <w:proofErr w:type="spellStart"/>
      <w:r>
        <w:rPr>
          <w:snapToGrid w:val="0"/>
          <w:sz w:val="22"/>
          <w:szCs w:val="22"/>
          <w:lang w:eastAsia="en-US"/>
        </w:rPr>
        <w:t>linagliptino</w:t>
      </w:r>
      <w:proofErr w:type="spellEnd"/>
      <w:r>
        <w:rPr>
          <w:snapToGrid w:val="0"/>
          <w:sz w:val="22"/>
          <w:szCs w:val="22"/>
          <w:lang w:eastAsia="en-US"/>
        </w:rPr>
        <w:t xml:space="preserve"> dozę išgėrus kartu su stipriai P </w:t>
      </w:r>
      <w:proofErr w:type="spellStart"/>
      <w:r>
        <w:rPr>
          <w:snapToGrid w:val="0"/>
          <w:sz w:val="22"/>
          <w:szCs w:val="22"/>
          <w:lang w:eastAsia="en-US"/>
        </w:rPr>
        <w:t>glikoproteiną</w:t>
      </w:r>
      <w:proofErr w:type="spellEnd"/>
      <w:r>
        <w:rPr>
          <w:snapToGrid w:val="0"/>
          <w:sz w:val="22"/>
          <w:szCs w:val="22"/>
          <w:lang w:eastAsia="en-US"/>
        </w:rPr>
        <w:t xml:space="preserve"> ir CYP 3A4 slopinančio ritonaviro daugkartine per burną vartojama 200 mg doze, </w:t>
      </w:r>
      <w:proofErr w:type="spellStart"/>
      <w:r>
        <w:rPr>
          <w:snapToGrid w:val="0"/>
          <w:sz w:val="22"/>
          <w:szCs w:val="22"/>
          <w:lang w:eastAsia="en-US"/>
        </w:rPr>
        <w:t>linagliptino</w:t>
      </w:r>
      <w:proofErr w:type="spellEnd"/>
      <w:r>
        <w:rPr>
          <w:snapToGrid w:val="0"/>
          <w:sz w:val="22"/>
          <w:szCs w:val="22"/>
          <w:lang w:eastAsia="en-US"/>
        </w:rPr>
        <w:t xml:space="preserve"> AUC ir </w:t>
      </w:r>
      <w:proofErr w:type="spellStart"/>
      <w:r>
        <w:rPr>
          <w:snapToGrid w:val="0"/>
          <w:sz w:val="22"/>
          <w:szCs w:val="22"/>
          <w:lang w:eastAsia="en-US"/>
        </w:rPr>
        <w:t>Cmax</w:t>
      </w:r>
      <w:proofErr w:type="spellEnd"/>
      <w:r>
        <w:rPr>
          <w:snapToGrid w:val="0"/>
          <w:sz w:val="22"/>
          <w:szCs w:val="22"/>
          <w:lang w:eastAsia="en-US"/>
        </w:rPr>
        <w:t xml:space="preserve"> padidėjo atitinkamai maždaug du ir tris kartus. Neprisijungusio </w:t>
      </w:r>
      <w:proofErr w:type="spellStart"/>
      <w:r>
        <w:rPr>
          <w:snapToGrid w:val="0"/>
          <w:sz w:val="22"/>
          <w:szCs w:val="22"/>
          <w:lang w:eastAsia="en-US"/>
        </w:rPr>
        <w:t>linagliptino</w:t>
      </w:r>
      <w:proofErr w:type="spellEnd"/>
      <w:r>
        <w:rPr>
          <w:snapToGrid w:val="0"/>
          <w:sz w:val="22"/>
          <w:szCs w:val="22"/>
          <w:lang w:eastAsia="en-US"/>
        </w:rPr>
        <w:t xml:space="preserve"> koncentracija, kuri gydymo terapine doze metu paprastai būna mažesnė negu 1 %, po pavartojimo kartu su ritonaviru padidėjo 4-5 kartus. </w:t>
      </w:r>
      <w:proofErr w:type="spellStart"/>
      <w:r>
        <w:rPr>
          <w:snapToGrid w:val="0"/>
          <w:sz w:val="22"/>
          <w:szCs w:val="22"/>
          <w:lang w:eastAsia="en-US"/>
        </w:rPr>
        <w:t>Linagliptino</w:t>
      </w:r>
      <w:proofErr w:type="spellEnd"/>
      <w:r>
        <w:rPr>
          <w:snapToGrid w:val="0"/>
          <w:sz w:val="22"/>
          <w:szCs w:val="22"/>
          <w:lang w:eastAsia="en-US"/>
        </w:rPr>
        <w:t xml:space="preserve"> </w:t>
      </w:r>
      <w:proofErr w:type="spellStart"/>
      <w:r>
        <w:rPr>
          <w:snapToGrid w:val="0"/>
          <w:sz w:val="22"/>
          <w:szCs w:val="22"/>
          <w:lang w:eastAsia="en-US"/>
        </w:rPr>
        <w:t>pusiausvyrinės</w:t>
      </w:r>
      <w:proofErr w:type="spellEnd"/>
      <w:r>
        <w:rPr>
          <w:snapToGrid w:val="0"/>
          <w:sz w:val="22"/>
          <w:szCs w:val="22"/>
          <w:lang w:eastAsia="en-US"/>
        </w:rPr>
        <w:t xml:space="preserve"> koncentracijos kraujo plazmoje modeliavimas, kai kartu vartojama arba nevartojama ritonaviro, rodo, kad ekspozicijos padidėjimas nėra susijęs su kaupimosi padidėjimu. Nustatyti </w:t>
      </w:r>
      <w:proofErr w:type="spellStart"/>
      <w:r>
        <w:rPr>
          <w:snapToGrid w:val="0"/>
          <w:sz w:val="22"/>
          <w:szCs w:val="22"/>
          <w:lang w:eastAsia="en-US"/>
        </w:rPr>
        <w:t>linagliptino</w:t>
      </w:r>
      <w:proofErr w:type="spellEnd"/>
      <w:r>
        <w:rPr>
          <w:snapToGrid w:val="0"/>
          <w:sz w:val="22"/>
          <w:szCs w:val="22"/>
          <w:lang w:eastAsia="en-US"/>
        </w:rPr>
        <w:t xml:space="preserve"> farmakokinetikos pokyčiai kliniškai reikšmingais nelaikomi. Taigi kliniškai reikšmingos sąveikos su kitais P </w:t>
      </w:r>
      <w:proofErr w:type="spellStart"/>
      <w:r>
        <w:rPr>
          <w:snapToGrid w:val="0"/>
          <w:sz w:val="22"/>
          <w:szCs w:val="22"/>
          <w:lang w:eastAsia="en-US"/>
        </w:rPr>
        <w:t>glikoproteino</w:t>
      </w:r>
      <w:proofErr w:type="spellEnd"/>
      <w:r>
        <w:rPr>
          <w:snapToGrid w:val="0"/>
          <w:sz w:val="22"/>
          <w:szCs w:val="22"/>
          <w:lang w:eastAsia="en-US"/>
        </w:rPr>
        <w:t xml:space="preserve"> ar CYP 3A4 inhibitoriais pasireikšti neturėtų.</w:t>
      </w:r>
    </w:p>
    <w:p w14:paraId="642E5E00" w14:textId="77777777" w:rsidR="003F7CCA" w:rsidRDefault="003F7CCA">
      <w:pPr>
        <w:tabs>
          <w:tab w:val="left" w:pos="567"/>
        </w:tabs>
        <w:rPr>
          <w:snapToGrid w:val="0"/>
          <w:sz w:val="22"/>
          <w:szCs w:val="22"/>
          <w:lang w:eastAsia="en-US"/>
        </w:rPr>
      </w:pPr>
    </w:p>
    <w:p w14:paraId="61D90861" w14:textId="77777777" w:rsidR="003F7CCA" w:rsidRDefault="0080197E">
      <w:pPr>
        <w:tabs>
          <w:tab w:val="left" w:pos="567"/>
        </w:tabs>
        <w:rPr>
          <w:snapToGrid w:val="0"/>
          <w:sz w:val="22"/>
          <w:szCs w:val="22"/>
          <w:lang w:eastAsia="en-US"/>
        </w:rPr>
      </w:pPr>
      <w:proofErr w:type="spellStart"/>
      <w:r>
        <w:rPr>
          <w:snapToGrid w:val="0"/>
          <w:sz w:val="22"/>
          <w:szCs w:val="22"/>
          <w:lang w:eastAsia="en-US"/>
        </w:rPr>
        <w:t>Rifampicinas</w:t>
      </w:r>
      <w:proofErr w:type="spellEnd"/>
    </w:p>
    <w:p w14:paraId="5E23697F" w14:textId="77777777" w:rsidR="003F7CCA" w:rsidRDefault="0080197E">
      <w:pPr>
        <w:tabs>
          <w:tab w:val="left" w:pos="567"/>
        </w:tabs>
        <w:rPr>
          <w:snapToGrid w:val="0"/>
          <w:sz w:val="22"/>
          <w:szCs w:val="22"/>
          <w:lang w:eastAsia="en-US"/>
        </w:rPr>
      </w:pPr>
      <w:r>
        <w:rPr>
          <w:snapToGrid w:val="0"/>
          <w:sz w:val="22"/>
          <w:szCs w:val="22"/>
          <w:lang w:eastAsia="en-US"/>
        </w:rPr>
        <w:t xml:space="preserve">Daugkartinis </w:t>
      </w:r>
      <w:proofErr w:type="spellStart"/>
      <w:r>
        <w:rPr>
          <w:snapToGrid w:val="0"/>
          <w:sz w:val="22"/>
          <w:szCs w:val="22"/>
          <w:lang w:eastAsia="en-US"/>
        </w:rPr>
        <w:t>linagliptino</w:t>
      </w:r>
      <w:proofErr w:type="spellEnd"/>
      <w:r>
        <w:rPr>
          <w:snapToGrid w:val="0"/>
          <w:sz w:val="22"/>
          <w:szCs w:val="22"/>
          <w:lang w:eastAsia="en-US"/>
        </w:rPr>
        <w:t xml:space="preserve"> 5 mg dozės vartojimas kartu su stipriai P </w:t>
      </w:r>
      <w:proofErr w:type="spellStart"/>
      <w:r>
        <w:rPr>
          <w:snapToGrid w:val="0"/>
          <w:sz w:val="22"/>
          <w:szCs w:val="22"/>
          <w:lang w:eastAsia="en-US"/>
        </w:rPr>
        <w:t>glikoproteiną</w:t>
      </w:r>
      <w:proofErr w:type="spellEnd"/>
      <w:r>
        <w:rPr>
          <w:snapToGrid w:val="0"/>
          <w:sz w:val="22"/>
          <w:szCs w:val="22"/>
          <w:lang w:eastAsia="en-US"/>
        </w:rPr>
        <w:t xml:space="preserve"> ir CYP 3A4 indukuojančiu </w:t>
      </w:r>
      <w:proofErr w:type="spellStart"/>
      <w:r>
        <w:rPr>
          <w:snapToGrid w:val="0"/>
          <w:sz w:val="22"/>
          <w:szCs w:val="22"/>
          <w:lang w:eastAsia="en-US"/>
        </w:rPr>
        <w:t>rifampicinu</w:t>
      </w:r>
      <w:proofErr w:type="spellEnd"/>
      <w:r>
        <w:rPr>
          <w:snapToGrid w:val="0"/>
          <w:sz w:val="22"/>
          <w:szCs w:val="22"/>
          <w:lang w:eastAsia="en-US"/>
        </w:rPr>
        <w:t xml:space="preserve"> lėmė </w:t>
      </w:r>
      <w:proofErr w:type="spellStart"/>
      <w:r>
        <w:rPr>
          <w:snapToGrid w:val="0"/>
          <w:sz w:val="22"/>
          <w:szCs w:val="22"/>
          <w:lang w:eastAsia="en-US"/>
        </w:rPr>
        <w:t>linagliptino</w:t>
      </w:r>
      <w:proofErr w:type="spellEnd"/>
      <w:r>
        <w:rPr>
          <w:snapToGrid w:val="0"/>
          <w:sz w:val="22"/>
          <w:szCs w:val="22"/>
          <w:lang w:eastAsia="en-US"/>
        </w:rPr>
        <w:t xml:space="preserve"> AUC tuo metu, kai apykaita </w:t>
      </w:r>
      <w:proofErr w:type="spellStart"/>
      <w:r>
        <w:rPr>
          <w:snapToGrid w:val="0"/>
          <w:sz w:val="22"/>
          <w:szCs w:val="22"/>
          <w:lang w:eastAsia="en-US"/>
        </w:rPr>
        <w:t>pusiausvyrinė</w:t>
      </w:r>
      <w:proofErr w:type="spellEnd"/>
      <w:r>
        <w:rPr>
          <w:snapToGrid w:val="0"/>
          <w:sz w:val="22"/>
          <w:szCs w:val="22"/>
          <w:lang w:eastAsia="en-US"/>
        </w:rPr>
        <w:t xml:space="preserve">, sumažėjimą ir </w:t>
      </w:r>
      <w:proofErr w:type="spellStart"/>
      <w:r>
        <w:rPr>
          <w:snapToGrid w:val="0"/>
          <w:sz w:val="22"/>
          <w:szCs w:val="22"/>
          <w:lang w:eastAsia="en-US"/>
        </w:rPr>
        <w:t>Cmax</w:t>
      </w:r>
      <w:proofErr w:type="spellEnd"/>
      <w:r>
        <w:rPr>
          <w:snapToGrid w:val="0"/>
          <w:sz w:val="22"/>
          <w:szCs w:val="22"/>
          <w:lang w:eastAsia="en-US"/>
        </w:rPr>
        <w:t xml:space="preserve"> sumažėjimą atitinkamai 39,6 </w:t>
      </w:r>
      <w:r w:rsidRPr="00A6463E">
        <w:rPr>
          <w:sz w:val="22"/>
          <w:szCs w:val="22"/>
          <w:lang w:eastAsia="en-US"/>
        </w:rPr>
        <w:t>%</w:t>
      </w:r>
      <w:r>
        <w:rPr>
          <w:snapToGrid w:val="0"/>
          <w:sz w:val="22"/>
          <w:szCs w:val="22"/>
          <w:lang w:eastAsia="en-US"/>
        </w:rPr>
        <w:t xml:space="preserve"> ir 43,8 </w:t>
      </w:r>
      <w:r w:rsidRPr="00A6463E">
        <w:rPr>
          <w:sz w:val="22"/>
          <w:szCs w:val="22"/>
          <w:lang w:eastAsia="en-US"/>
        </w:rPr>
        <w:t>%</w:t>
      </w:r>
      <w:r>
        <w:rPr>
          <w:snapToGrid w:val="0"/>
          <w:sz w:val="22"/>
          <w:szCs w:val="22"/>
          <w:lang w:eastAsia="en-US"/>
        </w:rPr>
        <w:t xml:space="preserve"> bei DPP-4 slopinimo tuo metu, kai koncentracija mažiausia, sumažėjimą maždaug 30 </w:t>
      </w:r>
      <w:r w:rsidRPr="00A6463E">
        <w:rPr>
          <w:sz w:val="22"/>
          <w:szCs w:val="22"/>
          <w:lang w:eastAsia="en-US"/>
        </w:rPr>
        <w:t>%</w:t>
      </w:r>
      <w:r>
        <w:rPr>
          <w:snapToGrid w:val="0"/>
          <w:sz w:val="22"/>
          <w:szCs w:val="22"/>
          <w:lang w:eastAsia="en-US"/>
        </w:rPr>
        <w:t xml:space="preserve">. Taigi visas </w:t>
      </w:r>
      <w:proofErr w:type="spellStart"/>
      <w:r>
        <w:rPr>
          <w:snapToGrid w:val="0"/>
          <w:sz w:val="22"/>
          <w:szCs w:val="22"/>
          <w:lang w:eastAsia="en-US"/>
        </w:rPr>
        <w:t>linagliptino</w:t>
      </w:r>
      <w:proofErr w:type="spellEnd"/>
      <w:r>
        <w:rPr>
          <w:snapToGrid w:val="0"/>
          <w:sz w:val="22"/>
          <w:szCs w:val="22"/>
          <w:lang w:eastAsia="en-US"/>
        </w:rPr>
        <w:t xml:space="preserve">, vartojamo kartu su stipriai veikiančiais P </w:t>
      </w:r>
      <w:proofErr w:type="spellStart"/>
      <w:r>
        <w:rPr>
          <w:snapToGrid w:val="0"/>
          <w:sz w:val="22"/>
          <w:szCs w:val="22"/>
          <w:lang w:eastAsia="en-US"/>
        </w:rPr>
        <w:t>gp</w:t>
      </w:r>
      <w:proofErr w:type="spellEnd"/>
      <w:r>
        <w:rPr>
          <w:snapToGrid w:val="0"/>
          <w:sz w:val="22"/>
          <w:szCs w:val="22"/>
          <w:lang w:eastAsia="en-US"/>
        </w:rPr>
        <w:t xml:space="preserve"> </w:t>
      </w:r>
      <w:proofErr w:type="spellStart"/>
      <w:r>
        <w:rPr>
          <w:snapToGrid w:val="0"/>
          <w:sz w:val="22"/>
          <w:szCs w:val="22"/>
          <w:lang w:eastAsia="en-US"/>
        </w:rPr>
        <w:t>induktoriais</w:t>
      </w:r>
      <w:proofErr w:type="spellEnd"/>
      <w:r>
        <w:rPr>
          <w:snapToGrid w:val="0"/>
          <w:sz w:val="22"/>
          <w:szCs w:val="22"/>
          <w:lang w:eastAsia="en-US"/>
        </w:rPr>
        <w:t xml:space="preserve">, veiksmingumas gali nepasireikšti, ypač ilgalaikio vartojimo metu. Derinimas su kitais stipriai veikiančiais P </w:t>
      </w:r>
      <w:proofErr w:type="spellStart"/>
      <w:r>
        <w:rPr>
          <w:snapToGrid w:val="0"/>
          <w:sz w:val="22"/>
          <w:szCs w:val="22"/>
          <w:lang w:eastAsia="en-US"/>
        </w:rPr>
        <w:t>glikoproteino</w:t>
      </w:r>
      <w:proofErr w:type="spellEnd"/>
      <w:r>
        <w:rPr>
          <w:snapToGrid w:val="0"/>
          <w:sz w:val="22"/>
          <w:szCs w:val="22"/>
          <w:lang w:eastAsia="en-US"/>
        </w:rPr>
        <w:t xml:space="preserve"> ir CYP 3A4 </w:t>
      </w:r>
      <w:proofErr w:type="spellStart"/>
      <w:r>
        <w:rPr>
          <w:snapToGrid w:val="0"/>
          <w:sz w:val="22"/>
          <w:szCs w:val="22"/>
          <w:lang w:eastAsia="en-US"/>
        </w:rPr>
        <w:t>induktoriais</w:t>
      </w:r>
      <w:proofErr w:type="spellEnd"/>
      <w:r>
        <w:rPr>
          <w:snapToGrid w:val="0"/>
          <w:sz w:val="22"/>
          <w:szCs w:val="22"/>
          <w:lang w:eastAsia="en-US"/>
        </w:rPr>
        <w:t xml:space="preserve">, tokiais kaip </w:t>
      </w:r>
      <w:proofErr w:type="spellStart"/>
      <w:r>
        <w:rPr>
          <w:snapToGrid w:val="0"/>
          <w:sz w:val="22"/>
          <w:szCs w:val="22"/>
          <w:lang w:eastAsia="en-US"/>
        </w:rPr>
        <w:t>karbamazepinas</w:t>
      </w:r>
      <w:proofErr w:type="spellEnd"/>
      <w:r>
        <w:rPr>
          <w:snapToGrid w:val="0"/>
          <w:sz w:val="22"/>
          <w:szCs w:val="22"/>
          <w:lang w:eastAsia="en-US"/>
        </w:rPr>
        <w:t xml:space="preserve">, </w:t>
      </w:r>
      <w:proofErr w:type="spellStart"/>
      <w:r>
        <w:rPr>
          <w:snapToGrid w:val="0"/>
          <w:sz w:val="22"/>
          <w:szCs w:val="22"/>
          <w:lang w:eastAsia="en-US"/>
        </w:rPr>
        <w:t>fenobarbitalis</w:t>
      </w:r>
      <w:proofErr w:type="spellEnd"/>
      <w:r>
        <w:rPr>
          <w:snapToGrid w:val="0"/>
          <w:sz w:val="22"/>
          <w:szCs w:val="22"/>
          <w:lang w:eastAsia="en-US"/>
        </w:rPr>
        <w:t xml:space="preserve"> ar </w:t>
      </w:r>
      <w:proofErr w:type="spellStart"/>
      <w:r>
        <w:rPr>
          <w:snapToGrid w:val="0"/>
          <w:sz w:val="22"/>
          <w:szCs w:val="22"/>
          <w:lang w:eastAsia="en-US"/>
        </w:rPr>
        <w:t>fenitoinas</w:t>
      </w:r>
      <w:proofErr w:type="spellEnd"/>
      <w:r>
        <w:rPr>
          <w:snapToGrid w:val="0"/>
          <w:sz w:val="22"/>
          <w:szCs w:val="22"/>
          <w:lang w:eastAsia="en-US"/>
        </w:rPr>
        <w:t>, nebuvo tirtas.</w:t>
      </w:r>
    </w:p>
    <w:p w14:paraId="0F931B6F" w14:textId="77777777" w:rsidR="003F7CCA" w:rsidRDefault="003F7CCA">
      <w:pPr>
        <w:tabs>
          <w:tab w:val="left" w:pos="567"/>
        </w:tabs>
        <w:rPr>
          <w:snapToGrid w:val="0"/>
          <w:sz w:val="22"/>
          <w:szCs w:val="22"/>
          <w:lang w:eastAsia="en-US"/>
        </w:rPr>
      </w:pPr>
    </w:p>
    <w:p w14:paraId="19903330" w14:textId="77777777" w:rsidR="003F7CCA" w:rsidRDefault="0080197E">
      <w:pPr>
        <w:tabs>
          <w:tab w:val="left" w:pos="567"/>
        </w:tabs>
        <w:rPr>
          <w:i/>
          <w:iCs/>
          <w:snapToGrid w:val="0"/>
          <w:sz w:val="22"/>
          <w:szCs w:val="22"/>
          <w:u w:val="single"/>
          <w:lang w:eastAsia="en-US"/>
        </w:rPr>
      </w:pPr>
      <w:proofErr w:type="spellStart"/>
      <w:r>
        <w:rPr>
          <w:i/>
          <w:iCs/>
          <w:snapToGrid w:val="0"/>
          <w:sz w:val="22"/>
          <w:szCs w:val="22"/>
          <w:u w:val="single"/>
          <w:lang w:eastAsia="en-US"/>
        </w:rPr>
        <w:t>Linagliptino</w:t>
      </w:r>
      <w:proofErr w:type="spellEnd"/>
      <w:r>
        <w:rPr>
          <w:i/>
          <w:iCs/>
          <w:snapToGrid w:val="0"/>
          <w:sz w:val="22"/>
          <w:szCs w:val="22"/>
          <w:u w:val="single"/>
          <w:lang w:eastAsia="en-US"/>
        </w:rPr>
        <w:t xml:space="preserve"> poveikis kitiems vaistiniams preparatams</w:t>
      </w:r>
    </w:p>
    <w:p w14:paraId="4C088550" w14:textId="77777777" w:rsidR="003F7CCA" w:rsidRDefault="0080197E">
      <w:pPr>
        <w:tabs>
          <w:tab w:val="left" w:pos="567"/>
        </w:tabs>
        <w:rPr>
          <w:snapToGrid w:val="0"/>
          <w:sz w:val="22"/>
          <w:szCs w:val="22"/>
          <w:lang w:eastAsia="en-US"/>
        </w:rPr>
      </w:pPr>
      <w:r>
        <w:rPr>
          <w:snapToGrid w:val="0"/>
          <w:sz w:val="22"/>
          <w:szCs w:val="22"/>
          <w:lang w:eastAsia="en-US"/>
        </w:rPr>
        <w:t xml:space="preserve">Klinikinių tyrimų, kurie aprašyti toliau, metu kliniškai reikšmingo poveikio </w:t>
      </w:r>
      <w:proofErr w:type="spellStart"/>
      <w:r>
        <w:rPr>
          <w:snapToGrid w:val="0"/>
          <w:sz w:val="22"/>
          <w:szCs w:val="22"/>
          <w:lang w:eastAsia="en-US"/>
        </w:rPr>
        <w:t>metformino</w:t>
      </w:r>
      <w:proofErr w:type="spellEnd"/>
      <w:r>
        <w:rPr>
          <w:snapToGrid w:val="0"/>
          <w:sz w:val="22"/>
          <w:szCs w:val="22"/>
          <w:lang w:eastAsia="en-US"/>
        </w:rPr>
        <w:t xml:space="preserve">, </w:t>
      </w:r>
      <w:proofErr w:type="spellStart"/>
      <w:r>
        <w:rPr>
          <w:snapToGrid w:val="0"/>
          <w:sz w:val="22"/>
          <w:szCs w:val="22"/>
          <w:lang w:eastAsia="en-US"/>
        </w:rPr>
        <w:t>gliburido</w:t>
      </w:r>
      <w:proofErr w:type="spellEnd"/>
      <w:r>
        <w:rPr>
          <w:snapToGrid w:val="0"/>
          <w:sz w:val="22"/>
          <w:szCs w:val="22"/>
          <w:lang w:eastAsia="en-US"/>
        </w:rPr>
        <w:t xml:space="preserve">, </w:t>
      </w:r>
      <w:proofErr w:type="spellStart"/>
      <w:r>
        <w:rPr>
          <w:snapToGrid w:val="0"/>
          <w:sz w:val="22"/>
          <w:szCs w:val="22"/>
          <w:lang w:eastAsia="en-US"/>
        </w:rPr>
        <w:t>simvastatino</w:t>
      </w:r>
      <w:proofErr w:type="spellEnd"/>
      <w:r>
        <w:rPr>
          <w:snapToGrid w:val="0"/>
          <w:sz w:val="22"/>
          <w:szCs w:val="22"/>
          <w:lang w:eastAsia="en-US"/>
        </w:rPr>
        <w:t xml:space="preserve">, varfarino, </w:t>
      </w:r>
      <w:proofErr w:type="spellStart"/>
      <w:r>
        <w:rPr>
          <w:snapToGrid w:val="0"/>
          <w:sz w:val="22"/>
          <w:szCs w:val="22"/>
          <w:lang w:eastAsia="en-US"/>
        </w:rPr>
        <w:t>digoksino</w:t>
      </w:r>
      <w:proofErr w:type="spellEnd"/>
      <w:r>
        <w:rPr>
          <w:snapToGrid w:val="0"/>
          <w:sz w:val="22"/>
          <w:szCs w:val="22"/>
          <w:lang w:eastAsia="en-US"/>
        </w:rPr>
        <w:t xml:space="preserve"> ar geriamųjų kontraceptikų farmakokinetikai </w:t>
      </w:r>
      <w:proofErr w:type="spellStart"/>
      <w:r>
        <w:rPr>
          <w:snapToGrid w:val="0"/>
          <w:sz w:val="22"/>
          <w:szCs w:val="22"/>
          <w:lang w:eastAsia="en-US"/>
        </w:rPr>
        <w:t>linagliptinas</w:t>
      </w:r>
      <w:proofErr w:type="spellEnd"/>
      <w:r>
        <w:rPr>
          <w:snapToGrid w:val="0"/>
          <w:sz w:val="22"/>
          <w:szCs w:val="22"/>
          <w:lang w:eastAsia="en-US"/>
        </w:rPr>
        <w:t xml:space="preserve"> nedarė. Tai rodo, kad </w:t>
      </w:r>
      <w:proofErr w:type="spellStart"/>
      <w:r>
        <w:rPr>
          <w:snapToGrid w:val="0"/>
          <w:sz w:val="22"/>
          <w:szCs w:val="22"/>
          <w:lang w:eastAsia="en-US"/>
        </w:rPr>
        <w:t>in</w:t>
      </w:r>
      <w:proofErr w:type="spellEnd"/>
      <w:r>
        <w:rPr>
          <w:snapToGrid w:val="0"/>
          <w:sz w:val="22"/>
          <w:szCs w:val="22"/>
          <w:lang w:eastAsia="en-US"/>
        </w:rPr>
        <w:t xml:space="preserve"> </w:t>
      </w:r>
      <w:proofErr w:type="spellStart"/>
      <w:r>
        <w:rPr>
          <w:snapToGrid w:val="0"/>
          <w:sz w:val="22"/>
          <w:szCs w:val="22"/>
          <w:lang w:eastAsia="en-US"/>
        </w:rPr>
        <w:t>vivo</w:t>
      </w:r>
      <w:proofErr w:type="spellEnd"/>
      <w:r>
        <w:rPr>
          <w:snapToGrid w:val="0"/>
          <w:sz w:val="22"/>
          <w:szCs w:val="22"/>
          <w:lang w:eastAsia="en-US"/>
        </w:rPr>
        <w:t xml:space="preserve"> jo polinkis į sąveiką su CYP 3A4, CYP 2C9, CYP 2C8, P </w:t>
      </w:r>
      <w:proofErr w:type="spellStart"/>
      <w:r>
        <w:rPr>
          <w:snapToGrid w:val="0"/>
          <w:sz w:val="22"/>
          <w:szCs w:val="22"/>
          <w:lang w:eastAsia="en-US"/>
        </w:rPr>
        <w:t>glikoproteino</w:t>
      </w:r>
      <w:proofErr w:type="spellEnd"/>
      <w:r>
        <w:rPr>
          <w:snapToGrid w:val="0"/>
          <w:sz w:val="22"/>
          <w:szCs w:val="22"/>
          <w:lang w:eastAsia="en-US"/>
        </w:rPr>
        <w:t xml:space="preserve"> bei organinių katijonų nešiklių (OKN) substratais yra mažas.</w:t>
      </w:r>
    </w:p>
    <w:p w14:paraId="7DEF35D6" w14:textId="77777777" w:rsidR="003F7CCA" w:rsidRDefault="003F7CCA">
      <w:pPr>
        <w:tabs>
          <w:tab w:val="left" w:pos="567"/>
        </w:tabs>
        <w:rPr>
          <w:snapToGrid w:val="0"/>
          <w:sz w:val="22"/>
          <w:szCs w:val="22"/>
          <w:lang w:eastAsia="en-US"/>
        </w:rPr>
      </w:pPr>
    </w:p>
    <w:p w14:paraId="5CF14289" w14:textId="77777777" w:rsidR="003F7CCA" w:rsidRDefault="0080197E">
      <w:pPr>
        <w:tabs>
          <w:tab w:val="left" w:pos="567"/>
        </w:tabs>
        <w:rPr>
          <w:snapToGrid w:val="0"/>
          <w:sz w:val="22"/>
          <w:szCs w:val="22"/>
          <w:lang w:eastAsia="en-US"/>
        </w:rPr>
      </w:pPr>
      <w:r>
        <w:rPr>
          <w:snapToGrid w:val="0"/>
          <w:sz w:val="22"/>
          <w:szCs w:val="22"/>
          <w:lang w:eastAsia="en-US"/>
        </w:rPr>
        <w:t>Metforminas</w:t>
      </w:r>
    </w:p>
    <w:p w14:paraId="2E925BE9" w14:textId="77777777" w:rsidR="003F7CCA" w:rsidRDefault="0080197E">
      <w:pPr>
        <w:tabs>
          <w:tab w:val="left" w:pos="567"/>
        </w:tabs>
        <w:rPr>
          <w:snapToGrid w:val="0"/>
          <w:sz w:val="22"/>
          <w:szCs w:val="22"/>
          <w:lang w:eastAsia="en-US"/>
        </w:rPr>
      </w:pPr>
      <w:r>
        <w:rPr>
          <w:snapToGrid w:val="0"/>
          <w:sz w:val="22"/>
          <w:szCs w:val="22"/>
          <w:lang w:eastAsia="en-US"/>
        </w:rPr>
        <w:t xml:space="preserve">Daugkartinių 10 mg </w:t>
      </w:r>
      <w:proofErr w:type="spellStart"/>
      <w:r>
        <w:rPr>
          <w:snapToGrid w:val="0"/>
          <w:sz w:val="22"/>
          <w:szCs w:val="22"/>
          <w:lang w:eastAsia="en-US"/>
        </w:rPr>
        <w:t>linagliptino</w:t>
      </w:r>
      <w:proofErr w:type="spellEnd"/>
      <w:r>
        <w:rPr>
          <w:snapToGrid w:val="0"/>
          <w:sz w:val="22"/>
          <w:szCs w:val="22"/>
          <w:lang w:eastAsia="en-US"/>
        </w:rPr>
        <w:t xml:space="preserve"> paros dozių vartojimas kartu su OKN substrato </w:t>
      </w:r>
      <w:proofErr w:type="spellStart"/>
      <w:r>
        <w:rPr>
          <w:snapToGrid w:val="0"/>
          <w:sz w:val="22"/>
          <w:szCs w:val="22"/>
          <w:lang w:eastAsia="en-US"/>
        </w:rPr>
        <w:t>metformino</w:t>
      </w:r>
      <w:proofErr w:type="spellEnd"/>
      <w:r>
        <w:rPr>
          <w:snapToGrid w:val="0"/>
          <w:sz w:val="22"/>
          <w:szCs w:val="22"/>
          <w:lang w:eastAsia="en-US"/>
        </w:rPr>
        <w:t xml:space="preserve"> hidrochlorido 850 mg doze reikšmingo poveikio </w:t>
      </w:r>
      <w:proofErr w:type="spellStart"/>
      <w:r>
        <w:rPr>
          <w:snapToGrid w:val="0"/>
          <w:sz w:val="22"/>
          <w:szCs w:val="22"/>
          <w:lang w:eastAsia="en-US"/>
        </w:rPr>
        <w:t>metformino</w:t>
      </w:r>
      <w:proofErr w:type="spellEnd"/>
      <w:r>
        <w:rPr>
          <w:snapToGrid w:val="0"/>
          <w:sz w:val="22"/>
          <w:szCs w:val="22"/>
          <w:lang w:eastAsia="en-US"/>
        </w:rPr>
        <w:t xml:space="preserve"> farmakokinetikai sveikų tiriamųjų organizme nedarė. Taigi </w:t>
      </w:r>
      <w:proofErr w:type="spellStart"/>
      <w:r>
        <w:rPr>
          <w:snapToGrid w:val="0"/>
          <w:sz w:val="22"/>
          <w:szCs w:val="22"/>
          <w:lang w:eastAsia="en-US"/>
        </w:rPr>
        <w:t>linagliptinas</w:t>
      </w:r>
      <w:proofErr w:type="spellEnd"/>
      <w:r>
        <w:rPr>
          <w:snapToGrid w:val="0"/>
          <w:sz w:val="22"/>
          <w:szCs w:val="22"/>
          <w:lang w:eastAsia="en-US"/>
        </w:rPr>
        <w:t xml:space="preserve"> pernašos, vykstančios tarpininkaujant OKN, neslopina.</w:t>
      </w:r>
    </w:p>
    <w:p w14:paraId="3FDCC0D4" w14:textId="77777777" w:rsidR="003F7CCA" w:rsidRDefault="003F7CCA">
      <w:pPr>
        <w:tabs>
          <w:tab w:val="left" w:pos="567"/>
        </w:tabs>
        <w:rPr>
          <w:snapToGrid w:val="0"/>
          <w:sz w:val="22"/>
          <w:szCs w:val="22"/>
          <w:lang w:eastAsia="en-US"/>
        </w:rPr>
      </w:pPr>
    </w:p>
    <w:p w14:paraId="12DE4DED" w14:textId="77777777" w:rsidR="003F7CCA" w:rsidRDefault="0080197E">
      <w:pPr>
        <w:tabs>
          <w:tab w:val="left" w:pos="567"/>
        </w:tabs>
        <w:rPr>
          <w:snapToGrid w:val="0"/>
          <w:sz w:val="22"/>
          <w:szCs w:val="22"/>
          <w:lang w:eastAsia="en-US"/>
        </w:rPr>
      </w:pPr>
      <w:proofErr w:type="spellStart"/>
      <w:r>
        <w:rPr>
          <w:snapToGrid w:val="0"/>
          <w:sz w:val="22"/>
          <w:szCs w:val="22"/>
          <w:lang w:eastAsia="en-US"/>
        </w:rPr>
        <w:t>Sulfonilurėjos</w:t>
      </w:r>
      <w:proofErr w:type="spellEnd"/>
      <w:r>
        <w:rPr>
          <w:snapToGrid w:val="0"/>
          <w:sz w:val="22"/>
          <w:szCs w:val="22"/>
          <w:lang w:eastAsia="en-US"/>
        </w:rPr>
        <w:t xml:space="preserve"> dariniai</w:t>
      </w:r>
    </w:p>
    <w:p w14:paraId="75602675" w14:textId="77777777" w:rsidR="003F7CCA" w:rsidRPr="00A6463E" w:rsidRDefault="0080197E">
      <w:pPr>
        <w:pStyle w:val="Default"/>
        <w:rPr>
          <w:snapToGrid w:val="0"/>
          <w:sz w:val="22"/>
          <w:szCs w:val="22"/>
          <w:lang w:val="lt-LT" w:eastAsia="en-US"/>
        </w:rPr>
      </w:pPr>
      <w:r w:rsidRPr="00A6463E">
        <w:rPr>
          <w:snapToGrid w:val="0"/>
          <w:sz w:val="22"/>
          <w:szCs w:val="22"/>
          <w:lang w:val="lt-LT" w:eastAsia="en-US"/>
        </w:rPr>
        <w:t xml:space="preserve">Kartu su daugkartinėmis per burną vartojamomis 5 mg </w:t>
      </w:r>
      <w:proofErr w:type="spellStart"/>
      <w:r w:rsidRPr="00A6463E">
        <w:rPr>
          <w:snapToGrid w:val="0"/>
          <w:sz w:val="22"/>
          <w:szCs w:val="22"/>
          <w:lang w:val="lt-LT" w:eastAsia="en-US"/>
        </w:rPr>
        <w:t>linagliptino</w:t>
      </w:r>
      <w:proofErr w:type="spellEnd"/>
      <w:r w:rsidRPr="00A6463E">
        <w:rPr>
          <w:snapToGrid w:val="0"/>
          <w:sz w:val="22"/>
          <w:szCs w:val="22"/>
          <w:lang w:val="lt-LT" w:eastAsia="en-US"/>
        </w:rPr>
        <w:t xml:space="preserve"> dozėmis išgėrus vieną 1,75 mg </w:t>
      </w:r>
      <w:proofErr w:type="spellStart"/>
      <w:r w:rsidRPr="00A6463E">
        <w:rPr>
          <w:snapToGrid w:val="0"/>
          <w:sz w:val="22"/>
          <w:szCs w:val="22"/>
          <w:lang w:val="lt-LT" w:eastAsia="en-US"/>
        </w:rPr>
        <w:t>glibenklamido</w:t>
      </w:r>
      <w:proofErr w:type="spellEnd"/>
      <w:r w:rsidRPr="00A6463E">
        <w:rPr>
          <w:snapToGrid w:val="0"/>
          <w:sz w:val="22"/>
          <w:szCs w:val="22"/>
          <w:lang w:val="lt-LT" w:eastAsia="en-US"/>
        </w:rPr>
        <w:t xml:space="preserve"> (</w:t>
      </w:r>
      <w:proofErr w:type="spellStart"/>
      <w:r w:rsidRPr="00A6463E">
        <w:rPr>
          <w:snapToGrid w:val="0"/>
          <w:sz w:val="22"/>
          <w:szCs w:val="22"/>
          <w:lang w:val="lt-LT" w:eastAsia="en-US"/>
        </w:rPr>
        <w:t>gliburido</w:t>
      </w:r>
      <w:proofErr w:type="spellEnd"/>
      <w:r w:rsidRPr="00A6463E">
        <w:rPr>
          <w:snapToGrid w:val="0"/>
          <w:sz w:val="22"/>
          <w:szCs w:val="22"/>
          <w:lang w:val="lt-LT" w:eastAsia="en-US"/>
        </w:rPr>
        <w:t xml:space="preserve">) dozę, pasireiškė </w:t>
      </w:r>
      <w:proofErr w:type="spellStart"/>
      <w:r w:rsidRPr="00A6463E">
        <w:rPr>
          <w:snapToGrid w:val="0"/>
          <w:sz w:val="22"/>
          <w:szCs w:val="22"/>
          <w:lang w:val="lt-LT" w:eastAsia="en-US"/>
        </w:rPr>
        <w:t>glibenklamido</w:t>
      </w:r>
      <w:proofErr w:type="spellEnd"/>
      <w:r w:rsidRPr="00A6463E">
        <w:rPr>
          <w:snapToGrid w:val="0"/>
          <w:sz w:val="22"/>
          <w:szCs w:val="22"/>
          <w:lang w:val="lt-LT" w:eastAsia="en-US"/>
        </w:rPr>
        <w:t xml:space="preserve"> tiek AUC, tiek </w:t>
      </w:r>
      <w:proofErr w:type="spellStart"/>
      <w:r w:rsidRPr="00A6463E">
        <w:rPr>
          <w:snapToGrid w:val="0"/>
          <w:sz w:val="22"/>
          <w:szCs w:val="22"/>
          <w:lang w:val="lt-LT" w:eastAsia="en-US"/>
        </w:rPr>
        <w:t>Cmax</w:t>
      </w:r>
      <w:proofErr w:type="spellEnd"/>
      <w:r w:rsidRPr="00A6463E">
        <w:rPr>
          <w:snapToGrid w:val="0"/>
          <w:sz w:val="22"/>
          <w:szCs w:val="22"/>
          <w:lang w:val="lt-LT" w:eastAsia="en-US"/>
        </w:rPr>
        <w:t xml:space="preserve"> kliniškai nereikšmingas (14 %) sumažėjimas. Kadangi </w:t>
      </w:r>
      <w:proofErr w:type="spellStart"/>
      <w:r w:rsidRPr="00A6463E">
        <w:rPr>
          <w:snapToGrid w:val="0"/>
          <w:sz w:val="22"/>
          <w:szCs w:val="22"/>
          <w:lang w:val="lt-LT" w:eastAsia="en-US"/>
        </w:rPr>
        <w:t>glibenklamidą</w:t>
      </w:r>
      <w:proofErr w:type="spellEnd"/>
      <w:r w:rsidRPr="00A6463E">
        <w:rPr>
          <w:snapToGrid w:val="0"/>
          <w:sz w:val="22"/>
          <w:szCs w:val="22"/>
          <w:lang w:val="lt-LT" w:eastAsia="en-US"/>
        </w:rPr>
        <w:t xml:space="preserve"> </w:t>
      </w:r>
      <w:proofErr w:type="spellStart"/>
      <w:r w:rsidRPr="00A6463E">
        <w:rPr>
          <w:snapToGrid w:val="0"/>
          <w:sz w:val="22"/>
          <w:szCs w:val="22"/>
          <w:lang w:val="lt-LT" w:eastAsia="en-US"/>
        </w:rPr>
        <w:t>metabolizuoja</w:t>
      </w:r>
      <w:proofErr w:type="spellEnd"/>
      <w:r w:rsidRPr="00A6463E">
        <w:rPr>
          <w:snapToGrid w:val="0"/>
          <w:sz w:val="22"/>
          <w:szCs w:val="22"/>
          <w:lang w:val="lt-LT" w:eastAsia="en-US"/>
        </w:rPr>
        <w:t xml:space="preserve"> visų pirma CYP 2C9, gauti duomenys paremia išvadą, kad </w:t>
      </w:r>
      <w:proofErr w:type="spellStart"/>
      <w:r w:rsidRPr="00A6463E">
        <w:rPr>
          <w:snapToGrid w:val="0"/>
          <w:sz w:val="22"/>
          <w:szCs w:val="22"/>
          <w:lang w:val="lt-LT" w:eastAsia="en-US"/>
        </w:rPr>
        <w:t>linagliptinas</w:t>
      </w:r>
      <w:proofErr w:type="spellEnd"/>
      <w:r w:rsidRPr="00A6463E">
        <w:rPr>
          <w:snapToGrid w:val="0"/>
          <w:sz w:val="22"/>
          <w:szCs w:val="22"/>
          <w:lang w:val="lt-LT" w:eastAsia="en-US"/>
        </w:rPr>
        <w:t xml:space="preserve"> nėra CYP 2C9 inhibitorius. Kliniškai reikšmingos sąveikos su kitais </w:t>
      </w:r>
      <w:proofErr w:type="spellStart"/>
      <w:r w:rsidRPr="00A6463E">
        <w:rPr>
          <w:snapToGrid w:val="0"/>
          <w:sz w:val="22"/>
          <w:szCs w:val="22"/>
          <w:lang w:val="lt-LT" w:eastAsia="en-US"/>
        </w:rPr>
        <w:t>sulfonilurėjos</w:t>
      </w:r>
      <w:proofErr w:type="spellEnd"/>
      <w:r w:rsidRPr="00A6463E">
        <w:rPr>
          <w:snapToGrid w:val="0"/>
          <w:sz w:val="22"/>
          <w:szCs w:val="22"/>
          <w:lang w:val="lt-LT" w:eastAsia="en-US"/>
        </w:rPr>
        <w:t xml:space="preserve"> dariniais (pvz., </w:t>
      </w:r>
      <w:proofErr w:type="spellStart"/>
      <w:r w:rsidRPr="00A6463E">
        <w:rPr>
          <w:snapToGrid w:val="0"/>
          <w:sz w:val="22"/>
          <w:szCs w:val="22"/>
          <w:lang w:val="lt-LT" w:eastAsia="en-US"/>
        </w:rPr>
        <w:t>glipizidu</w:t>
      </w:r>
      <w:proofErr w:type="spellEnd"/>
      <w:r w:rsidRPr="00A6463E">
        <w:rPr>
          <w:snapToGrid w:val="0"/>
          <w:sz w:val="22"/>
          <w:szCs w:val="22"/>
          <w:lang w:val="lt-LT" w:eastAsia="en-US"/>
        </w:rPr>
        <w:t xml:space="preserve">, </w:t>
      </w:r>
      <w:proofErr w:type="spellStart"/>
      <w:r w:rsidRPr="00A6463E">
        <w:rPr>
          <w:snapToGrid w:val="0"/>
          <w:sz w:val="22"/>
          <w:szCs w:val="22"/>
          <w:lang w:val="lt-LT" w:eastAsia="en-US"/>
        </w:rPr>
        <w:t>tolbutamidu</w:t>
      </w:r>
      <w:proofErr w:type="spellEnd"/>
      <w:r w:rsidRPr="00A6463E">
        <w:rPr>
          <w:snapToGrid w:val="0"/>
          <w:sz w:val="22"/>
          <w:szCs w:val="22"/>
          <w:lang w:val="lt-LT" w:eastAsia="en-US"/>
        </w:rPr>
        <w:t xml:space="preserve"> ar </w:t>
      </w:r>
      <w:proofErr w:type="spellStart"/>
      <w:r w:rsidRPr="00A6463E">
        <w:rPr>
          <w:snapToGrid w:val="0"/>
          <w:sz w:val="22"/>
          <w:szCs w:val="22"/>
          <w:lang w:val="lt-LT" w:eastAsia="en-US"/>
        </w:rPr>
        <w:t>glimepiridu</w:t>
      </w:r>
      <w:proofErr w:type="spellEnd"/>
      <w:r w:rsidRPr="00A6463E">
        <w:rPr>
          <w:snapToGrid w:val="0"/>
          <w:sz w:val="22"/>
          <w:szCs w:val="22"/>
          <w:lang w:val="lt-LT" w:eastAsia="en-US"/>
        </w:rPr>
        <w:t xml:space="preserve">), kurių, kaip ir </w:t>
      </w:r>
      <w:proofErr w:type="spellStart"/>
      <w:r w:rsidRPr="00A6463E">
        <w:rPr>
          <w:snapToGrid w:val="0"/>
          <w:sz w:val="22"/>
          <w:szCs w:val="22"/>
          <w:lang w:val="lt-LT" w:eastAsia="en-US"/>
        </w:rPr>
        <w:t>glibenklamido</w:t>
      </w:r>
      <w:proofErr w:type="spellEnd"/>
      <w:r w:rsidRPr="00A6463E">
        <w:rPr>
          <w:snapToGrid w:val="0"/>
          <w:sz w:val="22"/>
          <w:szCs w:val="22"/>
          <w:lang w:val="lt-LT" w:eastAsia="en-US"/>
        </w:rPr>
        <w:t>, eliminacija priklauso daugiausia nuo CYP 2C9, neturėtų pasireikšti.</w:t>
      </w:r>
    </w:p>
    <w:p w14:paraId="04B03A8A" w14:textId="77777777" w:rsidR="003F7CCA" w:rsidRPr="00A6463E" w:rsidRDefault="003F7CCA">
      <w:pPr>
        <w:pStyle w:val="Default"/>
        <w:rPr>
          <w:snapToGrid w:val="0"/>
          <w:sz w:val="22"/>
          <w:szCs w:val="22"/>
          <w:lang w:val="lt-LT" w:eastAsia="en-US"/>
        </w:rPr>
      </w:pPr>
    </w:p>
    <w:p w14:paraId="77C26020" w14:textId="77777777" w:rsidR="003F7CCA" w:rsidRDefault="0080197E">
      <w:pPr>
        <w:pStyle w:val="Default"/>
        <w:rPr>
          <w:rFonts w:eastAsiaTheme="minorHAnsi"/>
          <w:sz w:val="22"/>
          <w:szCs w:val="22"/>
          <w:lang w:val="lt-LT" w:eastAsia="en-US"/>
        </w:rPr>
      </w:pPr>
      <w:proofErr w:type="spellStart"/>
      <w:r>
        <w:rPr>
          <w:rFonts w:eastAsiaTheme="minorHAnsi"/>
          <w:sz w:val="22"/>
          <w:szCs w:val="22"/>
          <w:lang w:val="lt-LT" w:eastAsia="en-US"/>
        </w:rPr>
        <w:t>Digoksinas</w:t>
      </w:r>
      <w:proofErr w:type="spellEnd"/>
    </w:p>
    <w:p w14:paraId="76EE9AF7"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Sveikų tiriamųjų, daugkartines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paros dozes vartojusių kartu su daugkartinėmis 0,25 mg </w:t>
      </w:r>
      <w:proofErr w:type="spellStart"/>
      <w:r>
        <w:rPr>
          <w:rFonts w:eastAsiaTheme="minorHAnsi"/>
          <w:color w:val="000000"/>
          <w:sz w:val="22"/>
          <w:szCs w:val="22"/>
          <w:lang w:eastAsia="en-US"/>
        </w:rPr>
        <w:t>digoksino</w:t>
      </w:r>
      <w:proofErr w:type="spellEnd"/>
      <w:r>
        <w:rPr>
          <w:rFonts w:eastAsiaTheme="minorHAnsi"/>
          <w:color w:val="000000"/>
          <w:sz w:val="22"/>
          <w:szCs w:val="22"/>
          <w:lang w:eastAsia="en-US"/>
        </w:rPr>
        <w:t xml:space="preserve"> dozėmis, organizme poveikio </w:t>
      </w:r>
      <w:proofErr w:type="spellStart"/>
      <w:r>
        <w:rPr>
          <w:rFonts w:eastAsiaTheme="minorHAnsi"/>
          <w:color w:val="000000"/>
          <w:sz w:val="22"/>
          <w:szCs w:val="22"/>
          <w:lang w:eastAsia="en-US"/>
        </w:rPr>
        <w:t>digoksino</w:t>
      </w:r>
      <w:proofErr w:type="spellEnd"/>
      <w:r>
        <w:rPr>
          <w:rFonts w:eastAsiaTheme="minorHAnsi"/>
          <w:color w:val="000000"/>
          <w:sz w:val="22"/>
          <w:szCs w:val="22"/>
          <w:lang w:eastAsia="en-US"/>
        </w:rPr>
        <w:t xml:space="preserve"> farmakokinetikai nepasireiškė. Vadinasi, </w:t>
      </w:r>
      <w:proofErr w:type="spellStart"/>
      <w:r>
        <w:rPr>
          <w:rFonts w:eastAsiaTheme="minorHAnsi"/>
          <w:i/>
          <w:iCs/>
          <w:color w:val="000000"/>
          <w:sz w:val="22"/>
          <w:szCs w:val="22"/>
          <w:lang w:eastAsia="en-US"/>
        </w:rPr>
        <w:t>in</w:t>
      </w:r>
      <w:proofErr w:type="spellEnd"/>
      <w:r>
        <w:rPr>
          <w:rFonts w:eastAsiaTheme="minorHAnsi"/>
          <w:i/>
          <w:iCs/>
          <w:color w:val="000000"/>
          <w:sz w:val="22"/>
          <w:szCs w:val="22"/>
          <w:lang w:eastAsia="en-US"/>
        </w:rPr>
        <w:t xml:space="preserve"> </w:t>
      </w:r>
      <w:proofErr w:type="spellStart"/>
      <w:r>
        <w:rPr>
          <w:rFonts w:eastAsiaTheme="minorHAnsi"/>
          <w:i/>
          <w:iCs/>
          <w:color w:val="000000"/>
          <w:sz w:val="22"/>
          <w:szCs w:val="22"/>
          <w:lang w:eastAsia="en-US"/>
        </w:rPr>
        <w:t>vivo</w:t>
      </w:r>
      <w:proofErr w:type="spellEnd"/>
      <w:r>
        <w:rPr>
          <w:rFonts w:eastAsiaTheme="minorHAnsi"/>
          <w:i/>
          <w:iCs/>
          <w:color w:val="000000"/>
          <w:sz w:val="22"/>
          <w:szCs w:val="22"/>
          <w:lang w:eastAsia="en-US"/>
        </w:rPr>
        <w:t xml:space="preserve"> </w:t>
      </w:r>
      <w:proofErr w:type="spellStart"/>
      <w:r>
        <w:rPr>
          <w:rFonts w:eastAsiaTheme="minorHAnsi"/>
          <w:color w:val="000000"/>
          <w:sz w:val="22"/>
          <w:szCs w:val="22"/>
          <w:lang w:eastAsia="en-US"/>
        </w:rPr>
        <w:t>linagliptinas</w:t>
      </w:r>
      <w:proofErr w:type="spellEnd"/>
      <w:r>
        <w:rPr>
          <w:rFonts w:eastAsiaTheme="minorHAnsi"/>
          <w:color w:val="000000"/>
          <w:sz w:val="22"/>
          <w:szCs w:val="22"/>
          <w:lang w:eastAsia="en-US"/>
        </w:rPr>
        <w:t xml:space="preserve"> pernašos, vykstančios tarpininkaujant P </w:t>
      </w:r>
      <w:proofErr w:type="spellStart"/>
      <w:r>
        <w:rPr>
          <w:rFonts w:eastAsiaTheme="minorHAnsi"/>
          <w:color w:val="000000"/>
          <w:sz w:val="22"/>
          <w:szCs w:val="22"/>
          <w:lang w:eastAsia="en-US"/>
        </w:rPr>
        <w:t>glikoproteinui</w:t>
      </w:r>
      <w:proofErr w:type="spellEnd"/>
      <w:r>
        <w:rPr>
          <w:rFonts w:eastAsiaTheme="minorHAnsi"/>
          <w:color w:val="000000"/>
          <w:sz w:val="22"/>
          <w:szCs w:val="22"/>
          <w:lang w:eastAsia="en-US"/>
        </w:rPr>
        <w:t>, neslopina.</w:t>
      </w:r>
    </w:p>
    <w:p w14:paraId="3ABBF2F0" w14:textId="77777777" w:rsidR="003F7CCA" w:rsidRDefault="003F7CCA">
      <w:pPr>
        <w:autoSpaceDE w:val="0"/>
        <w:autoSpaceDN w:val="0"/>
        <w:adjustRightInd w:val="0"/>
        <w:rPr>
          <w:rFonts w:eastAsiaTheme="minorHAnsi"/>
          <w:color w:val="000000"/>
          <w:sz w:val="22"/>
          <w:szCs w:val="22"/>
          <w:lang w:eastAsia="en-US"/>
        </w:rPr>
      </w:pPr>
    </w:p>
    <w:p w14:paraId="5763A8BE"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Varfarinas</w:t>
      </w:r>
    </w:p>
    <w:p w14:paraId="254D6CC6"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 xml:space="preserve">Daugkartinės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paros dozės vienos CYP 2C9 substrato S(-) ar R(+) varfarino dozės farmakokinetikos nekeitė.</w:t>
      </w:r>
    </w:p>
    <w:p w14:paraId="2652A30D" w14:textId="77777777" w:rsidR="003F7CCA" w:rsidRDefault="003F7CCA">
      <w:pPr>
        <w:autoSpaceDE w:val="0"/>
        <w:autoSpaceDN w:val="0"/>
        <w:adjustRightInd w:val="0"/>
        <w:rPr>
          <w:rFonts w:eastAsiaTheme="minorHAnsi"/>
          <w:color w:val="000000"/>
          <w:sz w:val="22"/>
          <w:szCs w:val="22"/>
          <w:lang w:eastAsia="en-US"/>
        </w:rPr>
      </w:pPr>
    </w:p>
    <w:p w14:paraId="4B45E943"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Simvastatinas</w:t>
      </w:r>
      <w:proofErr w:type="spellEnd"/>
    </w:p>
    <w:p w14:paraId="54128A60"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Sveikų tiriamųjų organizme daugkartinės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paros dozės poveikis jautraus CYP 3A4 substrato </w:t>
      </w:r>
      <w:proofErr w:type="spellStart"/>
      <w:r>
        <w:rPr>
          <w:rFonts w:eastAsiaTheme="minorHAnsi"/>
          <w:color w:val="000000"/>
          <w:sz w:val="22"/>
          <w:szCs w:val="22"/>
          <w:lang w:eastAsia="en-US"/>
        </w:rPr>
        <w:t>simvastatino</w:t>
      </w:r>
      <w:proofErr w:type="spellEnd"/>
      <w:r>
        <w:rPr>
          <w:rFonts w:eastAsiaTheme="minorHAnsi"/>
          <w:color w:val="000000"/>
          <w:sz w:val="22"/>
          <w:szCs w:val="22"/>
          <w:lang w:eastAsia="en-US"/>
        </w:rPr>
        <w:t xml:space="preserve"> farmakokinetikai tuo metu, kai apykaita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xml:space="preserve">, buvo minimalus. 6 paras vartojus didesnę už terapinę, t. y. 10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paros dozę kartu su 40 mg </w:t>
      </w:r>
      <w:proofErr w:type="spellStart"/>
      <w:r>
        <w:rPr>
          <w:rFonts w:eastAsiaTheme="minorHAnsi"/>
          <w:color w:val="000000"/>
          <w:sz w:val="22"/>
          <w:szCs w:val="22"/>
          <w:lang w:eastAsia="en-US"/>
        </w:rPr>
        <w:t>simvastatino</w:t>
      </w:r>
      <w:proofErr w:type="spellEnd"/>
      <w:r>
        <w:rPr>
          <w:rFonts w:eastAsiaTheme="minorHAnsi"/>
          <w:color w:val="000000"/>
          <w:sz w:val="22"/>
          <w:szCs w:val="22"/>
          <w:lang w:eastAsia="en-US"/>
        </w:rPr>
        <w:t xml:space="preserve"> paros doze, </w:t>
      </w:r>
      <w:proofErr w:type="spellStart"/>
      <w:r>
        <w:rPr>
          <w:rFonts w:eastAsiaTheme="minorHAnsi"/>
          <w:color w:val="000000"/>
          <w:sz w:val="22"/>
          <w:szCs w:val="22"/>
          <w:lang w:eastAsia="en-US"/>
        </w:rPr>
        <w:t>simvastatino</w:t>
      </w:r>
      <w:proofErr w:type="spellEnd"/>
      <w:r>
        <w:rPr>
          <w:rFonts w:eastAsiaTheme="minorHAnsi"/>
          <w:color w:val="000000"/>
          <w:sz w:val="22"/>
          <w:szCs w:val="22"/>
          <w:lang w:eastAsia="en-US"/>
        </w:rPr>
        <w:t xml:space="preserve"> AUC kraujo plazmoje padidėjo 34 </w:t>
      </w:r>
      <w:r w:rsidRPr="00A6463E">
        <w:rPr>
          <w:sz w:val="22"/>
          <w:szCs w:val="22"/>
          <w:lang w:eastAsia="en-US"/>
        </w:rPr>
        <w:t>%</w:t>
      </w:r>
      <w:r>
        <w:rPr>
          <w:rFonts w:eastAsiaTheme="minorHAnsi"/>
          <w:color w:val="000000"/>
          <w:sz w:val="22"/>
          <w:szCs w:val="22"/>
          <w:lang w:eastAsia="en-US"/>
        </w:rPr>
        <w:t xml:space="preserve">, o </w:t>
      </w:r>
      <w:proofErr w:type="spellStart"/>
      <w:r>
        <w:rPr>
          <w:rFonts w:eastAsiaTheme="minorHAnsi"/>
          <w:color w:val="000000"/>
          <w:sz w:val="22"/>
          <w:szCs w:val="22"/>
          <w:lang w:eastAsia="en-US"/>
        </w:rPr>
        <w:t>Cmax</w:t>
      </w:r>
      <w:proofErr w:type="spellEnd"/>
      <w:r>
        <w:rPr>
          <w:rFonts w:eastAsiaTheme="minorHAnsi"/>
          <w:color w:val="000000"/>
          <w:sz w:val="14"/>
          <w:szCs w:val="14"/>
          <w:lang w:eastAsia="en-US"/>
        </w:rPr>
        <w:t xml:space="preserve"> </w:t>
      </w:r>
      <w:r>
        <w:rPr>
          <w:rFonts w:eastAsiaTheme="minorHAnsi"/>
          <w:color w:val="000000"/>
          <w:sz w:val="22"/>
          <w:szCs w:val="22"/>
          <w:lang w:eastAsia="en-US"/>
        </w:rPr>
        <w:t>kraujo plazmoje – 10 </w:t>
      </w:r>
      <w:r w:rsidRPr="00A6463E">
        <w:rPr>
          <w:sz w:val="22"/>
          <w:szCs w:val="22"/>
          <w:lang w:eastAsia="en-US"/>
        </w:rPr>
        <w:t>%</w:t>
      </w:r>
      <w:r>
        <w:rPr>
          <w:rFonts w:eastAsiaTheme="minorHAnsi"/>
          <w:color w:val="000000"/>
          <w:sz w:val="22"/>
          <w:szCs w:val="22"/>
          <w:lang w:eastAsia="en-US"/>
        </w:rPr>
        <w:t>.</w:t>
      </w:r>
    </w:p>
    <w:p w14:paraId="66537950" w14:textId="77777777" w:rsidR="003F7CCA" w:rsidRDefault="003F7CCA">
      <w:pPr>
        <w:autoSpaceDE w:val="0"/>
        <w:autoSpaceDN w:val="0"/>
        <w:adjustRightInd w:val="0"/>
        <w:rPr>
          <w:rFonts w:eastAsiaTheme="minorHAnsi"/>
          <w:color w:val="000000"/>
          <w:sz w:val="22"/>
          <w:szCs w:val="22"/>
          <w:lang w:eastAsia="en-US"/>
        </w:rPr>
      </w:pPr>
    </w:p>
    <w:p w14:paraId="2B61D63E"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Geriamieji kontraceptikai</w:t>
      </w:r>
    </w:p>
    <w:p w14:paraId="6364DCBE" w14:textId="77777777" w:rsidR="003F7CCA" w:rsidRDefault="0080197E">
      <w:pPr>
        <w:tabs>
          <w:tab w:val="left" w:pos="567"/>
        </w:tabs>
        <w:rPr>
          <w:rFonts w:eastAsiaTheme="minorHAnsi"/>
          <w:color w:val="000000"/>
          <w:sz w:val="22"/>
          <w:szCs w:val="22"/>
          <w:lang w:eastAsia="en-US"/>
        </w:rPr>
      </w:pPr>
      <w:r>
        <w:rPr>
          <w:rFonts w:eastAsiaTheme="minorHAnsi"/>
          <w:color w:val="000000"/>
          <w:sz w:val="22"/>
          <w:szCs w:val="22"/>
          <w:lang w:eastAsia="en-US"/>
        </w:rPr>
        <w:t xml:space="preserve">Kartu su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doze vartojamų </w:t>
      </w:r>
      <w:proofErr w:type="spellStart"/>
      <w:r>
        <w:rPr>
          <w:rFonts w:eastAsiaTheme="minorHAnsi"/>
          <w:color w:val="000000"/>
          <w:sz w:val="22"/>
          <w:szCs w:val="22"/>
          <w:lang w:eastAsia="en-US"/>
        </w:rPr>
        <w:t>levonorgestrelio</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etinilestradiolio</w:t>
      </w:r>
      <w:proofErr w:type="spellEnd"/>
      <w:r>
        <w:rPr>
          <w:rFonts w:eastAsiaTheme="minorHAnsi"/>
          <w:color w:val="000000"/>
          <w:sz w:val="22"/>
          <w:szCs w:val="22"/>
          <w:lang w:eastAsia="en-US"/>
        </w:rPr>
        <w:t xml:space="preserve"> farmakokinetika tuo metu, kai apykaita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nekito.</w:t>
      </w:r>
    </w:p>
    <w:p w14:paraId="2F754528" w14:textId="77777777" w:rsidR="003F7CCA" w:rsidRDefault="003F7CCA">
      <w:pPr>
        <w:tabs>
          <w:tab w:val="left" w:pos="567"/>
        </w:tabs>
        <w:rPr>
          <w:rFonts w:eastAsiaTheme="minorHAnsi"/>
          <w:color w:val="000000"/>
          <w:sz w:val="22"/>
          <w:szCs w:val="22"/>
          <w:lang w:eastAsia="en-US"/>
        </w:rPr>
      </w:pPr>
    </w:p>
    <w:p w14:paraId="40EAEB18" w14:textId="77777777" w:rsidR="003F7CCA" w:rsidRDefault="0080197E">
      <w:pPr>
        <w:tabs>
          <w:tab w:val="left" w:pos="567"/>
        </w:tabs>
        <w:rPr>
          <w:rFonts w:eastAsiaTheme="minorHAnsi"/>
          <w:color w:val="000000"/>
          <w:sz w:val="22"/>
          <w:szCs w:val="22"/>
          <w:u w:val="single"/>
          <w:lang w:eastAsia="en-US"/>
        </w:rPr>
      </w:pPr>
      <w:r>
        <w:rPr>
          <w:rFonts w:eastAsiaTheme="minorHAnsi"/>
          <w:color w:val="000000"/>
          <w:sz w:val="22"/>
          <w:szCs w:val="22"/>
          <w:u w:val="single"/>
          <w:lang w:eastAsia="en-US"/>
        </w:rPr>
        <w:t>Metforminas</w:t>
      </w:r>
    </w:p>
    <w:p w14:paraId="0F49D036" w14:textId="77777777" w:rsidR="003F7CCA" w:rsidRDefault="0080197E">
      <w:pPr>
        <w:tabs>
          <w:tab w:val="left" w:pos="567"/>
        </w:tabs>
        <w:rPr>
          <w:rFonts w:eastAsiaTheme="minorHAnsi"/>
          <w:i/>
          <w:iCs/>
          <w:color w:val="000000"/>
          <w:sz w:val="22"/>
          <w:szCs w:val="22"/>
          <w:lang w:eastAsia="en-US"/>
        </w:rPr>
      </w:pPr>
      <w:r>
        <w:rPr>
          <w:rFonts w:eastAsiaTheme="minorHAnsi"/>
          <w:i/>
          <w:iCs/>
          <w:color w:val="000000"/>
          <w:sz w:val="22"/>
          <w:szCs w:val="22"/>
          <w:lang w:eastAsia="en-US"/>
        </w:rPr>
        <w:t>Deriniai, kuriais gydyti reikia atsargiai</w:t>
      </w:r>
    </w:p>
    <w:p w14:paraId="1DC56EF4" w14:textId="1F055C46" w:rsidR="003F7CCA" w:rsidRDefault="0080197E">
      <w:pPr>
        <w:tabs>
          <w:tab w:val="left" w:pos="567"/>
        </w:tabs>
        <w:rPr>
          <w:rFonts w:eastAsiaTheme="minorHAnsi"/>
          <w:color w:val="000000"/>
          <w:sz w:val="22"/>
          <w:szCs w:val="22"/>
          <w:lang w:eastAsia="en-US"/>
        </w:rPr>
      </w:pPr>
      <w:proofErr w:type="spellStart"/>
      <w:r>
        <w:rPr>
          <w:rFonts w:eastAsiaTheme="minorHAnsi"/>
          <w:color w:val="000000"/>
          <w:sz w:val="22"/>
          <w:szCs w:val="22"/>
          <w:lang w:eastAsia="en-US"/>
        </w:rPr>
        <w:t>Gliukokortikoidams</w:t>
      </w:r>
      <w:proofErr w:type="spellEnd"/>
      <w:r>
        <w:rPr>
          <w:rFonts w:eastAsiaTheme="minorHAnsi"/>
          <w:color w:val="000000"/>
          <w:sz w:val="22"/>
          <w:szCs w:val="22"/>
          <w:lang w:eastAsia="en-US"/>
        </w:rPr>
        <w:t xml:space="preserve"> (vartojamiems sisteminiu būdu ir vietiškai), beta-2 </w:t>
      </w:r>
      <w:proofErr w:type="spellStart"/>
      <w:r>
        <w:rPr>
          <w:rFonts w:eastAsiaTheme="minorHAnsi"/>
          <w:color w:val="000000"/>
          <w:sz w:val="22"/>
          <w:szCs w:val="22"/>
          <w:lang w:eastAsia="en-US"/>
        </w:rPr>
        <w:t>agonistams</w:t>
      </w:r>
      <w:proofErr w:type="spellEnd"/>
      <w:r>
        <w:rPr>
          <w:rFonts w:eastAsiaTheme="minorHAnsi"/>
          <w:color w:val="000000"/>
          <w:sz w:val="22"/>
          <w:szCs w:val="22"/>
          <w:lang w:eastAsia="en-US"/>
        </w:rPr>
        <w:t xml:space="preserve"> ir diuretikams yra būdingas vidinis hiperglikemiją sukeliantis aktyvumas. Apie tai pacientus reikia informuoti ir dažniau jiems </w:t>
      </w:r>
      <w:r w:rsidR="000D4FA1">
        <w:rPr>
          <w:rFonts w:eastAsiaTheme="minorHAnsi"/>
          <w:color w:val="000000"/>
          <w:sz w:val="22"/>
          <w:szCs w:val="22"/>
          <w:lang w:eastAsia="en-US"/>
        </w:rPr>
        <w:t xml:space="preserve">stebėti </w:t>
      </w:r>
      <w:r>
        <w:rPr>
          <w:rFonts w:eastAsiaTheme="minorHAnsi"/>
          <w:color w:val="000000"/>
          <w:sz w:val="22"/>
          <w:szCs w:val="22"/>
          <w:lang w:eastAsia="en-US"/>
        </w:rPr>
        <w:t xml:space="preserve">gliukozės </w:t>
      </w:r>
      <w:r w:rsidR="000D4FA1">
        <w:rPr>
          <w:rFonts w:eastAsiaTheme="minorHAnsi"/>
          <w:color w:val="000000"/>
          <w:sz w:val="22"/>
          <w:szCs w:val="22"/>
          <w:lang w:eastAsia="en-US"/>
        </w:rPr>
        <w:t xml:space="preserve">koncentraciją </w:t>
      </w:r>
      <w:r>
        <w:rPr>
          <w:rFonts w:eastAsiaTheme="minorHAnsi"/>
          <w:color w:val="000000"/>
          <w:sz w:val="22"/>
          <w:szCs w:val="22"/>
          <w:lang w:eastAsia="en-US"/>
        </w:rPr>
        <w:t xml:space="preserve">kraujyje, ypač gydymo minėtais vaistiniais preparatais pradžioje. Jei būtina, gydymo kitokiais vaistiniais preparatais metu ir po jų vartojimo nutraukimo </w:t>
      </w:r>
      <w:proofErr w:type="spellStart"/>
      <w:r>
        <w:rPr>
          <w:rFonts w:eastAsiaTheme="minorHAnsi"/>
          <w:color w:val="000000"/>
          <w:sz w:val="22"/>
          <w:szCs w:val="22"/>
          <w:lang w:eastAsia="en-US"/>
        </w:rPr>
        <w:t>antihiperglikeminių</w:t>
      </w:r>
      <w:proofErr w:type="spellEnd"/>
      <w:r>
        <w:rPr>
          <w:rFonts w:eastAsiaTheme="minorHAnsi"/>
          <w:color w:val="000000"/>
          <w:sz w:val="22"/>
          <w:szCs w:val="22"/>
          <w:lang w:eastAsia="en-US"/>
        </w:rPr>
        <w:t xml:space="preserve"> vaistinių preparatų dozę reikia keisti.</w:t>
      </w:r>
    </w:p>
    <w:p w14:paraId="3A3E371F" w14:textId="77777777" w:rsidR="003F7CCA" w:rsidRDefault="003F7CCA">
      <w:pPr>
        <w:tabs>
          <w:tab w:val="left" w:pos="567"/>
        </w:tabs>
        <w:rPr>
          <w:rFonts w:eastAsiaTheme="minorHAnsi"/>
          <w:color w:val="000000"/>
          <w:sz w:val="22"/>
          <w:szCs w:val="22"/>
          <w:lang w:eastAsia="en-US"/>
        </w:rPr>
      </w:pPr>
    </w:p>
    <w:p w14:paraId="7FD567BD" w14:textId="77777777" w:rsidR="003F7CCA" w:rsidRDefault="0080197E">
      <w:pPr>
        <w:tabs>
          <w:tab w:val="left" w:pos="567"/>
        </w:tabs>
        <w:rPr>
          <w:snapToGrid w:val="0"/>
          <w:sz w:val="22"/>
          <w:szCs w:val="22"/>
          <w:lang w:eastAsia="en-US"/>
        </w:rPr>
      </w:pPr>
      <w:r>
        <w:rPr>
          <w:rFonts w:eastAsiaTheme="minorHAnsi"/>
          <w:color w:val="000000"/>
          <w:sz w:val="22"/>
          <w:szCs w:val="22"/>
          <w:lang w:eastAsia="en-US"/>
        </w:rPr>
        <w:t xml:space="preserve">Kai kurie vaistiniai preparatai gali neigiamai veikti inkstų funkciją ir gali didinti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pvz., NVNU, įskaitant selektyviuosius </w:t>
      </w:r>
      <w:proofErr w:type="spellStart"/>
      <w:r>
        <w:rPr>
          <w:rFonts w:eastAsiaTheme="minorHAnsi"/>
          <w:color w:val="000000"/>
          <w:sz w:val="22"/>
          <w:szCs w:val="22"/>
          <w:lang w:eastAsia="en-US"/>
        </w:rPr>
        <w:t>ciklooksigenazės</w:t>
      </w:r>
      <w:proofErr w:type="spellEnd"/>
      <w:r>
        <w:rPr>
          <w:rFonts w:eastAsiaTheme="minorHAnsi"/>
          <w:color w:val="000000"/>
          <w:sz w:val="22"/>
          <w:szCs w:val="22"/>
          <w:lang w:eastAsia="en-US"/>
        </w:rPr>
        <w:t xml:space="preserve"> (COX) II inhibitorius, AKF inhibitoriai,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II receptorių blokatoriai ir diuretikai, ypač kilpiniai diuretikai. Pradedant vartoti arba vartojant tokius vaistinius preparatus kartu su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reikia atidžiai stebėti inkstų funkciją.</w:t>
      </w:r>
    </w:p>
    <w:p w14:paraId="38F9C8CE" w14:textId="77777777" w:rsidR="003F7CCA" w:rsidRDefault="003F7CCA">
      <w:pPr>
        <w:widowControl w:val="0"/>
        <w:tabs>
          <w:tab w:val="left" w:pos="567"/>
        </w:tabs>
        <w:ind w:left="567" w:hanging="567"/>
        <w:outlineLvl w:val="2"/>
        <w:rPr>
          <w:iCs/>
          <w:snapToGrid w:val="0"/>
          <w:sz w:val="22"/>
          <w:szCs w:val="22"/>
          <w:lang w:eastAsia="en-US"/>
        </w:rPr>
      </w:pPr>
    </w:p>
    <w:p w14:paraId="61994626" w14:textId="77777777" w:rsidR="003F7CCA" w:rsidRDefault="0080197E">
      <w:pPr>
        <w:widowControl w:val="0"/>
        <w:tabs>
          <w:tab w:val="left" w:pos="567"/>
        </w:tabs>
        <w:ind w:left="567" w:hanging="567"/>
        <w:outlineLvl w:val="2"/>
        <w:rPr>
          <w:iCs/>
          <w:snapToGrid w:val="0"/>
          <w:sz w:val="22"/>
          <w:szCs w:val="22"/>
          <w:u w:val="single"/>
          <w:lang w:eastAsia="en-US"/>
        </w:rPr>
      </w:pPr>
      <w:r>
        <w:rPr>
          <w:iCs/>
          <w:snapToGrid w:val="0"/>
          <w:sz w:val="22"/>
          <w:szCs w:val="22"/>
          <w:u w:val="single"/>
          <w:lang w:eastAsia="en-US"/>
        </w:rPr>
        <w:t>Organinių katijonų nešikliai (OKN)</w:t>
      </w:r>
    </w:p>
    <w:p w14:paraId="50250C4D" w14:textId="77777777" w:rsidR="003F7CCA" w:rsidRDefault="0080197E">
      <w:pPr>
        <w:widowControl w:val="0"/>
        <w:tabs>
          <w:tab w:val="left" w:pos="567"/>
        </w:tabs>
        <w:ind w:left="567" w:hanging="567"/>
        <w:outlineLvl w:val="2"/>
        <w:rPr>
          <w:iCs/>
          <w:snapToGrid w:val="0"/>
          <w:sz w:val="22"/>
          <w:szCs w:val="22"/>
          <w:lang w:eastAsia="en-US"/>
        </w:rPr>
      </w:pPr>
      <w:r>
        <w:rPr>
          <w:iCs/>
          <w:snapToGrid w:val="0"/>
          <w:sz w:val="22"/>
          <w:szCs w:val="22"/>
          <w:lang w:eastAsia="en-US"/>
        </w:rPr>
        <w:t xml:space="preserve">Metforminas yra abiejų nešiklių – OKN1 ir OKN2 – substratas. </w:t>
      </w:r>
      <w:proofErr w:type="spellStart"/>
      <w:r>
        <w:rPr>
          <w:iCs/>
          <w:snapToGrid w:val="0"/>
          <w:sz w:val="22"/>
          <w:szCs w:val="22"/>
          <w:lang w:eastAsia="en-US"/>
        </w:rPr>
        <w:t>Metformino</w:t>
      </w:r>
      <w:proofErr w:type="spellEnd"/>
      <w:r>
        <w:rPr>
          <w:iCs/>
          <w:snapToGrid w:val="0"/>
          <w:sz w:val="22"/>
          <w:szCs w:val="22"/>
          <w:lang w:eastAsia="en-US"/>
        </w:rPr>
        <w:t xml:space="preserve"> skiriant kartu su</w:t>
      </w:r>
    </w:p>
    <w:p w14:paraId="3855C069" w14:textId="77777777" w:rsidR="003F7CCA" w:rsidRPr="00A6463E" w:rsidRDefault="0080197E">
      <w:pPr>
        <w:numPr>
          <w:ilvl w:val="0"/>
          <w:numId w:val="15"/>
        </w:numPr>
        <w:spacing w:after="15" w:line="248" w:lineRule="auto"/>
        <w:ind w:right="11" w:hanging="566"/>
        <w:rPr>
          <w:sz w:val="22"/>
          <w:szCs w:val="22"/>
          <w:lang w:eastAsia="sl-SI"/>
        </w:rPr>
      </w:pPr>
      <w:r>
        <w:rPr>
          <w:iCs/>
          <w:snapToGrid w:val="0"/>
          <w:sz w:val="22"/>
          <w:szCs w:val="22"/>
          <w:lang w:eastAsia="en-US"/>
        </w:rPr>
        <w:t xml:space="preserve">OKN1 inhibitoriais (pvz., </w:t>
      </w:r>
      <w:proofErr w:type="spellStart"/>
      <w:r>
        <w:rPr>
          <w:iCs/>
          <w:snapToGrid w:val="0"/>
          <w:sz w:val="22"/>
          <w:szCs w:val="22"/>
          <w:lang w:eastAsia="en-US"/>
        </w:rPr>
        <w:t>verapamiliu</w:t>
      </w:r>
      <w:proofErr w:type="spellEnd"/>
      <w:r>
        <w:rPr>
          <w:iCs/>
          <w:snapToGrid w:val="0"/>
          <w:sz w:val="22"/>
          <w:szCs w:val="22"/>
          <w:lang w:eastAsia="en-US"/>
        </w:rPr>
        <w:t xml:space="preserve">), gali sumažėti </w:t>
      </w:r>
      <w:proofErr w:type="spellStart"/>
      <w:r>
        <w:rPr>
          <w:iCs/>
          <w:snapToGrid w:val="0"/>
          <w:sz w:val="22"/>
          <w:szCs w:val="22"/>
          <w:lang w:eastAsia="en-US"/>
        </w:rPr>
        <w:t>metformino</w:t>
      </w:r>
      <w:proofErr w:type="spellEnd"/>
      <w:r>
        <w:rPr>
          <w:iCs/>
          <w:snapToGrid w:val="0"/>
          <w:sz w:val="22"/>
          <w:szCs w:val="22"/>
          <w:lang w:eastAsia="en-US"/>
        </w:rPr>
        <w:t xml:space="preserve"> veiksmingumas;</w:t>
      </w:r>
    </w:p>
    <w:p w14:paraId="4CC35F33" w14:textId="77777777" w:rsidR="003F7CCA" w:rsidRPr="00A6463E" w:rsidRDefault="0080197E">
      <w:pPr>
        <w:numPr>
          <w:ilvl w:val="0"/>
          <w:numId w:val="15"/>
        </w:numPr>
        <w:spacing w:after="15" w:line="248" w:lineRule="auto"/>
        <w:ind w:right="11" w:hanging="566"/>
        <w:rPr>
          <w:sz w:val="22"/>
          <w:szCs w:val="22"/>
          <w:lang w:eastAsia="sl-SI"/>
        </w:rPr>
      </w:pPr>
      <w:r>
        <w:rPr>
          <w:iCs/>
          <w:snapToGrid w:val="0"/>
          <w:sz w:val="22"/>
          <w:szCs w:val="22"/>
          <w:lang w:eastAsia="en-US"/>
        </w:rPr>
        <w:t xml:space="preserve">OKN1 </w:t>
      </w:r>
      <w:proofErr w:type="spellStart"/>
      <w:r>
        <w:rPr>
          <w:iCs/>
          <w:snapToGrid w:val="0"/>
          <w:sz w:val="22"/>
          <w:szCs w:val="22"/>
          <w:lang w:eastAsia="en-US"/>
        </w:rPr>
        <w:t>induktoriais</w:t>
      </w:r>
      <w:proofErr w:type="spellEnd"/>
      <w:r>
        <w:rPr>
          <w:iCs/>
          <w:snapToGrid w:val="0"/>
          <w:sz w:val="22"/>
          <w:szCs w:val="22"/>
          <w:lang w:eastAsia="en-US"/>
        </w:rPr>
        <w:t xml:space="preserve"> (pvz., </w:t>
      </w:r>
      <w:proofErr w:type="spellStart"/>
      <w:r>
        <w:rPr>
          <w:iCs/>
          <w:snapToGrid w:val="0"/>
          <w:sz w:val="22"/>
          <w:szCs w:val="22"/>
          <w:lang w:eastAsia="en-US"/>
        </w:rPr>
        <w:t>rifampicinu</w:t>
      </w:r>
      <w:proofErr w:type="spellEnd"/>
      <w:r>
        <w:rPr>
          <w:iCs/>
          <w:snapToGrid w:val="0"/>
          <w:sz w:val="22"/>
          <w:szCs w:val="22"/>
          <w:lang w:eastAsia="en-US"/>
        </w:rPr>
        <w:t xml:space="preserve">), gali sustiprėti </w:t>
      </w:r>
      <w:proofErr w:type="spellStart"/>
      <w:r>
        <w:rPr>
          <w:iCs/>
          <w:snapToGrid w:val="0"/>
          <w:sz w:val="22"/>
          <w:szCs w:val="22"/>
          <w:lang w:eastAsia="en-US"/>
        </w:rPr>
        <w:t>metformino</w:t>
      </w:r>
      <w:proofErr w:type="spellEnd"/>
      <w:r>
        <w:rPr>
          <w:iCs/>
          <w:snapToGrid w:val="0"/>
          <w:sz w:val="22"/>
          <w:szCs w:val="22"/>
          <w:lang w:eastAsia="en-US"/>
        </w:rPr>
        <w:t xml:space="preserve"> absorbcija virškinimo trakte ir padidėti veiksmingumas;</w:t>
      </w:r>
    </w:p>
    <w:p w14:paraId="7E28064F" w14:textId="77777777" w:rsidR="003F7CCA" w:rsidRPr="00A6463E" w:rsidRDefault="0080197E">
      <w:pPr>
        <w:numPr>
          <w:ilvl w:val="0"/>
          <w:numId w:val="15"/>
        </w:numPr>
        <w:spacing w:after="15" w:line="248" w:lineRule="auto"/>
        <w:ind w:right="11" w:hanging="566"/>
        <w:rPr>
          <w:sz w:val="22"/>
          <w:szCs w:val="22"/>
          <w:lang w:eastAsia="sl-SI"/>
        </w:rPr>
      </w:pPr>
      <w:r>
        <w:rPr>
          <w:iCs/>
          <w:snapToGrid w:val="0"/>
          <w:sz w:val="22"/>
          <w:szCs w:val="22"/>
          <w:lang w:eastAsia="en-US"/>
        </w:rPr>
        <w:t xml:space="preserve">OKN2 inhibitoriais (pvz., </w:t>
      </w:r>
      <w:proofErr w:type="spellStart"/>
      <w:r>
        <w:rPr>
          <w:iCs/>
          <w:snapToGrid w:val="0"/>
          <w:sz w:val="22"/>
          <w:szCs w:val="22"/>
          <w:lang w:eastAsia="en-US"/>
        </w:rPr>
        <w:t>cimetidinu</w:t>
      </w:r>
      <w:proofErr w:type="spellEnd"/>
      <w:r>
        <w:rPr>
          <w:iCs/>
          <w:snapToGrid w:val="0"/>
          <w:sz w:val="22"/>
          <w:szCs w:val="22"/>
          <w:lang w:eastAsia="en-US"/>
        </w:rPr>
        <w:t xml:space="preserve">, </w:t>
      </w:r>
      <w:proofErr w:type="spellStart"/>
      <w:r>
        <w:rPr>
          <w:iCs/>
          <w:snapToGrid w:val="0"/>
          <w:sz w:val="22"/>
          <w:szCs w:val="22"/>
          <w:lang w:eastAsia="en-US"/>
        </w:rPr>
        <w:t>dolutegraviru</w:t>
      </w:r>
      <w:proofErr w:type="spellEnd"/>
      <w:r>
        <w:rPr>
          <w:iCs/>
          <w:snapToGrid w:val="0"/>
          <w:sz w:val="22"/>
          <w:szCs w:val="22"/>
          <w:lang w:eastAsia="en-US"/>
        </w:rPr>
        <w:t xml:space="preserve">, </w:t>
      </w:r>
      <w:proofErr w:type="spellStart"/>
      <w:r>
        <w:rPr>
          <w:iCs/>
          <w:snapToGrid w:val="0"/>
          <w:sz w:val="22"/>
          <w:szCs w:val="22"/>
          <w:lang w:eastAsia="en-US"/>
        </w:rPr>
        <w:t>ranolazinu</w:t>
      </w:r>
      <w:proofErr w:type="spellEnd"/>
      <w:r>
        <w:rPr>
          <w:iCs/>
          <w:snapToGrid w:val="0"/>
          <w:sz w:val="22"/>
          <w:szCs w:val="22"/>
          <w:lang w:eastAsia="en-US"/>
        </w:rPr>
        <w:t xml:space="preserve">, </w:t>
      </w:r>
      <w:proofErr w:type="spellStart"/>
      <w:r>
        <w:rPr>
          <w:iCs/>
          <w:snapToGrid w:val="0"/>
          <w:sz w:val="22"/>
          <w:szCs w:val="22"/>
          <w:lang w:eastAsia="en-US"/>
        </w:rPr>
        <w:t>trimetoprimu</w:t>
      </w:r>
      <w:proofErr w:type="spellEnd"/>
      <w:r>
        <w:rPr>
          <w:iCs/>
          <w:snapToGrid w:val="0"/>
          <w:sz w:val="22"/>
          <w:szCs w:val="22"/>
          <w:lang w:eastAsia="en-US"/>
        </w:rPr>
        <w:t xml:space="preserve">, </w:t>
      </w:r>
      <w:proofErr w:type="spellStart"/>
      <w:r>
        <w:rPr>
          <w:iCs/>
          <w:snapToGrid w:val="0"/>
          <w:sz w:val="22"/>
          <w:szCs w:val="22"/>
          <w:lang w:eastAsia="en-US"/>
        </w:rPr>
        <w:t>vandetanibu</w:t>
      </w:r>
      <w:proofErr w:type="spellEnd"/>
      <w:r>
        <w:rPr>
          <w:iCs/>
          <w:snapToGrid w:val="0"/>
          <w:sz w:val="22"/>
          <w:szCs w:val="22"/>
          <w:lang w:eastAsia="en-US"/>
        </w:rPr>
        <w:t xml:space="preserve">, </w:t>
      </w:r>
      <w:proofErr w:type="spellStart"/>
      <w:r>
        <w:rPr>
          <w:iCs/>
          <w:snapToGrid w:val="0"/>
          <w:sz w:val="22"/>
          <w:szCs w:val="22"/>
          <w:lang w:eastAsia="en-US"/>
        </w:rPr>
        <w:t>izavukonazolu</w:t>
      </w:r>
      <w:proofErr w:type="spellEnd"/>
      <w:r>
        <w:rPr>
          <w:iCs/>
          <w:snapToGrid w:val="0"/>
          <w:sz w:val="22"/>
          <w:szCs w:val="22"/>
          <w:lang w:eastAsia="en-US"/>
        </w:rPr>
        <w:t xml:space="preserve">), gali susilpnėti </w:t>
      </w:r>
      <w:proofErr w:type="spellStart"/>
      <w:r>
        <w:rPr>
          <w:iCs/>
          <w:snapToGrid w:val="0"/>
          <w:sz w:val="22"/>
          <w:szCs w:val="22"/>
          <w:lang w:eastAsia="en-US"/>
        </w:rPr>
        <w:t>metformino</w:t>
      </w:r>
      <w:proofErr w:type="spellEnd"/>
      <w:r>
        <w:rPr>
          <w:iCs/>
          <w:snapToGrid w:val="0"/>
          <w:sz w:val="22"/>
          <w:szCs w:val="22"/>
          <w:lang w:eastAsia="en-US"/>
        </w:rPr>
        <w:t xml:space="preserve"> eliminacija per inkstus ir dėl to padidėti </w:t>
      </w:r>
      <w:proofErr w:type="spellStart"/>
      <w:r>
        <w:rPr>
          <w:iCs/>
          <w:snapToGrid w:val="0"/>
          <w:sz w:val="22"/>
          <w:szCs w:val="22"/>
          <w:lang w:eastAsia="en-US"/>
        </w:rPr>
        <w:t>metformino</w:t>
      </w:r>
      <w:proofErr w:type="spellEnd"/>
      <w:r>
        <w:rPr>
          <w:iCs/>
          <w:snapToGrid w:val="0"/>
          <w:sz w:val="22"/>
          <w:szCs w:val="22"/>
          <w:lang w:eastAsia="en-US"/>
        </w:rPr>
        <w:t xml:space="preserve"> koncentracija kraujo plazmoje;</w:t>
      </w:r>
    </w:p>
    <w:p w14:paraId="6086FC48" w14:textId="77777777" w:rsidR="003F7CCA" w:rsidRPr="00A6463E" w:rsidRDefault="0080197E">
      <w:pPr>
        <w:numPr>
          <w:ilvl w:val="0"/>
          <w:numId w:val="15"/>
        </w:numPr>
        <w:spacing w:after="15" w:line="248" w:lineRule="auto"/>
        <w:ind w:right="11" w:hanging="566"/>
        <w:rPr>
          <w:sz w:val="22"/>
          <w:szCs w:val="22"/>
          <w:lang w:eastAsia="sl-SI"/>
        </w:rPr>
      </w:pPr>
      <w:r>
        <w:rPr>
          <w:iCs/>
          <w:snapToGrid w:val="0"/>
          <w:sz w:val="22"/>
          <w:szCs w:val="22"/>
          <w:lang w:eastAsia="en-US"/>
        </w:rPr>
        <w:t xml:space="preserve">abiejų nešiklių – OKN1 ir OKN2 – inhibitoriais (pvz., </w:t>
      </w:r>
      <w:proofErr w:type="spellStart"/>
      <w:r>
        <w:rPr>
          <w:iCs/>
          <w:snapToGrid w:val="0"/>
          <w:sz w:val="22"/>
          <w:szCs w:val="22"/>
          <w:lang w:eastAsia="en-US"/>
        </w:rPr>
        <w:t>krizotinibu</w:t>
      </w:r>
      <w:proofErr w:type="spellEnd"/>
      <w:r>
        <w:rPr>
          <w:iCs/>
          <w:snapToGrid w:val="0"/>
          <w:sz w:val="22"/>
          <w:szCs w:val="22"/>
          <w:lang w:eastAsia="en-US"/>
        </w:rPr>
        <w:t xml:space="preserve">, </w:t>
      </w:r>
      <w:proofErr w:type="spellStart"/>
      <w:r>
        <w:rPr>
          <w:iCs/>
          <w:snapToGrid w:val="0"/>
          <w:sz w:val="22"/>
          <w:szCs w:val="22"/>
          <w:lang w:eastAsia="en-US"/>
        </w:rPr>
        <w:t>olaparibu</w:t>
      </w:r>
      <w:proofErr w:type="spellEnd"/>
      <w:r>
        <w:rPr>
          <w:iCs/>
          <w:snapToGrid w:val="0"/>
          <w:sz w:val="22"/>
          <w:szCs w:val="22"/>
          <w:lang w:eastAsia="en-US"/>
        </w:rPr>
        <w:t xml:space="preserve">), gali pasikeisti </w:t>
      </w:r>
      <w:proofErr w:type="spellStart"/>
      <w:r>
        <w:rPr>
          <w:iCs/>
          <w:snapToGrid w:val="0"/>
          <w:sz w:val="22"/>
          <w:szCs w:val="22"/>
          <w:lang w:eastAsia="en-US"/>
        </w:rPr>
        <w:t>metformino</w:t>
      </w:r>
      <w:proofErr w:type="spellEnd"/>
      <w:r>
        <w:rPr>
          <w:iCs/>
          <w:snapToGrid w:val="0"/>
          <w:sz w:val="22"/>
          <w:szCs w:val="22"/>
          <w:lang w:eastAsia="en-US"/>
        </w:rPr>
        <w:t xml:space="preserve"> veiksmingumas ir eliminacija per inkstus.</w:t>
      </w:r>
    </w:p>
    <w:p w14:paraId="35895277" w14:textId="77777777" w:rsidR="003F7CCA" w:rsidRPr="00A6463E" w:rsidRDefault="003F7CCA">
      <w:pPr>
        <w:spacing w:after="15" w:line="248" w:lineRule="auto"/>
        <w:ind w:right="11"/>
        <w:rPr>
          <w:sz w:val="22"/>
          <w:szCs w:val="22"/>
          <w:lang w:eastAsia="sl-SI"/>
        </w:rPr>
      </w:pPr>
    </w:p>
    <w:p w14:paraId="702D5FD1" w14:textId="77777777" w:rsidR="003F7CCA" w:rsidRPr="00A6463E" w:rsidRDefault="0080197E">
      <w:pPr>
        <w:pStyle w:val="Default"/>
        <w:rPr>
          <w:sz w:val="22"/>
          <w:szCs w:val="22"/>
          <w:lang w:val="lt-LT"/>
        </w:rPr>
      </w:pPr>
      <w:r w:rsidRPr="00A6463E">
        <w:rPr>
          <w:sz w:val="22"/>
          <w:szCs w:val="22"/>
          <w:lang w:val="lt-LT"/>
        </w:rPr>
        <w:t xml:space="preserve">Taigi šių vaistinių preparatų skiriant kartu su </w:t>
      </w:r>
      <w:proofErr w:type="spellStart"/>
      <w:r w:rsidRPr="00A6463E">
        <w:rPr>
          <w:sz w:val="22"/>
          <w:szCs w:val="22"/>
          <w:lang w:val="lt-LT"/>
        </w:rPr>
        <w:t>metforminu</w:t>
      </w:r>
      <w:proofErr w:type="spellEnd"/>
      <w:r w:rsidRPr="00A6463E">
        <w:rPr>
          <w:sz w:val="22"/>
          <w:szCs w:val="22"/>
          <w:lang w:val="lt-LT"/>
        </w:rPr>
        <w:t xml:space="preserve">, patariama būti atsargiems, nes gali padidėti </w:t>
      </w:r>
      <w:proofErr w:type="spellStart"/>
      <w:r w:rsidRPr="00A6463E">
        <w:rPr>
          <w:sz w:val="22"/>
          <w:szCs w:val="22"/>
          <w:lang w:val="lt-LT"/>
        </w:rPr>
        <w:t>metformino</w:t>
      </w:r>
      <w:proofErr w:type="spellEnd"/>
      <w:r w:rsidRPr="00A6463E">
        <w:rPr>
          <w:sz w:val="22"/>
          <w:szCs w:val="22"/>
          <w:lang w:val="lt-LT"/>
        </w:rPr>
        <w:t xml:space="preserve"> koncentracija kraujo plazmoje, ypač pacientams, kurių sutrikusi inkstų funkcija. Jei reikia, galima apsvarstyti </w:t>
      </w:r>
      <w:proofErr w:type="spellStart"/>
      <w:r w:rsidRPr="00A6463E">
        <w:rPr>
          <w:sz w:val="22"/>
          <w:szCs w:val="22"/>
          <w:lang w:val="lt-LT"/>
        </w:rPr>
        <w:t>metformino</w:t>
      </w:r>
      <w:proofErr w:type="spellEnd"/>
      <w:r w:rsidRPr="00A6463E">
        <w:rPr>
          <w:sz w:val="22"/>
          <w:szCs w:val="22"/>
          <w:lang w:val="lt-LT"/>
        </w:rPr>
        <w:t xml:space="preserve"> dozės koregavimą, nes OKN inhibitoriai ir (arba) </w:t>
      </w:r>
      <w:proofErr w:type="spellStart"/>
      <w:r w:rsidRPr="00A6463E">
        <w:rPr>
          <w:sz w:val="22"/>
          <w:szCs w:val="22"/>
          <w:lang w:val="lt-LT"/>
        </w:rPr>
        <w:t>induktoriai</w:t>
      </w:r>
      <w:proofErr w:type="spellEnd"/>
      <w:r w:rsidRPr="00A6463E">
        <w:rPr>
          <w:sz w:val="22"/>
          <w:szCs w:val="22"/>
          <w:lang w:val="lt-LT"/>
        </w:rPr>
        <w:t xml:space="preserve"> gali pakeisti </w:t>
      </w:r>
      <w:proofErr w:type="spellStart"/>
      <w:r w:rsidRPr="00A6463E">
        <w:rPr>
          <w:sz w:val="22"/>
          <w:szCs w:val="22"/>
          <w:lang w:val="lt-LT"/>
        </w:rPr>
        <w:t>metformino</w:t>
      </w:r>
      <w:proofErr w:type="spellEnd"/>
      <w:r w:rsidRPr="00A6463E">
        <w:rPr>
          <w:sz w:val="22"/>
          <w:szCs w:val="22"/>
          <w:lang w:val="lt-LT"/>
        </w:rPr>
        <w:t xml:space="preserve"> veiksmingumą.</w:t>
      </w:r>
    </w:p>
    <w:p w14:paraId="17C1C4CC" w14:textId="77777777" w:rsidR="003F7CCA" w:rsidRPr="00A6463E" w:rsidRDefault="003F7CCA">
      <w:pPr>
        <w:pStyle w:val="Default"/>
        <w:rPr>
          <w:sz w:val="22"/>
          <w:szCs w:val="22"/>
          <w:lang w:val="lt-LT"/>
        </w:rPr>
      </w:pPr>
    </w:p>
    <w:p w14:paraId="7FA780ED" w14:textId="77777777" w:rsidR="003F7CCA" w:rsidRDefault="0080197E">
      <w:pPr>
        <w:pStyle w:val="Default"/>
        <w:rPr>
          <w:rFonts w:eastAsiaTheme="minorHAnsi"/>
          <w:sz w:val="22"/>
          <w:szCs w:val="22"/>
          <w:lang w:val="lt-LT" w:eastAsia="en-US"/>
        </w:rPr>
      </w:pPr>
      <w:r>
        <w:rPr>
          <w:rFonts w:eastAsiaTheme="minorHAnsi"/>
          <w:i/>
          <w:iCs/>
          <w:sz w:val="22"/>
          <w:szCs w:val="22"/>
          <w:lang w:val="lt-LT" w:eastAsia="en-US"/>
        </w:rPr>
        <w:t>Kartu vartoti nerekomenduojama</w:t>
      </w:r>
    </w:p>
    <w:p w14:paraId="5809F47D" w14:textId="77777777" w:rsidR="003F7CCA" w:rsidRDefault="003F7CCA">
      <w:pPr>
        <w:autoSpaceDE w:val="0"/>
        <w:autoSpaceDN w:val="0"/>
        <w:adjustRightInd w:val="0"/>
        <w:rPr>
          <w:rFonts w:eastAsiaTheme="minorHAnsi"/>
          <w:i/>
          <w:iCs/>
          <w:color w:val="000000"/>
          <w:sz w:val="22"/>
          <w:szCs w:val="22"/>
          <w:u w:val="single"/>
          <w:lang w:eastAsia="en-US"/>
        </w:rPr>
      </w:pPr>
    </w:p>
    <w:p w14:paraId="10F54AEF" w14:textId="77777777" w:rsidR="003F7CCA" w:rsidRDefault="0080197E">
      <w:pPr>
        <w:autoSpaceDE w:val="0"/>
        <w:autoSpaceDN w:val="0"/>
        <w:adjustRightInd w:val="0"/>
        <w:rPr>
          <w:rFonts w:eastAsiaTheme="minorHAnsi"/>
          <w:color w:val="000000"/>
          <w:sz w:val="22"/>
          <w:szCs w:val="22"/>
          <w:u w:val="single"/>
          <w:lang w:eastAsia="en-US"/>
        </w:rPr>
      </w:pPr>
      <w:r>
        <w:rPr>
          <w:rFonts w:eastAsiaTheme="minorHAnsi"/>
          <w:i/>
          <w:iCs/>
          <w:color w:val="000000"/>
          <w:sz w:val="22"/>
          <w:szCs w:val="22"/>
          <w:u w:val="single"/>
          <w:lang w:eastAsia="en-US"/>
        </w:rPr>
        <w:t>Alkoholis</w:t>
      </w:r>
    </w:p>
    <w:p w14:paraId="2D487F67" w14:textId="77777777" w:rsidR="003F7CCA" w:rsidRPr="00A6463E" w:rsidRDefault="0080197E">
      <w:pPr>
        <w:pStyle w:val="Default"/>
        <w:rPr>
          <w:rFonts w:eastAsiaTheme="minorHAnsi"/>
          <w:i/>
          <w:iCs/>
          <w:sz w:val="22"/>
          <w:szCs w:val="22"/>
          <w:lang w:val="lt-LT" w:eastAsia="en-US"/>
        </w:rPr>
      </w:pPr>
      <w:r w:rsidRPr="00A6463E">
        <w:rPr>
          <w:rFonts w:eastAsiaTheme="minorHAnsi"/>
          <w:sz w:val="22"/>
          <w:szCs w:val="22"/>
          <w:lang w:val="lt-LT" w:eastAsia="en-US"/>
        </w:rPr>
        <w:t xml:space="preserve">Intoksikacija alkoholiu yra susijusi su padidėjusia pieno rūgšties </w:t>
      </w:r>
      <w:proofErr w:type="spellStart"/>
      <w:r w:rsidRPr="00A6463E">
        <w:rPr>
          <w:rFonts w:eastAsiaTheme="minorHAnsi"/>
          <w:sz w:val="22"/>
          <w:szCs w:val="22"/>
          <w:lang w:val="lt-LT" w:eastAsia="en-US"/>
        </w:rPr>
        <w:t>acidozės</w:t>
      </w:r>
      <w:proofErr w:type="spellEnd"/>
      <w:r w:rsidRPr="00A6463E">
        <w:rPr>
          <w:rFonts w:eastAsiaTheme="minorHAnsi"/>
          <w:sz w:val="22"/>
          <w:szCs w:val="22"/>
          <w:lang w:val="lt-LT" w:eastAsia="en-US"/>
        </w:rPr>
        <w:t xml:space="preserve"> rizika, ypač badavimo, prastos mitybos ar kepenų funkcijos sutrikimo atvejais.</w:t>
      </w:r>
    </w:p>
    <w:p w14:paraId="514C5E52" w14:textId="77777777" w:rsidR="003F7CCA" w:rsidRPr="00A6463E" w:rsidRDefault="003F7CCA">
      <w:pPr>
        <w:pStyle w:val="Default"/>
        <w:rPr>
          <w:rFonts w:eastAsiaTheme="minorHAnsi"/>
          <w:i/>
          <w:iCs/>
          <w:sz w:val="22"/>
          <w:szCs w:val="22"/>
          <w:lang w:val="lt-LT" w:eastAsia="en-US"/>
        </w:rPr>
      </w:pPr>
    </w:p>
    <w:p w14:paraId="79CB49B3" w14:textId="77777777" w:rsidR="003F7CCA" w:rsidRDefault="0080197E">
      <w:pPr>
        <w:pStyle w:val="Default"/>
        <w:rPr>
          <w:rFonts w:eastAsiaTheme="minorHAnsi"/>
          <w:sz w:val="22"/>
          <w:szCs w:val="22"/>
          <w:u w:val="single"/>
          <w:lang w:val="lt-LT" w:eastAsia="en-US"/>
        </w:rPr>
      </w:pPr>
      <w:r>
        <w:rPr>
          <w:rFonts w:eastAsiaTheme="minorHAnsi"/>
          <w:i/>
          <w:iCs/>
          <w:sz w:val="22"/>
          <w:szCs w:val="22"/>
          <w:u w:val="single"/>
          <w:lang w:val="lt-LT" w:eastAsia="en-US"/>
        </w:rPr>
        <w:t>Jodo turinčios kontrastinės medžiagos</w:t>
      </w:r>
    </w:p>
    <w:p w14:paraId="06D75709" w14:textId="2BB1A3DD" w:rsidR="003F7CCA" w:rsidRDefault="0080197E">
      <w:pPr>
        <w:spacing w:after="15" w:line="248" w:lineRule="auto"/>
        <w:ind w:right="11"/>
        <w:rPr>
          <w:rFonts w:eastAsiaTheme="minorHAnsi"/>
          <w:color w:val="000000"/>
          <w:sz w:val="22"/>
          <w:szCs w:val="22"/>
          <w:lang w:eastAsia="en-US"/>
        </w:rPr>
      </w:pPr>
      <w:r>
        <w:rPr>
          <w:rFonts w:eastAsiaTheme="minorHAnsi"/>
          <w:color w:val="000000"/>
          <w:sz w:val="22"/>
          <w:szCs w:val="22"/>
          <w:lang w:eastAsia="en-US"/>
        </w:rPr>
        <w:t xml:space="preserve">Prieš </w:t>
      </w:r>
      <w:r w:rsidR="000754B7">
        <w:rPr>
          <w:rFonts w:eastAsiaTheme="minorHAnsi"/>
          <w:color w:val="000000"/>
          <w:sz w:val="22"/>
          <w:szCs w:val="22"/>
          <w:lang w:eastAsia="en-US"/>
        </w:rPr>
        <w:t xml:space="preserve">radiologinio tyrimo </w:t>
      </w:r>
      <w:r>
        <w:rPr>
          <w:rFonts w:eastAsiaTheme="minorHAnsi"/>
          <w:color w:val="000000"/>
          <w:sz w:val="22"/>
          <w:szCs w:val="22"/>
          <w:lang w:eastAsia="en-US"/>
        </w:rPr>
        <w:t xml:space="preserve">procedūrą arba jos metu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vartojimą reikia nutraukti. Vėl </w:t>
      </w:r>
      <w:r w:rsidR="000754B7">
        <w:rPr>
          <w:rFonts w:eastAsiaTheme="minorHAnsi"/>
          <w:color w:val="000000"/>
          <w:sz w:val="22"/>
          <w:szCs w:val="22"/>
          <w:lang w:eastAsia="en-US"/>
        </w:rPr>
        <w:t xml:space="preserve">pradėti </w:t>
      </w:r>
      <w:r>
        <w:rPr>
          <w:rFonts w:eastAsiaTheme="minorHAnsi"/>
          <w:color w:val="000000"/>
          <w:sz w:val="22"/>
          <w:szCs w:val="22"/>
          <w:lang w:eastAsia="en-US"/>
        </w:rPr>
        <w:t>vartoti galima tik praėjus ne mažiau kaip 48 valandoms po procedūros ir tik jei buvo atlikti tyrimai, kurie parodė stabilią inkstų funkciją (žr. 4.2 ir 4.4 skyrius).</w:t>
      </w:r>
    </w:p>
    <w:p w14:paraId="0E32A341" w14:textId="77777777" w:rsidR="003F7CCA" w:rsidRDefault="003F7CCA">
      <w:pPr>
        <w:widowControl w:val="0"/>
        <w:tabs>
          <w:tab w:val="left" w:pos="567"/>
        </w:tabs>
        <w:ind w:left="567" w:hanging="567"/>
        <w:outlineLvl w:val="2"/>
        <w:rPr>
          <w:iCs/>
          <w:snapToGrid w:val="0"/>
          <w:sz w:val="22"/>
          <w:szCs w:val="22"/>
          <w:lang w:eastAsia="en-US"/>
        </w:rPr>
      </w:pPr>
    </w:p>
    <w:p w14:paraId="47ADA3D1" w14:textId="77777777" w:rsidR="003F7CCA" w:rsidRDefault="0080197E">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6B727366" w14:textId="77777777" w:rsidR="003F7CCA" w:rsidRDefault="003F7CCA">
      <w:pPr>
        <w:widowControl w:val="0"/>
        <w:rPr>
          <w:iCs/>
          <w:sz w:val="22"/>
          <w:szCs w:val="22"/>
          <w:lang w:eastAsia="en-US"/>
        </w:rPr>
      </w:pPr>
    </w:p>
    <w:p w14:paraId="20C1EE2B" w14:textId="77777777" w:rsidR="003F7CCA" w:rsidRDefault="0080197E">
      <w:pPr>
        <w:widowControl w:val="0"/>
        <w:outlineLvl w:val="0"/>
        <w:rPr>
          <w:sz w:val="22"/>
          <w:szCs w:val="22"/>
          <w:u w:val="single"/>
          <w:lang w:eastAsia="sl-SI"/>
        </w:rPr>
      </w:pPr>
      <w:r>
        <w:rPr>
          <w:sz w:val="22"/>
          <w:szCs w:val="22"/>
          <w:u w:val="single"/>
          <w:lang w:eastAsia="sl-SI"/>
        </w:rPr>
        <w:lastRenderedPageBreak/>
        <w:t>Nėštumas</w:t>
      </w:r>
    </w:p>
    <w:p w14:paraId="4ADAA07E" w14:textId="77777777" w:rsidR="003F7CCA" w:rsidRDefault="0080197E">
      <w:pPr>
        <w:widowControl w:val="0"/>
        <w:outlineLvl w:val="0"/>
        <w:rPr>
          <w:sz w:val="22"/>
          <w:szCs w:val="22"/>
          <w:lang w:eastAsia="sl-SI"/>
        </w:rPr>
      </w:pPr>
      <w:proofErr w:type="spellStart"/>
      <w:r>
        <w:rPr>
          <w:sz w:val="22"/>
          <w:szCs w:val="22"/>
          <w:lang w:eastAsia="sl-SI"/>
        </w:rPr>
        <w:t>Linagliptino</w:t>
      </w:r>
      <w:proofErr w:type="spellEnd"/>
      <w:r>
        <w:rPr>
          <w:sz w:val="22"/>
          <w:szCs w:val="22"/>
          <w:lang w:eastAsia="sl-SI"/>
        </w:rPr>
        <w:t xml:space="preserve"> vartojimas nėštumo metu netirtas. Tyrimai su gyvūnais tiesioginio ar netiesioginio kenksmingo toksinio poveikio reprodukcijai neparodė (žr. 5.3 skyrių).</w:t>
      </w:r>
    </w:p>
    <w:p w14:paraId="404BD671" w14:textId="77777777" w:rsidR="003F7CCA" w:rsidRDefault="0080197E">
      <w:pPr>
        <w:widowControl w:val="0"/>
        <w:outlineLvl w:val="0"/>
        <w:rPr>
          <w:sz w:val="22"/>
          <w:szCs w:val="22"/>
          <w:lang w:eastAsia="sl-SI"/>
        </w:rPr>
      </w:pPr>
      <w:r>
        <w:rPr>
          <w:sz w:val="22"/>
          <w:szCs w:val="22"/>
          <w:lang w:eastAsia="sl-SI"/>
        </w:rPr>
        <w:t xml:space="preserve">Riboti duomenys rodo, kad </w:t>
      </w:r>
      <w:proofErr w:type="spellStart"/>
      <w:r>
        <w:rPr>
          <w:sz w:val="22"/>
          <w:szCs w:val="22"/>
          <w:lang w:eastAsia="sl-SI"/>
        </w:rPr>
        <w:t>metformino</w:t>
      </w:r>
      <w:proofErr w:type="spellEnd"/>
      <w:r>
        <w:rPr>
          <w:sz w:val="22"/>
          <w:szCs w:val="22"/>
          <w:lang w:eastAsia="sl-SI"/>
        </w:rPr>
        <w:t xml:space="preserve"> vartojimas nėštumo metu nėra susijęs su įgimtų formavimosi ydų rizikos padidėjimu. Tyrimai su gyvūnais kenksmingo toksinio </w:t>
      </w:r>
      <w:proofErr w:type="spellStart"/>
      <w:r>
        <w:rPr>
          <w:sz w:val="22"/>
          <w:szCs w:val="22"/>
          <w:lang w:eastAsia="sl-SI"/>
        </w:rPr>
        <w:t>metformino</w:t>
      </w:r>
      <w:proofErr w:type="spellEnd"/>
      <w:r>
        <w:rPr>
          <w:sz w:val="22"/>
          <w:szCs w:val="22"/>
          <w:lang w:eastAsia="sl-SI"/>
        </w:rPr>
        <w:t xml:space="preserve"> poveikio reprodukcijai neparodė (žr. 5.3 skyrių).</w:t>
      </w:r>
    </w:p>
    <w:p w14:paraId="386E90A2" w14:textId="77777777" w:rsidR="003F7CCA" w:rsidRDefault="0080197E">
      <w:pPr>
        <w:widowControl w:val="0"/>
        <w:outlineLvl w:val="0"/>
        <w:rPr>
          <w:sz w:val="22"/>
          <w:szCs w:val="22"/>
          <w:lang w:eastAsia="sl-SI"/>
        </w:rPr>
      </w:pPr>
      <w:proofErr w:type="spellStart"/>
      <w:r>
        <w:rPr>
          <w:sz w:val="22"/>
          <w:szCs w:val="22"/>
          <w:lang w:eastAsia="sl-SI"/>
        </w:rPr>
        <w:t>Ikiklinikiniai</w:t>
      </w:r>
      <w:proofErr w:type="spellEnd"/>
      <w:r>
        <w:rPr>
          <w:sz w:val="22"/>
          <w:szCs w:val="22"/>
          <w:lang w:eastAsia="sl-SI"/>
        </w:rPr>
        <w:t xml:space="preserve"> poveikio reprodukcijai tyrimai adityvaus </w:t>
      </w:r>
      <w:proofErr w:type="spellStart"/>
      <w:r>
        <w:rPr>
          <w:sz w:val="22"/>
          <w:szCs w:val="22"/>
          <w:lang w:eastAsia="sl-SI"/>
        </w:rPr>
        <w:t>teratogeninio</w:t>
      </w:r>
      <w:proofErr w:type="spellEnd"/>
      <w:r>
        <w:rPr>
          <w:sz w:val="22"/>
          <w:szCs w:val="22"/>
          <w:lang w:eastAsia="sl-SI"/>
        </w:rPr>
        <w:t xml:space="preserve"> poveikio, priskirtino </w:t>
      </w:r>
      <w:proofErr w:type="spellStart"/>
      <w:r>
        <w:rPr>
          <w:sz w:val="22"/>
          <w:szCs w:val="22"/>
          <w:lang w:eastAsia="sl-SI"/>
        </w:rPr>
        <w:t>linagliptino</w:t>
      </w:r>
      <w:proofErr w:type="spellEnd"/>
      <w:r>
        <w:rPr>
          <w:sz w:val="22"/>
          <w:szCs w:val="22"/>
          <w:lang w:eastAsia="sl-SI"/>
        </w:rPr>
        <w:t xml:space="preserve"> vartojimui kartu su </w:t>
      </w:r>
      <w:proofErr w:type="spellStart"/>
      <w:r>
        <w:rPr>
          <w:sz w:val="22"/>
          <w:szCs w:val="22"/>
          <w:lang w:eastAsia="sl-SI"/>
        </w:rPr>
        <w:t>metforminu</w:t>
      </w:r>
      <w:proofErr w:type="spellEnd"/>
      <w:r>
        <w:rPr>
          <w:sz w:val="22"/>
          <w:szCs w:val="22"/>
          <w:lang w:eastAsia="sl-SI"/>
        </w:rPr>
        <w:t>, nerodo.</w:t>
      </w:r>
    </w:p>
    <w:p w14:paraId="04AF59B1" w14:textId="5C919550" w:rsidR="003F7CCA" w:rsidRDefault="0080197E">
      <w:pPr>
        <w:widowControl w:val="0"/>
        <w:outlineLvl w:val="0"/>
        <w:rPr>
          <w:sz w:val="22"/>
          <w:szCs w:val="22"/>
          <w:lang w:eastAsia="sl-SI"/>
        </w:rPr>
      </w:pPr>
      <w:proofErr w:type="spellStart"/>
      <w:r>
        <w:rPr>
          <w:sz w:val="22"/>
          <w:szCs w:val="22"/>
          <w:lang w:eastAsia="sl-SI"/>
        </w:rPr>
        <w:t>Linagliptinas</w:t>
      </w:r>
      <w:proofErr w:type="spellEnd"/>
      <w:r>
        <w:rPr>
          <w:sz w:val="22"/>
          <w:szCs w:val="22"/>
          <w:lang w:eastAsia="sl-SI"/>
        </w:rPr>
        <w:t>/</w:t>
      </w:r>
      <w:proofErr w:type="spellStart"/>
      <w:r>
        <w:rPr>
          <w:sz w:val="22"/>
          <w:szCs w:val="22"/>
          <w:lang w:eastAsia="sl-SI"/>
        </w:rPr>
        <w:t>metforminas</w:t>
      </w:r>
      <w:proofErr w:type="spellEnd"/>
      <w:r>
        <w:rPr>
          <w:sz w:val="22"/>
          <w:szCs w:val="22"/>
          <w:lang w:eastAsia="sl-SI"/>
        </w:rPr>
        <w:t xml:space="preserve"> nėštumo metu neturi būti vartojamas. Jeigu pacientė planuoja pastoti arba tampa nėščia, gydymą </w:t>
      </w:r>
      <w:proofErr w:type="spellStart"/>
      <w:r>
        <w:rPr>
          <w:sz w:val="22"/>
          <w:szCs w:val="22"/>
          <w:lang w:eastAsia="sl-SI"/>
        </w:rPr>
        <w:t>Linagliptiną</w:t>
      </w:r>
      <w:proofErr w:type="spellEnd"/>
      <w:r>
        <w:rPr>
          <w:sz w:val="22"/>
          <w:szCs w:val="22"/>
          <w:lang w:eastAsia="sl-SI"/>
        </w:rPr>
        <w:t>/</w:t>
      </w:r>
      <w:proofErr w:type="spellStart"/>
      <w:r>
        <w:rPr>
          <w:sz w:val="22"/>
          <w:szCs w:val="22"/>
          <w:lang w:eastAsia="sl-SI"/>
        </w:rPr>
        <w:t>metforminą</w:t>
      </w:r>
      <w:proofErr w:type="spellEnd"/>
      <w:r>
        <w:rPr>
          <w:sz w:val="22"/>
          <w:szCs w:val="22"/>
          <w:lang w:eastAsia="sl-SI"/>
        </w:rPr>
        <w:t xml:space="preserve"> reikia kuo greičiau nutraukti ir keisti insulinu, kad sumažėtų vaisiaus formavimosi ydų, susijusių su nenormali</w:t>
      </w:r>
      <w:r w:rsidR="00461559">
        <w:rPr>
          <w:sz w:val="22"/>
          <w:szCs w:val="22"/>
          <w:lang w:eastAsia="sl-SI"/>
        </w:rPr>
        <w:t>a</w:t>
      </w:r>
      <w:r>
        <w:rPr>
          <w:sz w:val="22"/>
          <w:szCs w:val="22"/>
          <w:lang w:eastAsia="sl-SI"/>
        </w:rPr>
        <w:t xml:space="preserve"> gliukozės </w:t>
      </w:r>
      <w:r w:rsidR="00461559">
        <w:rPr>
          <w:sz w:val="22"/>
          <w:szCs w:val="22"/>
          <w:lang w:eastAsia="sl-SI"/>
        </w:rPr>
        <w:t xml:space="preserve">koncentracija </w:t>
      </w:r>
      <w:r>
        <w:rPr>
          <w:sz w:val="22"/>
          <w:szCs w:val="22"/>
          <w:lang w:eastAsia="sl-SI"/>
        </w:rPr>
        <w:t>kraujyje, rizika.</w:t>
      </w:r>
    </w:p>
    <w:p w14:paraId="56108FAD" w14:textId="77777777" w:rsidR="003F7CCA" w:rsidRDefault="003F7CCA">
      <w:pPr>
        <w:widowControl w:val="0"/>
        <w:outlineLvl w:val="0"/>
        <w:rPr>
          <w:sz w:val="22"/>
          <w:szCs w:val="22"/>
          <w:u w:val="single"/>
          <w:lang w:eastAsia="sl-SI"/>
        </w:rPr>
      </w:pPr>
    </w:p>
    <w:p w14:paraId="5464B869" w14:textId="77777777" w:rsidR="003F7CCA" w:rsidRDefault="0080197E">
      <w:pPr>
        <w:widowControl w:val="0"/>
        <w:outlineLvl w:val="0"/>
        <w:rPr>
          <w:sz w:val="22"/>
          <w:szCs w:val="22"/>
          <w:u w:val="single"/>
          <w:lang w:eastAsia="sl-SI"/>
        </w:rPr>
      </w:pPr>
      <w:r>
        <w:rPr>
          <w:sz w:val="22"/>
          <w:szCs w:val="22"/>
          <w:u w:val="single"/>
          <w:lang w:eastAsia="sl-SI"/>
        </w:rPr>
        <w:t>Žindymas</w:t>
      </w:r>
    </w:p>
    <w:p w14:paraId="370388CF" w14:textId="77777777" w:rsidR="003F7CCA" w:rsidRDefault="0080197E">
      <w:pPr>
        <w:tabs>
          <w:tab w:val="left" w:pos="567"/>
        </w:tabs>
        <w:rPr>
          <w:sz w:val="22"/>
          <w:szCs w:val="22"/>
          <w:lang w:eastAsia="sl-SI"/>
        </w:rPr>
      </w:pPr>
      <w:r>
        <w:rPr>
          <w:sz w:val="22"/>
          <w:szCs w:val="22"/>
          <w:lang w:eastAsia="sl-SI"/>
        </w:rPr>
        <w:t xml:space="preserve">Su gyvūnais atlikti tyrimai parodė, kad </w:t>
      </w:r>
      <w:proofErr w:type="spellStart"/>
      <w:r>
        <w:rPr>
          <w:sz w:val="22"/>
          <w:szCs w:val="22"/>
          <w:lang w:eastAsia="sl-SI"/>
        </w:rPr>
        <w:t>metformino</w:t>
      </w:r>
      <w:proofErr w:type="spellEnd"/>
      <w:r>
        <w:rPr>
          <w:sz w:val="22"/>
          <w:szCs w:val="22"/>
          <w:lang w:eastAsia="sl-SI"/>
        </w:rPr>
        <w:t xml:space="preserve"> ir </w:t>
      </w:r>
      <w:proofErr w:type="spellStart"/>
      <w:r>
        <w:rPr>
          <w:sz w:val="22"/>
          <w:szCs w:val="22"/>
          <w:lang w:eastAsia="sl-SI"/>
        </w:rPr>
        <w:t>linagliptino</w:t>
      </w:r>
      <w:proofErr w:type="spellEnd"/>
      <w:r>
        <w:rPr>
          <w:sz w:val="22"/>
          <w:szCs w:val="22"/>
          <w:lang w:eastAsia="sl-SI"/>
        </w:rPr>
        <w:t xml:space="preserve"> išsiskiria į žindančių žiurkių pieną. Nedidelis </w:t>
      </w:r>
      <w:proofErr w:type="spellStart"/>
      <w:r>
        <w:rPr>
          <w:sz w:val="22"/>
          <w:szCs w:val="22"/>
          <w:lang w:eastAsia="sl-SI"/>
        </w:rPr>
        <w:t>metformino</w:t>
      </w:r>
      <w:proofErr w:type="spellEnd"/>
      <w:r>
        <w:rPr>
          <w:sz w:val="22"/>
          <w:szCs w:val="22"/>
          <w:lang w:eastAsia="sl-SI"/>
        </w:rPr>
        <w:t xml:space="preserve"> kiekis išsiskiria į gydomų moterų pieną. Nežinoma, ar </w:t>
      </w:r>
      <w:proofErr w:type="spellStart"/>
      <w:r>
        <w:rPr>
          <w:sz w:val="22"/>
          <w:szCs w:val="22"/>
          <w:lang w:eastAsia="sl-SI"/>
        </w:rPr>
        <w:t>linagliptino</w:t>
      </w:r>
      <w:proofErr w:type="spellEnd"/>
      <w:r>
        <w:rPr>
          <w:sz w:val="22"/>
          <w:szCs w:val="22"/>
          <w:lang w:eastAsia="sl-SI"/>
        </w:rPr>
        <w:t xml:space="preserve"> išsiskiria į gydomų moterų pieną. Atsižvelgiant į žindymo naudą kūdikiui ir gydymo naudą motinai, reikia nuspręsti, ar nutraukti žindymą, ar nutraukti arba susilaikyti nuo gydymo </w:t>
      </w:r>
      <w:proofErr w:type="spellStart"/>
      <w:r>
        <w:rPr>
          <w:sz w:val="22"/>
          <w:szCs w:val="22"/>
          <w:lang w:eastAsia="sl-SI"/>
        </w:rPr>
        <w:t>linagliptino</w:t>
      </w:r>
      <w:proofErr w:type="spellEnd"/>
      <w:r>
        <w:rPr>
          <w:sz w:val="22"/>
          <w:szCs w:val="22"/>
          <w:lang w:eastAsia="sl-SI"/>
        </w:rPr>
        <w:t>/</w:t>
      </w:r>
      <w:proofErr w:type="spellStart"/>
      <w:r>
        <w:rPr>
          <w:sz w:val="22"/>
          <w:szCs w:val="22"/>
          <w:lang w:eastAsia="sl-SI"/>
        </w:rPr>
        <w:t>metformino</w:t>
      </w:r>
      <w:proofErr w:type="spellEnd"/>
      <w:r>
        <w:rPr>
          <w:sz w:val="22"/>
          <w:szCs w:val="22"/>
          <w:lang w:eastAsia="sl-SI"/>
        </w:rPr>
        <w:t>.</w:t>
      </w:r>
    </w:p>
    <w:p w14:paraId="1DA43FEC" w14:textId="77777777" w:rsidR="003F7CCA" w:rsidRDefault="003F7CCA">
      <w:pPr>
        <w:widowControl w:val="0"/>
        <w:outlineLvl w:val="0"/>
        <w:rPr>
          <w:sz w:val="22"/>
          <w:szCs w:val="22"/>
          <w:lang w:eastAsia="sl-SI"/>
        </w:rPr>
      </w:pPr>
    </w:p>
    <w:p w14:paraId="41350897" w14:textId="77777777" w:rsidR="003F7CCA" w:rsidRDefault="0080197E" w:rsidP="003C7B2D">
      <w:pPr>
        <w:widowControl w:val="0"/>
        <w:outlineLvl w:val="0"/>
        <w:rPr>
          <w:sz w:val="22"/>
          <w:szCs w:val="22"/>
        </w:rPr>
      </w:pPr>
      <w:r>
        <w:rPr>
          <w:sz w:val="22"/>
          <w:szCs w:val="22"/>
          <w:u w:val="single"/>
          <w:lang w:eastAsia="sl-SI"/>
        </w:rPr>
        <w:t>Vaisingumas</w:t>
      </w:r>
    </w:p>
    <w:p w14:paraId="2A976A1D" w14:textId="77777777" w:rsidR="003F7CCA" w:rsidRDefault="0080197E" w:rsidP="003C7B2D">
      <w:pPr>
        <w:widowControl w:val="0"/>
        <w:outlineLvl w:val="0"/>
        <w:rPr>
          <w:sz w:val="22"/>
          <w:szCs w:val="22"/>
          <w:u w:val="single"/>
          <w:lang w:eastAsia="sl-SI"/>
        </w:rPr>
      </w:pPr>
      <w:proofErr w:type="spellStart"/>
      <w:r>
        <w:rPr>
          <w:sz w:val="22"/>
          <w:szCs w:val="22"/>
        </w:rPr>
        <w:t>Linagliptino</w:t>
      </w:r>
      <w:proofErr w:type="spellEnd"/>
      <w:r>
        <w:rPr>
          <w:sz w:val="22"/>
          <w:szCs w:val="22"/>
        </w:rPr>
        <w:t>/</w:t>
      </w:r>
      <w:proofErr w:type="spellStart"/>
      <w:r>
        <w:rPr>
          <w:sz w:val="22"/>
          <w:szCs w:val="22"/>
        </w:rPr>
        <w:t>metformino</w:t>
      </w:r>
      <w:proofErr w:type="spellEnd"/>
      <w:r>
        <w:rPr>
          <w:sz w:val="22"/>
          <w:szCs w:val="22"/>
        </w:rPr>
        <w:t xml:space="preserve"> poveikis žmogaus vaisingumui netirtas. Žiurkių patinų ir patelių vaisingumui </w:t>
      </w:r>
      <w:proofErr w:type="spellStart"/>
      <w:r>
        <w:rPr>
          <w:sz w:val="22"/>
          <w:szCs w:val="22"/>
        </w:rPr>
        <w:t>linagliptinas</w:t>
      </w:r>
      <w:proofErr w:type="spellEnd"/>
      <w:r>
        <w:rPr>
          <w:sz w:val="22"/>
          <w:szCs w:val="22"/>
        </w:rPr>
        <w:t xml:space="preserve"> nepageidaujamo poveikio nedarė (žr. 5.3 skyrių).</w:t>
      </w:r>
    </w:p>
    <w:p w14:paraId="0DCEAB89" w14:textId="77777777" w:rsidR="003F7CCA" w:rsidRDefault="003F7CCA">
      <w:pPr>
        <w:widowControl w:val="0"/>
        <w:ind w:left="567" w:hanging="567"/>
        <w:rPr>
          <w:sz w:val="22"/>
          <w:szCs w:val="22"/>
          <w:lang w:eastAsia="en-US"/>
        </w:rPr>
      </w:pPr>
    </w:p>
    <w:p w14:paraId="4C9767CF" w14:textId="77777777" w:rsidR="003F7CCA" w:rsidRDefault="0080197E">
      <w:pPr>
        <w:widowControl w:val="0"/>
        <w:tabs>
          <w:tab w:val="left" w:pos="567"/>
        </w:tabs>
        <w:ind w:left="567" w:hanging="567"/>
        <w:outlineLvl w:val="2"/>
        <w:rPr>
          <w:b/>
          <w:kern w:val="28"/>
          <w:sz w:val="22"/>
          <w:szCs w:val="22"/>
          <w:lang w:eastAsia="en-US"/>
        </w:rPr>
      </w:pPr>
      <w:r>
        <w:rPr>
          <w:b/>
          <w:kern w:val="28"/>
          <w:sz w:val="22"/>
          <w:szCs w:val="22"/>
          <w:lang w:eastAsia="en-US"/>
        </w:rPr>
        <w:t>4.7</w:t>
      </w:r>
      <w:r>
        <w:rPr>
          <w:b/>
          <w:kern w:val="28"/>
          <w:sz w:val="22"/>
          <w:szCs w:val="22"/>
          <w:lang w:eastAsia="en-US"/>
        </w:rPr>
        <w:tab/>
        <w:t>Poveikis gebėjimui vairuoti ir valdyti mechanizmus</w:t>
      </w:r>
    </w:p>
    <w:p w14:paraId="67763D26" w14:textId="77777777" w:rsidR="003F7CCA" w:rsidRDefault="003F7CCA">
      <w:pPr>
        <w:widowControl w:val="0"/>
        <w:ind w:left="567" w:hanging="567"/>
        <w:rPr>
          <w:sz w:val="22"/>
          <w:szCs w:val="22"/>
          <w:lang w:eastAsia="en-US"/>
        </w:rPr>
      </w:pPr>
    </w:p>
    <w:p w14:paraId="3E14C98D" w14:textId="77777777" w:rsidR="003F7CCA" w:rsidRDefault="0080197E">
      <w:pPr>
        <w:widowControl w:val="0"/>
        <w:autoSpaceDE w:val="0"/>
        <w:autoSpaceDN w:val="0"/>
        <w:adjustRightInd w:val="0"/>
        <w:rPr>
          <w:rFonts w:eastAsia="TimesNewRoman"/>
          <w:sz w:val="22"/>
          <w:szCs w:val="22"/>
          <w:lang w:eastAsia="en-US"/>
        </w:rPr>
      </w:pPr>
      <w:proofErr w:type="spellStart"/>
      <w:r>
        <w:rPr>
          <w:rFonts w:eastAsia="TimesNewRoman"/>
          <w:sz w:val="22"/>
          <w:szCs w:val="22"/>
          <w:lang w:eastAsia="en-US"/>
        </w:rPr>
        <w:t>Lymerexo</w:t>
      </w:r>
      <w:proofErr w:type="spellEnd"/>
      <w:r>
        <w:rPr>
          <w:rFonts w:eastAsia="TimesNewRoman"/>
          <w:sz w:val="22"/>
          <w:szCs w:val="22"/>
          <w:lang w:eastAsia="en-US"/>
        </w:rPr>
        <w:t xml:space="preserve"> gebėjimo vairuoti ir valdyti mechanizmus neveikia arba veikia nereikšmingai. Vis dėlto pacientus reikia įspėti apie hipoglikemijos riziką tuo atveju, jeigu šio vaistinio preparato vartojama kartu su kitokiais antidiabetiniais vaistiniais preparatais, sukeliančiais hipoglikemiją (pvz., </w:t>
      </w:r>
      <w:proofErr w:type="spellStart"/>
      <w:r>
        <w:rPr>
          <w:rFonts w:eastAsia="TimesNewRoman"/>
          <w:sz w:val="22"/>
          <w:szCs w:val="22"/>
          <w:lang w:eastAsia="en-US"/>
        </w:rPr>
        <w:t>sulfonilurėjos</w:t>
      </w:r>
      <w:proofErr w:type="spellEnd"/>
      <w:r>
        <w:rPr>
          <w:rFonts w:eastAsia="TimesNewRoman"/>
          <w:sz w:val="22"/>
          <w:szCs w:val="22"/>
          <w:lang w:eastAsia="en-US"/>
        </w:rPr>
        <w:t xml:space="preserve"> dariniais).</w:t>
      </w:r>
    </w:p>
    <w:p w14:paraId="3E84EB88" w14:textId="77777777" w:rsidR="003F7CCA" w:rsidRDefault="003F7CCA">
      <w:pPr>
        <w:widowControl w:val="0"/>
        <w:autoSpaceDE w:val="0"/>
        <w:autoSpaceDN w:val="0"/>
        <w:adjustRightInd w:val="0"/>
        <w:rPr>
          <w:sz w:val="22"/>
          <w:szCs w:val="22"/>
          <w:lang w:eastAsia="sl-SI"/>
        </w:rPr>
      </w:pPr>
    </w:p>
    <w:p w14:paraId="0C4C9AEC" w14:textId="77777777" w:rsidR="003F7CCA" w:rsidRDefault="0080197E">
      <w:pPr>
        <w:widowControl w:val="0"/>
        <w:tabs>
          <w:tab w:val="left" w:pos="567"/>
        </w:tabs>
        <w:ind w:left="567" w:hanging="567"/>
        <w:outlineLvl w:val="2"/>
        <w:rPr>
          <w:b/>
          <w:kern w:val="28"/>
          <w:sz w:val="22"/>
          <w:szCs w:val="22"/>
          <w:lang w:eastAsia="en-US"/>
        </w:rPr>
      </w:pPr>
      <w:r>
        <w:rPr>
          <w:b/>
          <w:kern w:val="28"/>
          <w:sz w:val="22"/>
          <w:szCs w:val="22"/>
          <w:lang w:eastAsia="en-US"/>
        </w:rPr>
        <w:t>4.8</w:t>
      </w:r>
      <w:r>
        <w:rPr>
          <w:b/>
          <w:kern w:val="28"/>
          <w:sz w:val="22"/>
          <w:szCs w:val="22"/>
          <w:lang w:eastAsia="en-US"/>
        </w:rPr>
        <w:tab/>
        <w:t>Nepageidaujamas poveikis</w:t>
      </w:r>
    </w:p>
    <w:p w14:paraId="71E01364" w14:textId="77777777" w:rsidR="003F7CCA" w:rsidRDefault="003F7CCA">
      <w:pPr>
        <w:widowControl w:val="0"/>
        <w:tabs>
          <w:tab w:val="left" w:pos="567"/>
        </w:tabs>
        <w:rPr>
          <w:iCs/>
          <w:sz w:val="22"/>
          <w:szCs w:val="22"/>
          <w:lang w:eastAsia="en-US"/>
        </w:rPr>
      </w:pPr>
    </w:p>
    <w:p w14:paraId="3C54E45B" w14:textId="77777777" w:rsidR="003F7CCA" w:rsidRDefault="0080197E">
      <w:pPr>
        <w:widowControl w:val="0"/>
        <w:tabs>
          <w:tab w:val="left" w:pos="567"/>
        </w:tabs>
        <w:rPr>
          <w:iCs/>
          <w:sz w:val="22"/>
          <w:szCs w:val="22"/>
          <w:u w:val="single"/>
          <w:lang w:eastAsia="en-US"/>
        </w:rPr>
      </w:pPr>
      <w:r>
        <w:rPr>
          <w:iCs/>
          <w:sz w:val="22"/>
          <w:szCs w:val="22"/>
          <w:u w:val="single"/>
          <w:lang w:eastAsia="en-US"/>
        </w:rPr>
        <w:t>Saugumo duomenų santrauka</w:t>
      </w:r>
    </w:p>
    <w:p w14:paraId="1FC948CF" w14:textId="77777777" w:rsidR="003F7CCA" w:rsidRPr="00A6463E" w:rsidRDefault="0080197E">
      <w:pPr>
        <w:pStyle w:val="Default"/>
        <w:rPr>
          <w:snapToGrid w:val="0"/>
          <w:sz w:val="22"/>
          <w:szCs w:val="22"/>
          <w:lang w:val="lt-LT" w:eastAsia="en-US"/>
        </w:rPr>
      </w:pPr>
      <w:r w:rsidRPr="00A6463E">
        <w:rPr>
          <w:snapToGrid w:val="0"/>
          <w:sz w:val="22"/>
          <w:szCs w:val="22"/>
          <w:lang w:val="lt-LT" w:eastAsia="en-US"/>
        </w:rPr>
        <w:t xml:space="preserve">Du kartus per parą vartojamos </w:t>
      </w:r>
      <w:proofErr w:type="spellStart"/>
      <w:r w:rsidRPr="00A6463E">
        <w:rPr>
          <w:snapToGrid w:val="0"/>
          <w:sz w:val="22"/>
          <w:szCs w:val="22"/>
          <w:lang w:val="lt-LT" w:eastAsia="en-US"/>
        </w:rPr>
        <w:t>linagliptino</w:t>
      </w:r>
      <w:proofErr w:type="spellEnd"/>
      <w:r w:rsidRPr="00A6463E">
        <w:rPr>
          <w:snapToGrid w:val="0"/>
          <w:sz w:val="22"/>
          <w:szCs w:val="22"/>
          <w:lang w:val="lt-LT" w:eastAsia="en-US"/>
        </w:rPr>
        <w:t xml:space="preserve"> 2,5 mg dozės (arba </w:t>
      </w:r>
      <w:proofErr w:type="spellStart"/>
      <w:r w:rsidRPr="00A6463E">
        <w:rPr>
          <w:snapToGrid w:val="0"/>
          <w:sz w:val="22"/>
          <w:szCs w:val="22"/>
          <w:lang w:val="lt-LT" w:eastAsia="en-US"/>
        </w:rPr>
        <w:t>bioekvivalentiškos</w:t>
      </w:r>
      <w:proofErr w:type="spellEnd"/>
      <w:r w:rsidRPr="00A6463E">
        <w:rPr>
          <w:snapToGrid w:val="0"/>
          <w:sz w:val="22"/>
          <w:szCs w:val="22"/>
          <w:lang w:val="lt-LT" w:eastAsia="en-US"/>
        </w:rPr>
        <w:t xml:space="preserve"> kartą per parą geriamos 5 mg dozės) derinio su </w:t>
      </w:r>
      <w:proofErr w:type="spellStart"/>
      <w:r w:rsidRPr="00A6463E">
        <w:rPr>
          <w:snapToGrid w:val="0"/>
          <w:sz w:val="22"/>
          <w:szCs w:val="22"/>
          <w:lang w:val="lt-LT" w:eastAsia="en-US"/>
        </w:rPr>
        <w:t>metforminu</w:t>
      </w:r>
      <w:proofErr w:type="spellEnd"/>
      <w:r w:rsidRPr="00A6463E">
        <w:rPr>
          <w:snapToGrid w:val="0"/>
          <w:sz w:val="22"/>
          <w:szCs w:val="22"/>
          <w:lang w:val="lt-LT" w:eastAsia="en-US"/>
        </w:rPr>
        <w:t xml:space="preserve"> saugumas buvo vertintas daugiau negu 6 800 pacientų, sergančių 2 tipo cukriniu diabetu. Placebu kontroliuojamų tyrimų metu daugiau negu 1 800 pacientų buvo gydomi terapine </w:t>
      </w:r>
      <w:proofErr w:type="spellStart"/>
      <w:r w:rsidRPr="00A6463E">
        <w:rPr>
          <w:snapToGrid w:val="0"/>
          <w:sz w:val="22"/>
          <w:szCs w:val="22"/>
          <w:lang w:val="lt-LT" w:eastAsia="en-US"/>
        </w:rPr>
        <w:t>linagliptino</w:t>
      </w:r>
      <w:proofErr w:type="spellEnd"/>
      <w:r w:rsidRPr="00A6463E">
        <w:rPr>
          <w:snapToGrid w:val="0"/>
          <w:sz w:val="22"/>
          <w:szCs w:val="22"/>
          <w:lang w:val="lt-LT" w:eastAsia="en-US"/>
        </w:rPr>
        <w:t xml:space="preserve"> doze, t. y. arba du kartus per parą vartojama 2,5 mg </w:t>
      </w:r>
      <w:proofErr w:type="spellStart"/>
      <w:r w:rsidRPr="00A6463E">
        <w:rPr>
          <w:snapToGrid w:val="0"/>
          <w:sz w:val="22"/>
          <w:szCs w:val="22"/>
          <w:lang w:val="lt-LT" w:eastAsia="en-US"/>
        </w:rPr>
        <w:t>linagliptino</w:t>
      </w:r>
      <w:proofErr w:type="spellEnd"/>
      <w:r w:rsidRPr="00A6463E">
        <w:rPr>
          <w:snapToGrid w:val="0"/>
          <w:sz w:val="22"/>
          <w:szCs w:val="22"/>
          <w:lang w:val="lt-LT" w:eastAsia="en-US"/>
        </w:rPr>
        <w:t xml:space="preserve"> doze, arba </w:t>
      </w:r>
      <w:proofErr w:type="spellStart"/>
      <w:r w:rsidRPr="00A6463E">
        <w:rPr>
          <w:snapToGrid w:val="0"/>
          <w:sz w:val="22"/>
          <w:szCs w:val="22"/>
          <w:lang w:val="lt-LT" w:eastAsia="en-US"/>
        </w:rPr>
        <w:t>bioekvivalentiška</w:t>
      </w:r>
      <w:proofErr w:type="spellEnd"/>
      <w:r w:rsidRPr="00A6463E">
        <w:rPr>
          <w:snapToGrid w:val="0"/>
          <w:sz w:val="22"/>
          <w:szCs w:val="22"/>
          <w:lang w:val="lt-LT" w:eastAsia="en-US"/>
        </w:rPr>
        <w:t xml:space="preserve"> kartą per parą vartojama 5 mg </w:t>
      </w:r>
      <w:proofErr w:type="spellStart"/>
      <w:r w:rsidRPr="00A6463E">
        <w:rPr>
          <w:snapToGrid w:val="0"/>
          <w:sz w:val="22"/>
          <w:szCs w:val="22"/>
          <w:lang w:val="lt-LT" w:eastAsia="en-US"/>
        </w:rPr>
        <w:t>linagliptino</w:t>
      </w:r>
      <w:proofErr w:type="spellEnd"/>
      <w:r w:rsidRPr="00A6463E">
        <w:rPr>
          <w:snapToGrid w:val="0"/>
          <w:sz w:val="22"/>
          <w:szCs w:val="22"/>
          <w:lang w:val="lt-LT" w:eastAsia="en-US"/>
        </w:rPr>
        <w:t xml:space="preserve"> doze, ir kartu </w:t>
      </w:r>
      <w:proofErr w:type="spellStart"/>
      <w:r w:rsidRPr="00A6463E">
        <w:rPr>
          <w:snapToGrid w:val="0"/>
          <w:sz w:val="22"/>
          <w:szCs w:val="22"/>
          <w:lang w:val="lt-LT" w:eastAsia="en-US"/>
        </w:rPr>
        <w:t>metforminu</w:t>
      </w:r>
      <w:proofErr w:type="spellEnd"/>
      <w:r w:rsidRPr="00A6463E">
        <w:rPr>
          <w:snapToGrid w:val="0"/>
          <w:sz w:val="22"/>
          <w:szCs w:val="22"/>
          <w:lang w:val="lt-LT" w:eastAsia="en-US"/>
        </w:rPr>
        <w:t xml:space="preserve"> </w:t>
      </w:r>
      <w:r w:rsidRPr="00A6463E">
        <w:rPr>
          <w:rFonts w:hint="eastAsia"/>
          <w:sz w:val="22"/>
          <w:szCs w:val="22"/>
          <w:lang w:val="lt-LT" w:eastAsia="en-US"/>
        </w:rPr>
        <w:t>≥</w:t>
      </w:r>
      <w:r w:rsidRPr="00A6463E">
        <w:rPr>
          <w:rFonts w:hint="eastAsia"/>
          <w:sz w:val="22"/>
          <w:szCs w:val="22"/>
          <w:lang w:val="lt-LT" w:eastAsia="en-US"/>
        </w:rPr>
        <w:t> </w:t>
      </w:r>
      <w:r w:rsidRPr="00A6463E">
        <w:rPr>
          <w:snapToGrid w:val="0"/>
          <w:sz w:val="22"/>
          <w:szCs w:val="22"/>
          <w:lang w:val="lt-LT" w:eastAsia="en-US"/>
        </w:rPr>
        <w:t>12/24 savaites.</w:t>
      </w:r>
    </w:p>
    <w:p w14:paraId="07FAE733" w14:textId="77777777" w:rsidR="003F7CCA" w:rsidRPr="00A6463E" w:rsidRDefault="003F7CCA">
      <w:pPr>
        <w:pStyle w:val="Default"/>
        <w:rPr>
          <w:snapToGrid w:val="0"/>
          <w:sz w:val="22"/>
          <w:szCs w:val="22"/>
          <w:lang w:val="lt-LT" w:eastAsia="en-US"/>
        </w:rPr>
      </w:pPr>
    </w:p>
    <w:p w14:paraId="3F843345" w14:textId="77777777" w:rsidR="003F7CCA" w:rsidRDefault="0080197E">
      <w:pPr>
        <w:pStyle w:val="Default"/>
        <w:rPr>
          <w:rFonts w:eastAsiaTheme="minorHAnsi"/>
          <w:sz w:val="22"/>
          <w:szCs w:val="22"/>
          <w:lang w:val="lt-LT" w:eastAsia="en-US"/>
        </w:rPr>
      </w:pPr>
      <w:r>
        <w:rPr>
          <w:rFonts w:eastAsiaTheme="minorHAnsi"/>
          <w:sz w:val="22"/>
          <w:szCs w:val="22"/>
          <w:lang w:val="lt-LT" w:eastAsia="en-US"/>
        </w:rPr>
        <w:t xml:space="preserve">Septynių placebu kontroliuojamų tyrimų bendros analizės duomenimis, pacientams, gydytiems placebo ir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deriniu, bendras nepageidaujamų reiškinių dažnis buvo panašus į dažnį pacientams, kurie 2,5 mg </w:t>
      </w:r>
      <w:proofErr w:type="spellStart"/>
      <w:r>
        <w:rPr>
          <w:rFonts w:eastAsiaTheme="minorHAnsi"/>
          <w:sz w:val="22"/>
          <w:szCs w:val="22"/>
          <w:lang w:val="lt-LT" w:eastAsia="en-US"/>
        </w:rPr>
        <w:t>linagliptino</w:t>
      </w:r>
      <w:proofErr w:type="spellEnd"/>
      <w:r>
        <w:rPr>
          <w:rFonts w:eastAsiaTheme="minorHAnsi"/>
          <w:sz w:val="22"/>
          <w:szCs w:val="22"/>
          <w:lang w:val="lt-LT" w:eastAsia="en-US"/>
        </w:rPr>
        <w:t xml:space="preserve"> dozę vartojo kartu su </w:t>
      </w:r>
      <w:proofErr w:type="spellStart"/>
      <w:r>
        <w:rPr>
          <w:rFonts w:eastAsiaTheme="minorHAnsi"/>
          <w:sz w:val="22"/>
          <w:szCs w:val="22"/>
          <w:lang w:val="lt-LT" w:eastAsia="en-US"/>
        </w:rPr>
        <w:t>metforminu</w:t>
      </w:r>
      <w:proofErr w:type="spellEnd"/>
      <w:r>
        <w:rPr>
          <w:rFonts w:eastAsiaTheme="minorHAnsi"/>
          <w:sz w:val="22"/>
          <w:szCs w:val="22"/>
          <w:lang w:val="lt-LT" w:eastAsia="en-US"/>
        </w:rPr>
        <w:t xml:space="preserve"> (atitinkamai 54,3 </w:t>
      </w:r>
      <w:r w:rsidRPr="00A6463E">
        <w:rPr>
          <w:rFonts w:eastAsia="Times New Roman"/>
          <w:color w:val="auto"/>
          <w:sz w:val="22"/>
          <w:szCs w:val="22"/>
          <w:lang w:val="lt-LT" w:eastAsia="en-US"/>
        </w:rPr>
        <w:t xml:space="preserve">% </w:t>
      </w:r>
      <w:r>
        <w:rPr>
          <w:rFonts w:eastAsiaTheme="minorHAnsi"/>
          <w:sz w:val="22"/>
          <w:szCs w:val="22"/>
          <w:lang w:val="lt-LT" w:eastAsia="en-US"/>
        </w:rPr>
        <w:t>ir 49,0 </w:t>
      </w:r>
      <w:r w:rsidRPr="00A6463E">
        <w:rPr>
          <w:rFonts w:eastAsia="Times New Roman"/>
          <w:color w:val="auto"/>
          <w:sz w:val="22"/>
          <w:szCs w:val="22"/>
          <w:lang w:val="lt-LT" w:eastAsia="en-US"/>
        </w:rPr>
        <w:t>%</w:t>
      </w:r>
      <w:r>
        <w:rPr>
          <w:rFonts w:eastAsiaTheme="minorHAnsi"/>
          <w:sz w:val="22"/>
          <w:szCs w:val="22"/>
          <w:lang w:val="lt-LT" w:eastAsia="en-US"/>
        </w:rPr>
        <w:t xml:space="preserve">). Gydymo nutraukimo dėl nepageidaujamų reakcijų dažnis pacientams, gydomiems placebo ir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deriniu, ir pacientams, gydytiems </w:t>
      </w:r>
      <w:proofErr w:type="spellStart"/>
      <w:r>
        <w:rPr>
          <w:rFonts w:eastAsiaTheme="minorHAnsi"/>
          <w:sz w:val="22"/>
          <w:szCs w:val="22"/>
          <w:lang w:val="lt-LT" w:eastAsia="en-US"/>
        </w:rPr>
        <w:t>linagliptino</w:t>
      </w:r>
      <w:proofErr w:type="spellEnd"/>
      <w:r>
        <w:rPr>
          <w:rFonts w:eastAsiaTheme="minorHAnsi"/>
          <w:sz w:val="22"/>
          <w:szCs w:val="22"/>
          <w:lang w:val="lt-LT" w:eastAsia="en-US"/>
        </w:rPr>
        <w:t xml:space="preserve"> ir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deriniu, buvo panašus (atitinkamai 3,8 </w:t>
      </w:r>
      <w:r w:rsidRPr="00A6463E">
        <w:rPr>
          <w:rFonts w:eastAsia="Times New Roman"/>
          <w:color w:val="auto"/>
          <w:sz w:val="22"/>
          <w:szCs w:val="22"/>
          <w:lang w:val="lt-LT" w:eastAsia="en-US"/>
        </w:rPr>
        <w:t>%</w:t>
      </w:r>
      <w:r>
        <w:rPr>
          <w:rFonts w:eastAsiaTheme="minorHAnsi"/>
          <w:sz w:val="22"/>
          <w:szCs w:val="22"/>
          <w:lang w:val="lt-LT" w:eastAsia="en-US"/>
        </w:rPr>
        <w:t xml:space="preserve"> ir 2,9 </w:t>
      </w:r>
      <w:r w:rsidRPr="00A6463E">
        <w:rPr>
          <w:rFonts w:eastAsia="Times New Roman"/>
          <w:color w:val="auto"/>
          <w:sz w:val="22"/>
          <w:szCs w:val="22"/>
          <w:lang w:val="lt-LT" w:eastAsia="en-US"/>
        </w:rPr>
        <w:t>%</w:t>
      </w:r>
      <w:r>
        <w:rPr>
          <w:rFonts w:eastAsiaTheme="minorHAnsi"/>
          <w:sz w:val="22"/>
          <w:szCs w:val="22"/>
          <w:lang w:val="lt-LT" w:eastAsia="en-US"/>
        </w:rPr>
        <w:t xml:space="preserve">). </w:t>
      </w:r>
    </w:p>
    <w:p w14:paraId="4DAFAA31" w14:textId="77777777" w:rsidR="003F7CCA" w:rsidRDefault="003F7CCA">
      <w:pPr>
        <w:tabs>
          <w:tab w:val="left" w:pos="567"/>
        </w:tabs>
        <w:rPr>
          <w:rFonts w:eastAsiaTheme="minorHAnsi"/>
          <w:color w:val="000000"/>
          <w:sz w:val="22"/>
          <w:szCs w:val="22"/>
          <w:lang w:eastAsia="en-US"/>
        </w:rPr>
      </w:pPr>
    </w:p>
    <w:p w14:paraId="6721089E" w14:textId="77777777" w:rsidR="003F7CCA" w:rsidRDefault="0080197E">
      <w:pPr>
        <w:tabs>
          <w:tab w:val="left" w:pos="567"/>
        </w:tabs>
        <w:rPr>
          <w:snapToGrid w:val="0"/>
          <w:sz w:val="22"/>
          <w:szCs w:val="22"/>
          <w:lang w:eastAsia="en-US"/>
        </w:rPr>
      </w:pPr>
      <w:r>
        <w:rPr>
          <w:rFonts w:eastAsiaTheme="minorHAnsi"/>
          <w:color w:val="000000"/>
          <w:sz w:val="22"/>
          <w:szCs w:val="22"/>
          <w:lang w:eastAsia="en-US"/>
        </w:rPr>
        <w:t xml:space="preserve">Dažniausia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derinio sukelta nepageidaujama reakcija buvo viduriavimas (1,6 </w:t>
      </w:r>
      <w:r w:rsidRPr="00A6463E">
        <w:rPr>
          <w:sz w:val="22"/>
          <w:szCs w:val="22"/>
          <w:lang w:eastAsia="en-US"/>
        </w:rPr>
        <w:t>%</w:t>
      </w:r>
      <w:r>
        <w:rPr>
          <w:rFonts w:eastAsiaTheme="minorHAnsi"/>
          <w:color w:val="000000"/>
          <w:sz w:val="22"/>
          <w:szCs w:val="22"/>
          <w:lang w:eastAsia="en-US"/>
        </w:rPr>
        <w:t xml:space="preserve"> pacientų), kurio dažnis buvo panašus į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ir placebo derinio sukeltą (2,4 </w:t>
      </w:r>
      <w:r w:rsidRPr="00A6463E">
        <w:rPr>
          <w:sz w:val="22"/>
          <w:szCs w:val="22"/>
          <w:lang w:eastAsia="en-US"/>
        </w:rPr>
        <w:t>%</w:t>
      </w:r>
      <w:r>
        <w:rPr>
          <w:rFonts w:eastAsiaTheme="minorHAnsi"/>
          <w:color w:val="000000"/>
          <w:sz w:val="22"/>
          <w:szCs w:val="22"/>
          <w:lang w:eastAsia="en-US"/>
        </w:rPr>
        <w:t xml:space="preserve"> pacientų).</w:t>
      </w:r>
    </w:p>
    <w:p w14:paraId="79548809" w14:textId="77777777" w:rsidR="003F7CCA" w:rsidRDefault="003F7CCA">
      <w:pPr>
        <w:tabs>
          <w:tab w:val="left" w:pos="567"/>
        </w:tabs>
        <w:rPr>
          <w:sz w:val="22"/>
          <w:szCs w:val="22"/>
        </w:rPr>
      </w:pPr>
    </w:p>
    <w:p w14:paraId="3AF3BE07" w14:textId="77777777" w:rsidR="003F7CCA" w:rsidRDefault="0080197E">
      <w:pPr>
        <w:tabs>
          <w:tab w:val="left" w:pos="567"/>
        </w:tabs>
        <w:rPr>
          <w:sz w:val="22"/>
          <w:szCs w:val="22"/>
        </w:rPr>
      </w:pPr>
      <w:proofErr w:type="spellStart"/>
      <w:r>
        <w:rPr>
          <w:sz w:val="22"/>
          <w:szCs w:val="22"/>
        </w:rPr>
        <w:t>Linagliptino</w:t>
      </w:r>
      <w:proofErr w:type="spellEnd"/>
      <w:r>
        <w:rPr>
          <w:sz w:val="22"/>
          <w:szCs w:val="22"/>
        </w:rPr>
        <w:t>/</w:t>
      </w:r>
      <w:proofErr w:type="spellStart"/>
      <w:r>
        <w:rPr>
          <w:sz w:val="22"/>
          <w:szCs w:val="22"/>
        </w:rPr>
        <w:t>metformino</w:t>
      </w:r>
      <w:proofErr w:type="spellEnd"/>
      <w:r>
        <w:rPr>
          <w:sz w:val="22"/>
          <w:szCs w:val="22"/>
        </w:rPr>
        <w:t xml:space="preserve"> vartojant kartu su </w:t>
      </w:r>
      <w:proofErr w:type="spellStart"/>
      <w:r>
        <w:rPr>
          <w:sz w:val="22"/>
          <w:szCs w:val="22"/>
        </w:rPr>
        <w:t>sulfonilurėjos</w:t>
      </w:r>
      <w:proofErr w:type="spellEnd"/>
      <w:r>
        <w:rPr>
          <w:sz w:val="22"/>
          <w:szCs w:val="22"/>
        </w:rPr>
        <w:t xml:space="preserve"> dariniu, gali pasireikšti hipoglikemija (</w:t>
      </w:r>
      <w:r w:rsidRPr="00A6463E">
        <w:rPr>
          <w:sz w:val="22"/>
          <w:szCs w:val="22"/>
          <w:lang w:eastAsia="en-US"/>
        </w:rPr>
        <w:t>≥ </w:t>
      </w:r>
      <w:r>
        <w:rPr>
          <w:sz w:val="22"/>
          <w:szCs w:val="22"/>
        </w:rPr>
        <w:t>1 atvejis 10 pacientų).</w:t>
      </w:r>
    </w:p>
    <w:p w14:paraId="33CDD6A7" w14:textId="77777777" w:rsidR="003F7CCA" w:rsidRDefault="003F7CCA">
      <w:pPr>
        <w:tabs>
          <w:tab w:val="left" w:pos="567"/>
        </w:tabs>
        <w:rPr>
          <w:iCs/>
          <w:snapToGrid w:val="0"/>
          <w:sz w:val="22"/>
          <w:szCs w:val="22"/>
          <w:lang w:eastAsia="lt-LT"/>
        </w:rPr>
      </w:pPr>
    </w:p>
    <w:p w14:paraId="7AB0A2C6" w14:textId="77777777" w:rsidR="003F7CCA" w:rsidRDefault="0080197E">
      <w:pPr>
        <w:tabs>
          <w:tab w:val="left" w:pos="567"/>
        </w:tabs>
        <w:rPr>
          <w:iCs/>
          <w:snapToGrid w:val="0"/>
          <w:sz w:val="22"/>
          <w:szCs w:val="22"/>
          <w:lang w:eastAsia="lt-LT"/>
        </w:rPr>
      </w:pPr>
      <w:r>
        <w:rPr>
          <w:iCs/>
          <w:snapToGrid w:val="0"/>
          <w:sz w:val="22"/>
          <w:szCs w:val="22"/>
          <w:lang w:eastAsia="lt-LT"/>
        </w:rPr>
        <w:t>Nepageidaujamų reakcijų santrauka lentelėje</w:t>
      </w:r>
    </w:p>
    <w:p w14:paraId="65618B86" w14:textId="77777777" w:rsidR="003F7CCA" w:rsidRDefault="0080197E">
      <w:pPr>
        <w:widowControl w:val="0"/>
        <w:tabs>
          <w:tab w:val="num" w:pos="1843"/>
        </w:tabs>
        <w:spacing w:line="260" w:lineRule="exact"/>
        <w:rPr>
          <w:sz w:val="22"/>
          <w:szCs w:val="22"/>
        </w:rPr>
      </w:pPr>
      <w:r>
        <w:rPr>
          <w:sz w:val="22"/>
          <w:szCs w:val="22"/>
        </w:rPr>
        <w:t xml:space="preserve">Nepageidaujamos reakcijos, pastebėtos visų klinikinių tyrimų metu skiriant </w:t>
      </w:r>
      <w:proofErr w:type="spellStart"/>
      <w:r>
        <w:rPr>
          <w:sz w:val="22"/>
          <w:szCs w:val="22"/>
        </w:rPr>
        <w:t>linagliptino</w:t>
      </w:r>
      <w:proofErr w:type="spellEnd"/>
      <w:r>
        <w:rPr>
          <w:sz w:val="22"/>
          <w:szCs w:val="22"/>
        </w:rPr>
        <w:t xml:space="preserve"> derinį su </w:t>
      </w:r>
      <w:proofErr w:type="spellStart"/>
      <w:r>
        <w:rPr>
          <w:sz w:val="22"/>
          <w:szCs w:val="22"/>
        </w:rPr>
        <w:t>metforminu</w:t>
      </w:r>
      <w:proofErr w:type="spellEnd"/>
      <w:r>
        <w:rPr>
          <w:sz w:val="22"/>
          <w:szCs w:val="22"/>
        </w:rPr>
        <w:t xml:space="preserve"> ar skiriant atskirus komponentus pavieniui (</w:t>
      </w:r>
      <w:proofErr w:type="spellStart"/>
      <w:r>
        <w:rPr>
          <w:sz w:val="22"/>
          <w:szCs w:val="22"/>
        </w:rPr>
        <w:t>linagliptiną</w:t>
      </w:r>
      <w:proofErr w:type="spellEnd"/>
      <w:r>
        <w:rPr>
          <w:sz w:val="22"/>
          <w:szCs w:val="22"/>
        </w:rPr>
        <w:t xml:space="preserve"> arba </w:t>
      </w:r>
      <w:proofErr w:type="spellStart"/>
      <w:r>
        <w:rPr>
          <w:sz w:val="22"/>
          <w:szCs w:val="22"/>
        </w:rPr>
        <w:t>metforminą</w:t>
      </w:r>
      <w:proofErr w:type="spellEnd"/>
      <w:r>
        <w:rPr>
          <w:sz w:val="22"/>
          <w:szCs w:val="22"/>
        </w:rPr>
        <w:t xml:space="preserve">) klinikinių tyrimų metu arba </w:t>
      </w:r>
      <w:proofErr w:type="spellStart"/>
      <w:r>
        <w:rPr>
          <w:sz w:val="22"/>
          <w:szCs w:val="22"/>
        </w:rPr>
        <w:t>poregistraciniu</w:t>
      </w:r>
      <w:proofErr w:type="spellEnd"/>
      <w:r>
        <w:rPr>
          <w:sz w:val="22"/>
          <w:szCs w:val="22"/>
        </w:rPr>
        <w:t xml:space="preserve"> laikotarpiu, yra išvardytos toliau pagal organų sistemų klases. </w:t>
      </w:r>
      <w:r>
        <w:rPr>
          <w:sz w:val="22"/>
          <w:szCs w:val="22"/>
        </w:rPr>
        <w:lastRenderedPageBreak/>
        <w:t>Nepageidaujamos reakcijos, apie kurias anksčiau pranešta vartojant vieną iš atskirų veikliųjų medžiagų, gali pasireikšti ir vartojant šį vaistinį preparatą, nors jų nebuvo stebėta šio vaistinio preparato klinikinių tyrimų metu.</w:t>
      </w:r>
    </w:p>
    <w:p w14:paraId="6A328EC9" w14:textId="77777777" w:rsidR="003F7CCA" w:rsidRDefault="003F7CCA">
      <w:pPr>
        <w:widowControl w:val="0"/>
        <w:tabs>
          <w:tab w:val="num" w:pos="1843"/>
        </w:tabs>
        <w:spacing w:line="260" w:lineRule="exact"/>
        <w:rPr>
          <w:sz w:val="22"/>
          <w:szCs w:val="22"/>
        </w:rPr>
      </w:pPr>
    </w:p>
    <w:p w14:paraId="309C9F92" w14:textId="77777777" w:rsidR="003F7CCA" w:rsidRDefault="0080197E">
      <w:pPr>
        <w:widowControl w:val="0"/>
        <w:tabs>
          <w:tab w:val="num" w:pos="1843"/>
        </w:tabs>
        <w:spacing w:line="260" w:lineRule="exact"/>
        <w:rPr>
          <w:sz w:val="22"/>
          <w:szCs w:val="22"/>
          <w:lang w:eastAsia="sl-SI"/>
        </w:rPr>
      </w:pPr>
      <w:r>
        <w:rPr>
          <w:sz w:val="22"/>
          <w:szCs w:val="22"/>
          <w:lang w:eastAsia="en-US"/>
        </w:rPr>
        <w:t>Nepageidaujamo poveikio dažnis apibūdinamas taip: labai dažnas (≥ 1/10), dažnas (nuo ≥ 1/100 iki &lt; 1/10), nedažnas (nuo ≥ 1/1 000 iki &lt; 1/100), retas (nuo ≥ 1/10 000 iki &lt; 1/1 000), labai retas (&lt; 1/10 000) ir nežinomas (negali būti apskaičiuotas pagal turimus duomenis).&gt;</w:t>
      </w:r>
      <w:r>
        <w:rPr>
          <w:snapToGrid w:val="0"/>
          <w:sz w:val="22"/>
          <w:szCs w:val="22"/>
          <w:lang w:eastAsia="en-US"/>
        </w:rPr>
        <w:t>)</w:t>
      </w:r>
    </w:p>
    <w:p w14:paraId="03A262C2" w14:textId="77777777" w:rsidR="003F7CCA" w:rsidRPr="00A6463E" w:rsidRDefault="003F7CCA">
      <w:pPr>
        <w:ind w:left="1118" w:right="11" w:hanging="1133"/>
        <w:rPr>
          <w:sz w:val="22"/>
          <w:szCs w:val="22"/>
          <w:lang w:eastAsia="sl-SI"/>
        </w:rPr>
      </w:pPr>
    </w:p>
    <w:p w14:paraId="07B3613B" w14:textId="77777777" w:rsidR="003F7CCA" w:rsidRPr="00A6463E" w:rsidRDefault="0080197E">
      <w:pPr>
        <w:ind w:left="1118" w:right="11" w:hanging="1133"/>
        <w:rPr>
          <w:sz w:val="22"/>
          <w:szCs w:val="22"/>
          <w:lang w:eastAsia="sl-SI"/>
        </w:rPr>
      </w:pPr>
      <w:r w:rsidRPr="00A6463E">
        <w:rPr>
          <w:sz w:val="22"/>
          <w:szCs w:val="22"/>
          <w:lang w:eastAsia="sl-SI"/>
        </w:rPr>
        <w:t>2 lentel</w:t>
      </w:r>
      <w:r>
        <w:rPr>
          <w:sz w:val="22"/>
          <w:szCs w:val="22"/>
          <w:lang w:eastAsia="sl-SI"/>
        </w:rPr>
        <w:t>ė</w:t>
      </w:r>
      <w:r w:rsidRPr="00A6463E">
        <w:rPr>
          <w:sz w:val="22"/>
          <w:szCs w:val="22"/>
          <w:lang w:eastAsia="sl-SI"/>
        </w:rPr>
        <w:t>:</w:t>
      </w:r>
      <w:r w:rsidRPr="00A6463E">
        <w:rPr>
          <w:sz w:val="22"/>
          <w:szCs w:val="22"/>
          <w:lang w:eastAsia="sl-SI"/>
        </w:rPr>
        <w:tab/>
        <w:t xml:space="preserve">Nepageidaujamos reakcijos, pastebėtos vien </w:t>
      </w:r>
      <w:proofErr w:type="spellStart"/>
      <w:r w:rsidRPr="00A6463E">
        <w:rPr>
          <w:sz w:val="22"/>
          <w:szCs w:val="22"/>
          <w:lang w:eastAsia="sl-SI"/>
        </w:rPr>
        <w:t>linagliptiną</w:t>
      </w:r>
      <w:proofErr w:type="spellEnd"/>
      <w:r w:rsidRPr="00A6463E">
        <w:rPr>
          <w:sz w:val="22"/>
          <w:szCs w:val="22"/>
          <w:lang w:eastAsia="sl-SI"/>
        </w:rPr>
        <w:t xml:space="preserve"> ir </w:t>
      </w:r>
      <w:proofErr w:type="spellStart"/>
      <w:r w:rsidRPr="00A6463E">
        <w:rPr>
          <w:sz w:val="22"/>
          <w:szCs w:val="22"/>
          <w:lang w:eastAsia="sl-SI"/>
        </w:rPr>
        <w:t>metforminą</w:t>
      </w:r>
      <w:proofErr w:type="spellEnd"/>
      <w:r w:rsidRPr="00A6463E">
        <w:rPr>
          <w:sz w:val="22"/>
          <w:szCs w:val="22"/>
          <w:lang w:eastAsia="sl-SI"/>
        </w:rPr>
        <w:t xml:space="preserve"> (kaip atskirus komponentus pavieniui arba kaip derinį) ar kaip gydymo kitais vaistiniais preparatais nuo cukrinio diabeto papildymą vartojantiems pacientams klinikinių tyrimų bei </w:t>
      </w:r>
      <w:proofErr w:type="spellStart"/>
      <w:r w:rsidRPr="00A6463E">
        <w:rPr>
          <w:sz w:val="22"/>
          <w:szCs w:val="22"/>
          <w:lang w:eastAsia="sl-SI"/>
        </w:rPr>
        <w:t>poregistraciniu</w:t>
      </w:r>
      <w:proofErr w:type="spellEnd"/>
      <w:r w:rsidRPr="00A6463E">
        <w:rPr>
          <w:sz w:val="22"/>
          <w:szCs w:val="22"/>
          <w:lang w:eastAsia="sl-SI"/>
        </w:rPr>
        <w:t xml:space="preserve"> laikotarpiu</w:t>
      </w:r>
    </w:p>
    <w:p w14:paraId="07A5C31E" w14:textId="77777777" w:rsidR="003F7CCA" w:rsidRDefault="003F7CCA">
      <w:pPr>
        <w:tabs>
          <w:tab w:val="left" w:pos="567"/>
        </w:tabs>
        <w:rPr>
          <w:iCs/>
          <w:snapToGrid w:val="0"/>
          <w:sz w:val="22"/>
          <w:szCs w:val="22"/>
          <w:lang w:eastAsia="lt-LT"/>
        </w:rPr>
      </w:pPr>
    </w:p>
    <w:tbl>
      <w:tblPr>
        <w:tblStyle w:val="TableGrid2"/>
        <w:tblW w:w="9288" w:type="dxa"/>
        <w:tblInd w:w="-108" w:type="dxa"/>
        <w:tblCellMar>
          <w:top w:w="49" w:type="dxa"/>
          <w:left w:w="108" w:type="dxa"/>
          <w:right w:w="115" w:type="dxa"/>
        </w:tblCellMar>
        <w:tblLook w:val="04A0" w:firstRow="1" w:lastRow="0" w:firstColumn="1" w:lastColumn="0" w:noHBand="0" w:noVBand="1"/>
      </w:tblPr>
      <w:tblGrid>
        <w:gridCol w:w="4934"/>
        <w:gridCol w:w="4354"/>
      </w:tblGrid>
      <w:tr w:rsidR="003F7CCA" w14:paraId="5E8F1E3F" w14:textId="77777777">
        <w:trPr>
          <w:trHeight w:val="514"/>
        </w:trPr>
        <w:tc>
          <w:tcPr>
            <w:tcW w:w="4934" w:type="dxa"/>
            <w:tcBorders>
              <w:top w:val="single" w:sz="4" w:space="0" w:color="000000"/>
              <w:left w:val="single" w:sz="4" w:space="0" w:color="000000"/>
              <w:bottom w:val="single" w:sz="4" w:space="0" w:color="000000"/>
              <w:right w:val="single" w:sz="4" w:space="0" w:color="000000"/>
            </w:tcBorders>
            <w:shd w:val="clear" w:color="auto" w:fill="D0CECE"/>
          </w:tcPr>
          <w:p w14:paraId="7D3B0F97" w14:textId="77777777" w:rsidR="003F7CCA" w:rsidRDefault="0080197E">
            <w:pPr>
              <w:spacing w:line="259" w:lineRule="auto"/>
              <w:ind w:right="2203"/>
              <w:rPr>
                <w:lang w:eastAsia="sl-SI"/>
              </w:rPr>
            </w:pPr>
            <w:r>
              <w:rPr>
                <w:b/>
                <w:lang w:eastAsia="sl-SI"/>
              </w:rPr>
              <w:t>Organų sistemų klasė N</w:t>
            </w:r>
            <w:r>
              <w:rPr>
                <w:bCs/>
                <w:lang w:eastAsia="sl-SI"/>
              </w:rPr>
              <w:t>epageidaujama reakcija</w:t>
            </w:r>
          </w:p>
        </w:tc>
        <w:tc>
          <w:tcPr>
            <w:tcW w:w="4354" w:type="dxa"/>
            <w:tcBorders>
              <w:top w:val="single" w:sz="4" w:space="0" w:color="000000"/>
              <w:left w:val="single" w:sz="4" w:space="0" w:color="000000"/>
              <w:bottom w:val="single" w:sz="4" w:space="0" w:color="000000"/>
              <w:right w:val="single" w:sz="4" w:space="0" w:color="000000"/>
            </w:tcBorders>
            <w:shd w:val="clear" w:color="auto" w:fill="D0CECE"/>
          </w:tcPr>
          <w:p w14:paraId="5DD20ED0" w14:textId="77777777" w:rsidR="003F7CCA" w:rsidRDefault="0080197E">
            <w:pPr>
              <w:spacing w:line="259" w:lineRule="auto"/>
              <w:ind w:left="5"/>
              <w:jc w:val="center"/>
              <w:rPr>
                <w:lang w:eastAsia="sl-SI"/>
              </w:rPr>
            </w:pPr>
            <w:r>
              <w:rPr>
                <w:b/>
                <w:lang w:eastAsia="sl-SI"/>
              </w:rPr>
              <w:t>Nepageidaujamos reakcijos dažnis</w:t>
            </w:r>
          </w:p>
        </w:tc>
      </w:tr>
      <w:tr w:rsidR="003F7CCA" w14:paraId="639A2451"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33884B2D" w14:textId="77777777" w:rsidR="003F7CCA" w:rsidRDefault="0080197E">
            <w:pPr>
              <w:spacing w:line="259" w:lineRule="auto"/>
              <w:rPr>
                <w:lang w:eastAsia="sl-SI"/>
              </w:rPr>
            </w:pPr>
            <w:r>
              <w:rPr>
                <w:b/>
                <w:lang w:eastAsia="sl-SI"/>
              </w:rPr>
              <w:t>Infekcijos ir infestacijos</w:t>
            </w:r>
          </w:p>
        </w:tc>
        <w:tc>
          <w:tcPr>
            <w:tcW w:w="4354" w:type="dxa"/>
            <w:tcBorders>
              <w:top w:val="single" w:sz="4" w:space="0" w:color="000000"/>
              <w:left w:val="single" w:sz="4" w:space="0" w:color="000000"/>
              <w:bottom w:val="single" w:sz="4" w:space="0" w:color="000000"/>
              <w:right w:val="single" w:sz="4" w:space="0" w:color="000000"/>
            </w:tcBorders>
          </w:tcPr>
          <w:p w14:paraId="0EB8D398" w14:textId="77777777" w:rsidR="003F7CCA" w:rsidRDefault="003F7CCA">
            <w:pPr>
              <w:spacing w:after="160" w:line="259" w:lineRule="auto"/>
              <w:rPr>
                <w:lang w:eastAsia="sl-SI"/>
              </w:rPr>
            </w:pPr>
          </w:p>
        </w:tc>
      </w:tr>
      <w:tr w:rsidR="003F7CCA" w14:paraId="43A7EB2C"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2B7016D0" w14:textId="77777777" w:rsidR="003F7CCA" w:rsidRDefault="0080197E">
            <w:pPr>
              <w:spacing w:line="259" w:lineRule="auto"/>
              <w:rPr>
                <w:lang w:eastAsia="sl-SI"/>
              </w:rPr>
            </w:pPr>
            <w:r>
              <w:rPr>
                <w:lang w:eastAsia="sl-SI"/>
              </w:rPr>
              <w:t>Nazofaringitas</w:t>
            </w:r>
          </w:p>
        </w:tc>
        <w:tc>
          <w:tcPr>
            <w:tcW w:w="4354" w:type="dxa"/>
            <w:tcBorders>
              <w:top w:val="single" w:sz="4" w:space="0" w:color="000000"/>
              <w:left w:val="single" w:sz="4" w:space="0" w:color="000000"/>
              <w:bottom w:val="single" w:sz="4" w:space="0" w:color="000000"/>
              <w:right w:val="single" w:sz="4" w:space="0" w:color="000000"/>
            </w:tcBorders>
          </w:tcPr>
          <w:p w14:paraId="0627E5CF" w14:textId="77777777" w:rsidR="003F7CCA" w:rsidRDefault="0080197E">
            <w:pPr>
              <w:spacing w:line="259" w:lineRule="auto"/>
              <w:ind w:left="3"/>
              <w:jc w:val="center"/>
              <w:rPr>
                <w:lang w:eastAsia="sl-SI"/>
              </w:rPr>
            </w:pPr>
            <w:r>
              <w:rPr>
                <w:lang w:eastAsia="sl-SI"/>
              </w:rPr>
              <w:t>nedažnas</w:t>
            </w:r>
          </w:p>
        </w:tc>
      </w:tr>
      <w:tr w:rsidR="003F7CCA" w14:paraId="4E913809"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1BF5E0EF" w14:textId="77777777" w:rsidR="003F7CCA" w:rsidRDefault="0080197E">
            <w:pPr>
              <w:spacing w:line="259" w:lineRule="auto"/>
              <w:rPr>
                <w:lang w:eastAsia="sl-SI"/>
              </w:rPr>
            </w:pPr>
            <w:r>
              <w:rPr>
                <w:b/>
                <w:lang w:eastAsia="sl-SI"/>
              </w:rPr>
              <w:t>Imuninės sistemos sutrikimas</w:t>
            </w:r>
          </w:p>
        </w:tc>
        <w:tc>
          <w:tcPr>
            <w:tcW w:w="4354" w:type="dxa"/>
            <w:tcBorders>
              <w:top w:val="single" w:sz="4" w:space="0" w:color="000000"/>
              <w:left w:val="single" w:sz="4" w:space="0" w:color="000000"/>
              <w:bottom w:val="single" w:sz="4" w:space="0" w:color="000000"/>
              <w:right w:val="single" w:sz="4" w:space="0" w:color="000000"/>
            </w:tcBorders>
          </w:tcPr>
          <w:p w14:paraId="42C30485" w14:textId="77777777" w:rsidR="003F7CCA" w:rsidRDefault="003F7CCA">
            <w:pPr>
              <w:spacing w:after="160" w:line="259" w:lineRule="auto"/>
              <w:rPr>
                <w:lang w:eastAsia="sl-SI"/>
              </w:rPr>
            </w:pPr>
          </w:p>
        </w:tc>
      </w:tr>
      <w:tr w:rsidR="003F7CCA" w14:paraId="15956D3B" w14:textId="77777777">
        <w:trPr>
          <w:trHeight w:val="516"/>
        </w:trPr>
        <w:tc>
          <w:tcPr>
            <w:tcW w:w="4934" w:type="dxa"/>
            <w:tcBorders>
              <w:top w:val="single" w:sz="4" w:space="0" w:color="000000"/>
              <w:left w:val="single" w:sz="4" w:space="0" w:color="000000"/>
              <w:bottom w:val="single" w:sz="4" w:space="0" w:color="000000"/>
              <w:right w:val="single" w:sz="4" w:space="0" w:color="000000"/>
            </w:tcBorders>
          </w:tcPr>
          <w:p w14:paraId="341F8351" w14:textId="77777777" w:rsidR="003F7CCA" w:rsidRDefault="0080197E">
            <w:pPr>
              <w:spacing w:line="259" w:lineRule="auto"/>
              <w:rPr>
                <w:lang w:eastAsia="sl-SI"/>
              </w:rPr>
            </w:pPr>
            <w:r>
              <w:rPr>
                <w:lang w:eastAsia="sl-SI"/>
              </w:rPr>
              <w:t>Padidėjęs jautrumas (pvz., bronchų hiperaktyvumas)</w:t>
            </w:r>
          </w:p>
        </w:tc>
        <w:tc>
          <w:tcPr>
            <w:tcW w:w="4354" w:type="dxa"/>
            <w:tcBorders>
              <w:top w:val="single" w:sz="4" w:space="0" w:color="000000"/>
              <w:left w:val="single" w:sz="4" w:space="0" w:color="000000"/>
              <w:bottom w:val="single" w:sz="4" w:space="0" w:color="000000"/>
              <w:right w:val="single" w:sz="4" w:space="0" w:color="000000"/>
            </w:tcBorders>
          </w:tcPr>
          <w:p w14:paraId="37FD904B" w14:textId="77777777" w:rsidR="003F7CCA" w:rsidRDefault="0080197E">
            <w:pPr>
              <w:spacing w:line="259" w:lineRule="auto"/>
              <w:ind w:left="3"/>
              <w:jc w:val="center"/>
              <w:rPr>
                <w:lang w:eastAsia="sl-SI"/>
              </w:rPr>
            </w:pPr>
            <w:r>
              <w:rPr>
                <w:lang w:eastAsia="sl-SI"/>
              </w:rPr>
              <w:t>nedažnas</w:t>
            </w:r>
          </w:p>
        </w:tc>
      </w:tr>
      <w:tr w:rsidR="003F7CCA" w14:paraId="08351FA9"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208C3E10" w14:textId="77777777" w:rsidR="003F7CCA" w:rsidRDefault="0080197E">
            <w:pPr>
              <w:spacing w:line="259" w:lineRule="auto"/>
              <w:rPr>
                <w:lang w:eastAsia="sl-SI"/>
              </w:rPr>
            </w:pPr>
            <w:r>
              <w:rPr>
                <w:b/>
                <w:lang w:eastAsia="sl-SI"/>
              </w:rPr>
              <w:t>Metabolizmo ir mitybos sutrikimai</w:t>
            </w:r>
          </w:p>
        </w:tc>
        <w:tc>
          <w:tcPr>
            <w:tcW w:w="4354" w:type="dxa"/>
            <w:tcBorders>
              <w:top w:val="single" w:sz="4" w:space="0" w:color="000000"/>
              <w:left w:val="single" w:sz="4" w:space="0" w:color="000000"/>
              <w:bottom w:val="single" w:sz="4" w:space="0" w:color="000000"/>
              <w:right w:val="single" w:sz="4" w:space="0" w:color="000000"/>
            </w:tcBorders>
          </w:tcPr>
          <w:p w14:paraId="3F35A62F" w14:textId="77777777" w:rsidR="003F7CCA" w:rsidRDefault="003F7CCA">
            <w:pPr>
              <w:spacing w:after="160" w:line="259" w:lineRule="auto"/>
              <w:rPr>
                <w:lang w:eastAsia="sl-SI"/>
              </w:rPr>
            </w:pPr>
          </w:p>
        </w:tc>
      </w:tr>
      <w:tr w:rsidR="003F7CCA" w14:paraId="2E3F8610"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790C4DEA" w14:textId="77777777" w:rsidR="003F7CCA" w:rsidRDefault="0080197E">
            <w:pPr>
              <w:spacing w:line="259" w:lineRule="auto"/>
              <w:rPr>
                <w:lang w:eastAsia="sl-SI"/>
              </w:rPr>
            </w:pPr>
            <w:r>
              <w:rPr>
                <w:lang w:eastAsia="sl-SI"/>
              </w:rPr>
              <w:t xml:space="preserve">Hipoglikemija </w:t>
            </w:r>
            <w:r>
              <w:rPr>
                <w:vertAlign w:val="superscript"/>
                <w:lang w:eastAsia="sl-SI"/>
              </w:rPr>
              <w:t>1</w:t>
            </w:r>
          </w:p>
        </w:tc>
        <w:tc>
          <w:tcPr>
            <w:tcW w:w="4354" w:type="dxa"/>
            <w:tcBorders>
              <w:top w:val="single" w:sz="4" w:space="0" w:color="000000"/>
              <w:left w:val="single" w:sz="4" w:space="0" w:color="000000"/>
              <w:bottom w:val="single" w:sz="4" w:space="0" w:color="000000"/>
              <w:right w:val="single" w:sz="4" w:space="0" w:color="000000"/>
            </w:tcBorders>
          </w:tcPr>
          <w:p w14:paraId="6815FAB3" w14:textId="77777777" w:rsidR="003F7CCA" w:rsidRDefault="0080197E">
            <w:pPr>
              <w:spacing w:line="259" w:lineRule="auto"/>
              <w:ind w:left="3"/>
              <w:jc w:val="center"/>
              <w:rPr>
                <w:lang w:eastAsia="sl-SI"/>
              </w:rPr>
            </w:pPr>
            <w:r>
              <w:rPr>
                <w:lang w:eastAsia="sl-SI"/>
              </w:rPr>
              <w:t>labai dažnas</w:t>
            </w:r>
          </w:p>
        </w:tc>
      </w:tr>
      <w:tr w:rsidR="003F7CCA" w14:paraId="0E203968"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5606CFE7" w14:textId="77777777" w:rsidR="003F7CCA" w:rsidRDefault="0080197E">
            <w:pPr>
              <w:spacing w:line="259" w:lineRule="auto"/>
              <w:rPr>
                <w:lang w:eastAsia="sl-SI"/>
              </w:rPr>
            </w:pPr>
            <w:r>
              <w:rPr>
                <w:lang w:eastAsia="sl-SI"/>
              </w:rPr>
              <w:t xml:space="preserve">Pieno rūgšties acidozė </w:t>
            </w:r>
            <w:r>
              <w:rPr>
                <w:vertAlign w:val="superscript"/>
                <w:lang w:eastAsia="sl-SI"/>
              </w:rPr>
              <w:t>§</w:t>
            </w:r>
          </w:p>
        </w:tc>
        <w:tc>
          <w:tcPr>
            <w:tcW w:w="4354" w:type="dxa"/>
            <w:tcBorders>
              <w:top w:val="single" w:sz="4" w:space="0" w:color="000000"/>
              <w:left w:val="single" w:sz="4" w:space="0" w:color="000000"/>
              <w:bottom w:val="single" w:sz="4" w:space="0" w:color="000000"/>
              <w:right w:val="single" w:sz="4" w:space="0" w:color="000000"/>
            </w:tcBorders>
          </w:tcPr>
          <w:p w14:paraId="5E62C4AE" w14:textId="77777777" w:rsidR="003F7CCA" w:rsidRDefault="0080197E">
            <w:pPr>
              <w:spacing w:line="259" w:lineRule="auto"/>
              <w:ind w:left="5"/>
              <w:jc w:val="center"/>
              <w:rPr>
                <w:lang w:eastAsia="sl-SI"/>
              </w:rPr>
            </w:pPr>
            <w:r>
              <w:rPr>
                <w:lang w:eastAsia="sl-SI"/>
              </w:rPr>
              <w:t>labai retas</w:t>
            </w:r>
          </w:p>
        </w:tc>
      </w:tr>
      <w:tr w:rsidR="003F7CCA" w14:paraId="4038DAC1"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0546F75E" w14:textId="77777777" w:rsidR="003F7CCA" w:rsidRDefault="0080197E">
            <w:pPr>
              <w:spacing w:line="259" w:lineRule="auto"/>
              <w:rPr>
                <w:lang w:eastAsia="sl-SI"/>
              </w:rPr>
            </w:pPr>
            <w:r>
              <w:rPr>
                <w:lang w:eastAsia="sl-SI"/>
              </w:rPr>
              <w:t xml:space="preserve">Vitamino B12 sumažėjimas / stoka </w:t>
            </w:r>
            <w:r>
              <w:rPr>
                <w:vertAlign w:val="superscript"/>
                <w:lang w:eastAsia="sl-SI"/>
              </w:rPr>
              <w:t>§, †</w:t>
            </w:r>
          </w:p>
        </w:tc>
        <w:tc>
          <w:tcPr>
            <w:tcW w:w="4354" w:type="dxa"/>
            <w:tcBorders>
              <w:top w:val="single" w:sz="4" w:space="0" w:color="000000"/>
              <w:left w:val="single" w:sz="4" w:space="0" w:color="000000"/>
              <w:bottom w:val="single" w:sz="4" w:space="0" w:color="000000"/>
              <w:right w:val="single" w:sz="4" w:space="0" w:color="000000"/>
            </w:tcBorders>
          </w:tcPr>
          <w:p w14:paraId="0E8C878D" w14:textId="77777777" w:rsidR="003F7CCA" w:rsidRDefault="0080197E">
            <w:pPr>
              <w:spacing w:line="259" w:lineRule="auto"/>
              <w:ind w:left="3"/>
              <w:jc w:val="center"/>
              <w:rPr>
                <w:lang w:eastAsia="sl-SI"/>
              </w:rPr>
            </w:pPr>
            <w:r>
              <w:rPr>
                <w:lang w:eastAsia="sl-SI"/>
              </w:rPr>
              <w:t>dažnas</w:t>
            </w:r>
          </w:p>
        </w:tc>
      </w:tr>
      <w:tr w:rsidR="003F7CCA" w14:paraId="70E9C4B6"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602CF03C" w14:textId="77777777" w:rsidR="003F7CCA" w:rsidRDefault="0080197E">
            <w:pPr>
              <w:spacing w:line="259" w:lineRule="auto"/>
              <w:rPr>
                <w:lang w:eastAsia="sl-SI"/>
              </w:rPr>
            </w:pPr>
            <w:r>
              <w:rPr>
                <w:b/>
                <w:lang w:eastAsia="sl-SI"/>
              </w:rPr>
              <w:t>Nervų sistemos sutrikimai</w:t>
            </w:r>
          </w:p>
        </w:tc>
        <w:tc>
          <w:tcPr>
            <w:tcW w:w="4354" w:type="dxa"/>
            <w:tcBorders>
              <w:top w:val="single" w:sz="4" w:space="0" w:color="000000"/>
              <w:left w:val="single" w:sz="4" w:space="0" w:color="000000"/>
              <w:bottom w:val="single" w:sz="4" w:space="0" w:color="000000"/>
              <w:right w:val="single" w:sz="4" w:space="0" w:color="000000"/>
            </w:tcBorders>
          </w:tcPr>
          <w:p w14:paraId="37090AA2" w14:textId="77777777" w:rsidR="003F7CCA" w:rsidRDefault="003F7CCA">
            <w:pPr>
              <w:spacing w:after="160" w:line="259" w:lineRule="auto"/>
              <w:rPr>
                <w:lang w:eastAsia="sl-SI"/>
              </w:rPr>
            </w:pPr>
          </w:p>
        </w:tc>
      </w:tr>
      <w:tr w:rsidR="003F7CCA" w14:paraId="47CAA667"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532C6E7B" w14:textId="77777777" w:rsidR="003F7CCA" w:rsidRDefault="0080197E">
            <w:pPr>
              <w:spacing w:line="259" w:lineRule="auto"/>
              <w:rPr>
                <w:lang w:eastAsia="sl-SI"/>
              </w:rPr>
            </w:pPr>
            <w:r>
              <w:rPr>
                <w:lang w:eastAsia="sl-SI"/>
              </w:rPr>
              <w:t xml:space="preserve">Skonio sutrikimas </w:t>
            </w:r>
            <w:r>
              <w:rPr>
                <w:vertAlign w:val="superscript"/>
                <w:lang w:eastAsia="sl-SI"/>
              </w:rPr>
              <w:t>§</w:t>
            </w:r>
          </w:p>
        </w:tc>
        <w:tc>
          <w:tcPr>
            <w:tcW w:w="4354" w:type="dxa"/>
            <w:tcBorders>
              <w:top w:val="single" w:sz="4" w:space="0" w:color="000000"/>
              <w:left w:val="single" w:sz="4" w:space="0" w:color="000000"/>
              <w:bottom w:val="single" w:sz="4" w:space="0" w:color="000000"/>
              <w:right w:val="single" w:sz="4" w:space="0" w:color="000000"/>
            </w:tcBorders>
          </w:tcPr>
          <w:p w14:paraId="6A9741F8" w14:textId="77777777" w:rsidR="003F7CCA" w:rsidRDefault="0080197E">
            <w:pPr>
              <w:spacing w:line="259" w:lineRule="auto"/>
              <w:ind w:left="3"/>
              <w:jc w:val="center"/>
              <w:rPr>
                <w:lang w:eastAsia="sl-SI"/>
              </w:rPr>
            </w:pPr>
            <w:r>
              <w:rPr>
                <w:lang w:eastAsia="sl-SI"/>
              </w:rPr>
              <w:t>dažnas</w:t>
            </w:r>
          </w:p>
        </w:tc>
      </w:tr>
      <w:tr w:rsidR="003F7CCA" w14:paraId="549CF712"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445E990E" w14:textId="77777777" w:rsidR="003F7CCA" w:rsidRDefault="0080197E">
            <w:pPr>
              <w:spacing w:line="259" w:lineRule="auto"/>
              <w:rPr>
                <w:lang w:eastAsia="sl-SI"/>
              </w:rPr>
            </w:pPr>
            <w:r>
              <w:rPr>
                <w:b/>
                <w:lang w:eastAsia="sl-SI"/>
              </w:rPr>
              <w:t>Kvėpavimo sistemos, krūtinės ląstos ir tarpuplaučio sutrikimai</w:t>
            </w:r>
          </w:p>
        </w:tc>
        <w:tc>
          <w:tcPr>
            <w:tcW w:w="4354" w:type="dxa"/>
            <w:tcBorders>
              <w:top w:val="single" w:sz="4" w:space="0" w:color="000000"/>
              <w:left w:val="single" w:sz="4" w:space="0" w:color="000000"/>
              <w:bottom w:val="single" w:sz="4" w:space="0" w:color="000000"/>
              <w:right w:val="single" w:sz="4" w:space="0" w:color="000000"/>
            </w:tcBorders>
          </w:tcPr>
          <w:p w14:paraId="7C228D8B" w14:textId="77777777" w:rsidR="003F7CCA" w:rsidRDefault="003F7CCA">
            <w:pPr>
              <w:spacing w:after="160" w:line="259" w:lineRule="auto"/>
              <w:rPr>
                <w:lang w:eastAsia="sl-SI"/>
              </w:rPr>
            </w:pPr>
          </w:p>
        </w:tc>
      </w:tr>
      <w:tr w:rsidR="003F7CCA" w14:paraId="68BB24C0"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24BF44D5" w14:textId="77777777" w:rsidR="003F7CCA" w:rsidRDefault="0080197E">
            <w:pPr>
              <w:spacing w:line="259" w:lineRule="auto"/>
              <w:rPr>
                <w:lang w:eastAsia="sl-SI"/>
              </w:rPr>
            </w:pPr>
            <w:r>
              <w:rPr>
                <w:lang w:eastAsia="sl-SI"/>
              </w:rPr>
              <w:t>Kosulys</w:t>
            </w:r>
          </w:p>
        </w:tc>
        <w:tc>
          <w:tcPr>
            <w:tcW w:w="4354" w:type="dxa"/>
            <w:tcBorders>
              <w:top w:val="single" w:sz="4" w:space="0" w:color="000000"/>
              <w:left w:val="single" w:sz="4" w:space="0" w:color="000000"/>
              <w:bottom w:val="single" w:sz="4" w:space="0" w:color="000000"/>
              <w:right w:val="single" w:sz="4" w:space="0" w:color="000000"/>
            </w:tcBorders>
          </w:tcPr>
          <w:p w14:paraId="58C06A4E" w14:textId="77777777" w:rsidR="003F7CCA" w:rsidRDefault="0080197E">
            <w:pPr>
              <w:spacing w:line="259" w:lineRule="auto"/>
              <w:ind w:left="3"/>
              <w:jc w:val="center"/>
              <w:rPr>
                <w:lang w:eastAsia="sl-SI"/>
              </w:rPr>
            </w:pPr>
            <w:r>
              <w:rPr>
                <w:lang w:eastAsia="sl-SI"/>
              </w:rPr>
              <w:t>nedažnas</w:t>
            </w:r>
          </w:p>
        </w:tc>
      </w:tr>
      <w:tr w:rsidR="003F7CCA" w14:paraId="6235630F"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6E7DC199" w14:textId="77777777" w:rsidR="003F7CCA" w:rsidRDefault="0080197E">
            <w:pPr>
              <w:spacing w:line="259" w:lineRule="auto"/>
              <w:rPr>
                <w:lang w:eastAsia="sl-SI"/>
              </w:rPr>
            </w:pPr>
            <w:r>
              <w:rPr>
                <w:b/>
                <w:lang w:eastAsia="sl-SI"/>
              </w:rPr>
              <w:t>Virškinimo trakto sutrikimai</w:t>
            </w:r>
          </w:p>
        </w:tc>
        <w:tc>
          <w:tcPr>
            <w:tcW w:w="4354" w:type="dxa"/>
            <w:tcBorders>
              <w:top w:val="single" w:sz="4" w:space="0" w:color="000000"/>
              <w:left w:val="single" w:sz="4" w:space="0" w:color="000000"/>
              <w:bottom w:val="single" w:sz="4" w:space="0" w:color="000000"/>
              <w:right w:val="single" w:sz="4" w:space="0" w:color="000000"/>
            </w:tcBorders>
          </w:tcPr>
          <w:p w14:paraId="69790157" w14:textId="77777777" w:rsidR="003F7CCA" w:rsidRDefault="003F7CCA">
            <w:pPr>
              <w:spacing w:after="160" w:line="259" w:lineRule="auto"/>
              <w:rPr>
                <w:lang w:eastAsia="sl-SI"/>
              </w:rPr>
            </w:pPr>
          </w:p>
        </w:tc>
      </w:tr>
      <w:tr w:rsidR="003F7CCA" w14:paraId="453F4B81"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35262B57" w14:textId="77777777" w:rsidR="003F7CCA" w:rsidRDefault="0080197E">
            <w:pPr>
              <w:spacing w:line="259" w:lineRule="auto"/>
              <w:rPr>
                <w:lang w:eastAsia="sl-SI"/>
              </w:rPr>
            </w:pPr>
            <w:r>
              <w:rPr>
                <w:lang w:eastAsia="sl-SI"/>
              </w:rPr>
              <w:t>Apetito sumažėjimas</w:t>
            </w:r>
          </w:p>
        </w:tc>
        <w:tc>
          <w:tcPr>
            <w:tcW w:w="4354" w:type="dxa"/>
            <w:tcBorders>
              <w:top w:val="single" w:sz="4" w:space="0" w:color="000000"/>
              <w:left w:val="single" w:sz="4" w:space="0" w:color="000000"/>
              <w:bottom w:val="single" w:sz="4" w:space="0" w:color="000000"/>
              <w:right w:val="single" w:sz="4" w:space="0" w:color="000000"/>
            </w:tcBorders>
          </w:tcPr>
          <w:p w14:paraId="145969DF" w14:textId="77777777" w:rsidR="003F7CCA" w:rsidRDefault="0080197E">
            <w:pPr>
              <w:spacing w:line="259" w:lineRule="auto"/>
              <w:ind w:left="3"/>
              <w:jc w:val="center"/>
              <w:rPr>
                <w:lang w:eastAsia="sl-SI"/>
              </w:rPr>
            </w:pPr>
            <w:r>
              <w:rPr>
                <w:lang w:eastAsia="sl-SI"/>
              </w:rPr>
              <w:t>nedažnas</w:t>
            </w:r>
          </w:p>
        </w:tc>
      </w:tr>
      <w:tr w:rsidR="003F7CCA" w14:paraId="7A0FBABC"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2840763F" w14:textId="77777777" w:rsidR="003F7CCA" w:rsidRDefault="0080197E">
            <w:pPr>
              <w:spacing w:line="259" w:lineRule="auto"/>
              <w:rPr>
                <w:lang w:eastAsia="sl-SI"/>
              </w:rPr>
            </w:pPr>
            <w:r>
              <w:rPr>
                <w:lang w:eastAsia="sl-SI"/>
              </w:rPr>
              <w:t>Viduriavimas</w:t>
            </w:r>
          </w:p>
        </w:tc>
        <w:tc>
          <w:tcPr>
            <w:tcW w:w="4354" w:type="dxa"/>
            <w:tcBorders>
              <w:top w:val="single" w:sz="4" w:space="0" w:color="000000"/>
              <w:left w:val="single" w:sz="4" w:space="0" w:color="000000"/>
              <w:bottom w:val="single" w:sz="4" w:space="0" w:color="000000"/>
              <w:right w:val="single" w:sz="4" w:space="0" w:color="000000"/>
            </w:tcBorders>
          </w:tcPr>
          <w:p w14:paraId="4C051552" w14:textId="77777777" w:rsidR="003F7CCA" w:rsidRDefault="0080197E">
            <w:pPr>
              <w:spacing w:line="259" w:lineRule="auto"/>
              <w:ind w:left="3"/>
              <w:jc w:val="center"/>
              <w:rPr>
                <w:lang w:eastAsia="sl-SI"/>
              </w:rPr>
            </w:pPr>
            <w:r>
              <w:rPr>
                <w:lang w:eastAsia="sl-SI"/>
              </w:rPr>
              <w:t>dažnas</w:t>
            </w:r>
          </w:p>
        </w:tc>
      </w:tr>
      <w:tr w:rsidR="003F7CCA" w14:paraId="73793FB8"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487BB73B" w14:textId="77777777" w:rsidR="003F7CCA" w:rsidRDefault="0080197E">
            <w:pPr>
              <w:spacing w:line="259" w:lineRule="auto"/>
              <w:rPr>
                <w:lang w:eastAsia="sl-SI"/>
              </w:rPr>
            </w:pPr>
            <w:r>
              <w:rPr>
                <w:lang w:eastAsia="sl-SI"/>
              </w:rPr>
              <w:t>Pykinimas</w:t>
            </w:r>
          </w:p>
        </w:tc>
        <w:tc>
          <w:tcPr>
            <w:tcW w:w="4354" w:type="dxa"/>
            <w:tcBorders>
              <w:top w:val="single" w:sz="4" w:space="0" w:color="000000"/>
              <w:left w:val="single" w:sz="4" w:space="0" w:color="000000"/>
              <w:bottom w:val="single" w:sz="4" w:space="0" w:color="000000"/>
              <w:right w:val="single" w:sz="4" w:space="0" w:color="000000"/>
            </w:tcBorders>
          </w:tcPr>
          <w:p w14:paraId="4D3132DE" w14:textId="77777777" w:rsidR="003F7CCA" w:rsidRDefault="0080197E">
            <w:pPr>
              <w:spacing w:line="259" w:lineRule="auto"/>
              <w:ind w:left="3"/>
              <w:jc w:val="center"/>
              <w:rPr>
                <w:lang w:eastAsia="sl-SI"/>
              </w:rPr>
            </w:pPr>
            <w:r>
              <w:rPr>
                <w:lang w:eastAsia="sl-SI"/>
              </w:rPr>
              <w:t>dažnas</w:t>
            </w:r>
          </w:p>
        </w:tc>
      </w:tr>
      <w:tr w:rsidR="003F7CCA" w14:paraId="71568630"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0D8E6437" w14:textId="77777777" w:rsidR="003F7CCA" w:rsidRDefault="0080197E">
            <w:pPr>
              <w:spacing w:line="259" w:lineRule="auto"/>
              <w:rPr>
                <w:lang w:eastAsia="sl-SI"/>
              </w:rPr>
            </w:pPr>
            <w:r>
              <w:rPr>
                <w:lang w:eastAsia="sl-SI"/>
              </w:rPr>
              <w:t>Pankreatitas</w:t>
            </w:r>
          </w:p>
        </w:tc>
        <w:tc>
          <w:tcPr>
            <w:tcW w:w="4354" w:type="dxa"/>
            <w:tcBorders>
              <w:top w:val="single" w:sz="4" w:space="0" w:color="000000"/>
              <w:left w:val="single" w:sz="4" w:space="0" w:color="000000"/>
              <w:bottom w:val="single" w:sz="4" w:space="0" w:color="000000"/>
              <w:right w:val="single" w:sz="4" w:space="0" w:color="000000"/>
            </w:tcBorders>
          </w:tcPr>
          <w:p w14:paraId="2AA75AE3" w14:textId="77777777" w:rsidR="003F7CCA" w:rsidRDefault="0080197E">
            <w:pPr>
              <w:spacing w:line="259" w:lineRule="auto"/>
              <w:ind w:left="7"/>
              <w:jc w:val="center"/>
              <w:rPr>
                <w:lang w:eastAsia="sl-SI"/>
              </w:rPr>
            </w:pPr>
            <w:r>
              <w:rPr>
                <w:lang w:eastAsia="sl-SI"/>
              </w:rPr>
              <w:t xml:space="preserve">retas </w:t>
            </w:r>
            <w:r>
              <w:rPr>
                <w:vertAlign w:val="superscript"/>
                <w:lang w:eastAsia="sl-SI"/>
              </w:rPr>
              <w:t>#</w:t>
            </w:r>
          </w:p>
        </w:tc>
      </w:tr>
      <w:tr w:rsidR="003F7CCA" w14:paraId="08A991A0"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1F66C378" w14:textId="77777777" w:rsidR="003F7CCA" w:rsidRDefault="0080197E">
            <w:pPr>
              <w:spacing w:line="259" w:lineRule="auto"/>
              <w:rPr>
                <w:lang w:eastAsia="sl-SI"/>
              </w:rPr>
            </w:pPr>
            <w:r>
              <w:rPr>
                <w:lang w:eastAsia="sl-SI"/>
              </w:rPr>
              <w:t>Vėmimas</w:t>
            </w:r>
          </w:p>
        </w:tc>
        <w:tc>
          <w:tcPr>
            <w:tcW w:w="4354" w:type="dxa"/>
            <w:tcBorders>
              <w:top w:val="single" w:sz="4" w:space="0" w:color="000000"/>
              <w:left w:val="single" w:sz="4" w:space="0" w:color="000000"/>
              <w:bottom w:val="single" w:sz="4" w:space="0" w:color="000000"/>
              <w:right w:val="single" w:sz="4" w:space="0" w:color="000000"/>
            </w:tcBorders>
          </w:tcPr>
          <w:p w14:paraId="446598F4" w14:textId="77777777" w:rsidR="003F7CCA" w:rsidRDefault="0080197E">
            <w:pPr>
              <w:spacing w:line="259" w:lineRule="auto"/>
              <w:ind w:left="3"/>
              <w:jc w:val="center"/>
              <w:rPr>
                <w:lang w:eastAsia="sl-SI"/>
              </w:rPr>
            </w:pPr>
            <w:r>
              <w:rPr>
                <w:lang w:eastAsia="sl-SI"/>
              </w:rPr>
              <w:t>nedažnas</w:t>
            </w:r>
          </w:p>
        </w:tc>
      </w:tr>
      <w:tr w:rsidR="003F7CCA" w14:paraId="51BC0261"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6C445774" w14:textId="77777777" w:rsidR="003F7CCA" w:rsidRDefault="0080197E">
            <w:pPr>
              <w:spacing w:line="259" w:lineRule="auto"/>
              <w:rPr>
                <w:lang w:eastAsia="sl-SI"/>
              </w:rPr>
            </w:pPr>
            <w:r>
              <w:rPr>
                <w:lang w:eastAsia="sl-SI"/>
              </w:rPr>
              <w:t xml:space="preserve">Vidurių užkietėjimas </w:t>
            </w:r>
            <w:r>
              <w:rPr>
                <w:vertAlign w:val="superscript"/>
                <w:lang w:eastAsia="sl-SI"/>
              </w:rPr>
              <w:t>2</w:t>
            </w:r>
          </w:p>
        </w:tc>
        <w:tc>
          <w:tcPr>
            <w:tcW w:w="4354" w:type="dxa"/>
            <w:tcBorders>
              <w:top w:val="single" w:sz="4" w:space="0" w:color="000000"/>
              <w:left w:val="single" w:sz="4" w:space="0" w:color="000000"/>
              <w:bottom w:val="single" w:sz="4" w:space="0" w:color="000000"/>
              <w:right w:val="single" w:sz="4" w:space="0" w:color="000000"/>
            </w:tcBorders>
          </w:tcPr>
          <w:p w14:paraId="14DBDD0D" w14:textId="77777777" w:rsidR="003F7CCA" w:rsidRDefault="0080197E">
            <w:pPr>
              <w:spacing w:line="259" w:lineRule="auto"/>
              <w:ind w:left="3"/>
              <w:jc w:val="center"/>
              <w:rPr>
                <w:lang w:eastAsia="sl-SI"/>
              </w:rPr>
            </w:pPr>
            <w:r>
              <w:rPr>
                <w:lang w:eastAsia="sl-SI"/>
              </w:rPr>
              <w:t>nedažnas</w:t>
            </w:r>
          </w:p>
        </w:tc>
      </w:tr>
      <w:tr w:rsidR="003F7CCA" w14:paraId="1911F382"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34B42818" w14:textId="77777777" w:rsidR="003F7CCA" w:rsidRDefault="0080197E">
            <w:pPr>
              <w:spacing w:line="259" w:lineRule="auto"/>
              <w:rPr>
                <w:lang w:eastAsia="sl-SI"/>
              </w:rPr>
            </w:pPr>
            <w:r>
              <w:rPr>
                <w:lang w:eastAsia="sl-SI"/>
              </w:rPr>
              <w:t xml:space="preserve">Pilvo skausmas </w:t>
            </w:r>
            <w:r>
              <w:rPr>
                <w:vertAlign w:val="superscript"/>
                <w:lang w:eastAsia="sl-SI"/>
              </w:rPr>
              <w:t>§</w:t>
            </w:r>
          </w:p>
        </w:tc>
        <w:tc>
          <w:tcPr>
            <w:tcW w:w="4354" w:type="dxa"/>
            <w:tcBorders>
              <w:top w:val="single" w:sz="4" w:space="0" w:color="000000"/>
              <w:left w:val="single" w:sz="4" w:space="0" w:color="000000"/>
              <w:bottom w:val="single" w:sz="4" w:space="0" w:color="000000"/>
              <w:right w:val="single" w:sz="4" w:space="0" w:color="000000"/>
            </w:tcBorders>
          </w:tcPr>
          <w:p w14:paraId="7E72E6EC" w14:textId="77777777" w:rsidR="003F7CCA" w:rsidRDefault="0080197E">
            <w:pPr>
              <w:spacing w:line="259" w:lineRule="auto"/>
              <w:ind w:left="3"/>
              <w:jc w:val="center"/>
              <w:rPr>
                <w:lang w:eastAsia="sl-SI"/>
              </w:rPr>
            </w:pPr>
            <w:r>
              <w:rPr>
                <w:lang w:eastAsia="sl-SI"/>
              </w:rPr>
              <w:t>labai dažnas</w:t>
            </w:r>
          </w:p>
        </w:tc>
      </w:tr>
      <w:tr w:rsidR="003F7CCA" w14:paraId="57C5FBC4"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60B77ACC" w14:textId="77777777" w:rsidR="003F7CCA" w:rsidRDefault="0080197E">
            <w:pPr>
              <w:spacing w:line="259" w:lineRule="auto"/>
              <w:rPr>
                <w:lang w:eastAsia="sl-SI"/>
              </w:rPr>
            </w:pPr>
            <w:r>
              <w:rPr>
                <w:b/>
                <w:lang w:eastAsia="sl-SI"/>
              </w:rPr>
              <w:t>Kepenų, tulžies pūslės ir latakų sutrikimai</w:t>
            </w:r>
          </w:p>
        </w:tc>
        <w:tc>
          <w:tcPr>
            <w:tcW w:w="4354" w:type="dxa"/>
            <w:tcBorders>
              <w:top w:val="single" w:sz="4" w:space="0" w:color="000000"/>
              <w:left w:val="single" w:sz="4" w:space="0" w:color="000000"/>
              <w:bottom w:val="single" w:sz="4" w:space="0" w:color="000000"/>
              <w:right w:val="single" w:sz="4" w:space="0" w:color="000000"/>
            </w:tcBorders>
          </w:tcPr>
          <w:p w14:paraId="79EEC344" w14:textId="77777777" w:rsidR="003F7CCA" w:rsidRDefault="003F7CCA">
            <w:pPr>
              <w:spacing w:after="160" w:line="259" w:lineRule="auto"/>
              <w:rPr>
                <w:lang w:eastAsia="sl-SI"/>
              </w:rPr>
            </w:pPr>
          </w:p>
        </w:tc>
      </w:tr>
      <w:tr w:rsidR="003F7CCA" w14:paraId="7F6C4C2C"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615875FA" w14:textId="77777777" w:rsidR="003F7CCA" w:rsidRDefault="0080197E">
            <w:pPr>
              <w:spacing w:line="259" w:lineRule="auto"/>
              <w:rPr>
                <w:lang w:eastAsia="sl-SI"/>
              </w:rPr>
            </w:pPr>
            <w:r>
              <w:rPr>
                <w:lang w:eastAsia="sl-SI"/>
              </w:rPr>
              <w:t xml:space="preserve">Kepenų funkcijos sutrikimai </w:t>
            </w:r>
            <w:r>
              <w:rPr>
                <w:vertAlign w:val="superscript"/>
                <w:lang w:eastAsia="sl-SI"/>
              </w:rPr>
              <w:t>2</w:t>
            </w:r>
          </w:p>
        </w:tc>
        <w:tc>
          <w:tcPr>
            <w:tcW w:w="4354" w:type="dxa"/>
            <w:tcBorders>
              <w:top w:val="single" w:sz="4" w:space="0" w:color="000000"/>
              <w:left w:val="single" w:sz="4" w:space="0" w:color="000000"/>
              <w:bottom w:val="single" w:sz="4" w:space="0" w:color="000000"/>
              <w:right w:val="single" w:sz="4" w:space="0" w:color="000000"/>
            </w:tcBorders>
          </w:tcPr>
          <w:p w14:paraId="19B2E79E" w14:textId="77777777" w:rsidR="003F7CCA" w:rsidRDefault="0080197E">
            <w:pPr>
              <w:spacing w:line="259" w:lineRule="auto"/>
              <w:ind w:left="3"/>
              <w:jc w:val="center"/>
              <w:rPr>
                <w:lang w:eastAsia="sl-SI"/>
              </w:rPr>
            </w:pPr>
            <w:r>
              <w:rPr>
                <w:lang w:eastAsia="sl-SI"/>
              </w:rPr>
              <w:t>nedažnas</w:t>
            </w:r>
          </w:p>
        </w:tc>
      </w:tr>
      <w:tr w:rsidR="003F7CCA" w14:paraId="0568B79B"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78B32187" w14:textId="77777777" w:rsidR="003F7CCA" w:rsidRDefault="0080197E">
            <w:pPr>
              <w:spacing w:line="259" w:lineRule="auto"/>
              <w:rPr>
                <w:lang w:eastAsia="sl-SI"/>
              </w:rPr>
            </w:pPr>
            <w:r>
              <w:rPr>
                <w:lang w:eastAsia="sl-SI"/>
              </w:rPr>
              <w:t xml:space="preserve">Hepatitas </w:t>
            </w:r>
            <w:r>
              <w:rPr>
                <w:vertAlign w:val="superscript"/>
                <w:lang w:eastAsia="sl-SI"/>
              </w:rPr>
              <w:t>§</w:t>
            </w:r>
          </w:p>
        </w:tc>
        <w:tc>
          <w:tcPr>
            <w:tcW w:w="4354" w:type="dxa"/>
            <w:tcBorders>
              <w:top w:val="single" w:sz="4" w:space="0" w:color="000000"/>
              <w:left w:val="single" w:sz="4" w:space="0" w:color="000000"/>
              <w:bottom w:val="single" w:sz="4" w:space="0" w:color="000000"/>
              <w:right w:val="single" w:sz="4" w:space="0" w:color="000000"/>
            </w:tcBorders>
          </w:tcPr>
          <w:p w14:paraId="0B1A2777" w14:textId="77777777" w:rsidR="003F7CCA" w:rsidRDefault="0080197E">
            <w:pPr>
              <w:spacing w:line="259" w:lineRule="auto"/>
              <w:ind w:left="5"/>
              <w:jc w:val="center"/>
              <w:rPr>
                <w:lang w:eastAsia="sl-SI"/>
              </w:rPr>
            </w:pPr>
            <w:r>
              <w:rPr>
                <w:lang w:eastAsia="sl-SI"/>
              </w:rPr>
              <w:t>labai retas</w:t>
            </w:r>
          </w:p>
        </w:tc>
      </w:tr>
      <w:tr w:rsidR="003F7CCA" w14:paraId="034D70AF"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1D5871B4" w14:textId="77777777" w:rsidR="003F7CCA" w:rsidRDefault="0080197E">
            <w:pPr>
              <w:spacing w:line="259" w:lineRule="auto"/>
              <w:rPr>
                <w:lang w:eastAsia="sl-SI"/>
              </w:rPr>
            </w:pPr>
            <w:r>
              <w:rPr>
                <w:b/>
                <w:lang w:eastAsia="sl-SI"/>
              </w:rPr>
              <w:t>Odos ir poodinio audinio sutrikimai</w:t>
            </w:r>
          </w:p>
        </w:tc>
        <w:tc>
          <w:tcPr>
            <w:tcW w:w="4354" w:type="dxa"/>
            <w:tcBorders>
              <w:top w:val="single" w:sz="4" w:space="0" w:color="000000"/>
              <w:left w:val="single" w:sz="4" w:space="0" w:color="000000"/>
              <w:bottom w:val="single" w:sz="4" w:space="0" w:color="000000"/>
              <w:right w:val="single" w:sz="4" w:space="0" w:color="000000"/>
            </w:tcBorders>
          </w:tcPr>
          <w:p w14:paraId="650EC94D" w14:textId="77777777" w:rsidR="003F7CCA" w:rsidRDefault="003F7CCA">
            <w:pPr>
              <w:spacing w:after="160" w:line="259" w:lineRule="auto"/>
              <w:rPr>
                <w:lang w:eastAsia="sl-SI"/>
              </w:rPr>
            </w:pPr>
          </w:p>
        </w:tc>
      </w:tr>
      <w:tr w:rsidR="003F7CCA" w14:paraId="5E4FC3F4"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4CE897A8" w14:textId="77777777" w:rsidR="003F7CCA" w:rsidRDefault="0080197E">
            <w:pPr>
              <w:spacing w:line="259" w:lineRule="auto"/>
              <w:rPr>
                <w:lang w:eastAsia="sl-SI"/>
              </w:rPr>
            </w:pPr>
            <w:r>
              <w:rPr>
                <w:lang w:eastAsia="sl-SI"/>
              </w:rPr>
              <w:t>Angioneurozinė edema</w:t>
            </w:r>
          </w:p>
        </w:tc>
        <w:tc>
          <w:tcPr>
            <w:tcW w:w="4354" w:type="dxa"/>
            <w:tcBorders>
              <w:top w:val="single" w:sz="4" w:space="0" w:color="000000"/>
              <w:left w:val="single" w:sz="4" w:space="0" w:color="000000"/>
              <w:bottom w:val="single" w:sz="4" w:space="0" w:color="000000"/>
              <w:right w:val="single" w:sz="4" w:space="0" w:color="000000"/>
            </w:tcBorders>
          </w:tcPr>
          <w:p w14:paraId="120ED6B6" w14:textId="77777777" w:rsidR="003F7CCA" w:rsidRDefault="0080197E">
            <w:pPr>
              <w:spacing w:line="259" w:lineRule="auto"/>
              <w:ind w:left="4"/>
              <w:jc w:val="center"/>
              <w:rPr>
                <w:lang w:eastAsia="sl-SI"/>
              </w:rPr>
            </w:pPr>
            <w:r>
              <w:rPr>
                <w:lang w:eastAsia="sl-SI"/>
              </w:rPr>
              <w:t>retas</w:t>
            </w:r>
          </w:p>
        </w:tc>
      </w:tr>
      <w:tr w:rsidR="003F7CCA" w14:paraId="07A24307"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351D5E8E" w14:textId="77777777" w:rsidR="003F7CCA" w:rsidRDefault="0080197E">
            <w:pPr>
              <w:spacing w:line="259" w:lineRule="auto"/>
              <w:rPr>
                <w:lang w:eastAsia="sl-SI"/>
              </w:rPr>
            </w:pPr>
            <w:r>
              <w:rPr>
                <w:lang w:eastAsia="sl-SI"/>
              </w:rPr>
              <w:t>Dilgėlinė</w:t>
            </w:r>
          </w:p>
        </w:tc>
        <w:tc>
          <w:tcPr>
            <w:tcW w:w="4354" w:type="dxa"/>
            <w:tcBorders>
              <w:top w:val="single" w:sz="4" w:space="0" w:color="000000"/>
              <w:left w:val="single" w:sz="4" w:space="0" w:color="000000"/>
              <w:bottom w:val="single" w:sz="4" w:space="0" w:color="000000"/>
              <w:right w:val="single" w:sz="4" w:space="0" w:color="000000"/>
            </w:tcBorders>
          </w:tcPr>
          <w:p w14:paraId="42C12B2D" w14:textId="77777777" w:rsidR="003F7CCA" w:rsidRDefault="0080197E">
            <w:pPr>
              <w:spacing w:line="259" w:lineRule="auto"/>
              <w:ind w:left="4"/>
              <w:jc w:val="center"/>
              <w:rPr>
                <w:lang w:eastAsia="sl-SI"/>
              </w:rPr>
            </w:pPr>
            <w:r>
              <w:rPr>
                <w:lang w:eastAsia="sl-SI"/>
              </w:rPr>
              <w:t>retas</w:t>
            </w:r>
          </w:p>
        </w:tc>
      </w:tr>
      <w:tr w:rsidR="003F7CCA" w14:paraId="7D1F4FA5"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76F229AC" w14:textId="77777777" w:rsidR="003F7CCA" w:rsidRDefault="0080197E">
            <w:pPr>
              <w:spacing w:line="259" w:lineRule="auto"/>
              <w:rPr>
                <w:lang w:eastAsia="sl-SI"/>
              </w:rPr>
            </w:pPr>
            <w:r>
              <w:rPr>
                <w:lang w:eastAsia="sl-SI"/>
              </w:rPr>
              <w:lastRenderedPageBreak/>
              <w:t>Eritema</w:t>
            </w:r>
            <w:r>
              <w:rPr>
                <w:vertAlign w:val="superscript"/>
                <w:lang w:eastAsia="sl-SI"/>
              </w:rPr>
              <w:t>§</w:t>
            </w:r>
          </w:p>
        </w:tc>
        <w:tc>
          <w:tcPr>
            <w:tcW w:w="4354" w:type="dxa"/>
            <w:tcBorders>
              <w:top w:val="single" w:sz="4" w:space="0" w:color="000000"/>
              <w:left w:val="single" w:sz="4" w:space="0" w:color="000000"/>
              <w:bottom w:val="single" w:sz="4" w:space="0" w:color="000000"/>
              <w:right w:val="single" w:sz="4" w:space="0" w:color="000000"/>
            </w:tcBorders>
          </w:tcPr>
          <w:p w14:paraId="4335AC49" w14:textId="77777777" w:rsidR="003F7CCA" w:rsidRDefault="0080197E">
            <w:pPr>
              <w:spacing w:line="259" w:lineRule="auto"/>
              <w:ind w:left="5"/>
              <w:jc w:val="center"/>
              <w:rPr>
                <w:lang w:eastAsia="sl-SI"/>
              </w:rPr>
            </w:pPr>
            <w:r>
              <w:rPr>
                <w:lang w:eastAsia="sl-SI"/>
              </w:rPr>
              <w:t>labai retas</w:t>
            </w:r>
          </w:p>
        </w:tc>
      </w:tr>
      <w:tr w:rsidR="003F7CCA" w14:paraId="1D921449"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353F790F" w14:textId="77777777" w:rsidR="003F7CCA" w:rsidRDefault="0080197E">
            <w:pPr>
              <w:spacing w:line="259" w:lineRule="auto"/>
              <w:rPr>
                <w:lang w:eastAsia="sl-SI"/>
              </w:rPr>
            </w:pPr>
            <w:r>
              <w:rPr>
                <w:lang w:eastAsia="sl-SI"/>
              </w:rPr>
              <w:t>Išbėrimas</w:t>
            </w:r>
          </w:p>
        </w:tc>
        <w:tc>
          <w:tcPr>
            <w:tcW w:w="4354" w:type="dxa"/>
            <w:tcBorders>
              <w:top w:val="single" w:sz="4" w:space="0" w:color="000000"/>
              <w:left w:val="single" w:sz="4" w:space="0" w:color="000000"/>
              <w:bottom w:val="single" w:sz="4" w:space="0" w:color="000000"/>
              <w:right w:val="single" w:sz="4" w:space="0" w:color="000000"/>
            </w:tcBorders>
          </w:tcPr>
          <w:p w14:paraId="5F1401B3" w14:textId="77777777" w:rsidR="003F7CCA" w:rsidRDefault="0080197E">
            <w:pPr>
              <w:spacing w:line="259" w:lineRule="auto"/>
              <w:ind w:left="3"/>
              <w:jc w:val="center"/>
              <w:rPr>
                <w:lang w:eastAsia="sl-SI"/>
              </w:rPr>
            </w:pPr>
            <w:r>
              <w:rPr>
                <w:lang w:eastAsia="sl-SI"/>
              </w:rPr>
              <w:t>nedažnas</w:t>
            </w:r>
          </w:p>
        </w:tc>
      </w:tr>
      <w:tr w:rsidR="003F7CCA" w14:paraId="5626691F"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0820E959" w14:textId="77777777" w:rsidR="003F7CCA" w:rsidRDefault="0080197E">
            <w:pPr>
              <w:spacing w:line="259" w:lineRule="auto"/>
              <w:rPr>
                <w:lang w:eastAsia="sl-SI"/>
              </w:rPr>
            </w:pPr>
            <w:r>
              <w:rPr>
                <w:lang w:eastAsia="sl-SI"/>
              </w:rPr>
              <w:t>Niežulys</w:t>
            </w:r>
          </w:p>
        </w:tc>
        <w:tc>
          <w:tcPr>
            <w:tcW w:w="4354" w:type="dxa"/>
            <w:tcBorders>
              <w:top w:val="single" w:sz="4" w:space="0" w:color="000000"/>
              <w:left w:val="single" w:sz="4" w:space="0" w:color="000000"/>
              <w:bottom w:val="single" w:sz="4" w:space="0" w:color="000000"/>
              <w:right w:val="single" w:sz="4" w:space="0" w:color="000000"/>
            </w:tcBorders>
          </w:tcPr>
          <w:p w14:paraId="71A4B0FA" w14:textId="77777777" w:rsidR="003F7CCA" w:rsidRDefault="0080197E">
            <w:pPr>
              <w:spacing w:line="259" w:lineRule="auto"/>
              <w:ind w:left="3"/>
              <w:jc w:val="center"/>
              <w:rPr>
                <w:lang w:eastAsia="sl-SI"/>
              </w:rPr>
            </w:pPr>
            <w:r>
              <w:rPr>
                <w:lang w:eastAsia="sl-SI"/>
              </w:rPr>
              <w:t>nedažnas</w:t>
            </w:r>
          </w:p>
        </w:tc>
      </w:tr>
      <w:tr w:rsidR="003F7CCA" w14:paraId="01FB1E4A"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1A9B9F4F" w14:textId="77777777" w:rsidR="003F7CCA" w:rsidRDefault="0080197E">
            <w:pPr>
              <w:spacing w:line="259" w:lineRule="auto"/>
              <w:rPr>
                <w:lang w:eastAsia="sl-SI"/>
              </w:rPr>
            </w:pPr>
            <w:r>
              <w:rPr>
                <w:lang w:eastAsia="sl-SI"/>
              </w:rPr>
              <w:t>Pūslinis pemfigoidas</w:t>
            </w:r>
          </w:p>
        </w:tc>
        <w:tc>
          <w:tcPr>
            <w:tcW w:w="4354" w:type="dxa"/>
            <w:tcBorders>
              <w:top w:val="single" w:sz="4" w:space="0" w:color="000000"/>
              <w:left w:val="single" w:sz="4" w:space="0" w:color="000000"/>
              <w:bottom w:val="single" w:sz="4" w:space="0" w:color="000000"/>
              <w:right w:val="single" w:sz="4" w:space="0" w:color="000000"/>
            </w:tcBorders>
          </w:tcPr>
          <w:p w14:paraId="5F3B5364" w14:textId="77777777" w:rsidR="003F7CCA" w:rsidRDefault="0080197E">
            <w:pPr>
              <w:spacing w:line="259" w:lineRule="auto"/>
              <w:ind w:left="7"/>
              <w:jc w:val="center"/>
              <w:rPr>
                <w:lang w:eastAsia="sl-SI"/>
              </w:rPr>
            </w:pPr>
            <w:r>
              <w:rPr>
                <w:lang w:eastAsia="sl-SI"/>
              </w:rPr>
              <w:t xml:space="preserve">retas </w:t>
            </w:r>
            <w:r>
              <w:rPr>
                <w:vertAlign w:val="superscript"/>
                <w:lang w:eastAsia="sl-SI"/>
              </w:rPr>
              <w:t>#</w:t>
            </w:r>
          </w:p>
        </w:tc>
      </w:tr>
      <w:tr w:rsidR="003F7CCA" w14:paraId="56115611"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19C5B322" w14:textId="77777777" w:rsidR="003F7CCA" w:rsidRDefault="0080197E">
            <w:pPr>
              <w:spacing w:line="259" w:lineRule="auto"/>
              <w:rPr>
                <w:b/>
                <w:bCs/>
                <w:lang w:eastAsia="sl-SI"/>
              </w:rPr>
            </w:pPr>
            <w:r>
              <w:rPr>
                <w:b/>
                <w:bCs/>
                <w:lang w:eastAsia="sl-SI"/>
              </w:rPr>
              <w:t>Tyrimai</w:t>
            </w:r>
          </w:p>
        </w:tc>
        <w:tc>
          <w:tcPr>
            <w:tcW w:w="4354" w:type="dxa"/>
            <w:tcBorders>
              <w:top w:val="single" w:sz="4" w:space="0" w:color="000000"/>
              <w:left w:val="single" w:sz="4" w:space="0" w:color="000000"/>
              <w:bottom w:val="single" w:sz="4" w:space="0" w:color="000000"/>
              <w:right w:val="single" w:sz="4" w:space="0" w:color="000000"/>
            </w:tcBorders>
          </w:tcPr>
          <w:p w14:paraId="5075E64F" w14:textId="77777777" w:rsidR="003F7CCA" w:rsidRDefault="003F7CCA">
            <w:pPr>
              <w:spacing w:after="160" w:line="259" w:lineRule="auto"/>
              <w:rPr>
                <w:lang w:eastAsia="sl-SI"/>
              </w:rPr>
            </w:pPr>
          </w:p>
        </w:tc>
      </w:tr>
      <w:tr w:rsidR="003F7CCA" w14:paraId="0CB7A40B" w14:textId="77777777">
        <w:trPr>
          <w:trHeight w:val="262"/>
        </w:trPr>
        <w:tc>
          <w:tcPr>
            <w:tcW w:w="4934" w:type="dxa"/>
            <w:tcBorders>
              <w:top w:val="single" w:sz="4" w:space="0" w:color="000000"/>
              <w:left w:val="single" w:sz="4" w:space="0" w:color="000000"/>
              <w:bottom w:val="single" w:sz="4" w:space="0" w:color="000000"/>
              <w:right w:val="single" w:sz="4" w:space="0" w:color="000000"/>
            </w:tcBorders>
          </w:tcPr>
          <w:p w14:paraId="721F9D32" w14:textId="77777777" w:rsidR="003F7CCA" w:rsidRDefault="0080197E">
            <w:pPr>
              <w:spacing w:line="259" w:lineRule="auto"/>
              <w:rPr>
                <w:lang w:eastAsia="sl-SI"/>
              </w:rPr>
            </w:pPr>
            <w:r>
              <w:rPr>
                <w:lang w:eastAsia="sl-SI"/>
              </w:rPr>
              <w:t>Amilazės aktyvumo padidėjimas</w:t>
            </w:r>
          </w:p>
        </w:tc>
        <w:tc>
          <w:tcPr>
            <w:tcW w:w="4354" w:type="dxa"/>
            <w:tcBorders>
              <w:top w:val="single" w:sz="4" w:space="0" w:color="000000"/>
              <w:left w:val="single" w:sz="4" w:space="0" w:color="000000"/>
              <w:bottom w:val="single" w:sz="4" w:space="0" w:color="000000"/>
              <w:right w:val="single" w:sz="4" w:space="0" w:color="000000"/>
            </w:tcBorders>
          </w:tcPr>
          <w:p w14:paraId="41DE6AE5" w14:textId="77777777" w:rsidR="003F7CCA" w:rsidRDefault="0080197E">
            <w:pPr>
              <w:spacing w:line="259" w:lineRule="auto"/>
              <w:ind w:left="3"/>
              <w:jc w:val="center"/>
              <w:rPr>
                <w:lang w:eastAsia="sl-SI"/>
              </w:rPr>
            </w:pPr>
            <w:r>
              <w:rPr>
                <w:lang w:eastAsia="sl-SI"/>
              </w:rPr>
              <w:t>nedažnas</w:t>
            </w:r>
          </w:p>
        </w:tc>
      </w:tr>
      <w:tr w:rsidR="003F7CCA" w14:paraId="06C44481" w14:textId="77777777">
        <w:trPr>
          <w:trHeight w:val="264"/>
        </w:trPr>
        <w:tc>
          <w:tcPr>
            <w:tcW w:w="4934" w:type="dxa"/>
            <w:tcBorders>
              <w:top w:val="single" w:sz="4" w:space="0" w:color="000000"/>
              <w:left w:val="single" w:sz="4" w:space="0" w:color="000000"/>
              <w:bottom w:val="single" w:sz="4" w:space="0" w:color="000000"/>
              <w:right w:val="single" w:sz="4" w:space="0" w:color="000000"/>
            </w:tcBorders>
          </w:tcPr>
          <w:p w14:paraId="7C1CED18" w14:textId="77777777" w:rsidR="003F7CCA" w:rsidRDefault="0080197E">
            <w:pPr>
              <w:spacing w:line="259" w:lineRule="auto"/>
              <w:rPr>
                <w:lang w:eastAsia="sl-SI"/>
              </w:rPr>
            </w:pPr>
            <w:r>
              <w:rPr>
                <w:lang w:eastAsia="sl-SI"/>
              </w:rPr>
              <w:t>Lipazės aktyvumo padidėjimas*</w:t>
            </w:r>
          </w:p>
        </w:tc>
        <w:tc>
          <w:tcPr>
            <w:tcW w:w="4354" w:type="dxa"/>
            <w:tcBorders>
              <w:top w:val="single" w:sz="4" w:space="0" w:color="000000"/>
              <w:left w:val="single" w:sz="4" w:space="0" w:color="000000"/>
              <w:bottom w:val="single" w:sz="4" w:space="0" w:color="000000"/>
              <w:right w:val="single" w:sz="4" w:space="0" w:color="000000"/>
            </w:tcBorders>
          </w:tcPr>
          <w:p w14:paraId="7CC0AD46" w14:textId="77777777" w:rsidR="003F7CCA" w:rsidRDefault="0080197E">
            <w:pPr>
              <w:spacing w:line="259" w:lineRule="auto"/>
              <w:ind w:left="3"/>
              <w:jc w:val="center"/>
              <w:rPr>
                <w:lang w:eastAsia="sl-SI"/>
              </w:rPr>
            </w:pPr>
            <w:r>
              <w:rPr>
                <w:lang w:eastAsia="sl-SI"/>
              </w:rPr>
              <w:t>dažnas</w:t>
            </w:r>
          </w:p>
        </w:tc>
      </w:tr>
    </w:tbl>
    <w:p w14:paraId="3284B5E5" w14:textId="77777777" w:rsidR="003F7CCA" w:rsidRDefault="0080197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Remiantis klinikinių tyrimų metu pastebėtu lipazės aktyvumo padidėjimu &gt; 3 × VNR</w:t>
      </w:r>
    </w:p>
    <w:p w14:paraId="2842F267" w14:textId="77777777" w:rsidR="003F7CCA" w:rsidRDefault="0080197E">
      <w:pPr>
        <w:autoSpaceDE w:val="0"/>
        <w:autoSpaceDN w:val="0"/>
        <w:adjustRightInd w:val="0"/>
        <w:rPr>
          <w:rFonts w:eastAsiaTheme="minorHAnsi"/>
          <w:color w:val="000000"/>
          <w:sz w:val="20"/>
          <w:szCs w:val="20"/>
          <w:lang w:eastAsia="en-US"/>
        </w:rPr>
      </w:pPr>
      <w:r>
        <w:rPr>
          <w:rFonts w:eastAsiaTheme="minorHAnsi"/>
          <w:color w:val="000000"/>
          <w:sz w:val="13"/>
          <w:szCs w:val="13"/>
          <w:lang w:eastAsia="en-US"/>
        </w:rPr>
        <w:t xml:space="preserve"># </w:t>
      </w:r>
      <w:r>
        <w:rPr>
          <w:rFonts w:eastAsiaTheme="minorHAnsi"/>
          <w:color w:val="000000"/>
          <w:sz w:val="20"/>
          <w:szCs w:val="20"/>
          <w:lang w:eastAsia="en-US"/>
        </w:rPr>
        <w:t xml:space="preserve">Remiantis </w:t>
      </w:r>
      <w:proofErr w:type="spellStart"/>
      <w:r>
        <w:rPr>
          <w:rFonts w:eastAsiaTheme="minorHAnsi"/>
          <w:i/>
          <w:iCs/>
          <w:color w:val="000000"/>
          <w:sz w:val="20"/>
          <w:szCs w:val="20"/>
          <w:lang w:eastAsia="en-US"/>
        </w:rPr>
        <w:t>Linagliptino</w:t>
      </w:r>
      <w:proofErr w:type="spellEnd"/>
      <w:r>
        <w:rPr>
          <w:rFonts w:eastAsiaTheme="minorHAnsi"/>
          <w:i/>
          <w:iCs/>
          <w:color w:val="000000"/>
          <w:sz w:val="20"/>
          <w:szCs w:val="20"/>
          <w:lang w:eastAsia="en-US"/>
        </w:rPr>
        <w:t xml:space="preserve"> saugumo širdies ir kraujagyslių sistemai bei inkstams tyrimu (CARMELINA)</w:t>
      </w:r>
      <w:r>
        <w:rPr>
          <w:rFonts w:eastAsiaTheme="minorHAnsi"/>
          <w:color w:val="000000"/>
          <w:sz w:val="20"/>
          <w:szCs w:val="20"/>
          <w:lang w:eastAsia="en-US"/>
        </w:rPr>
        <w:t>, išsamiau žr. toliau</w:t>
      </w:r>
    </w:p>
    <w:p w14:paraId="2B5A1596" w14:textId="77777777" w:rsidR="003F7CCA" w:rsidRDefault="0080197E">
      <w:pPr>
        <w:autoSpaceDE w:val="0"/>
        <w:autoSpaceDN w:val="0"/>
        <w:adjustRightInd w:val="0"/>
        <w:rPr>
          <w:rFonts w:eastAsiaTheme="minorHAnsi"/>
          <w:color w:val="000000"/>
          <w:sz w:val="20"/>
          <w:szCs w:val="20"/>
          <w:lang w:eastAsia="en-US"/>
        </w:rPr>
      </w:pPr>
      <w:r>
        <w:rPr>
          <w:rFonts w:eastAsiaTheme="minorHAnsi"/>
          <w:color w:val="000000"/>
          <w:sz w:val="13"/>
          <w:szCs w:val="13"/>
          <w:lang w:eastAsia="en-US"/>
        </w:rPr>
        <w:t xml:space="preserve">§ </w:t>
      </w:r>
      <w:r>
        <w:rPr>
          <w:rFonts w:eastAsiaTheme="minorHAnsi"/>
          <w:color w:val="000000"/>
          <w:sz w:val="20"/>
          <w:szCs w:val="20"/>
          <w:lang w:eastAsia="en-US"/>
        </w:rPr>
        <w:t xml:space="preserve">Nepageidaujamos reakcijos nustatytos taikant </w:t>
      </w:r>
      <w:proofErr w:type="spellStart"/>
      <w:r>
        <w:rPr>
          <w:rFonts w:eastAsiaTheme="minorHAnsi"/>
          <w:color w:val="000000"/>
          <w:sz w:val="20"/>
          <w:szCs w:val="20"/>
          <w:lang w:eastAsia="en-US"/>
        </w:rPr>
        <w:t>monoterapiją</w:t>
      </w:r>
      <w:proofErr w:type="spellEnd"/>
      <w:r>
        <w:rPr>
          <w:rFonts w:eastAsiaTheme="minorHAnsi"/>
          <w:color w:val="000000"/>
          <w:sz w:val="20"/>
          <w:szCs w:val="20"/>
          <w:lang w:eastAsia="en-US"/>
        </w:rPr>
        <w:t xml:space="preserve"> </w:t>
      </w:r>
      <w:proofErr w:type="spellStart"/>
      <w:r>
        <w:rPr>
          <w:rFonts w:eastAsiaTheme="minorHAnsi"/>
          <w:color w:val="000000"/>
          <w:sz w:val="20"/>
          <w:szCs w:val="20"/>
          <w:lang w:eastAsia="en-US"/>
        </w:rPr>
        <w:t>metforminu</w:t>
      </w:r>
      <w:proofErr w:type="spellEnd"/>
      <w:r>
        <w:rPr>
          <w:rFonts w:eastAsiaTheme="minorHAnsi"/>
          <w:color w:val="000000"/>
          <w:sz w:val="20"/>
          <w:szCs w:val="20"/>
          <w:lang w:eastAsia="en-US"/>
        </w:rPr>
        <w:t xml:space="preserve">. Papildomos informacijos pateikta </w:t>
      </w:r>
      <w:proofErr w:type="spellStart"/>
      <w:r>
        <w:rPr>
          <w:rFonts w:eastAsiaTheme="minorHAnsi"/>
          <w:color w:val="000000"/>
          <w:sz w:val="20"/>
          <w:szCs w:val="20"/>
          <w:lang w:eastAsia="en-US"/>
        </w:rPr>
        <w:t>metformino</w:t>
      </w:r>
      <w:proofErr w:type="spellEnd"/>
      <w:r>
        <w:rPr>
          <w:rFonts w:eastAsiaTheme="minorHAnsi"/>
          <w:color w:val="000000"/>
          <w:sz w:val="20"/>
          <w:szCs w:val="20"/>
          <w:lang w:eastAsia="en-US"/>
        </w:rPr>
        <w:t xml:space="preserve"> preparato charakteristikų santraukoje</w:t>
      </w:r>
    </w:p>
    <w:p w14:paraId="39FAEFDD" w14:textId="77777777" w:rsidR="003F7CCA" w:rsidRDefault="0080197E">
      <w:pPr>
        <w:autoSpaceDE w:val="0"/>
        <w:autoSpaceDN w:val="0"/>
        <w:adjustRightInd w:val="0"/>
        <w:rPr>
          <w:rFonts w:eastAsiaTheme="minorHAnsi"/>
          <w:color w:val="000000"/>
          <w:sz w:val="20"/>
          <w:szCs w:val="20"/>
          <w:lang w:eastAsia="en-US"/>
        </w:rPr>
      </w:pPr>
      <w:r>
        <w:rPr>
          <w:rFonts w:eastAsiaTheme="minorHAnsi"/>
          <w:color w:val="000000"/>
          <w:sz w:val="13"/>
          <w:szCs w:val="13"/>
          <w:lang w:eastAsia="en-US"/>
        </w:rPr>
        <w:t xml:space="preserve">† </w:t>
      </w:r>
      <w:r>
        <w:rPr>
          <w:rFonts w:eastAsiaTheme="minorHAnsi"/>
          <w:color w:val="000000"/>
          <w:sz w:val="20"/>
          <w:szCs w:val="20"/>
          <w:lang w:eastAsia="en-US"/>
        </w:rPr>
        <w:t>Žr. 4.4 skyrių</w:t>
      </w:r>
    </w:p>
    <w:p w14:paraId="6AD0B8FD" w14:textId="77777777" w:rsidR="003F7CCA" w:rsidRDefault="0080197E">
      <w:pPr>
        <w:autoSpaceDE w:val="0"/>
        <w:autoSpaceDN w:val="0"/>
        <w:adjustRightInd w:val="0"/>
        <w:rPr>
          <w:rFonts w:eastAsiaTheme="minorHAnsi"/>
          <w:color w:val="000000"/>
          <w:sz w:val="20"/>
          <w:szCs w:val="20"/>
          <w:lang w:eastAsia="en-US"/>
        </w:rPr>
      </w:pPr>
      <w:r>
        <w:rPr>
          <w:rFonts w:eastAsiaTheme="minorHAnsi"/>
          <w:color w:val="000000"/>
          <w:sz w:val="13"/>
          <w:szCs w:val="13"/>
          <w:lang w:eastAsia="en-US"/>
        </w:rPr>
        <w:t xml:space="preserve">1 </w:t>
      </w:r>
      <w:r>
        <w:rPr>
          <w:rFonts w:eastAsiaTheme="minorHAnsi"/>
          <w:color w:val="000000"/>
          <w:sz w:val="20"/>
          <w:szCs w:val="20"/>
          <w:lang w:eastAsia="en-US"/>
        </w:rPr>
        <w:t xml:space="preserve">Nepageidaujama reakcija, stebėta skiriant </w:t>
      </w:r>
      <w:proofErr w:type="spellStart"/>
      <w:r>
        <w:rPr>
          <w:rFonts w:eastAsiaTheme="minorHAnsi"/>
          <w:color w:val="000000"/>
          <w:sz w:val="20"/>
          <w:szCs w:val="20"/>
          <w:lang w:eastAsia="en-US"/>
        </w:rPr>
        <w:t>linagliptino</w:t>
      </w:r>
      <w:proofErr w:type="spellEnd"/>
      <w:r>
        <w:rPr>
          <w:rFonts w:eastAsiaTheme="minorHAnsi"/>
          <w:color w:val="000000"/>
          <w:sz w:val="20"/>
          <w:szCs w:val="20"/>
          <w:lang w:eastAsia="en-US"/>
        </w:rPr>
        <w:t>/</w:t>
      </w:r>
      <w:proofErr w:type="spellStart"/>
      <w:r>
        <w:rPr>
          <w:rFonts w:eastAsiaTheme="minorHAnsi"/>
          <w:color w:val="000000"/>
          <w:sz w:val="20"/>
          <w:szCs w:val="20"/>
          <w:lang w:eastAsia="en-US"/>
        </w:rPr>
        <w:t>metformino</w:t>
      </w:r>
      <w:proofErr w:type="spellEnd"/>
      <w:r>
        <w:rPr>
          <w:rFonts w:eastAsiaTheme="minorHAnsi"/>
          <w:color w:val="000000"/>
          <w:sz w:val="20"/>
          <w:szCs w:val="20"/>
          <w:lang w:eastAsia="en-US"/>
        </w:rPr>
        <w:t xml:space="preserve"> derinį su </w:t>
      </w:r>
      <w:proofErr w:type="spellStart"/>
      <w:r>
        <w:rPr>
          <w:rFonts w:eastAsiaTheme="minorHAnsi"/>
          <w:color w:val="000000"/>
          <w:sz w:val="20"/>
          <w:szCs w:val="20"/>
          <w:lang w:eastAsia="en-US"/>
        </w:rPr>
        <w:t>sulfonilurėjos</w:t>
      </w:r>
      <w:proofErr w:type="spellEnd"/>
      <w:r>
        <w:rPr>
          <w:rFonts w:eastAsiaTheme="minorHAnsi"/>
          <w:color w:val="000000"/>
          <w:sz w:val="20"/>
          <w:szCs w:val="20"/>
          <w:lang w:eastAsia="en-US"/>
        </w:rPr>
        <w:t xml:space="preserve"> dariniu</w:t>
      </w:r>
    </w:p>
    <w:p w14:paraId="6455BB98" w14:textId="77777777" w:rsidR="003F7CCA" w:rsidRDefault="0080197E">
      <w:pPr>
        <w:tabs>
          <w:tab w:val="left" w:pos="567"/>
        </w:tabs>
        <w:rPr>
          <w:iCs/>
          <w:snapToGrid w:val="0"/>
          <w:sz w:val="22"/>
          <w:szCs w:val="22"/>
          <w:lang w:eastAsia="lt-LT"/>
        </w:rPr>
      </w:pPr>
      <w:r>
        <w:rPr>
          <w:rFonts w:eastAsiaTheme="minorHAnsi"/>
          <w:color w:val="000000"/>
          <w:sz w:val="13"/>
          <w:szCs w:val="13"/>
          <w:lang w:eastAsia="en-US"/>
        </w:rPr>
        <w:t xml:space="preserve">2 </w:t>
      </w:r>
      <w:r>
        <w:rPr>
          <w:rFonts w:eastAsiaTheme="minorHAnsi"/>
          <w:color w:val="000000"/>
          <w:sz w:val="20"/>
          <w:szCs w:val="20"/>
          <w:lang w:eastAsia="en-US"/>
        </w:rPr>
        <w:t xml:space="preserve">Nepageidaujama reakcija, stebėta skiriant </w:t>
      </w:r>
      <w:proofErr w:type="spellStart"/>
      <w:r>
        <w:rPr>
          <w:rFonts w:eastAsiaTheme="minorHAnsi"/>
          <w:color w:val="000000"/>
          <w:sz w:val="20"/>
          <w:szCs w:val="20"/>
          <w:lang w:eastAsia="en-US"/>
        </w:rPr>
        <w:t>linagliptino</w:t>
      </w:r>
      <w:proofErr w:type="spellEnd"/>
      <w:r>
        <w:rPr>
          <w:rFonts w:eastAsiaTheme="minorHAnsi"/>
          <w:color w:val="000000"/>
          <w:sz w:val="20"/>
          <w:szCs w:val="20"/>
          <w:lang w:eastAsia="en-US"/>
        </w:rPr>
        <w:t>/</w:t>
      </w:r>
      <w:proofErr w:type="spellStart"/>
      <w:r>
        <w:rPr>
          <w:rFonts w:eastAsiaTheme="minorHAnsi"/>
          <w:color w:val="000000"/>
          <w:sz w:val="20"/>
          <w:szCs w:val="20"/>
          <w:lang w:eastAsia="en-US"/>
        </w:rPr>
        <w:t>metformino</w:t>
      </w:r>
      <w:proofErr w:type="spellEnd"/>
      <w:r>
        <w:rPr>
          <w:rFonts w:eastAsiaTheme="minorHAnsi"/>
          <w:color w:val="000000"/>
          <w:sz w:val="20"/>
          <w:szCs w:val="20"/>
          <w:lang w:eastAsia="en-US"/>
        </w:rPr>
        <w:t xml:space="preserve"> derinį su insulinu</w:t>
      </w:r>
    </w:p>
    <w:p w14:paraId="480A8F75" w14:textId="77777777" w:rsidR="003F7CCA" w:rsidRDefault="003F7CCA">
      <w:pPr>
        <w:tabs>
          <w:tab w:val="left" w:pos="567"/>
        </w:tabs>
        <w:rPr>
          <w:iCs/>
          <w:snapToGrid w:val="0"/>
          <w:sz w:val="22"/>
          <w:szCs w:val="22"/>
          <w:lang w:eastAsia="lt-LT"/>
        </w:rPr>
      </w:pPr>
    </w:p>
    <w:p w14:paraId="582E6228" w14:textId="77777777" w:rsidR="003F7CCA" w:rsidRDefault="0080197E">
      <w:pPr>
        <w:widowControl w:val="0"/>
        <w:tabs>
          <w:tab w:val="left" w:pos="567"/>
        </w:tabs>
        <w:jc w:val="both"/>
        <w:rPr>
          <w:bCs/>
          <w:sz w:val="22"/>
          <w:szCs w:val="22"/>
          <w:u w:val="single"/>
          <w:lang w:eastAsia="en-US"/>
        </w:rPr>
      </w:pPr>
      <w:r>
        <w:rPr>
          <w:bCs/>
          <w:sz w:val="22"/>
          <w:szCs w:val="22"/>
          <w:u w:val="single"/>
          <w:lang w:eastAsia="en-US"/>
        </w:rPr>
        <w:t>Atrinktų nepageidaujamų reakcijų apibūdinimas</w:t>
      </w:r>
    </w:p>
    <w:p w14:paraId="06786C88" w14:textId="77777777" w:rsidR="003F7CCA" w:rsidRDefault="0080197E">
      <w:pPr>
        <w:widowControl w:val="0"/>
        <w:tabs>
          <w:tab w:val="left" w:pos="567"/>
        </w:tabs>
        <w:jc w:val="both"/>
        <w:rPr>
          <w:bCs/>
          <w:i/>
          <w:iCs/>
          <w:sz w:val="22"/>
          <w:szCs w:val="22"/>
          <w:lang w:eastAsia="en-US"/>
        </w:rPr>
      </w:pPr>
      <w:r>
        <w:rPr>
          <w:bCs/>
          <w:i/>
          <w:iCs/>
          <w:sz w:val="22"/>
          <w:szCs w:val="22"/>
          <w:lang w:eastAsia="en-US"/>
        </w:rPr>
        <w:t>Hipoglikemija</w:t>
      </w:r>
    </w:p>
    <w:p w14:paraId="54E84245" w14:textId="77777777" w:rsidR="003F7CCA" w:rsidRDefault="0080197E">
      <w:pPr>
        <w:widowControl w:val="0"/>
        <w:tabs>
          <w:tab w:val="left" w:pos="567"/>
        </w:tabs>
        <w:jc w:val="both"/>
        <w:rPr>
          <w:bCs/>
          <w:sz w:val="22"/>
          <w:szCs w:val="22"/>
          <w:lang w:eastAsia="en-US"/>
        </w:rPr>
      </w:pPr>
      <w:r>
        <w:rPr>
          <w:bCs/>
          <w:sz w:val="22"/>
          <w:szCs w:val="22"/>
          <w:lang w:eastAsia="en-US"/>
        </w:rPr>
        <w:t xml:space="preserve">Viename tyrime </w:t>
      </w:r>
      <w:proofErr w:type="spellStart"/>
      <w:r>
        <w:rPr>
          <w:bCs/>
          <w:sz w:val="22"/>
          <w:szCs w:val="22"/>
          <w:lang w:eastAsia="en-US"/>
        </w:rPr>
        <w:t>linagliptinas</w:t>
      </w:r>
      <w:proofErr w:type="spellEnd"/>
      <w:r>
        <w:rPr>
          <w:bCs/>
          <w:sz w:val="22"/>
          <w:szCs w:val="22"/>
          <w:lang w:eastAsia="en-US"/>
        </w:rPr>
        <w:t xml:space="preserve"> buvo skiriamas kaip papildymas prie </w:t>
      </w:r>
      <w:proofErr w:type="spellStart"/>
      <w:r>
        <w:rPr>
          <w:bCs/>
          <w:sz w:val="22"/>
          <w:szCs w:val="22"/>
          <w:lang w:eastAsia="en-US"/>
        </w:rPr>
        <w:t>metformino</w:t>
      </w:r>
      <w:proofErr w:type="spellEnd"/>
      <w:r>
        <w:rPr>
          <w:bCs/>
          <w:sz w:val="22"/>
          <w:szCs w:val="22"/>
          <w:lang w:eastAsia="en-US"/>
        </w:rPr>
        <w:t xml:space="preserve"> ir </w:t>
      </w:r>
      <w:proofErr w:type="spellStart"/>
      <w:r>
        <w:rPr>
          <w:bCs/>
          <w:sz w:val="22"/>
          <w:szCs w:val="22"/>
          <w:lang w:eastAsia="en-US"/>
        </w:rPr>
        <w:t>sulfonilurėjos</w:t>
      </w:r>
      <w:proofErr w:type="spellEnd"/>
      <w:r>
        <w:rPr>
          <w:bCs/>
          <w:sz w:val="22"/>
          <w:szCs w:val="22"/>
          <w:lang w:eastAsia="en-US"/>
        </w:rPr>
        <w:t xml:space="preserve">. Skiriant </w:t>
      </w:r>
      <w:proofErr w:type="spellStart"/>
      <w:r>
        <w:rPr>
          <w:bCs/>
          <w:sz w:val="22"/>
          <w:szCs w:val="22"/>
          <w:lang w:eastAsia="en-US"/>
        </w:rPr>
        <w:t>linagliptiną</w:t>
      </w:r>
      <w:proofErr w:type="spellEnd"/>
      <w:r>
        <w:rPr>
          <w:bCs/>
          <w:sz w:val="22"/>
          <w:szCs w:val="22"/>
          <w:lang w:eastAsia="en-US"/>
        </w:rPr>
        <w:t xml:space="preserve"> ir </w:t>
      </w:r>
      <w:proofErr w:type="spellStart"/>
      <w:r>
        <w:rPr>
          <w:bCs/>
          <w:sz w:val="22"/>
          <w:szCs w:val="22"/>
          <w:lang w:eastAsia="en-US"/>
        </w:rPr>
        <w:t>metforminą</w:t>
      </w:r>
      <w:proofErr w:type="spellEnd"/>
      <w:r>
        <w:rPr>
          <w:bCs/>
          <w:sz w:val="22"/>
          <w:szCs w:val="22"/>
          <w:lang w:eastAsia="en-US"/>
        </w:rPr>
        <w:t xml:space="preserve"> kartu su </w:t>
      </w:r>
      <w:proofErr w:type="spellStart"/>
      <w:r>
        <w:rPr>
          <w:bCs/>
          <w:sz w:val="22"/>
          <w:szCs w:val="22"/>
          <w:lang w:eastAsia="en-US"/>
        </w:rPr>
        <w:t>sulfonilurėjos</w:t>
      </w:r>
      <w:proofErr w:type="spellEnd"/>
      <w:r>
        <w:rPr>
          <w:bCs/>
          <w:sz w:val="22"/>
          <w:szCs w:val="22"/>
          <w:lang w:eastAsia="en-US"/>
        </w:rPr>
        <w:t xml:space="preserve"> dariniu, dažniausias nepageidaujamas reiškinys buvo hipoglikemija (</w:t>
      </w:r>
      <w:proofErr w:type="spellStart"/>
      <w:r>
        <w:rPr>
          <w:bCs/>
          <w:sz w:val="22"/>
          <w:szCs w:val="22"/>
          <w:lang w:eastAsia="en-US"/>
        </w:rPr>
        <w:t>linagliptinas</w:t>
      </w:r>
      <w:proofErr w:type="spellEnd"/>
      <w:r>
        <w:rPr>
          <w:bCs/>
          <w:sz w:val="22"/>
          <w:szCs w:val="22"/>
          <w:lang w:eastAsia="en-US"/>
        </w:rPr>
        <w:t xml:space="preserve"> su </w:t>
      </w:r>
      <w:proofErr w:type="spellStart"/>
      <w:r>
        <w:rPr>
          <w:bCs/>
          <w:sz w:val="22"/>
          <w:szCs w:val="22"/>
          <w:lang w:eastAsia="en-US"/>
        </w:rPr>
        <w:t>metforminu</w:t>
      </w:r>
      <w:proofErr w:type="spellEnd"/>
      <w:r>
        <w:rPr>
          <w:bCs/>
          <w:sz w:val="22"/>
          <w:szCs w:val="22"/>
          <w:lang w:eastAsia="en-US"/>
        </w:rPr>
        <w:t xml:space="preserve"> ir su </w:t>
      </w:r>
      <w:proofErr w:type="spellStart"/>
      <w:r>
        <w:rPr>
          <w:bCs/>
          <w:sz w:val="22"/>
          <w:szCs w:val="22"/>
          <w:lang w:eastAsia="en-US"/>
        </w:rPr>
        <w:t>sulfonilurėjos</w:t>
      </w:r>
      <w:proofErr w:type="spellEnd"/>
      <w:r>
        <w:rPr>
          <w:bCs/>
          <w:sz w:val="22"/>
          <w:szCs w:val="22"/>
          <w:lang w:eastAsia="en-US"/>
        </w:rPr>
        <w:t xml:space="preserve"> dariniu – 23,9 %, o placebas su </w:t>
      </w:r>
      <w:proofErr w:type="spellStart"/>
      <w:r>
        <w:rPr>
          <w:bCs/>
          <w:sz w:val="22"/>
          <w:szCs w:val="22"/>
          <w:lang w:eastAsia="en-US"/>
        </w:rPr>
        <w:t>metforminu</w:t>
      </w:r>
      <w:proofErr w:type="spellEnd"/>
      <w:r>
        <w:rPr>
          <w:bCs/>
          <w:sz w:val="22"/>
          <w:szCs w:val="22"/>
          <w:lang w:eastAsia="en-US"/>
        </w:rPr>
        <w:t xml:space="preserve"> ir su </w:t>
      </w:r>
      <w:proofErr w:type="spellStart"/>
      <w:r>
        <w:rPr>
          <w:bCs/>
          <w:sz w:val="22"/>
          <w:szCs w:val="22"/>
          <w:lang w:eastAsia="en-US"/>
        </w:rPr>
        <w:t>sulfonilurėjos</w:t>
      </w:r>
      <w:proofErr w:type="spellEnd"/>
      <w:r>
        <w:rPr>
          <w:bCs/>
          <w:sz w:val="22"/>
          <w:szCs w:val="22"/>
          <w:lang w:eastAsia="en-US"/>
        </w:rPr>
        <w:t xml:space="preserve"> dariniu – 16 %).</w:t>
      </w:r>
    </w:p>
    <w:p w14:paraId="6D4338FD" w14:textId="77777777" w:rsidR="003F7CCA" w:rsidRDefault="003F7CCA">
      <w:pPr>
        <w:widowControl w:val="0"/>
        <w:tabs>
          <w:tab w:val="left" w:pos="567"/>
        </w:tabs>
        <w:jc w:val="both"/>
        <w:rPr>
          <w:bCs/>
          <w:sz w:val="22"/>
          <w:szCs w:val="22"/>
          <w:lang w:eastAsia="en-US"/>
        </w:rPr>
      </w:pPr>
    </w:p>
    <w:p w14:paraId="46EE3FA4" w14:textId="77777777" w:rsidR="003F7CCA" w:rsidRDefault="0080197E">
      <w:pPr>
        <w:widowControl w:val="0"/>
        <w:tabs>
          <w:tab w:val="left" w:pos="567"/>
        </w:tabs>
        <w:jc w:val="both"/>
        <w:rPr>
          <w:bCs/>
          <w:sz w:val="22"/>
          <w:szCs w:val="22"/>
          <w:lang w:eastAsia="en-US"/>
        </w:rPr>
      </w:pPr>
      <w:r>
        <w:rPr>
          <w:bCs/>
          <w:sz w:val="22"/>
          <w:szCs w:val="22"/>
          <w:lang w:eastAsia="en-US"/>
        </w:rPr>
        <w:t xml:space="preserve">Skiriant </w:t>
      </w:r>
      <w:proofErr w:type="spellStart"/>
      <w:r>
        <w:rPr>
          <w:bCs/>
          <w:sz w:val="22"/>
          <w:szCs w:val="22"/>
          <w:lang w:eastAsia="en-US"/>
        </w:rPr>
        <w:t>linagliptiną</w:t>
      </w:r>
      <w:proofErr w:type="spellEnd"/>
      <w:r>
        <w:rPr>
          <w:bCs/>
          <w:sz w:val="22"/>
          <w:szCs w:val="22"/>
          <w:lang w:eastAsia="en-US"/>
        </w:rPr>
        <w:t xml:space="preserve"> su </w:t>
      </w:r>
      <w:proofErr w:type="spellStart"/>
      <w:r>
        <w:rPr>
          <w:bCs/>
          <w:sz w:val="22"/>
          <w:szCs w:val="22"/>
          <w:lang w:eastAsia="en-US"/>
        </w:rPr>
        <w:t>metforminu</w:t>
      </w:r>
      <w:proofErr w:type="spellEnd"/>
      <w:r>
        <w:rPr>
          <w:bCs/>
          <w:sz w:val="22"/>
          <w:szCs w:val="22"/>
          <w:lang w:eastAsia="en-US"/>
        </w:rPr>
        <w:t xml:space="preserve"> kartu su insulinu, dažniausias nepageidaujamas reiškinys buvo hipoglikemija, bet ji pasireiškė panašiu dažniu, kaip ir skiriant placebą su </w:t>
      </w:r>
      <w:proofErr w:type="spellStart"/>
      <w:r>
        <w:rPr>
          <w:bCs/>
          <w:sz w:val="22"/>
          <w:szCs w:val="22"/>
          <w:lang w:eastAsia="en-US"/>
        </w:rPr>
        <w:t>metforminu</w:t>
      </w:r>
      <w:proofErr w:type="spellEnd"/>
      <w:r>
        <w:rPr>
          <w:bCs/>
          <w:sz w:val="22"/>
          <w:szCs w:val="22"/>
          <w:lang w:eastAsia="en-US"/>
        </w:rPr>
        <w:t xml:space="preserve"> kartu su insulinu (</w:t>
      </w:r>
      <w:proofErr w:type="spellStart"/>
      <w:r>
        <w:rPr>
          <w:bCs/>
          <w:sz w:val="22"/>
          <w:szCs w:val="22"/>
          <w:lang w:eastAsia="en-US"/>
        </w:rPr>
        <w:t>linagliptino</w:t>
      </w:r>
      <w:proofErr w:type="spellEnd"/>
      <w:r>
        <w:rPr>
          <w:bCs/>
          <w:sz w:val="22"/>
          <w:szCs w:val="22"/>
          <w:lang w:eastAsia="en-US"/>
        </w:rPr>
        <w:t xml:space="preserve"> su </w:t>
      </w:r>
      <w:proofErr w:type="spellStart"/>
      <w:r>
        <w:rPr>
          <w:bCs/>
          <w:sz w:val="22"/>
          <w:szCs w:val="22"/>
          <w:lang w:eastAsia="en-US"/>
        </w:rPr>
        <w:t>metforminu</w:t>
      </w:r>
      <w:proofErr w:type="spellEnd"/>
      <w:r>
        <w:rPr>
          <w:bCs/>
          <w:sz w:val="22"/>
          <w:szCs w:val="22"/>
          <w:lang w:eastAsia="en-US"/>
        </w:rPr>
        <w:t xml:space="preserve"> ir su insulinu grupėje – 29,5 %, o placebo su </w:t>
      </w:r>
      <w:proofErr w:type="spellStart"/>
      <w:r>
        <w:rPr>
          <w:bCs/>
          <w:sz w:val="22"/>
          <w:szCs w:val="22"/>
          <w:lang w:eastAsia="en-US"/>
        </w:rPr>
        <w:t>metforminu</w:t>
      </w:r>
      <w:proofErr w:type="spellEnd"/>
      <w:r>
        <w:rPr>
          <w:bCs/>
          <w:sz w:val="22"/>
          <w:szCs w:val="22"/>
          <w:lang w:eastAsia="en-US"/>
        </w:rPr>
        <w:t xml:space="preserve"> ir su insulinu grupėje – 30,9 %). Sunkių epizodų (kai reikėjo pagalbos) buvo nedaug (atitinkamai 1,5 % ir 0,9 %).</w:t>
      </w:r>
    </w:p>
    <w:p w14:paraId="3D0C48A0" w14:textId="77777777" w:rsidR="003F7CCA" w:rsidRDefault="003F7CCA">
      <w:pPr>
        <w:widowControl w:val="0"/>
        <w:tabs>
          <w:tab w:val="left" w:pos="567"/>
        </w:tabs>
        <w:jc w:val="both"/>
        <w:rPr>
          <w:bCs/>
          <w:sz w:val="22"/>
          <w:szCs w:val="22"/>
          <w:lang w:eastAsia="en-US"/>
        </w:rPr>
      </w:pPr>
    </w:p>
    <w:p w14:paraId="1B4AF7FF" w14:textId="77777777" w:rsidR="003F7CCA" w:rsidRDefault="0080197E">
      <w:pPr>
        <w:widowControl w:val="0"/>
        <w:tabs>
          <w:tab w:val="left" w:pos="567"/>
        </w:tabs>
        <w:jc w:val="both"/>
        <w:rPr>
          <w:bCs/>
          <w:i/>
          <w:iCs/>
          <w:sz w:val="22"/>
          <w:szCs w:val="22"/>
          <w:lang w:eastAsia="en-US"/>
        </w:rPr>
      </w:pPr>
      <w:r>
        <w:rPr>
          <w:bCs/>
          <w:i/>
          <w:iCs/>
          <w:sz w:val="22"/>
          <w:szCs w:val="22"/>
          <w:lang w:eastAsia="en-US"/>
        </w:rPr>
        <w:t>Kitos nepageidaujamos reakcijos</w:t>
      </w:r>
    </w:p>
    <w:p w14:paraId="2618AB42" w14:textId="77777777" w:rsidR="003F7CCA" w:rsidRDefault="0080197E">
      <w:pPr>
        <w:widowControl w:val="0"/>
        <w:tabs>
          <w:tab w:val="left" w:pos="567"/>
        </w:tabs>
        <w:jc w:val="both"/>
        <w:rPr>
          <w:bCs/>
          <w:sz w:val="22"/>
          <w:szCs w:val="22"/>
          <w:lang w:eastAsia="en-US"/>
        </w:rPr>
      </w:pPr>
      <w:r>
        <w:rPr>
          <w:bCs/>
          <w:sz w:val="22"/>
          <w:szCs w:val="22"/>
          <w:lang w:eastAsia="en-US"/>
        </w:rPr>
        <w:t xml:space="preserve">Virškinimo trakto sutrikimai, pvz., pykinimas, vėmimas, viduriavimas ir apetito sumažėjimas bei pilvo skausmas dažniausiai pasireiškė gydymo </w:t>
      </w:r>
      <w:proofErr w:type="spellStart"/>
      <w:r>
        <w:rPr>
          <w:bCs/>
          <w:sz w:val="22"/>
          <w:szCs w:val="22"/>
          <w:lang w:eastAsia="en-US"/>
        </w:rPr>
        <w:t>linagliptinu</w:t>
      </w:r>
      <w:proofErr w:type="spellEnd"/>
      <w:r>
        <w:rPr>
          <w:bCs/>
          <w:sz w:val="22"/>
          <w:szCs w:val="22"/>
          <w:lang w:eastAsia="en-US"/>
        </w:rPr>
        <w:t>/</w:t>
      </w:r>
      <w:proofErr w:type="spellStart"/>
      <w:r>
        <w:rPr>
          <w:bCs/>
          <w:sz w:val="22"/>
          <w:szCs w:val="22"/>
          <w:lang w:eastAsia="en-US"/>
        </w:rPr>
        <w:t>metforminu</w:t>
      </w:r>
      <w:proofErr w:type="spellEnd"/>
      <w:r>
        <w:rPr>
          <w:bCs/>
          <w:sz w:val="22"/>
          <w:szCs w:val="22"/>
          <w:lang w:eastAsia="en-US"/>
        </w:rPr>
        <w:t xml:space="preserve"> ar </w:t>
      </w:r>
      <w:proofErr w:type="spellStart"/>
      <w:r>
        <w:rPr>
          <w:bCs/>
          <w:sz w:val="22"/>
          <w:szCs w:val="22"/>
          <w:lang w:eastAsia="en-US"/>
        </w:rPr>
        <w:t>metformino</w:t>
      </w:r>
      <w:proofErr w:type="spellEnd"/>
      <w:r>
        <w:rPr>
          <w:bCs/>
          <w:sz w:val="22"/>
          <w:szCs w:val="22"/>
          <w:lang w:eastAsia="en-US"/>
        </w:rPr>
        <w:t xml:space="preserve"> hidrochloridu pradžioje ir dažniausiai išnyko savaime. Šio poveikio profilaktikai rekomenduojama gerti </w:t>
      </w:r>
      <w:proofErr w:type="spellStart"/>
      <w:r>
        <w:rPr>
          <w:bCs/>
          <w:sz w:val="22"/>
          <w:szCs w:val="22"/>
          <w:lang w:eastAsia="en-US"/>
        </w:rPr>
        <w:t>linagliptiną</w:t>
      </w:r>
      <w:proofErr w:type="spellEnd"/>
      <w:r>
        <w:rPr>
          <w:bCs/>
          <w:sz w:val="22"/>
          <w:szCs w:val="22"/>
          <w:lang w:eastAsia="en-US"/>
        </w:rPr>
        <w:t>/</w:t>
      </w:r>
      <w:proofErr w:type="spellStart"/>
      <w:r>
        <w:rPr>
          <w:bCs/>
          <w:sz w:val="22"/>
          <w:szCs w:val="22"/>
          <w:lang w:eastAsia="en-US"/>
        </w:rPr>
        <w:t>metforminą</w:t>
      </w:r>
      <w:proofErr w:type="spellEnd"/>
      <w:r>
        <w:rPr>
          <w:bCs/>
          <w:sz w:val="22"/>
          <w:szCs w:val="22"/>
          <w:lang w:eastAsia="en-US"/>
        </w:rPr>
        <w:t xml:space="preserve"> valgio metu arba po valgio. Vaistinio preparato toleravimą virškinimo trakte gali pagerinti ir lėtas </w:t>
      </w:r>
      <w:proofErr w:type="spellStart"/>
      <w:r>
        <w:rPr>
          <w:bCs/>
          <w:sz w:val="22"/>
          <w:szCs w:val="22"/>
          <w:lang w:eastAsia="en-US"/>
        </w:rPr>
        <w:t>metformino</w:t>
      </w:r>
      <w:proofErr w:type="spellEnd"/>
      <w:r>
        <w:rPr>
          <w:bCs/>
          <w:sz w:val="22"/>
          <w:szCs w:val="22"/>
          <w:lang w:eastAsia="en-US"/>
        </w:rPr>
        <w:t xml:space="preserve"> hidrochlorido dozės didinimas.</w:t>
      </w:r>
    </w:p>
    <w:p w14:paraId="1B6ED09B" w14:textId="77777777" w:rsidR="003F7CCA" w:rsidRDefault="003F7CCA">
      <w:pPr>
        <w:widowControl w:val="0"/>
        <w:tabs>
          <w:tab w:val="left" w:pos="567"/>
        </w:tabs>
        <w:jc w:val="both"/>
        <w:rPr>
          <w:bCs/>
          <w:sz w:val="22"/>
          <w:szCs w:val="22"/>
          <w:lang w:eastAsia="en-US"/>
        </w:rPr>
      </w:pPr>
    </w:p>
    <w:p w14:paraId="054584AF" w14:textId="77777777" w:rsidR="003F7CCA" w:rsidRDefault="0080197E">
      <w:pPr>
        <w:widowControl w:val="0"/>
        <w:tabs>
          <w:tab w:val="left" w:pos="567"/>
        </w:tabs>
        <w:jc w:val="both"/>
        <w:rPr>
          <w:bCs/>
          <w:sz w:val="22"/>
          <w:szCs w:val="22"/>
          <w:u w:val="single"/>
          <w:lang w:eastAsia="en-US"/>
        </w:rPr>
      </w:pPr>
      <w:proofErr w:type="spellStart"/>
      <w:r>
        <w:rPr>
          <w:bCs/>
          <w:sz w:val="22"/>
          <w:szCs w:val="22"/>
          <w:u w:val="single"/>
          <w:lang w:eastAsia="en-US"/>
        </w:rPr>
        <w:t>Linagliptino</w:t>
      </w:r>
      <w:proofErr w:type="spellEnd"/>
      <w:r>
        <w:rPr>
          <w:bCs/>
          <w:sz w:val="22"/>
          <w:szCs w:val="22"/>
          <w:u w:val="single"/>
          <w:lang w:eastAsia="en-US"/>
        </w:rPr>
        <w:t xml:space="preserve"> saugumo širdies ir kraujagyslių sistemai bei inkstams tyrimas (CARMELINA)</w:t>
      </w:r>
    </w:p>
    <w:p w14:paraId="56FFCDCB" w14:textId="63386E2B" w:rsidR="003F7CCA" w:rsidRDefault="0080197E">
      <w:pPr>
        <w:widowControl w:val="0"/>
        <w:tabs>
          <w:tab w:val="left" w:pos="567"/>
        </w:tabs>
        <w:jc w:val="both"/>
        <w:rPr>
          <w:bCs/>
          <w:sz w:val="22"/>
          <w:szCs w:val="22"/>
          <w:lang w:eastAsia="en-US"/>
        </w:rPr>
      </w:pPr>
      <w:r>
        <w:rPr>
          <w:bCs/>
          <w:sz w:val="22"/>
          <w:szCs w:val="22"/>
          <w:lang w:eastAsia="en-US"/>
        </w:rPr>
        <w:t xml:space="preserve">CARMELINA tyrimo metu buvo vertinamas </w:t>
      </w:r>
      <w:proofErr w:type="spellStart"/>
      <w:r>
        <w:rPr>
          <w:bCs/>
          <w:sz w:val="22"/>
          <w:szCs w:val="22"/>
          <w:lang w:eastAsia="en-US"/>
        </w:rPr>
        <w:t>linagliptino</w:t>
      </w:r>
      <w:proofErr w:type="spellEnd"/>
      <w:r>
        <w:rPr>
          <w:bCs/>
          <w:sz w:val="22"/>
          <w:szCs w:val="22"/>
          <w:lang w:eastAsia="en-US"/>
        </w:rPr>
        <w:t xml:space="preserve"> saugumas širdies ir kraujagyslių sistemai bei inkstams, palyginti su placebu, pacientams, sergantiems 2 tipo </w:t>
      </w:r>
      <w:r w:rsidR="00560725">
        <w:rPr>
          <w:bCs/>
          <w:sz w:val="22"/>
          <w:szCs w:val="22"/>
          <w:lang w:eastAsia="en-US"/>
        </w:rPr>
        <w:t xml:space="preserve">cukriniu </w:t>
      </w:r>
      <w:r>
        <w:rPr>
          <w:bCs/>
          <w:sz w:val="22"/>
          <w:szCs w:val="22"/>
          <w:lang w:eastAsia="en-US"/>
        </w:rPr>
        <w:t xml:space="preserve">diabetu ir turintiems padidintą su širdies ir kraujagyslių sistema (ŠKS) susijusią riziką, kurią parodė nustatyta </w:t>
      </w:r>
      <w:proofErr w:type="spellStart"/>
      <w:r>
        <w:rPr>
          <w:bCs/>
          <w:sz w:val="22"/>
          <w:szCs w:val="22"/>
          <w:lang w:eastAsia="en-US"/>
        </w:rPr>
        <w:t>makrovaskulinė</w:t>
      </w:r>
      <w:proofErr w:type="spellEnd"/>
      <w:r>
        <w:rPr>
          <w:bCs/>
          <w:sz w:val="22"/>
          <w:szCs w:val="22"/>
          <w:lang w:eastAsia="en-US"/>
        </w:rPr>
        <w:t xml:space="preserve"> arba inkstų liga anamnezėje (žr. 5.1 skyrių). Šiame tyrime dalyvavo 3 494 pacientai, kurie buvo gydomi </w:t>
      </w:r>
      <w:proofErr w:type="spellStart"/>
      <w:r>
        <w:rPr>
          <w:bCs/>
          <w:sz w:val="22"/>
          <w:szCs w:val="22"/>
          <w:lang w:eastAsia="en-US"/>
        </w:rPr>
        <w:t>linagliptinu</w:t>
      </w:r>
      <w:proofErr w:type="spellEnd"/>
      <w:r>
        <w:rPr>
          <w:bCs/>
          <w:sz w:val="22"/>
          <w:szCs w:val="22"/>
          <w:lang w:eastAsia="en-US"/>
        </w:rPr>
        <w:t xml:space="preserve"> (5 mg), ir 3 485 pacientai, gydyti placebu. Abu gydymo režimai buvo skiriami papildomai prie standartinio gydymo, taikomo atsižvelgiant į regionui nustatytą HbA1c normą ir su ŠKS susijusius rizikos veiksnius. Bendrasis nepageidaujamų reiškinių ir sunkių nepageidaujamų reiškinių, pasireiškusių </w:t>
      </w:r>
      <w:proofErr w:type="spellStart"/>
      <w:r>
        <w:rPr>
          <w:bCs/>
          <w:sz w:val="22"/>
          <w:szCs w:val="22"/>
          <w:lang w:eastAsia="en-US"/>
        </w:rPr>
        <w:t>linagliptiną</w:t>
      </w:r>
      <w:proofErr w:type="spellEnd"/>
      <w:r>
        <w:rPr>
          <w:bCs/>
          <w:sz w:val="22"/>
          <w:szCs w:val="22"/>
          <w:lang w:eastAsia="en-US"/>
        </w:rPr>
        <w:t xml:space="preserve"> vartojusiems pacientams, dažnis buvo panašus į pacientų, vartojusių placebą. Šiuo tyrimu gauti saugumo duomenys atitiko anksčiau nustatytą </w:t>
      </w:r>
      <w:proofErr w:type="spellStart"/>
      <w:r>
        <w:rPr>
          <w:bCs/>
          <w:sz w:val="22"/>
          <w:szCs w:val="22"/>
          <w:lang w:eastAsia="en-US"/>
        </w:rPr>
        <w:t>linagliptino</w:t>
      </w:r>
      <w:proofErr w:type="spellEnd"/>
      <w:r>
        <w:rPr>
          <w:bCs/>
          <w:sz w:val="22"/>
          <w:szCs w:val="22"/>
          <w:lang w:eastAsia="en-US"/>
        </w:rPr>
        <w:t xml:space="preserve"> saugumo profilį.</w:t>
      </w:r>
    </w:p>
    <w:p w14:paraId="2E86C2A2" w14:textId="77777777" w:rsidR="003F7CCA" w:rsidRDefault="003F7CCA">
      <w:pPr>
        <w:widowControl w:val="0"/>
        <w:tabs>
          <w:tab w:val="left" w:pos="567"/>
        </w:tabs>
        <w:jc w:val="both"/>
        <w:rPr>
          <w:bCs/>
          <w:sz w:val="22"/>
          <w:szCs w:val="22"/>
          <w:lang w:eastAsia="en-US"/>
        </w:rPr>
      </w:pPr>
    </w:p>
    <w:p w14:paraId="02E58B2F" w14:textId="77777777" w:rsidR="003F7CCA" w:rsidRDefault="0080197E">
      <w:pPr>
        <w:widowControl w:val="0"/>
        <w:tabs>
          <w:tab w:val="left" w:pos="567"/>
        </w:tabs>
        <w:jc w:val="both"/>
        <w:rPr>
          <w:bCs/>
          <w:sz w:val="22"/>
          <w:szCs w:val="22"/>
          <w:lang w:eastAsia="en-US"/>
        </w:rPr>
      </w:pPr>
      <w:r>
        <w:rPr>
          <w:bCs/>
          <w:sz w:val="22"/>
          <w:szCs w:val="22"/>
          <w:lang w:eastAsia="en-US"/>
        </w:rPr>
        <w:t xml:space="preserve">Iš gydytos populiacijos gauta pranešimų apie sunkius hipoglikemijos atvejus (kai reikėjo pagalbos), kurie pasireiškė 3 % pacientų, vartojusių </w:t>
      </w:r>
      <w:proofErr w:type="spellStart"/>
      <w:r>
        <w:rPr>
          <w:bCs/>
          <w:sz w:val="22"/>
          <w:szCs w:val="22"/>
          <w:lang w:eastAsia="en-US"/>
        </w:rPr>
        <w:t>linagliptiną</w:t>
      </w:r>
      <w:proofErr w:type="spellEnd"/>
      <w:r>
        <w:rPr>
          <w:bCs/>
          <w:sz w:val="22"/>
          <w:szCs w:val="22"/>
          <w:lang w:eastAsia="en-US"/>
        </w:rPr>
        <w:t xml:space="preserve">, ir 3,1 % pacientų, vartojusių placebą. Pacientams, pradinio vertinimo metu vartojusiems </w:t>
      </w:r>
      <w:proofErr w:type="spellStart"/>
      <w:r>
        <w:rPr>
          <w:bCs/>
          <w:sz w:val="22"/>
          <w:szCs w:val="22"/>
          <w:lang w:eastAsia="en-US"/>
        </w:rPr>
        <w:t>sulfonilurėją</w:t>
      </w:r>
      <w:proofErr w:type="spellEnd"/>
      <w:r>
        <w:rPr>
          <w:bCs/>
          <w:sz w:val="22"/>
          <w:szCs w:val="22"/>
          <w:lang w:eastAsia="en-US"/>
        </w:rPr>
        <w:t xml:space="preserve"> darinį, sunkios hipoglikemijos dažnis siekė 2 % </w:t>
      </w:r>
      <w:proofErr w:type="spellStart"/>
      <w:r>
        <w:rPr>
          <w:bCs/>
          <w:sz w:val="22"/>
          <w:szCs w:val="22"/>
          <w:lang w:eastAsia="en-US"/>
        </w:rPr>
        <w:t>linagliptino</w:t>
      </w:r>
      <w:proofErr w:type="spellEnd"/>
      <w:r>
        <w:rPr>
          <w:bCs/>
          <w:sz w:val="22"/>
          <w:szCs w:val="22"/>
          <w:lang w:eastAsia="en-US"/>
        </w:rPr>
        <w:t xml:space="preserve"> grupėje ir 1,7 % placebo grupėje. Pacientams, pradinio vertinimo metu vartojusiems insuliną, sunkios hipoglikemijos dažnis siekė 4,4 % </w:t>
      </w:r>
      <w:proofErr w:type="spellStart"/>
      <w:r>
        <w:rPr>
          <w:bCs/>
          <w:sz w:val="22"/>
          <w:szCs w:val="22"/>
          <w:lang w:eastAsia="en-US"/>
        </w:rPr>
        <w:t>linagliptino</w:t>
      </w:r>
      <w:proofErr w:type="spellEnd"/>
      <w:r>
        <w:rPr>
          <w:bCs/>
          <w:sz w:val="22"/>
          <w:szCs w:val="22"/>
          <w:lang w:eastAsia="en-US"/>
        </w:rPr>
        <w:t xml:space="preserve"> grupėje ir 4,9 % placebo grupėje.</w:t>
      </w:r>
    </w:p>
    <w:p w14:paraId="3B1944BE" w14:textId="77777777" w:rsidR="003F7CCA" w:rsidRDefault="003F7CCA">
      <w:pPr>
        <w:widowControl w:val="0"/>
        <w:tabs>
          <w:tab w:val="left" w:pos="567"/>
        </w:tabs>
        <w:jc w:val="both"/>
        <w:rPr>
          <w:bCs/>
          <w:sz w:val="22"/>
          <w:szCs w:val="22"/>
          <w:lang w:eastAsia="en-US"/>
        </w:rPr>
      </w:pPr>
    </w:p>
    <w:p w14:paraId="536F0F7B" w14:textId="77777777" w:rsidR="003F7CCA" w:rsidRDefault="0080197E">
      <w:pPr>
        <w:widowControl w:val="0"/>
        <w:tabs>
          <w:tab w:val="left" w:pos="567"/>
        </w:tabs>
        <w:jc w:val="both"/>
        <w:rPr>
          <w:bCs/>
          <w:sz w:val="22"/>
          <w:szCs w:val="22"/>
          <w:lang w:eastAsia="en-US"/>
        </w:rPr>
      </w:pPr>
      <w:r>
        <w:rPr>
          <w:bCs/>
          <w:sz w:val="22"/>
          <w:szCs w:val="22"/>
          <w:lang w:eastAsia="en-US"/>
        </w:rPr>
        <w:t xml:space="preserve">Per visą tyrimo stebėjimo laikotarpį gauta pranešimų apie ūminį pankreatitą (įvertinimą atliko nepriklausomas vertinimo komitetas), pasireiškusį 0,3 % pacientų, vartojusių </w:t>
      </w:r>
      <w:proofErr w:type="spellStart"/>
      <w:r>
        <w:rPr>
          <w:bCs/>
          <w:sz w:val="22"/>
          <w:szCs w:val="22"/>
          <w:lang w:eastAsia="en-US"/>
        </w:rPr>
        <w:t>linagliptiną</w:t>
      </w:r>
      <w:proofErr w:type="spellEnd"/>
      <w:r>
        <w:rPr>
          <w:bCs/>
          <w:sz w:val="22"/>
          <w:szCs w:val="22"/>
          <w:lang w:eastAsia="en-US"/>
        </w:rPr>
        <w:t xml:space="preserve">, ir 0,1 % </w:t>
      </w:r>
      <w:r>
        <w:rPr>
          <w:bCs/>
          <w:sz w:val="22"/>
          <w:szCs w:val="22"/>
          <w:lang w:eastAsia="en-US"/>
        </w:rPr>
        <w:lastRenderedPageBreak/>
        <w:t>pacientų, vartojusių placebą.</w:t>
      </w:r>
    </w:p>
    <w:p w14:paraId="66B1C616" w14:textId="77777777" w:rsidR="003F7CCA" w:rsidRDefault="0080197E">
      <w:pPr>
        <w:widowControl w:val="0"/>
        <w:tabs>
          <w:tab w:val="left" w:pos="567"/>
        </w:tabs>
        <w:jc w:val="both"/>
        <w:rPr>
          <w:bCs/>
          <w:sz w:val="22"/>
          <w:szCs w:val="22"/>
          <w:lang w:eastAsia="en-US"/>
        </w:rPr>
      </w:pPr>
      <w:r>
        <w:rPr>
          <w:bCs/>
          <w:sz w:val="22"/>
          <w:szCs w:val="22"/>
          <w:lang w:eastAsia="en-US"/>
        </w:rPr>
        <w:t xml:space="preserve">Tyrimo CARMELINA metu gauta pranešimų apie </w:t>
      </w:r>
      <w:proofErr w:type="spellStart"/>
      <w:r>
        <w:rPr>
          <w:bCs/>
          <w:sz w:val="22"/>
          <w:szCs w:val="22"/>
          <w:lang w:eastAsia="en-US"/>
        </w:rPr>
        <w:t>pūslinį</w:t>
      </w:r>
      <w:proofErr w:type="spellEnd"/>
      <w:r>
        <w:rPr>
          <w:bCs/>
          <w:sz w:val="22"/>
          <w:szCs w:val="22"/>
          <w:lang w:eastAsia="en-US"/>
        </w:rPr>
        <w:t xml:space="preserve"> </w:t>
      </w:r>
      <w:proofErr w:type="spellStart"/>
      <w:r>
        <w:rPr>
          <w:bCs/>
          <w:sz w:val="22"/>
          <w:szCs w:val="22"/>
          <w:lang w:eastAsia="en-US"/>
        </w:rPr>
        <w:t>pemfigoidą</w:t>
      </w:r>
      <w:proofErr w:type="spellEnd"/>
      <w:r>
        <w:rPr>
          <w:bCs/>
          <w:sz w:val="22"/>
          <w:szCs w:val="22"/>
          <w:lang w:eastAsia="en-US"/>
        </w:rPr>
        <w:t xml:space="preserve">, pasireiškusį 0,2 % pacientų, vartojusių </w:t>
      </w:r>
      <w:proofErr w:type="spellStart"/>
      <w:r>
        <w:rPr>
          <w:bCs/>
          <w:sz w:val="22"/>
          <w:szCs w:val="22"/>
          <w:lang w:eastAsia="en-US"/>
        </w:rPr>
        <w:t>linagliptiną</w:t>
      </w:r>
      <w:proofErr w:type="spellEnd"/>
      <w:r>
        <w:rPr>
          <w:bCs/>
          <w:sz w:val="22"/>
          <w:szCs w:val="22"/>
          <w:lang w:eastAsia="en-US"/>
        </w:rPr>
        <w:t>; iš placebą vartojusių pacientų tokių pranešimų negauta.</w:t>
      </w:r>
    </w:p>
    <w:p w14:paraId="4D09231E" w14:textId="77777777" w:rsidR="003F7CCA" w:rsidRDefault="003F7CCA">
      <w:pPr>
        <w:widowControl w:val="0"/>
        <w:tabs>
          <w:tab w:val="left" w:pos="567"/>
        </w:tabs>
        <w:jc w:val="both"/>
        <w:rPr>
          <w:bCs/>
          <w:sz w:val="22"/>
          <w:szCs w:val="22"/>
          <w:lang w:eastAsia="en-US"/>
        </w:rPr>
      </w:pPr>
    </w:p>
    <w:p w14:paraId="729509AA" w14:textId="77777777" w:rsidR="003F7CCA" w:rsidRDefault="0080197E">
      <w:pPr>
        <w:widowControl w:val="0"/>
        <w:tabs>
          <w:tab w:val="left" w:pos="567"/>
        </w:tabs>
        <w:jc w:val="both"/>
        <w:rPr>
          <w:bCs/>
          <w:sz w:val="22"/>
          <w:szCs w:val="22"/>
          <w:u w:val="single"/>
          <w:lang w:eastAsia="en-US"/>
        </w:rPr>
      </w:pPr>
      <w:r>
        <w:rPr>
          <w:bCs/>
          <w:sz w:val="22"/>
          <w:szCs w:val="22"/>
          <w:u w:val="single"/>
          <w:lang w:eastAsia="en-US"/>
        </w:rPr>
        <w:t>Vaikų populiacija</w:t>
      </w:r>
    </w:p>
    <w:p w14:paraId="5AA0C1CE" w14:textId="5819F5BA" w:rsidR="003F7CCA" w:rsidRDefault="0080197E">
      <w:pPr>
        <w:widowControl w:val="0"/>
        <w:tabs>
          <w:tab w:val="left" w:pos="567"/>
        </w:tabs>
        <w:jc w:val="both"/>
        <w:rPr>
          <w:bCs/>
          <w:sz w:val="22"/>
          <w:szCs w:val="22"/>
          <w:lang w:eastAsia="en-US"/>
        </w:rPr>
      </w:pPr>
      <w:r>
        <w:rPr>
          <w:bCs/>
          <w:sz w:val="22"/>
          <w:szCs w:val="22"/>
          <w:lang w:eastAsia="en-US"/>
        </w:rPr>
        <w:t xml:space="preserve">Klinikinių tyrimų, kuriuose dalyvavo 2 tipo cukriniu diabetu sergantys 10-17 metų vaikai, metu </w:t>
      </w:r>
      <w:proofErr w:type="spellStart"/>
      <w:r>
        <w:rPr>
          <w:bCs/>
          <w:sz w:val="22"/>
          <w:szCs w:val="22"/>
          <w:lang w:eastAsia="en-US"/>
        </w:rPr>
        <w:t>linagliptino</w:t>
      </w:r>
      <w:proofErr w:type="spellEnd"/>
      <w:r>
        <w:rPr>
          <w:bCs/>
          <w:sz w:val="22"/>
          <w:szCs w:val="22"/>
          <w:lang w:eastAsia="en-US"/>
        </w:rPr>
        <w:t xml:space="preserve"> saugumo duomenys iš esmės buvo panašūs į stebėtus suaugusiųjų populiacijoje.</w:t>
      </w:r>
    </w:p>
    <w:p w14:paraId="6437F033" w14:textId="77777777" w:rsidR="003F7CCA" w:rsidRDefault="003F7CCA">
      <w:pPr>
        <w:widowControl w:val="0"/>
        <w:tabs>
          <w:tab w:val="left" w:pos="567"/>
        </w:tabs>
        <w:jc w:val="both"/>
        <w:rPr>
          <w:bCs/>
          <w:sz w:val="22"/>
          <w:szCs w:val="22"/>
          <w:lang w:eastAsia="en-US"/>
        </w:rPr>
      </w:pPr>
    </w:p>
    <w:p w14:paraId="5106B1BD" w14:textId="77777777" w:rsidR="003F7CCA" w:rsidRDefault="0080197E">
      <w:pPr>
        <w:widowControl w:val="0"/>
        <w:tabs>
          <w:tab w:val="left" w:pos="567"/>
        </w:tabs>
        <w:jc w:val="both"/>
        <w:rPr>
          <w:sz w:val="22"/>
          <w:szCs w:val="22"/>
          <w:u w:val="single"/>
          <w:lang w:eastAsia="en-US"/>
        </w:rPr>
      </w:pPr>
      <w:r>
        <w:rPr>
          <w:sz w:val="22"/>
          <w:szCs w:val="22"/>
          <w:u w:val="single"/>
          <w:lang w:eastAsia="en-US"/>
        </w:rPr>
        <w:t>Pranešimas apie įtariamas nepageidaujamas reakcijas</w:t>
      </w:r>
    </w:p>
    <w:p w14:paraId="08DD7801" w14:textId="77777777" w:rsidR="003F7CCA" w:rsidRDefault="0080197E">
      <w:pPr>
        <w:widowControl w:val="0"/>
        <w:tabs>
          <w:tab w:val="left" w:pos="567"/>
        </w:tabs>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en-US"/>
        </w:rPr>
        <w:t>https://vvkt.lrv.lt/lt/</w:t>
      </w:r>
      <w:r>
        <w:rPr>
          <w:color w:val="0000EE"/>
          <w:sz w:val="22"/>
          <w:szCs w:val="22"/>
          <w:lang w:eastAsia="en-US"/>
        </w:rPr>
        <w:t xml:space="preserve"> </w:t>
      </w:r>
      <w:r>
        <w:rPr>
          <w:sz w:val="22"/>
          <w:szCs w:val="22"/>
          <w:lang w:eastAsia="en-US"/>
        </w:rPr>
        <w:t>nurodytais būdais.</w:t>
      </w:r>
    </w:p>
    <w:p w14:paraId="335177C2" w14:textId="77777777" w:rsidR="003F7CCA" w:rsidRDefault="003F7CCA">
      <w:pPr>
        <w:widowControl w:val="0"/>
        <w:autoSpaceDE w:val="0"/>
        <w:autoSpaceDN w:val="0"/>
        <w:adjustRightInd w:val="0"/>
        <w:rPr>
          <w:bCs/>
          <w:sz w:val="22"/>
          <w:szCs w:val="22"/>
          <w:u w:val="single"/>
          <w:lang w:eastAsia="en-US"/>
        </w:rPr>
      </w:pPr>
    </w:p>
    <w:p w14:paraId="576C2C8F" w14:textId="77777777" w:rsidR="003F7CCA" w:rsidRDefault="0080197E">
      <w:pPr>
        <w:widowControl w:val="0"/>
        <w:tabs>
          <w:tab w:val="left" w:pos="567"/>
        </w:tabs>
        <w:ind w:left="567" w:hanging="567"/>
        <w:outlineLvl w:val="2"/>
        <w:rPr>
          <w:b/>
          <w:kern w:val="28"/>
          <w:sz w:val="22"/>
          <w:szCs w:val="22"/>
          <w:lang w:eastAsia="en-US"/>
        </w:rPr>
      </w:pPr>
      <w:r>
        <w:rPr>
          <w:b/>
          <w:kern w:val="28"/>
          <w:sz w:val="22"/>
          <w:szCs w:val="22"/>
          <w:lang w:eastAsia="en-US"/>
        </w:rPr>
        <w:t>4.9</w:t>
      </w:r>
      <w:r>
        <w:rPr>
          <w:b/>
          <w:kern w:val="28"/>
          <w:sz w:val="22"/>
          <w:szCs w:val="22"/>
          <w:lang w:eastAsia="en-US"/>
        </w:rPr>
        <w:tab/>
        <w:t>Perdozavimas</w:t>
      </w:r>
    </w:p>
    <w:p w14:paraId="6BF6570B" w14:textId="77777777" w:rsidR="003F7CCA" w:rsidRDefault="003F7CCA">
      <w:pPr>
        <w:widowControl w:val="0"/>
        <w:tabs>
          <w:tab w:val="left" w:pos="540"/>
        </w:tabs>
        <w:autoSpaceDE w:val="0"/>
        <w:autoSpaceDN w:val="0"/>
        <w:adjustRightInd w:val="0"/>
        <w:rPr>
          <w:sz w:val="22"/>
          <w:szCs w:val="22"/>
          <w:u w:val="single"/>
          <w:lang w:eastAsia="sl-SI"/>
        </w:rPr>
      </w:pPr>
    </w:p>
    <w:p w14:paraId="64762CD1" w14:textId="77777777" w:rsidR="003F7CCA" w:rsidRDefault="0080197E">
      <w:pPr>
        <w:widowControl w:val="0"/>
        <w:tabs>
          <w:tab w:val="left" w:pos="567"/>
        </w:tabs>
        <w:rPr>
          <w:sz w:val="22"/>
          <w:szCs w:val="22"/>
          <w:u w:val="single"/>
          <w:lang w:eastAsia="en-US"/>
        </w:rPr>
      </w:pPr>
      <w:proofErr w:type="spellStart"/>
      <w:r>
        <w:rPr>
          <w:sz w:val="22"/>
          <w:szCs w:val="22"/>
          <w:u w:val="single"/>
          <w:lang w:eastAsia="en-US"/>
        </w:rPr>
        <w:t>Linagliptinas</w:t>
      </w:r>
      <w:proofErr w:type="spellEnd"/>
    </w:p>
    <w:p w14:paraId="24A23674" w14:textId="76F4CE56" w:rsidR="003F7CCA" w:rsidRDefault="0080197E">
      <w:pPr>
        <w:widowControl w:val="0"/>
        <w:tabs>
          <w:tab w:val="left" w:pos="567"/>
        </w:tabs>
        <w:rPr>
          <w:iCs/>
          <w:sz w:val="22"/>
          <w:szCs w:val="22"/>
          <w:lang w:eastAsia="sl-SI"/>
        </w:rPr>
      </w:pPr>
      <w:r>
        <w:rPr>
          <w:sz w:val="22"/>
          <w:szCs w:val="22"/>
          <w:lang w:eastAsia="en-US"/>
        </w:rPr>
        <w:t xml:space="preserve">Kontroliuojamų klinikinių tyrimų su sveikais </w:t>
      </w:r>
      <w:r w:rsidR="00583593">
        <w:rPr>
          <w:sz w:val="22"/>
          <w:szCs w:val="22"/>
          <w:lang w:eastAsia="en-US"/>
        </w:rPr>
        <w:t xml:space="preserve">tiriamaisiais </w:t>
      </w:r>
      <w:r>
        <w:rPr>
          <w:sz w:val="22"/>
          <w:szCs w:val="22"/>
          <w:lang w:eastAsia="en-US"/>
        </w:rPr>
        <w:t xml:space="preserve">metu vartojant vieną ne didesnę kaip 600 mg </w:t>
      </w:r>
      <w:proofErr w:type="spellStart"/>
      <w:r>
        <w:rPr>
          <w:sz w:val="22"/>
          <w:szCs w:val="22"/>
          <w:lang w:eastAsia="en-US"/>
        </w:rPr>
        <w:t>linagliptino</w:t>
      </w:r>
      <w:proofErr w:type="spellEnd"/>
      <w:r>
        <w:rPr>
          <w:sz w:val="22"/>
          <w:szCs w:val="22"/>
          <w:lang w:eastAsia="en-US"/>
        </w:rPr>
        <w:t xml:space="preserve"> dozę (ji yra 120 kartų didesnė už rekomenduojamą dozę), su doze susijusių nepageidaujamų reiškinių padidėjimo nenustatyta. Didesnių negu 600 mg dozių vartojimo žmogui patirties nėra.</w:t>
      </w:r>
    </w:p>
    <w:p w14:paraId="7E0FC286" w14:textId="77777777" w:rsidR="003F7CCA" w:rsidRDefault="003F7CCA">
      <w:pPr>
        <w:widowControl w:val="0"/>
        <w:rPr>
          <w:iCs/>
          <w:sz w:val="22"/>
          <w:szCs w:val="22"/>
          <w:lang w:eastAsia="sl-SI"/>
        </w:rPr>
      </w:pPr>
    </w:p>
    <w:p w14:paraId="3DA68C56" w14:textId="77777777" w:rsidR="003F7CCA" w:rsidRDefault="0080197E">
      <w:pPr>
        <w:tabs>
          <w:tab w:val="left" w:pos="567"/>
        </w:tabs>
        <w:autoSpaceDE w:val="0"/>
        <w:autoSpaceDN w:val="0"/>
        <w:adjustRightInd w:val="0"/>
        <w:rPr>
          <w:snapToGrid w:val="0"/>
          <w:sz w:val="22"/>
          <w:szCs w:val="22"/>
          <w:u w:val="single"/>
          <w:lang w:eastAsia="en-US"/>
        </w:rPr>
      </w:pPr>
      <w:r>
        <w:rPr>
          <w:snapToGrid w:val="0"/>
          <w:sz w:val="22"/>
          <w:szCs w:val="22"/>
          <w:u w:val="single"/>
          <w:lang w:eastAsia="en-US"/>
        </w:rPr>
        <w:t>Metforminas</w:t>
      </w:r>
    </w:p>
    <w:p w14:paraId="39628A3F" w14:textId="71E08592" w:rsidR="003F7CCA" w:rsidRDefault="0080197E">
      <w:pPr>
        <w:tabs>
          <w:tab w:val="left" w:pos="567"/>
        </w:tabs>
        <w:autoSpaceDE w:val="0"/>
        <w:autoSpaceDN w:val="0"/>
        <w:adjustRightInd w:val="0"/>
        <w:rPr>
          <w:snapToGrid w:val="0"/>
          <w:sz w:val="22"/>
          <w:szCs w:val="22"/>
          <w:lang w:eastAsia="en-US"/>
        </w:rPr>
      </w:pPr>
      <w:r>
        <w:rPr>
          <w:snapToGrid w:val="0"/>
          <w:sz w:val="22"/>
          <w:szCs w:val="22"/>
          <w:lang w:eastAsia="en-US"/>
        </w:rPr>
        <w:t xml:space="preserve">Išgerta ne didesnė kaip 85 g </w:t>
      </w:r>
      <w:proofErr w:type="spellStart"/>
      <w:r>
        <w:rPr>
          <w:snapToGrid w:val="0"/>
          <w:sz w:val="22"/>
          <w:szCs w:val="22"/>
          <w:lang w:eastAsia="en-US"/>
        </w:rPr>
        <w:t>metformino</w:t>
      </w:r>
      <w:proofErr w:type="spellEnd"/>
      <w:r>
        <w:rPr>
          <w:snapToGrid w:val="0"/>
          <w:sz w:val="22"/>
          <w:szCs w:val="22"/>
          <w:lang w:eastAsia="en-US"/>
        </w:rPr>
        <w:t xml:space="preserve"> hidrochlorido dozė hipoglikemijos nesukėlė, tačiau tokiomis aplinkybėmis pasireiškė pieno rūgšties </w:t>
      </w:r>
      <w:proofErr w:type="spellStart"/>
      <w:r>
        <w:rPr>
          <w:snapToGrid w:val="0"/>
          <w:sz w:val="22"/>
          <w:szCs w:val="22"/>
          <w:lang w:eastAsia="en-US"/>
        </w:rPr>
        <w:t>acidozė</w:t>
      </w:r>
      <w:proofErr w:type="spellEnd"/>
      <w:r>
        <w:rPr>
          <w:snapToGrid w:val="0"/>
          <w:sz w:val="22"/>
          <w:szCs w:val="22"/>
          <w:lang w:eastAsia="en-US"/>
        </w:rPr>
        <w:t xml:space="preserve">. Didelis </w:t>
      </w:r>
      <w:proofErr w:type="spellStart"/>
      <w:r>
        <w:rPr>
          <w:snapToGrid w:val="0"/>
          <w:sz w:val="22"/>
          <w:szCs w:val="22"/>
          <w:lang w:eastAsia="en-US"/>
        </w:rPr>
        <w:t>metformino</w:t>
      </w:r>
      <w:proofErr w:type="spellEnd"/>
      <w:r>
        <w:rPr>
          <w:snapToGrid w:val="0"/>
          <w:sz w:val="22"/>
          <w:szCs w:val="22"/>
          <w:lang w:eastAsia="en-US"/>
        </w:rPr>
        <w:t xml:space="preserve"> hidrochlorido perdozavimas arba lydinti rizika gali lemti pieno rūgšties </w:t>
      </w:r>
      <w:proofErr w:type="spellStart"/>
      <w:r>
        <w:rPr>
          <w:snapToGrid w:val="0"/>
          <w:sz w:val="22"/>
          <w:szCs w:val="22"/>
          <w:lang w:eastAsia="en-US"/>
        </w:rPr>
        <w:t>acidozę</w:t>
      </w:r>
      <w:proofErr w:type="spellEnd"/>
      <w:r>
        <w:rPr>
          <w:snapToGrid w:val="0"/>
          <w:sz w:val="22"/>
          <w:szCs w:val="22"/>
          <w:lang w:eastAsia="en-US"/>
        </w:rPr>
        <w:t xml:space="preserve">. Pieno rūgšties </w:t>
      </w:r>
      <w:proofErr w:type="spellStart"/>
      <w:r>
        <w:rPr>
          <w:snapToGrid w:val="0"/>
          <w:sz w:val="22"/>
          <w:szCs w:val="22"/>
          <w:lang w:eastAsia="en-US"/>
        </w:rPr>
        <w:t>acidozė</w:t>
      </w:r>
      <w:proofErr w:type="spellEnd"/>
      <w:r>
        <w:rPr>
          <w:snapToGrid w:val="0"/>
          <w:sz w:val="22"/>
          <w:szCs w:val="22"/>
          <w:lang w:eastAsia="en-US"/>
        </w:rPr>
        <w:t xml:space="preserve"> yra kriti</w:t>
      </w:r>
      <w:r w:rsidR="003B221B">
        <w:rPr>
          <w:snapToGrid w:val="0"/>
          <w:sz w:val="22"/>
          <w:szCs w:val="22"/>
          <w:lang w:eastAsia="en-US"/>
        </w:rPr>
        <w:t>nė</w:t>
      </w:r>
      <w:r>
        <w:rPr>
          <w:snapToGrid w:val="0"/>
          <w:sz w:val="22"/>
          <w:szCs w:val="22"/>
          <w:lang w:eastAsia="en-US"/>
        </w:rPr>
        <w:t xml:space="preserve"> </w:t>
      </w:r>
      <w:r w:rsidR="003B221B">
        <w:rPr>
          <w:snapToGrid w:val="0"/>
          <w:sz w:val="22"/>
          <w:szCs w:val="22"/>
          <w:lang w:eastAsia="en-US"/>
        </w:rPr>
        <w:t xml:space="preserve">būklė, kuri </w:t>
      </w:r>
      <w:r w:rsidR="00BF6B2A">
        <w:rPr>
          <w:snapToGrid w:val="0"/>
          <w:sz w:val="22"/>
          <w:szCs w:val="22"/>
          <w:lang w:eastAsia="en-US"/>
        </w:rPr>
        <w:t>turi būti</w:t>
      </w:r>
      <w:r w:rsidR="003B221B">
        <w:rPr>
          <w:snapToGrid w:val="0"/>
          <w:sz w:val="22"/>
          <w:szCs w:val="22"/>
          <w:lang w:eastAsia="en-US"/>
        </w:rPr>
        <w:t xml:space="preserve"> </w:t>
      </w:r>
      <w:r>
        <w:rPr>
          <w:snapToGrid w:val="0"/>
          <w:sz w:val="22"/>
          <w:szCs w:val="22"/>
          <w:lang w:eastAsia="en-US"/>
        </w:rPr>
        <w:t xml:space="preserve"> gyd</w:t>
      </w:r>
      <w:r w:rsidR="00BF6B2A">
        <w:rPr>
          <w:snapToGrid w:val="0"/>
          <w:sz w:val="22"/>
          <w:szCs w:val="22"/>
          <w:lang w:eastAsia="en-US"/>
        </w:rPr>
        <w:t>oma</w:t>
      </w:r>
      <w:r>
        <w:rPr>
          <w:snapToGrid w:val="0"/>
          <w:sz w:val="22"/>
          <w:szCs w:val="22"/>
          <w:lang w:eastAsia="en-US"/>
        </w:rPr>
        <w:t xml:space="preserve"> ligoninėje. Veiksmingiausias metodas laktatui ir </w:t>
      </w:r>
      <w:proofErr w:type="spellStart"/>
      <w:r>
        <w:rPr>
          <w:snapToGrid w:val="0"/>
          <w:sz w:val="22"/>
          <w:szCs w:val="22"/>
          <w:lang w:eastAsia="en-US"/>
        </w:rPr>
        <w:t>metformino</w:t>
      </w:r>
      <w:proofErr w:type="spellEnd"/>
      <w:r>
        <w:rPr>
          <w:snapToGrid w:val="0"/>
          <w:sz w:val="22"/>
          <w:szCs w:val="22"/>
          <w:lang w:eastAsia="en-US"/>
        </w:rPr>
        <w:t xml:space="preserve"> hidrochloridui iš organizmo šalinti yra hemodializė.</w:t>
      </w:r>
    </w:p>
    <w:p w14:paraId="145E65E9" w14:textId="77777777" w:rsidR="003F7CCA" w:rsidRDefault="003F7CCA">
      <w:pPr>
        <w:tabs>
          <w:tab w:val="left" w:pos="567"/>
        </w:tabs>
        <w:autoSpaceDE w:val="0"/>
        <w:autoSpaceDN w:val="0"/>
        <w:adjustRightInd w:val="0"/>
        <w:rPr>
          <w:snapToGrid w:val="0"/>
          <w:sz w:val="22"/>
          <w:szCs w:val="22"/>
          <w:lang w:eastAsia="en-US"/>
        </w:rPr>
      </w:pPr>
    </w:p>
    <w:p w14:paraId="04785904" w14:textId="77777777" w:rsidR="003F7CCA" w:rsidRDefault="0080197E">
      <w:pPr>
        <w:tabs>
          <w:tab w:val="left" w:pos="567"/>
        </w:tabs>
        <w:autoSpaceDE w:val="0"/>
        <w:autoSpaceDN w:val="0"/>
        <w:adjustRightInd w:val="0"/>
        <w:rPr>
          <w:snapToGrid w:val="0"/>
          <w:sz w:val="22"/>
          <w:szCs w:val="22"/>
          <w:u w:val="single"/>
          <w:lang w:eastAsia="en-US"/>
        </w:rPr>
      </w:pPr>
      <w:r>
        <w:rPr>
          <w:snapToGrid w:val="0"/>
          <w:sz w:val="22"/>
          <w:szCs w:val="22"/>
          <w:u w:val="single"/>
          <w:lang w:eastAsia="en-US"/>
        </w:rPr>
        <w:t>Gydymas</w:t>
      </w:r>
    </w:p>
    <w:p w14:paraId="17FB98DE" w14:textId="4D712953" w:rsidR="003F7CCA" w:rsidRDefault="0080197E">
      <w:pPr>
        <w:tabs>
          <w:tab w:val="left" w:pos="567"/>
        </w:tabs>
        <w:autoSpaceDE w:val="0"/>
        <w:autoSpaceDN w:val="0"/>
        <w:adjustRightInd w:val="0"/>
        <w:rPr>
          <w:snapToGrid w:val="0"/>
          <w:sz w:val="22"/>
          <w:szCs w:val="22"/>
          <w:lang w:eastAsia="en-US"/>
        </w:rPr>
      </w:pPr>
      <w:r>
        <w:rPr>
          <w:snapToGrid w:val="0"/>
          <w:sz w:val="22"/>
          <w:szCs w:val="22"/>
          <w:lang w:eastAsia="en-US"/>
        </w:rPr>
        <w:t>Perdozavimo atveju reikia imtis įprastų palaikomųjų gydymo priemonių, pvz., pašalinti iš skrandžio neabsorbuotą vaistinio preparato dalį, pradėti klinikinę stebėseną, prireikus imtis klinikinių gydymo priemonių.</w:t>
      </w:r>
    </w:p>
    <w:p w14:paraId="2A2428C8" w14:textId="77777777" w:rsidR="003F7CCA" w:rsidRDefault="003F7CCA">
      <w:pPr>
        <w:widowControl w:val="0"/>
        <w:ind w:left="567" w:hanging="567"/>
        <w:rPr>
          <w:sz w:val="22"/>
          <w:szCs w:val="22"/>
          <w:lang w:eastAsia="en-US"/>
        </w:rPr>
      </w:pPr>
    </w:p>
    <w:p w14:paraId="483D59F8" w14:textId="77777777" w:rsidR="003F7CCA" w:rsidRDefault="003F7CCA">
      <w:pPr>
        <w:widowControl w:val="0"/>
        <w:ind w:left="567" w:hanging="567"/>
        <w:rPr>
          <w:sz w:val="22"/>
          <w:szCs w:val="22"/>
          <w:lang w:eastAsia="en-US"/>
        </w:rPr>
      </w:pPr>
    </w:p>
    <w:p w14:paraId="74B16CB6" w14:textId="77777777" w:rsidR="003F7CCA" w:rsidRDefault="0080197E">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55A4785A" w14:textId="77777777" w:rsidR="003F7CCA" w:rsidRDefault="003F7CCA">
      <w:pPr>
        <w:widowControl w:val="0"/>
        <w:ind w:left="567" w:hanging="567"/>
        <w:rPr>
          <w:sz w:val="22"/>
          <w:szCs w:val="22"/>
          <w:lang w:eastAsia="en-US"/>
        </w:rPr>
      </w:pPr>
    </w:p>
    <w:p w14:paraId="21AA06D0" w14:textId="77777777" w:rsidR="003F7CCA" w:rsidRDefault="0080197E">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12D4258B" w14:textId="77777777" w:rsidR="003F7CCA" w:rsidRDefault="003F7CCA">
      <w:pPr>
        <w:widowControl w:val="0"/>
        <w:ind w:left="567" w:hanging="567"/>
        <w:rPr>
          <w:sz w:val="22"/>
          <w:szCs w:val="22"/>
          <w:lang w:eastAsia="en-US"/>
        </w:rPr>
      </w:pPr>
    </w:p>
    <w:p w14:paraId="6FB10003" w14:textId="094B3597" w:rsidR="003F7CCA" w:rsidRDefault="0080197E">
      <w:pPr>
        <w:widowControl w:val="0"/>
        <w:autoSpaceDE w:val="0"/>
        <w:autoSpaceDN w:val="0"/>
        <w:adjustRightInd w:val="0"/>
        <w:rPr>
          <w:sz w:val="22"/>
          <w:szCs w:val="22"/>
          <w:lang w:eastAsia="en-US"/>
        </w:rPr>
      </w:pPr>
      <w:proofErr w:type="spellStart"/>
      <w:r>
        <w:rPr>
          <w:sz w:val="22"/>
          <w:szCs w:val="22"/>
          <w:lang w:eastAsia="en-US"/>
        </w:rPr>
        <w:t>Farmakoterapinė</w:t>
      </w:r>
      <w:proofErr w:type="spellEnd"/>
      <w:r>
        <w:rPr>
          <w:sz w:val="22"/>
          <w:szCs w:val="22"/>
          <w:lang w:eastAsia="en-US"/>
        </w:rPr>
        <w:t xml:space="preserve"> grupė – vaistai cukriniam diabetui gydyti, geriamųjų gliukozės </w:t>
      </w:r>
      <w:r w:rsidR="001D6832">
        <w:rPr>
          <w:sz w:val="22"/>
          <w:szCs w:val="22"/>
          <w:lang w:eastAsia="en-US"/>
        </w:rPr>
        <w:t xml:space="preserve">koncentraciją </w:t>
      </w:r>
      <w:r>
        <w:rPr>
          <w:sz w:val="22"/>
          <w:szCs w:val="22"/>
          <w:lang w:eastAsia="en-US"/>
        </w:rPr>
        <w:t>kraujyje mažinančių vaistų deriniai, ATC kodas – A10BD11.</w:t>
      </w:r>
    </w:p>
    <w:p w14:paraId="745A6DF8" w14:textId="77777777" w:rsidR="003F7CCA" w:rsidRDefault="003F7CCA">
      <w:pPr>
        <w:widowControl w:val="0"/>
        <w:autoSpaceDE w:val="0"/>
        <w:autoSpaceDN w:val="0"/>
        <w:adjustRightInd w:val="0"/>
        <w:rPr>
          <w:sz w:val="22"/>
          <w:szCs w:val="22"/>
          <w:lang w:eastAsia="en-US"/>
        </w:rPr>
      </w:pPr>
    </w:p>
    <w:p w14:paraId="4C39BF1A" w14:textId="77777777" w:rsidR="003F7CCA" w:rsidRDefault="0080197E">
      <w:pPr>
        <w:widowControl w:val="0"/>
        <w:autoSpaceDE w:val="0"/>
        <w:autoSpaceDN w:val="0"/>
        <w:adjustRightInd w:val="0"/>
        <w:rPr>
          <w:sz w:val="22"/>
          <w:szCs w:val="22"/>
          <w:lang w:eastAsia="en-US"/>
        </w:rPr>
      </w:pPr>
      <w:proofErr w:type="spellStart"/>
      <w:r>
        <w:rPr>
          <w:sz w:val="22"/>
          <w:szCs w:val="22"/>
          <w:lang w:eastAsia="en-US"/>
        </w:rPr>
        <w:t>Lymerexo</w:t>
      </w:r>
      <w:proofErr w:type="spellEnd"/>
      <w:r>
        <w:rPr>
          <w:sz w:val="22"/>
          <w:szCs w:val="22"/>
          <w:lang w:eastAsia="en-US"/>
        </w:rPr>
        <w:t xml:space="preserve"> sudėtyje yra du </w:t>
      </w:r>
      <w:proofErr w:type="spellStart"/>
      <w:r>
        <w:rPr>
          <w:sz w:val="22"/>
          <w:szCs w:val="22"/>
          <w:lang w:eastAsia="en-US"/>
        </w:rPr>
        <w:t>antihiperglikeminiai</w:t>
      </w:r>
      <w:proofErr w:type="spellEnd"/>
      <w:r>
        <w:rPr>
          <w:sz w:val="22"/>
          <w:szCs w:val="22"/>
          <w:lang w:eastAsia="en-US"/>
        </w:rPr>
        <w:t xml:space="preserve"> vaistiniai preparatai: </w:t>
      </w:r>
      <w:proofErr w:type="spellStart"/>
      <w:r>
        <w:rPr>
          <w:sz w:val="22"/>
          <w:szCs w:val="22"/>
          <w:lang w:eastAsia="en-US"/>
        </w:rPr>
        <w:t>dipeptidilpeptidazės</w:t>
      </w:r>
      <w:proofErr w:type="spellEnd"/>
      <w:r>
        <w:rPr>
          <w:sz w:val="22"/>
          <w:szCs w:val="22"/>
          <w:lang w:eastAsia="en-US"/>
        </w:rPr>
        <w:t xml:space="preserve"> 4 (DPP-4) inhibitorius </w:t>
      </w:r>
      <w:proofErr w:type="spellStart"/>
      <w:r>
        <w:rPr>
          <w:sz w:val="22"/>
          <w:szCs w:val="22"/>
          <w:lang w:eastAsia="en-US"/>
        </w:rPr>
        <w:t>linagliptinas</w:t>
      </w:r>
      <w:proofErr w:type="spellEnd"/>
      <w:r>
        <w:rPr>
          <w:sz w:val="22"/>
          <w:szCs w:val="22"/>
          <w:lang w:eastAsia="en-US"/>
        </w:rPr>
        <w:t xml:space="preserve"> ir </w:t>
      </w:r>
      <w:proofErr w:type="spellStart"/>
      <w:r>
        <w:rPr>
          <w:sz w:val="22"/>
          <w:szCs w:val="22"/>
          <w:lang w:eastAsia="en-US"/>
        </w:rPr>
        <w:t>biguanidų</w:t>
      </w:r>
      <w:proofErr w:type="spellEnd"/>
      <w:r>
        <w:rPr>
          <w:sz w:val="22"/>
          <w:szCs w:val="22"/>
          <w:lang w:eastAsia="en-US"/>
        </w:rPr>
        <w:t xml:space="preserve"> klasės vaistinis preparatas </w:t>
      </w:r>
      <w:proofErr w:type="spellStart"/>
      <w:r>
        <w:rPr>
          <w:sz w:val="22"/>
          <w:szCs w:val="22"/>
          <w:lang w:eastAsia="en-US"/>
        </w:rPr>
        <w:t>metformino</w:t>
      </w:r>
      <w:proofErr w:type="spellEnd"/>
      <w:r>
        <w:rPr>
          <w:sz w:val="22"/>
          <w:szCs w:val="22"/>
          <w:lang w:eastAsia="en-US"/>
        </w:rPr>
        <w:t xml:space="preserve"> hidrochloridas, kurie papildydami vienas kito veikimo mechanizmą, gerina </w:t>
      </w:r>
      <w:proofErr w:type="spellStart"/>
      <w:r>
        <w:rPr>
          <w:sz w:val="22"/>
          <w:szCs w:val="22"/>
          <w:lang w:eastAsia="en-US"/>
        </w:rPr>
        <w:t>glikemijos</w:t>
      </w:r>
      <w:proofErr w:type="spellEnd"/>
      <w:r>
        <w:rPr>
          <w:sz w:val="22"/>
          <w:szCs w:val="22"/>
          <w:lang w:eastAsia="en-US"/>
        </w:rPr>
        <w:t xml:space="preserve"> kontrolę 2 tipo cukriniu diabetu sergantiems pacientams.</w:t>
      </w:r>
    </w:p>
    <w:p w14:paraId="5E651399" w14:textId="77777777" w:rsidR="003F7CCA" w:rsidRDefault="003F7CCA">
      <w:pPr>
        <w:widowControl w:val="0"/>
        <w:rPr>
          <w:sz w:val="22"/>
          <w:szCs w:val="22"/>
          <w:lang w:eastAsia="en-US"/>
        </w:rPr>
      </w:pPr>
    </w:p>
    <w:p w14:paraId="66ADB58A" w14:textId="77777777" w:rsidR="003F7CCA" w:rsidRDefault="0080197E">
      <w:pPr>
        <w:widowControl w:val="0"/>
        <w:rPr>
          <w:sz w:val="22"/>
          <w:szCs w:val="22"/>
          <w:u w:val="single"/>
          <w:lang w:eastAsia="en-US"/>
        </w:rPr>
      </w:pPr>
      <w:proofErr w:type="spellStart"/>
      <w:r>
        <w:rPr>
          <w:sz w:val="22"/>
          <w:szCs w:val="22"/>
          <w:u w:val="single"/>
          <w:lang w:eastAsia="en-US"/>
        </w:rPr>
        <w:t>Linagliptinas</w:t>
      </w:r>
      <w:proofErr w:type="spellEnd"/>
    </w:p>
    <w:p w14:paraId="311A4A9F" w14:textId="77777777" w:rsidR="003F7CCA" w:rsidRDefault="0080197E">
      <w:pPr>
        <w:widowControl w:val="0"/>
        <w:rPr>
          <w:i/>
          <w:iCs/>
          <w:sz w:val="22"/>
          <w:szCs w:val="22"/>
          <w:lang w:eastAsia="en-US"/>
        </w:rPr>
      </w:pPr>
      <w:r>
        <w:rPr>
          <w:i/>
          <w:iCs/>
          <w:sz w:val="22"/>
          <w:szCs w:val="22"/>
          <w:lang w:eastAsia="en-US"/>
        </w:rPr>
        <w:t>Veikimo mechanizmas</w:t>
      </w:r>
    </w:p>
    <w:p w14:paraId="58AD8748" w14:textId="06F12869" w:rsidR="003F7CCA" w:rsidRDefault="0080197E">
      <w:pPr>
        <w:widowControl w:val="0"/>
        <w:rPr>
          <w:sz w:val="22"/>
          <w:szCs w:val="22"/>
          <w:lang w:eastAsia="en-US"/>
        </w:rPr>
      </w:pPr>
      <w:proofErr w:type="spellStart"/>
      <w:r>
        <w:rPr>
          <w:sz w:val="22"/>
          <w:szCs w:val="22"/>
          <w:lang w:eastAsia="en-US"/>
        </w:rPr>
        <w:t>Linagliptinas</w:t>
      </w:r>
      <w:proofErr w:type="spellEnd"/>
      <w:r>
        <w:rPr>
          <w:sz w:val="22"/>
          <w:szCs w:val="22"/>
          <w:lang w:eastAsia="en-US"/>
        </w:rPr>
        <w:t xml:space="preserve"> yra fermento DPP-4 (</w:t>
      </w:r>
      <w:proofErr w:type="spellStart"/>
      <w:r>
        <w:rPr>
          <w:sz w:val="22"/>
          <w:szCs w:val="22"/>
          <w:lang w:eastAsia="en-US"/>
        </w:rPr>
        <w:t>dipeptidilpeptidazės</w:t>
      </w:r>
      <w:proofErr w:type="spellEnd"/>
      <w:r>
        <w:rPr>
          <w:sz w:val="22"/>
          <w:szCs w:val="22"/>
          <w:lang w:eastAsia="en-US"/>
        </w:rPr>
        <w:t xml:space="preserve"> 4), kuris dalyvauja </w:t>
      </w:r>
      <w:proofErr w:type="spellStart"/>
      <w:r>
        <w:rPr>
          <w:sz w:val="22"/>
          <w:szCs w:val="22"/>
          <w:lang w:eastAsia="en-US"/>
        </w:rPr>
        <w:t>inaktyvuojant</w:t>
      </w:r>
      <w:proofErr w:type="spellEnd"/>
      <w:r>
        <w:rPr>
          <w:sz w:val="22"/>
          <w:szCs w:val="22"/>
          <w:lang w:eastAsia="en-US"/>
        </w:rPr>
        <w:t xml:space="preserve"> hormonus </w:t>
      </w:r>
      <w:proofErr w:type="spellStart"/>
      <w:r>
        <w:rPr>
          <w:sz w:val="22"/>
          <w:szCs w:val="22"/>
          <w:lang w:eastAsia="en-US"/>
        </w:rPr>
        <w:t>inkretinus</w:t>
      </w:r>
      <w:proofErr w:type="spellEnd"/>
      <w:r>
        <w:rPr>
          <w:sz w:val="22"/>
          <w:szCs w:val="22"/>
          <w:lang w:eastAsia="en-US"/>
        </w:rPr>
        <w:t xml:space="preserve"> GLP-1 (į </w:t>
      </w:r>
      <w:proofErr w:type="spellStart"/>
      <w:r>
        <w:rPr>
          <w:sz w:val="22"/>
          <w:szCs w:val="22"/>
          <w:lang w:eastAsia="en-US"/>
        </w:rPr>
        <w:t>gliukagoną</w:t>
      </w:r>
      <w:proofErr w:type="spellEnd"/>
      <w:r>
        <w:rPr>
          <w:sz w:val="22"/>
          <w:szCs w:val="22"/>
          <w:lang w:eastAsia="en-US"/>
        </w:rPr>
        <w:t xml:space="preserve"> panašų peptidą 1) ir GIP (nuo gliukozės priklausomą </w:t>
      </w:r>
      <w:proofErr w:type="spellStart"/>
      <w:r>
        <w:rPr>
          <w:sz w:val="22"/>
          <w:szCs w:val="22"/>
          <w:lang w:eastAsia="en-US"/>
        </w:rPr>
        <w:t>insulinotropinį</w:t>
      </w:r>
      <w:proofErr w:type="spellEnd"/>
      <w:r>
        <w:rPr>
          <w:sz w:val="22"/>
          <w:szCs w:val="22"/>
          <w:lang w:eastAsia="en-US"/>
        </w:rPr>
        <w:t xml:space="preserve"> </w:t>
      </w:r>
      <w:proofErr w:type="spellStart"/>
      <w:r>
        <w:rPr>
          <w:sz w:val="22"/>
          <w:szCs w:val="22"/>
          <w:lang w:eastAsia="en-US"/>
        </w:rPr>
        <w:t>polipeptidą</w:t>
      </w:r>
      <w:proofErr w:type="spellEnd"/>
      <w:r>
        <w:rPr>
          <w:sz w:val="22"/>
          <w:szCs w:val="22"/>
          <w:lang w:eastAsia="en-US"/>
        </w:rPr>
        <w:t xml:space="preserve">), inhibitorius. Šiuos hormonus DPP-4 fermentas greitai suskaldo. Abu hormonai </w:t>
      </w:r>
      <w:proofErr w:type="spellStart"/>
      <w:r>
        <w:rPr>
          <w:sz w:val="22"/>
          <w:szCs w:val="22"/>
          <w:lang w:eastAsia="en-US"/>
        </w:rPr>
        <w:t>inkretinai</w:t>
      </w:r>
      <w:proofErr w:type="spellEnd"/>
      <w:r>
        <w:rPr>
          <w:sz w:val="22"/>
          <w:szCs w:val="22"/>
          <w:lang w:eastAsia="en-US"/>
        </w:rPr>
        <w:t xml:space="preserve"> dalyvauja gliukozės homeostazės fiziologinėje reguliacijoje. Šiek tiek </w:t>
      </w:r>
      <w:proofErr w:type="spellStart"/>
      <w:r>
        <w:rPr>
          <w:sz w:val="22"/>
          <w:szCs w:val="22"/>
          <w:lang w:eastAsia="en-US"/>
        </w:rPr>
        <w:t>inkretinų</w:t>
      </w:r>
      <w:proofErr w:type="spellEnd"/>
      <w:r>
        <w:rPr>
          <w:sz w:val="22"/>
          <w:szCs w:val="22"/>
          <w:lang w:eastAsia="en-US"/>
        </w:rPr>
        <w:t xml:space="preserve"> išskiriama per visą dieną, pavalgius jų kiekis tučtuojau padidėja. GLP-1 ir GIP didina insulino </w:t>
      </w:r>
      <w:proofErr w:type="spellStart"/>
      <w:r>
        <w:rPr>
          <w:sz w:val="22"/>
          <w:szCs w:val="22"/>
          <w:lang w:eastAsia="en-US"/>
        </w:rPr>
        <w:t>biosintezę</w:t>
      </w:r>
      <w:proofErr w:type="spellEnd"/>
      <w:r>
        <w:rPr>
          <w:sz w:val="22"/>
          <w:szCs w:val="22"/>
          <w:lang w:eastAsia="en-US"/>
        </w:rPr>
        <w:t xml:space="preserve"> kasos beta ląstelėse ir išskyrimą iš jų tiek esant normaliam, tiek padėjusia</w:t>
      </w:r>
      <w:r w:rsidR="001D6832">
        <w:rPr>
          <w:sz w:val="22"/>
          <w:szCs w:val="22"/>
          <w:lang w:eastAsia="en-US"/>
        </w:rPr>
        <w:t>i</w:t>
      </w:r>
      <w:r>
        <w:rPr>
          <w:sz w:val="22"/>
          <w:szCs w:val="22"/>
          <w:lang w:eastAsia="en-US"/>
        </w:rPr>
        <w:t xml:space="preserve"> gliukozės </w:t>
      </w:r>
      <w:r w:rsidR="001D6832">
        <w:rPr>
          <w:sz w:val="22"/>
          <w:szCs w:val="22"/>
          <w:lang w:eastAsia="en-US"/>
        </w:rPr>
        <w:t xml:space="preserve">koncentracijai </w:t>
      </w:r>
      <w:r>
        <w:rPr>
          <w:sz w:val="22"/>
          <w:szCs w:val="22"/>
          <w:lang w:eastAsia="en-US"/>
        </w:rPr>
        <w:t xml:space="preserve">kraujyje. Be to, GLP-1 mažina </w:t>
      </w:r>
      <w:proofErr w:type="spellStart"/>
      <w:r>
        <w:rPr>
          <w:sz w:val="22"/>
          <w:szCs w:val="22"/>
          <w:lang w:eastAsia="en-US"/>
        </w:rPr>
        <w:t>gliukagono</w:t>
      </w:r>
      <w:proofErr w:type="spellEnd"/>
      <w:r>
        <w:rPr>
          <w:sz w:val="22"/>
          <w:szCs w:val="22"/>
          <w:lang w:eastAsia="en-US"/>
        </w:rPr>
        <w:t xml:space="preserve"> išsiskyrimą iš kasos alfa ląstelių, todėl mažėja gliukozės gamyba </w:t>
      </w:r>
      <w:r>
        <w:rPr>
          <w:sz w:val="22"/>
          <w:szCs w:val="22"/>
          <w:lang w:eastAsia="en-US"/>
        </w:rPr>
        <w:lastRenderedPageBreak/>
        <w:t xml:space="preserve">kepenyse. </w:t>
      </w:r>
      <w:proofErr w:type="spellStart"/>
      <w:r>
        <w:rPr>
          <w:sz w:val="22"/>
          <w:szCs w:val="22"/>
          <w:lang w:eastAsia="en-US"/>
        </w:rPr>
        <w:t>Linagliptinas</w:t>
      </w:r>
      <w:proofErr w:type="spellEnd"/>
      <w:r>
        <w:rPr>
          <w:sz w:val="22"/>
          <w:szCs w:val="22"/>
          <w:lang w:eastAsia="en-US"/>
        </w:rPr>
        <w:t xml:space="preserve"> labai veiksmingai laikinai prisijungia prie DPP-4 ir tai lemia aktyvių </w:t>
      </w:r>
      <w:proofErr w:type="spellStart"/>
      <w:r>
        <w:rPr>
          <w:sz w:val="22"/>
          <w:szCs w:val="22"/>
          <w:lang w:eastAsia="en-US"/>
        </w:rPr>
        <w:t>inkretinų</w:t>
      </w:r>
      <w:proofErr w:type="spellEnd"/>
      <w:r>
        <w:rPr>
          <w:sz w:val="22"/>
          <w:szCs w:val="22"/>
          <w:lang w:eastAsia="en-US"/>
        </w:rPr>
        <w:t xml:space="preserve"> kiekio nepertraukiamą ir ilgalaikį padidėjimą. </w:t>
      </w:r>
      <w:proofErr w:type="spellStart"/>
      <w:r>
        <w:rPr>
          <w:sz w:val="22"/>
          <w:szCs w:val="22"/>
          <w:lang w:eastAsia="en-US"/>
        </w:rPr>
        <w:t>Linagliptinas</w:t>
      </w:r>
      <w:proofErr w:type="spellEnd"/>
      <w:r>
        <w:rPr>
          <w:sz w:val="22"/>
          <w:szCs w:val="22"/>
          <w:lang w:eastAsia="en-US"/>
        </w:rPr>
        <w:t xml:space="preserve">, priklausomai nuo gliukozės </w:t>
      </w:r>
      <w:r w:rsidR="006917CF">
        <w:rPr>
          <w:sz w:val="22"/>
          <w:szCs w:val="22"/>
          <w:lang w:eastAsia="en-US"/>
        </w:rPr>
        <w:t>koncentracijos</w:t>
      </w:r>
      <w:r>
        <w:rPr>
          <w:sz w:val="22"/>
          <w:szCs w:val="22"/>
          <w:lang w:eastAsia="en-US"/>
        </w:rPr>
        <w:t xml:space="preserve">, insulino sekreciją didina, o </w:t>
      </w:r>
      <w:proofErr w:type="spellStart"/>
      <w:r>
        <w:rPr>
          <w:sz w:val="22"/>
          <w:szCs w:val="22"/>
          <w:lang w:eastAsia="en-US"/>
        </w:rPr>
        <w:t>gliukagono</w:t>
      </w:r>
      <w:proofErr w:type="spellEnd"/>
      <w:r>
        <w:rPr>
          <w:sz w:val="22"/>
          <w:szCs w:val="22"/>
          <w:lang w:eastAsia="en-US"/>
        </w:rPr>
        <w:t xml:space="preserve"> sekreciją mažina, dėl to pagerėja visa gliukozės homeostazė. Prie DPP-4 </w:t>
      </w:r>
      <w:proofErr w:type="spellStart"/>
      <w:r>
        <w:rPr>
          <w:sz w:val="22"/>
          <w:szCs w:val="22"/>
          <w:lang w:eastAsia="en-US"/>
        </w:rPr>
        <w:t>linagliptinas</w:t>
      </w:r>
      <w:proofErr w:type="spellEnd"/>
      <w:r>
        <w:rPr>
          <w:sz w:val="22"/>
          <w:szCs w:val="22"/>
          <w:lang w:eastAsia="en-US"/>
        </w:rPr>
        <w:t xml:space="preserve"> prisijungia selektyviai, </w:t>
      </w:r>
      <w:proofErr w:type="spellStart"/>
      <w:r>
        <w:rPr>
          <w:i/>
          <w:iCs/>
          <w:sz w:val="22"/>
          <w:szCs w:val="22"/>
          <w:lang w:eastAsia="en-US"/>
        </w:rPr>
        <w:t>in</w:t>
      </w:r>
      <w:proofErr w:type="spellEnd"/>
      <w:r>
        <w:rPr>
          <w:i/>
          <w:iCs/>
          <w:sz w:val="22"/>
          <w:szCs w:val="22"/>
          <w:lang w:eastAsia="en-US"/>
        </w:rPr>
        <w:t xml:space="preserve"> </w:t>
      </w:r>
      <w:proofErr w:type="spellStart"/>
      <w:r>
        <w:rPr>
          <w:i/>
          <w:iCs/>
          <w:sz w:val="22"/>
          <w:szCs w:val="22"/>
          <w:lang w:eastAsia="en-US"/>
        </w:rPr>
        <w:t>vitro</w:t>
      </w:r>
      <w:proofErr w:type="spellEnd"/>
      <w:r>
        <w:rPr>
          <w:sz w:val="22"/>
          <w:szCs w:val="22"/>
          <w:lang w:eastAsia="en-US"/>
        </w:rPr>
        <w:t xml:space="preserve"> šiam fermentui jo selektyvumas yra </w:t>
      </w:r>
      <w:r w:rsidRPr="00A6463E">
        <w:rPr>
          <w:color w:val="000000"/>
          <w:sz w:val="22"/>
          <w:szCs w:val="22"/>
          <w:lang w:eastAsia="sl-SI"/>
        </w:rPr>
        <w:t>&gt;</w:t>
      </w:r>
      <w:r>
        <w:rPr>
          <w:sz w:val="22"/>
          <w:szCs w:val="22"/>
          <w:lang w:eastAsia="en-US"/>
        </w:rPr>
        <w:t> 10 000 kartų didesnis negu DPP-8 ar DPP-9.</w:t>
      </w:r>
    </w:p>
    <w:p w14:paraId="142BC6FA" w14:textId="77777777" w:rsidR="003F7CCA" w:rsidRDefault="003F7CCA">
      <w:pPr>
        <w:widowControl w:val="0"/>
        <w:rPr>
          <w:sz w:val="22"/>
          <w:szCs w:val="22"/>
          <w:lang w:eastAsia="en-US"/>
        </w:rPr>
      </w:pPr>
    </w:p>
    <w:p w14:paraId="6E7D14EC" w14:textId="77777777" w:rsidR="003F7CCA" w:rsidRDefault="0080197E">
      <w:pPr>
        <w:widowControl w:val="0"/>
        <w:rPr>
          <w:sz w:val="22"/>
          <w:szCs w:val="22"/>
          <w:u w:val="single"/>
          <w:lang w:eastAsia="en-US"/>
        </w:rPr>
      </w:pPr>
      <w:r>
        <w:rPr>
          <w:sz w:val="22"/>
          <w:szCs w:val="22"/>
          <w:u w:val="single"/>
          <w:lang w:eastAsia="en-US"/>
        </w:rPr>
        <w:t>Metforminas</w:t>
      </w:r>
    </w:p>
    <w:p w14:paraId="4F98931A" w14:textId="77777777" w:rsidR="003F7CCA" w:rsidRDefault="0080197E">
      <w:pPr>
        <w:widowControl w:val="0"/>
        <w:rPr>
          <w:i/>
          <w:iCs/>
          <w:sz w:val="22"/>
          <w:szCs w:val="22"/>
          <w:lang w:eastAsia="en-US"/>
        </w:rPr>
      </w:pPr>
      <w:r>
        <w:rPr>
          <w:i/>
          <w:iCs/>
          <w:sz w:val="22"/>
          <w:szCs w:val="22"/>
          <w:lang w:eastAsia="en-US"/>
        </w:rPr>
        <w:t>Veikimo mechanizmas</w:t>
      </w:r>
    </w:p>
    <w:p w14:paraId="2B501F8B" w14:textId="0043FDED" w:rsidR="003F7CCA" w:rsidRDefault="0080197E">
      <w:pPr>
        <w:widowControl w:val="0"/>
        <w:rPr>
          <w:sz w:val="22"/>
          <w:szCs w:val="22"/>
          <w:lang w:eastAsia="en-US"/>
        </w:rPr>
      </w:pPr>
      <w:proofErr w:type="spellStart"/>
      <w:r>
        <w:rPr>
          <w:sz w:val="22"/>
          <w:szCs w:val="22"/>
          <w:lang w:eastAsia="en-US"/>
        </w:rPr>
        <w:t>Metformino</w:t>
      </w:r>
      <w:proofErr w:type="spellEnd"/>
      <w:r>
        <w:rPr>
          <w:sz w:val="22"/>
          <w:szCs w:val="22"/>
          <w:lang w:eastAsia="en-US"/>
        </w:rPr>
        <w:t xml:space="preserve"> hidrochloridas yra </w:t>
      </w:r>
      <w:proofErr w:type="spellStart"/>
      <w:r>
        <w:rPr>
          <w:sz w:val="22"/>
          <w:szCs w:val="22"/>
          <w:lang w:eastAsia="en-US"/>
        </w:rPr>
        <w:t>biguanidas</w:t>
      </w:r>
      <w:proofErr w:type="spellEnd"/>
      <w:r>
        <w:rPr>
          <w:sz w:val="22"/>
          <w:szCs w:val="22"/>
          <w:lang w:eastAsia="en-US"/>
        </w:rPr>
        <w:t xml:space="preserve">, kuriam būdingas </w:t>
      </w:r>
      <w:proofErr w:type="spellStart"/>
      <w:r>
        <w:rPr>
          <w:sz w:val="22"/>
          <w:szCs w:val="22"/>
          <w:lang w:eastAsia="en-US"/>
        </w:rPr>
        <w:t>antihiperglikeminis</w:t>
      </w:r>
      <w:proofErr w:type="spellEnd"/>
      <w:r>
        <w:rPr>
          <w:sz w:val="22"/>
          <w:szCs w:val="22"/>
          <w:lang w:eastAsia="en-US"/>
        </w:rPr>
        <w:t xml:space="preserve"> poveikis, mažinantis tiek bazinį, tiek po valgio padidėjus</w:t>
      </w:r>
      <w:r w:rsidR="007E549F">
        <w:rPr>
          <w:sz w:val="22"/>
          <w:szCs w:val="22"/>
          <w:lang w:eastAsia="en-US"/>
        </w:rPr>
        <w:t>ią</w:t>
      </w:r>
      <w:r>
        <w:rPr>
          <w:sz w:val="22"/>
          <w:szCs w:val="22"/>
          <w:lang w:eastAsia="en-US"/>
        </w:rPr>
        <w:t xml:space="preserve"> gliukozės </w:t>
      </w:r>
      <w:r w:rsidR="007E549F">
        <w:rPr>
          <w:sz w:val="22"/>
          <w:szCs w:val="22"/>
          <w:lang w:eastAsia="en-US"/>
        </w:rPr>
        <w:t xml:space="preserve">koncentraciją </w:t>
      </w:r>
      <w:r>
        <w:rPr>
          <w:sz w:val="22"/>
          <w:szCs w:val="22"/>
          <w:lang w:eastAsia="en-US"/>
        </w:rPr>
        <w:t>kraujo plazmoje. Insulino sekrecijos jis nestimuliuoja, todėl hipoglikemijos nesukelia.</w:t>
      </w:r>
    </w:p>
    <w:p w14:paraId="3BD6DBD5" w14:textId="77777777" w:rsidR="003F7CCA" w:rsidRDefault="003F7CCA">
      <w:pPr>
        <w:widowControl w:val="0"/>
        <w:rPr>
          <w:sz w:val="22"/>
          <w:szCs w:val="22"/>
          <w:lang w:eastAsia="en-US"/>
        </w:rPr>
      </w:pPr>
    </w:p>
    <w:p w14:paraId="3CBC4708" w14:textId="77777777" w:rsidR="003F7CCA" w:rsidRDefault="0080197E">
      <w:pPr>
        <w:widowControl w:val="0"/>
        <w:rPr>
          <w:sz w:val="22"/>
          <w:szCs w:val="22"/>
          <w:lang w:eastAsia="en-US"/>
        </w:rPr>
      </w:pPr>
      <w:proofErr w:type="spellStart"/>
      <w:r>
        <w:rPr>
          <w:sz w:val="22"/>
          <w:szCs w:val="22"/>
          <w:lang w:eastAsia="en-US"/>
        </w:rPr>
        <w:t>Metformino</w:t>
      </w:r>
      <w:proofErr w:type="spellEnd"/>
      <w:r>
        <w:rPr>
          <w:sz w:val="22"/>
          <w:szCs w:val="22"/>
          <w:lang w:eastAsia="en-US"/>
        </w:rPr>
        <w:t xml:space="preserve"> hidrochlorido veikimo mechanizmai gali būti 3:</w:t>
      </w:r>
    </w:p>
    <w:p w14:paraId="1DFDD0C8" w14:textId="77777777" w:rsidR="003F7CCA" w:rsidRDefault="003F7CCA">
      <w:pPr>
        <w:widowControl w:val="0"/>
        <w:rPr>
          <w:sz w:val="22"/>
          <w:szCs w:val="22"/>
          <w:lang w:eastAsia="en-US"/>
        </w:rPr>
      </w:pPr>
    </w:p>
    <w:p w14:paraId="2D3F3816" w14:textId="77777777" w:rsidR="003F7CCA" w:rsidRDefault="0080197E">
      <w:pPr>
        <w:widowControl w:val="0"/>
        <w:rPr>
          <w:sz w:val="22"/>
          <w:szCs w:val="22"/>
          <w:lang w:eastAsia="en-US"/>
        </w:rPr>
      </w:pPr>
      <w:r>
        <w:rPr>
          <w:sz w:val="22"/>
          <w:szCs w:val="22"/>
          <w:lang w:eastAsia="en-US"/>
        </w:rPr>
        <w:t xml:space="preserve">(1) gliukozės gamybos kepenyse mažinimas dėl </w:t>
      </w:r>
      <w:proofErr w:type="spellStart"/>
      <w:r>
        <w:rPr>
          <w:sz w:val="22"/>
          <w:szCs w:val="22"/>
          <w:lang w:eastAsia="en-US"/>
        </w:rPr>
        <w:t>gliukoneogenezės</w:t>
      </w:r>
      <w:proofErr w:type="spellEnd"/>
      <w:r>
        <w:rPr>
          <w:sz w:val="22"/>
          <w:szCs w:val="22"/>
          <w:lang w:eastAsia="en-US"/>
        </w:rPr>
        <w:t xml:space="preserve"> ir </w:t>
      </w:r>
      <w:proofErr w:type="spellStart"/>
      <w:r>
        <w:rPr>
          <w:sz w:val="22"/>
          <w:szCs w:val="22"/>
          <w:lang w:eastAsia="en-US"/>
        </w:rPr>
        <w:t>glikogenolizės</w:t>
      </w:r>
      <w:proofErr w:type="spellEnd"/>
      <w:r>
        <w:rPr>
          <w:sz w:val="22"/>
          <w:szCs w:val="22"/>
          <w:lang w:eastAsia="en-US"/>
        </w:rPr>
        <w:t xml:space="preserve"> slopinimo;</w:t>
      </w:r>
    </w:p>
    <w:p w14:paraId="6D577D01" w14:textId="77777777" w:rsidR="003F7CCA" w:rsidRDefault="0080197E">
      <w:pPr>
        <w:widowControl w:val="0"/>
        <w:rPr>
          <w:sz w:val="22"/>
          <w:szCs w:val="22"/>
          <w:lang w:eastAsia="en-US"/>
        </w:rPr>
      </w:pPr>
      <w:r>
        <w:rPr>
          <w:sz w:val="22"/>
          <w:szCs w:val="22"/>
          <w:lang w:eastAsia="en-US"/>
        </w:rPr>
        <w:t>(2) raumenų jautrumo insulinui didinimas, gliukozės pasisavinimo ir sunaudojimo periferijoje gerinimas;</w:t>
      </w:r>
    </w:p>
    <w:p w14:paraId="50638779" w14:textId="77777777" w:rsidR="003F7CCA" w:rsidRDefault="0080197E">
      <w:pPr>
        <w:widowControl w:val="0"/>
        <w:rPr>
          <w:sz w:val="22"/>
          <w:szCs w:val="22"/>
          <w:lang w:eastAsia="en-US"/>
        </w:rPr>
      </w:pPr>
      <w:r>
        <w:rPr>
          <w:sz w:val="22"/>
          <w:szCs w:val="22"/>
          <w:lang w:eastAsia="en-US"/>
        </w:rPr>
        <w:t>(3) gliukozės absorbcijos žarnyne uždelsimas.</w:t>
      </w:r>
    </w:p>
    <w:p w14:paraId="15510D65" w14:textId="77777777" w:rsidR="003F7CCA" w:rsidRDefault="003F7CCA">
      <w:pPr>
        <w:widowControl w:val="0"/>
        <w:rPr>
          <w:sz w:val="22"/>
          <w:szCs w:val="22"/>
          <w:lang w:eastAsia="en-US"/>
        </w:rPr>
      </w:pPr>
    </w:p>
    <w:p w14:paraId="617B8666" w14:textId="77777777" w:rsidR="003F7CCA" w:rsidRDefault="0080197E">
      <w:pPr>
        <w:widowControl w:val="0"/>
        <w:rPr>
          <w:sz w:val="22"/>
          <w:szCs w:val="22"/>
          <w:lang w:eastAsia="en-US"/>
        </w:rPr>
      </w:pPr>
      <w:proofErr w:type="spellStart"/>
      <w:r>
        <w:rPr>
          <w:sz w:val="22"/>
          <w:szCs w:val="22"/>
          <w:lang w:eastAsia="en-US"/>
        </w:rPr>
        <w:t>Metformino</w:t>
      </w:r>
      <w:proofErr w:type="spellEnd"/>
      <w:r>
        <w:rPr>
          <w:sz w:val="22"/>
          <w:szCs w:val="22"/>
          <w:lang w:eastAsia="en-US"/>
        </w:rPr>
        <w:t xml:space="preserve"> hidrochloridas stimuliuoja glikogeno sintezę ląstelėse, veikdamas glikogeno sintezę.</w:t>
      </w:r>
    </w:p>
    <w:p w14:paraId="5ADFE56C" w14:textId="77777777" w:rsidR="003F7CCA" w:rsidRDefault="0080197E">
      <w:pPr>
        <w:widowControl w:val="0"/>
        <w:rPr>
          <w:sz w:val="22"/>
          <w:szCs w:val="22"/>
          <w:lang w:eastAsia="en-US"/>
        </w:rPr>
      </w:pPr>
      <w:proofErr w:type="spellStart"/>
      <w:r>
        <w:rPr>
          <w:sz w:val="22"/>
          <w:szCs w:val="22"/>
          <w:lang w:eastAsia="en-US"/>
        </w:rPr>
        <w:t>Metformino</w:t>
      </w:r>
      <w:proofErr w:type="spellEnd"/>
      <w:r>
        <w:rPr>
          <w:sz w:val="22"/>
          <w:szCs w:val="22"/>
          <w:lang w:eastAsia="en-US"/>
        </w:rPr>
        <w:t xml:space="preserve"> hidrochloridas padidina visų iki šiol žinomų gliukozės nešiklių per membraną (GLUT) pernašos gebą.</w:t>
      </w:r>
    </w:p>
    <w:p w14:paraId="5A714F6D" w14:textId="77777777" w:rsidR="003F7CCA" w:rsidRDefault="003F7CCA">
      <w:pPr>
        <w:widowControl w:val="0"/>
        <w:rPr>
          <w:sz w:val="22"/>
          <w:szCs w:val="22"/>
          <w:lang w:eastAsia="en-US"/>
        </w:rPr>
      </w:pPr>
    </w:p>
    <w:p w14:paraId="4800F7B7" w14:textId="77777777" w:rsidR="003F7CCA" w:rsidRDefault="0080197E">
      <w:pPr>
        <w:widowControl w:val="0"/>
        <w:rPr>
          <w:sz w:val="22"/>
          <w:szCs w:val="22"/>
          <w:lang w:eastAsia="en-US"/>
        </w:rPr>
      </w:pPr>
      <w:r>
        <w:rPr>
          <w:sz w:val="22"/>
          <w:szCs w:val="22"/>
          <w:lang w:eastAsia="en-US"/>
        </w:rPr>
        <w:t xml:space="preserve">Žmogaus organizme </w:t>
      </w:r>
      <w:proofErr w:type="spellStart"/>
      <w:r>
        <w:rPr>
          <w:sz w:val="22"/>
          <w:szCs w:val="22"/>
          <w:lang w:eastAsia="en-US"/>
        </w:rPr>
        <w:t>metformino</w:t>
      </w:r>
      <w:proofErr w:type="spellEnd"/>
      <w:r>
        <w:rPr>
          <w:sz w:val="22"/>
          <w:szCs w:val="22"/>
          <w:lang w:eastAsia="en-US"/>
        </w:rPr>
        <w:t xml:space="preserve"> hidrochloridas daro palankų poveikį lipidų metabolizmui nepriklausomai nuo poveikio </w:t>
      </w:r>
      <w:proofErr w:type="spellStart"/>
      <w:r>
        <w:rPr>
          <w:sz w:val="22"/>
          <w:szCs w:val="22"/>
          <w:lang w:eastAsia="en-US"/>
        </w:rPr>
        <w:t>glikemijai</w:t>
      </w:r>
      <w:proofErr w:type="spellEnd"/>
      <w:r>
        <w:rPr>
          <w:sz w:val="22"/>
          <w:szCs w:val="22"/>
          <w:lang w:eastAsia="en-US"/>
        </w:rPr>
        <w:t xml:space="preserve">. Tai buvo įrodyta kontroliuojamais vidutinės trukmės ir ilgalaikiais klinikiniais tyrimais, kurių metu buvo vartojama terapinė dozė: </w:t>
      </w:r>
      <w:proofErr w:type="spellStart"/>
      <w:r>
        <w:rPr>
          <w:sz w:val="22"/>
          <w:szCs w:val="22"/>
          <w:lang w:eastAsia="en-US"/>
        </w:rPr>
        <w:t>metformino</w:t>
      </w:r>
      <w:proofErr w:type="spellEnd"/>
      <w:r>
        <w:rPr>
          <w:sz w:val="22"/>
          <w:szCs w:val="22"/>
          <w:lang w:eastAsia="en-US"/>
        </w:rPr>
        <w:t xml:space="preserve"> hidrochloridas sumažino bendro cholesterolio, MTL cholesterolio ir trigliceridų kiekį kraujyje.</w:t>
      </w:r>
    </w:p>
    <w:p w14:paraId="682C0FA1" w14:textId="77777777" w:rsidR="003F7CCA" w:rsidRDefault="003F7CCA">
      <w:pPr>
        <w:widowControl w:val="0"/>
        <w:rPr>
          <w:sz w:val="22"/>
          <w:szCs w:val="22"/>
          <w:lang w:eastAsia="en-US"/>
        </w:rPr>
      </w:pPr>
    </w:p>
    <w:p w14:paraId="7D607FC2" w14:textId="77777777" w:rsidR="003F7CCA" w:rsidRDefault="0080197E">
      <w:pPr>
        <w:widowControl w:val="0"/>
        <w:rPr>
          <w:i/>
          <w:iCs/>
          <w:sz w:val="22"/>
          <w:szCs w:val="22"/>
          <w:lang w:eastAsia="en-US"/>
        </w:rPr>
      </w:pPr>
      <w:r>
        <w:rPr>
          <w:i/>
          <w:iCs/>
          <w:sz w:val="22"/>
          <w:szCs w:val="22"/>
          <w:lang w:eastAsia="en-US"/>
        </w:rPr>
        <w:t>Klinikinis veiksmingumas ir saugumas</w:t>
      </w:r>
    </w:p>
    <w:p w14:paraId="7A12215F" w14:textId="77777777" w:rsidR="003F7CCA" w:rsidRDefault="003F7CCA">
      <w:pPr>
        <w:widowControl w:val="0"/>
        <w:rPr>
          <w:i/>
          <w:iCs/>
          <w:sz w:val="22"/>
          <w:szCs w:val="22"/>
          <w:lang w:eastAsia="en-US"/>
        </w:rPr>
      </w:pPr>
    </w:p>
    <w:p w14:paraId="249728EF" w14:textId="77777777" w:rsidR="003F7CCA" w:rsidRDefault="0080197E">
      <w:pPr>
        <w:widowControl w:val="0"/>
        <w:rPr>
          <w:i/>
          <w:iCs/>
          <w:sz w:val="22"/>
          <w:szCs w:val="22"/>
          <w:u w:val="single"/>
          <w:lang w:eastAsia="en-US"/>
        </w:rPr>
      </w:pPr>
      <w:r>
        <w:rPr>
          <w:i/>
          <w:iCs/>
          <w:sz w:val="22"/>
          <w:szCs w:val="22"/>
          <w:u w:val="single"/>
          <w:lang w:eastAsia="en-US"/>
        </w:rPr>
        <w:t xml:space="preserve">Taikomo gydymo </w:t>
      </w:r>
      <w:proofErr w:type="spellStart"/>
      <w:r>
        <w:rPr>
          <w:i/>
          <w:iCs/>
          <w:sz w:val="22"/>
          <w:szCs w:val="22"/>
          <w:u w:val="single"/>
          <w:lang w:eastAsia="en-US"/>
        </w:rPr>
        <w:t>metforminu</w:t>
      </w:r>
      <w:proofErr w:type="spellEnd"/>
      <w:r>
        <w:rPr>
          <w:i/>
          <w:iCs/>
          <w:sz w:val="22"/>
          <w:szCs w:val="22"/>
          <w:u w:val="single"/>
          <w:lang w:eastAsia="en-US"/>
        </w:rPr>
        <w:t xml:space="preserve"> papildymas </w:t>
      </w:r>
      <w:proofErr w:type="spellStart"/>
      <w:r>
        <w:rPr>
          <w:i/>
          <w:iCs/>
          <w:sz w:val="22"/>
          <w:szCs w:val="22"/>
          <w:u w:val="single"/>
          <w:lang w:eastAsia="en-US"/>
        </w:rPr>
        <w:t>linagliptinu</w:t>
      </w:r>
      <w:proofErr w:type="spellEnd"/>
    </w:p>
    <w:p w14:paraId="560A1032" w14:textId="4B710CCB" w:rsidR="003F7CCA" w:rsidRDefault="0080197E">
      <w:pPr>
        <w:widowControl w:val="0"/>
        <w:rPr>
          <w:sz w:val="22"/>
          <w:szCs w:val="22"/>
          <w:lang w:eastAsia="en-US"/>
        </w:rPr>
      </w:pPr>
      <w:proofErr w:type="spellStart"/>
      <w:r>
        <w:rPr>
          <w:sz w:val="22"/>
          <w:szCs w:val="22"/>
          <w:lang w:eastAsia="en-US"/>
        </w:rPr>
        <w:t>Linagliptino</w:t>
      </w:r>
      <w:proofErr w:type="spellEnd"/>
      <w:r>
        <w:rPr>
          <w:sz w:val="22"/>
          <w:szCs w:val="22"/>
          <w:lang w:eastAsia="en-US"/>
        </w:rPr>
        <w:t xml:space="preserve">, vartojamo kartu su </w:t>
      </w:r>
      <w:proofErr w:type="spellStart"/>
      <w:r>
        <w:rPr>
          <w:sz w:val="22"/>
          <w:szCs w:val="22"/>
          <w:lang w:eastAsia="en-US"/>
        </w:rPr>
        <w:t>metforminu</w:t>
      </w:r>
      <w:proofErr w:type="spellEnd"/>
      <w:r>
        <w:rPr>
          <w:sz w:val="22"/>
          <w:szCs w:val="22"/>
          <w:lang w:eastAsia="en-US"/>
        </w:rPr>
        <w:t xml:space="preserve">, veiksmingumas ir saugumas pacientams, kuriems </w:t>
      </w:r>
      <w:proofErr w:type="spellStart"/>
      <w:r>
        <w:rPr>
          <w:sz w:val="22"/>
          <w:szCs w:val="22"/>
          <w:lang w:eastAsia="en-US"/>
        </w:rPr>
        <w:t>glikemiją</w:t>
      </w:r>
      <w:proofErr w:type="spellEnd"/>
      <w:r>
        <w:rPr>
          <w:sz w:val="22"/>
          <w:szCs w:val="22"/>
          <w:lang w:eastAsia="en-US"/>
        </w:rPr>
        <w:t xml:space="preserve"> </w:t>
      </w:r>
      <w:proofErr w:type="spellStart"/>
      <w:r>
        <w:rPr>
          <w:sz w:val="22"/>
          <w:szCs w:val="22"/>
          <w:lang w:eastAsia="en-US"/>
        </w:rPr>
        <w:t>monoterapija</w:t>
      </w:r>
      <w:proofErr w:type="spellEnd"/>
      <w:r>
        <w:rPr>
          <w:sz w:val="22"/>
          <w:szCs w:val="22"/>
          <w:lang w:eastAsia="en-US"/>
        </w:rPr>
        <w:t xml:space="preserve"> </w:t>
      </w:r>
      <w:proofErr w:type="spellStart"/>
      <w:r>
        <w:rPr>
          <w:sz w:val="22"/>
          <w:szCs w:val="22"/>
          <w:lang w:eastAsia="en-US"/>
        </w:rPr>
        <w:t>metforminu</w:t>
      </w:r>
      <w:proofErr w:type="spellEnd"/>
      <w:r>
        <w:rPr>
          <w:sz w:val="22"/>
          <w:szCs w:val="22"/>
          <w:lang w:eastAsia="en-US"/>
        </w:rPr>
        <w:t xml:space="preserve"> kontroliavo nepakankamai, buvo vertinami 24 savaičių dvigubai aklu, placebu kontroliuojamu tyrimu. Taikomą gydymą </w:t>
      </w:r>
      <w:proofErr w:type="spellStart"/>
      <w:r>
        <w:rPr>
          <w:sz w:val="22"/>
          <w:szCs w:val="22"/>
          <w:lang w:eastAsia="en-US"/>
        </w:rPr>
        <w:t>metforminu</w:t>
      </w:r>
      <w:proofErr w:type="spellEnd"/>
      <w:r>
        <w:rPr>
          <w:sz w:val="22"/>
          <w:szCs w:val="22"/>
          <w:lang w:eastAsia="en-US"/>
        </w:rPr>
        <w:t xml:space="preserve"> papildžius </w:t>
      </w:r>
      <w:proofErr w:type="spellStart"/>
      <w:r>
        <w:rPr>
          <w:sz w:val="22"/>
          <w:szCs w:val="22"/>
          <w:lang w:eastAsia="en-US"/>
        </w:rPr>
        <w:t>linagliptinu</w:t>
      </w:r>
      <w:proofErr w:type="spellEnd"/>
      <w:r>
        <w:rPr>
          <w:sz w:val="22"/>
          <w:szCs w:val="22"/>
          <w:lang w:eastAsia="en-US"/>
        </w:rPr>
        <w:t>, reikšmingai pakito HbA1c kiekis (-0,64 %, palyginti su placebo vartojusių grupe), palyginti su pradiniu 8 </w:t>
      </w:r>
      <w:r w:rsidRPr="00A6463E">
        <w:rPr>
          <w:color w:val="000000"/>
          <w:sz w:val="22"/>
          <w:szCs w:val="22"/>
          <w:lang w:eastAsia="sl-SI"/>
        </w:rPr>
        <w:t>%</w:t>
      </w:r>
      <w:r>
        <w:rPr>
          <w:sz w:val="22"/>
          <w:szCs w:val="22"/>
          <w:lang w:eastAsia="en-US"/>
        </w:rPr>
        <w:t xml:space="preserve"> HbA1c kiekiu. Be to, gydant </w:t>
      </w:r>
      <w:proofErr w:type="spellStart"/>
      <w:r>
        <w:rPr>
          <w:sz w:val="22"/>
          <w:szCs w:val="22"/>
          <w:lang w:eastAsia="en-US"/>
        </w:rPr>
        <w:t>linagliptinu</w:t>
      </w:r>
      <w:proofErr w:type="spellEnd"/>
      <w:r>
        <w:rPr>
          <w:sz w:val="22"/>
          <w:szCs w:val="22"/>
          <w:lang w:eastAsia="en-US"/>
        </w:rPr>
        <w:t xml:space="preserve">, palyginti su placebu, reikšmingai pakito gliukozės </w:t>
      </w:r>
      <w:r w:rsidR="00057CEA">
        <w:rPr>
          <w:sz w:val="22"/>
          <w:szCs w:val="22"/>
          <w:lang w:eastAsia="en-US"/>
        </w:rPr>
        <w:t xml:space="preserve">koncentracija </w:t>
      </w:r>
      <w:r>
        <w:rPr>
          <w:sz w:val="22"/>
          <w:szCs w:val="22"/>
          <w:lang w:eastAsia="en-US"/>
        </w:rPr>
        <w:t xml:space="preserve">kraujo plazmoje nevalgius (GPN), t. y. -21,1 mg/dl, bei antrą valandą po valgio (GPPV), t. y. -67,1 mg/dl, ir didesnė pacientų dalis pasiekė tikslinį HbA1c kiekį, t. y. </w:t>
      </w:r>
      <w:r w:rsidRPr="00A6463E">
        <w:rPr>
          <w:color w:val="000000"/>
          <w:sz w:val="22"/>
          <w:szCs w:val="22"/>
          <w:lang w:eastAsia="sl-SI"/>
        </w:rPr>
        <w:t>&lt;</w:t>
      </w:r>
      <w:r>
        <w:rPr>
          <w:sz w:val="22"/>
          <w:szCs w:val="22"/>
          <w:lang w:eastAsia="en-US"/>
        </w:rPr>
        <w:t> 7 </w:t>
      </w:r>
      <w:r w:rsidRPr="00A6463E">
        <w:rPr>
          <w:color w:val="000000"/>
          <w:sz w:val="22"/>
          <w:szCs w:val="22"/>
          <w:lang w:eastAsia="sl-SI"/>
        </w:rPr>
        <w:t>%</w:t>
      </w:r>
      <w:r>
        <w:rPr>
          <w:sz w:val="22"/>
          <w:szCs w:val="22"/>
          <w:lang w:eastAsia="en-US"/>
        </w:rPr>
        <w:t xml:space="preserve"> (iš vartojusių </w:t>
      </w:r>
      <w:proofErr w:type="spellStart"/>
      <w:r>
        <w:rPr>
          <w:sz w:val="22"/>
          <w:szCs w:val="22"/>
          <w:lang w:eastAsia="en-US"/>
        </w:rPr>
        <w:t>linagliptino</w:t>
      </w:r>
      <w:proofErr w:type="spellEnd"/>
      <w:r>
        <w:rPr>
          <w:sz w:val="22"/>
          <w:szCs w:val="22"/>
          <w:lang w:eastAsia="en-US"/>
        </w:rPr>
        <w:t xml:space="preserve"> − 28,3 </w:t>
      </w:r>
      <w:r w:rsidRPr="00A6463E">
        <w:rPr>
          <w:color w:val="000000"/>
          <w:sz w:val="22"/>
          <w:szCs w:val="22"/>
          <w:lang w:eastAsia="sl-SI"/>
        </w:rPr>
        <w:t>%</w:t>
      </w:r>
      <w:r>
        <w:rPr>
          <w:sz w:val="22"/>
          <w:szCs w:val="22"/>
          <w:lang w:eastAsia="en-US"/>
        </w:rPr>
        <w:t>, iš vartojusių placebo −11,4 </w:t>
      </w:r>
      <w:r w:rsidRPr="00A6463E">
        <w:rPr>
          <w:color w:val="000000"/>
          <w:sz w:val="22"/>
          <w:szCs w:val="22"/>
          <w:lang w:eastAsia="sl-SI"/>
        </w:rPr>
        <w:t>%</w:t>
      </w:r>
      <w:r>
        <w:rPr>
          <w:sz w:val="22"/>
          <w:szCs w:val="22"/>
          <w:lang w:eastAsia="en-US"/>
        </w:rPr>
        <w:t xml:space="preserve">). </w:t>
      </w:r>
      <w:proofErr w:type="spellStart"/>
      <w:r>
        <w:rPr>
          <w:sz w:val="22"/>
          <w:szCs w:val="22"/>
          <w:lang w:eastAsia="en-US"/>
        </w:rPr>
        <w:t>Linagliptinu</w:t>
      </w:r>
      <w:proofErr w:type="spellEnd"/>
      <w:r>
        <w:rPr>
          <w:sz w:val="22"/>
          <w:szCs w:val="22"/>
          <w:lang w:eastAsia="en-US"/>
        </w:rPr>
        <w:t xml:space="preserve"> gydytiems pacientams hipoglikemijos dažnis buvo panašus į dažnį placebo vartojusiems pacientams. Tiriamųjų kūno svoris tarp grupių reikšmingai nesiskyrė.</w:t>
      </w:r>
    </w:p>
    <w:p w14:paraId="5B1C30EB" w14:textId="77777777" w:rsidR="003F7CCA" w:rsidRDefault="003F7CCA">
      <w:pPr>
        <w:widowControl w:val="0"/>
        <w:rPr>
          <w:sz w:val="22"/>
          <w:szCs w:val="22"/>
          <w:lang w:eastAsia="en-US"/>
        </w:rPr>
      </w:pPr>
    </w:p>
    <w:p w14:paraId="638D90A5" w14:textId="77777777" w:rsidR="003F7CCA" w:rsidRDefault="0080197E">
      <w:pPr>
        <w:widowControl w:val="0"/>
        <w:rPr>
          <w:sz w:val="22"/>
          <w:szCs w:val="22"/>
          <w:lang w:eastAsia="en-US"/>
        </w:rPr>
      </w:pPr>
      <w:r>
        <w:rPr>
          <w:sz w:val="22"/>
          <w:szCs w:val="22"/>
          <w:lang w:eastAsia="en-US"/>
        </w:rPr>
        <w:t xml:space="preserve">24 savaičių placebu kontroliuojamo pradinio gydymo </w:t>
      </w:r>
      <w:proofErr w:type="spellStart"/>
      <w:r>
        <w:rPr>
          <w:sz w:val="22"/>
          <w:szCs w:val="22"/>
          <w:lang w:eastAsia="en-US"/>
        </w:rPr>
        <w:t>faktorialaus</w:t>
      </w:r>
      <w:proofErr w:type="spellEnd"/>
      <w:r>
        <w:rPr>
          <w:sz w:val="22"/>
          <w:szCs w:val="22"/>
          <w:lang w:eastAsia="en-US"/>
        </w:rPr>
        <w:t xml:space="preserve"> tyrimo metu gydymas 2 kartus per parą geriama 2,5 mg </w:t>
      </w:r>
      <w:proofErr w:type="spellStart"/>
      <w:r>
        <w:rPr>
          <w:sz w:val="22"/>
          <w:szCs w:val="22"/>
          <w:lang w:eastAsia="en-US"/>
        </w:rPr>
        <w:t>linagliptino</w:t>
      </w:r>
      <w:proofErr w:type="spellEnd"/>
      <w:r>
        <w:rPr>
          <w:sz w:val="22"/>
          <w:szCs w:val="22"/>
          <w:lang w:eastAsia="en-US"/>
        </w:rPr>
        <w:t xml:space="preserve"> doze kartu su </w:t>
      </w:r>
      <w:proofErr w:type="spellStart"/>
      <w:r>
        <w:rPr>
          <w:sz w:val="22"/>
          <w:szCs w:val="22"/>
          <w:lang w:eastAsia="en-US"/>
        </w:rPr>
        <w:t>metforminu</w:t>
      </w:r>
      <w:proofErr w:type="spellEnd"/>
      <w:r>
        <w:rPr>
          <w:sz w:val="22"/>
          <w:szCs w:val="22"/>
          <w:lang w:eastAsia="en-US"/>
        </w:rPr>
        <w:t xml:space="preserve"> (po 500 mg arba 1 000 mg 2 kartus per parą) reikšmingai pagerino </w:t>
      </w:r>
      <w:proofErr w:type="spellStart"/>
      <w:r>
        <w:rPr>
          <w:sz w:val="22"/>
          <w:szCs w:val="22"/>
          <w:lang w:eastAsia="en-US"/>
        </w:rPr>
        <w:t>glikemijos</w:t>
      </w:r>
      <w:proofErr w:type="spellEnd"/>
      <w:r>
        <w:rPr>
          <w:sz w:val="22"/>
          <w:szCs w:val="22"/>
          <w:lang w:eastAsia="en-US"/>
        </w:rPr>
        <w:t xml:space="preserve"> parametrus, palyginti su </w:t>
      </w:r>
      <w:proofErr w:type="spellStart"/>
      <w:r>
        <w:rPr>
          <w:sz w:val="22"/>
          <w:szCs w:val="22"/>
          <w:lang w:eastAsia="en-US"/>
        </w:rPr>
        <w:t>monoterapija</w:t>
      </w:r>
      <w:proofErr w:type="spellEnd"/>
      <w:r>
        <w:rPr>
          <w:sz w:val="22"/>
          <w:szCs w:val="22"/>
          <w:lang w:eastAsia="en-US"/>
        </w:rPr>
        <w:t xml:space="preserve"> bet kuriuo iš šių vaistinių preparatų, žr. 3-iąją lentelę (vidutinis pradinis HbA1c kiekis buvo 8,65 %).</w:t>
      </w:r>
    </w:p>
    <w:p w14:paraId="48F2EBA6" w14:textId="77777777" w:rsidR="003F7CCA" w:rsidRDefault="003F7CCA">
      <w:pPr>
        <w:rPr>
          <w:sz w:val="22"/>
          <w:szCs w:val="22"/>
          <w:lang w:eastAsia="sl-SI"/>
        </w:rPr>
      </w:pPr>
    </w:p>
    <w:p w14:paraId="2A4713C0" w14:textId="0AC3828C" w:rsidR="003F7CCA" w:rsidRPr="00A6463E" w:rsidRDefault="0080197E">
      <w:pPr>
        <w:ind w:left="1118" w:right="11" w:hanging="1133"/>
        <w:rPr>
          <w:sz w:val="22"/>
          <w:szCs w:val="22"/>
          <w:lang w:eastAsia="sl-SI"/>
        </w:rPr>
      </w:pPr>
      <w:r w:rsidRPr="00A6463E">
        <w:rPr>
          <w:sz w:val="22"/>
          <w:szCs w:val="22"/>
          <w:lang w:eastAsia="sl-SI"/>
        </w:rPr>
        <w:t>3 lentelė:</w:t>
      </w:r>
      <w:r w:rsidRPr="00A6463E">
        <w:rPr>
          <w:sz w:val="22"/>
          <w:szCs w:val="22"/>
          <w:lang w:eastAsia="sl-SI"/>
        </w:rPr>
        <w:tab/>
      </w:r>
      <w:proofErr w:type="spellStart"/>
      <w:r w:rsidRPr="00A6463E">
        <w:rPr>
          <w:sz w:val="22"/>
          <w:szCs w:val="22"/>
          <w:lang w:eastAsia="sl-SI"/>
        </w:rPr>
        <w:t>Glikemijos</w:t>
      </w:r>
      <w:proofErr w:type="spellEnd"/>
      <w:r w:rsidRPr="00A6463E">
        <w:rPr>
          <w:sz w:val="22"/>
          <w:szCs w:val="22"/>
          <w:lang w:eastAsia="sl-SI"/>
        </w:rPr>
        <w:t xml:space="preserve"> </w:t>
      </w:r>
      <w:r w:rsidR="00433C98">
        <w:rPr>
          <w:sz w:val="22"/>
          <w:szCs w:val="22"/>
          <w:lang w:eastAsia="sl-SI"/>
        </w:rPr>
        <w:t>rodikliai</w:t>
      </w:r>
      <w:r w:rsidR="00433C98" w:rsidRPr="00A6463E">
        <w:rPr>
          <w:sz w:val="22"/>
          <w:szCs w:val="22"/>
          <w:lang w:eastAsia="sl-SI"/>
        </w:rPr>
        <w:t xml:space="preserve"> </w:t>
      </w:r>
      <w:r w:rsidRPr="00A6463E">
        <w:rPr>
          <w:sz w:val="22"/>
          <w:szCs w:val="22"/>
          <w:lang w:eastAsia="sl-SI"/>
        </w:rPr>
        <w:t xml:space="preserve">vien </w:t>
      </w:r>
      <w:proofErr w:type="spellStart"/>
      <w:r w:rsidRPr="00A6463E">
        <w:rPr>
          <w:sz w:val="22"/>
          <w:szCs w:val="22"/>
          <w:lang w:eastAsia="sl-SI"/>
        </w:rPr>
        <w:t>linagliptinu</w:t>
      </w:r>
      <w:proofErr w:type="spellEnd"/>
      <w:r w:rsidRPr="00A6463E">
        <w:rPr>
          <w:sz w:val="22"/>
          <w:szCs w:val="22"/>
          <w:lang w:eastAsia="sl-SI"/>
        </w:rPr>
        <w:t xml:space="preserve">, vien </w:t>
      </w:r>
      <w:proofErr w:type="spellStart"/>
      <w:r w:rsidRPr="00A6463E">
        <w:rPr>
          <w:sz w:val="22"/>
          <w:szCs w:val="22"/>
          <w:lang w:eastAsia="sl-SI"/>
        </w:rPr>
        <w:t>metforminu</w:t>
      </w:r>
      <w:proofErr w:type="spellEnd"/>
      <w:r w:rsidRPr="00A6463E">
        <w:rPr>
          <w:sz w:val="22"/>
          <w:szCs w:val="22"/>
          <w:lang w:eastAsia="sl-SI"/>
        </w:rPr>
        <w:t xml:space="preserve"> arba abiejų šių vaistinių preparatų deriniu gydytiems 2 tipo cukriniu diabetu sergantiems pacientams, kuriems gydymas dieta ir fiziniu krūviu </w:t>
      </w:r>
      <w:proofErr w:type="spellStart"/>
      <w:r w:rsidRPr="00A6463E">
        <w:rPr>
          <w:sz w:val="22"/>
          <w:szCs w:val="22"/>
          <w:lang w:eastAsia="sl-SI"/>
        </w:rPr>
        <w:t>glikemiją</w:t>
      </w:r>
      <w:proofErr w:type="spellEnd"/>
      <w:r w:rsidRPr="00A6463E">
        <w:rPr>
          <w:sz w:val="22"/>
          <w:szCs w:val="22"/>
          <w:lang w:eastAsia="sl-SI"/>
        </w:rPr>
        <w:t xml:space="preserve"> </w:t>
      </w:r>
      <w:r w:rsidR="00AD0AD0">
        <w:rPr>
          <w:sz w:val="22"/>
          <w:szCs w:val="22"/>
          <w:lang w:eastAsia="sl-SI"/>
        </w:rPr>
        <w:t>sureguliavo</w:t>
      </w:r>
      <w:r w:rsidR="00AD0AD0" w:rsidRPr="00A6463E">
        <w:rPr>
          <w:sz w:val="22"/>
          <w:szCs w:val="22"/>
          <w:lang w:eastAsia="sl-SI"/>
        </w:rPr>
        <w:t xml:space="preserve"> </w:t>
      </w:r>
      <w:r w:rsidRPr="00A6463E">
        <w:rPr>
          <w:sz w:val="22"/>
          <w:szCs w:val="22"/>
          <w:lang w:eastAsia="sl-SI"/>
        </w:rPr>
        <w:t>nepakankamai, paskutinio apsilankymo pas gydytoją metu (24 tyrimo savaitę)</w:t>
      </w:r>
    </w:p>
    <w:p w14:paraId="03CD7B6E" w14:textId="77777777" w:rsidR="003F7CCA" w:rsidRDefault="003F7CCA">
      <w:pPr>
        <w:widowControl w:val="0"/>
        <w:autoSpaceDE w:val="0"/>
        <w:autoSpaceDN w:val="0"/>
        <w:adjustRightInd w:val="0"/>
        <w:rPr>
          <w:rFonts w:eastAsia="TimesNewRoman"/>
          <w:sz w:val="22"/>
          <w:szCs w:val="22"/>
          <w:lang w:eastAsia="en-US"/>
        </w:rPr>
      </w:pPr>
    </w:p>
    <w:tbl>
      <w:tblPr>
        <w:tblStyle w:val="TableGrid3"/>
        <w:tblW w:w="9288" w:type="dxa"/>
        <w:tblInd w:w="-108" w:type="dxa"/>
        <w:tblCellMar>
          <w:top w:w="51" w:type="dxa"/>
          <w:left w:w="106" w:type="dxa"/>
          <w:right w:w="53" w:type="dxa"/>
        </w:tblCellMar>
        <w:tblLook w:val="04A0" w:firstRow="1" w:lastRow="0" w:firstColumn="1" w:lastColumn="0" w:noHBand="0" w:noVBand="1"/>
      </w:tblPr>
      <w:tblGrid>
        <w:gridCol w:w="1491"/>
        <w:gridCol w:w="978"/>
        <w:gridCol w:w="1409"/>
        <w:gridCol w:w="1296"/>
        <w:gridCol w:w="1407"/>
        <w:gridCol w:w="1298"/>
        <w:gridCol w:w="1409"/>
      </w:tblGrid>
      <w:tr w:rsidR="003F7CCA" w14:paraId="6E639F6D" w14:textId="77777777">
        <w:trPr>
          <w:trHeight w:val="2287"/>
        </w:trPr>
        <w:tc>
          <w:tcPr>
            <w:tcW w:w="1491" w:type="dxa"/>
            <w:tcBorders>
              <w:top w:val="single" w:sz="4" w:space="0" w:color="000000"/>
              <w:left w:val="single" w:sz="4" w:space="0" w:color="000000"/>
              <w:bottom w:val="single" w:sz="4" w:space="0" w:color="000000"/>
              <w:right w:val="single" w:sz="4" w:space="0" w:color="000000"/>
            </w:tcBorders>
          </w:tcPr>
          <w:p w14:paraId="7D04D3CB" w14:textId="77777777" w:rsidR="003F7CCA" w:rsidRDefault="003F7CCA">
            <w:pPr>
              <w:spacing w:after="160" w:line="259" w:lineRule="auto"/>
              <w:rPr>
                <w:lang w:eastAsia="sl-SI"/>
              </w:rPr>
            </w:pPr>
          </w:p>
        </w:tc>
        <w:tc>
          <w:tcPr>
            <w:tcW w:w="978" w:type="dxa"/>
            <w:tcBorders>
              <w:top w:val="single" w:sz="4" w:space="0" w:color="000000"/>
              <w:left w:val="single" w:sz="4" w:space="0" w:color="000000"/>
              <w:bottom w:val="single" w:sz="4" w:space="0" w:color="000000"/>
              <w:right w:val="single" w:sz="4" w:space="0" w:color="000000"/>
            </w:tcBorders>
          </w:tcPr>
          <w:p w14:paraId="3D3E12B9" w14:textId="77777777" w:rsidR="003F7CCA" w:rsidRDefault="0080197E">
            <w:pPr>
              <w:spacing w:line="259" w:lineRule="auto"/>
              <w:rPr>
                <w:lang w:eastAsia="sl-SI"/>
              </w:rPr>
            </w:pPr>
            <w:r>
              <w:rPr>
                <w:b/>
                <w:lang w:eastAsia="sl-SI"/>
              </w:rPr>
              <w:t>Placebas</w:t>
            </w:r>
          </w:p>
        </w:tc>
        <w:tc>
          <w:tcPr>
            <w:tcW w:w="1409" w:type="dxa"/>
            <w:tcBorders>
              <w:top w:val="single" w:sz="4" w:space="0" w:color="000000"/>
              <w:left w:val="single" w:sz="4" w:space="0" w:color="000000"/>
              <w:bottom w:val="single" w:sz="4" w:space="0" w:color="000000"/>
              <w:right w:val="single" w:sz="4" w:space="0" w:color="000000"/>
            </w:tcBorders>
          </w:tcPr>
          <w:p w14:paraId="11612657" w14:textId="77777777" w:rsidR="003F7CCA" w:rsidRDefault="0080197E">
            <w:pPr>
              <w:spacing w:after="9" w:line="259" w:lineRule="auto"/>
              <w:ind w:left="2"/>
              <w:rPr>
                <w:lang w:eastAsia="sl-SI"/>
              </w:rPr>
            </w:pPr>
            <w:r>
              <w:rPr>
                <w:b/>
                <w:lang w:eastAsia="sl-SI"/>
              </w:rPr>
              <w:t xml:space="preserve">Linagliptinas </w:t>
            </w:r>
          </w:p>
          <w:p w14:paraId="570896FE" w14:textId="77777777" w:rsidR="003F7CCA" w:rsidRDefault="0080197E">
            <w:pPr>
              <w:spacing w:line="259" w:lineRule="auto"/>
              <w:ind w:left="2"/>
              <w:rPr>
                <w:lang w:eastAsia="sl-SI"/>
              </w:rPr>
            </w:pPr>
            <w:r>
              <w:rPr>
                <w:b/>
                <w:lang w:eastAsia="sl-SI"/>
              </w:rPr>
              <w:t xml:space="preserve">5 mg kartą </w:t>
            </w:r>
          </w:p>
          <w:p w14:paraId="7F9581BC" w14:textId="77777777" w:rsidR="003F7CCA" w:rsidRDefault="0080197E">
            <w:pPr>
              <w:spacing w:line="259" w:lineRule="auto"/>
              <w:ind w:left="2"/>
              <w:rPr>
                <w:lang w:eastAsia="sl-SI"/>
              </w:rPr>
            </w:pPr>
            <w:r>
              <w:rPr>
                <w:b/>
                <w:lang w:eastAsia="sl-SI"/>
              </w:rPr>
              <w:t>per parą</w:t>
            </w:r>
            <w:r>
              <w:rPr>
                <w:b/>
                <w:vertAlign w:val="superscript"/>
                <w:lang w:eastAsia="sl-SI"/>
              </w:rPr>
              <w:t>1</w:t>
            </w:r>
          </w:p>
        </w:tc>
        <w:tc>
          <w:tcPr>
            <w:tcW w:w="1296" w:type="dxa"/>
            <w:tcBorders>
              <w:top w:val="single" w:sz="4" w:space="0" w:color="000000"/>
              <w:left w:val="single" w:sz="4" w:space="0" w:color="000000"/>
              <w:bottom w:val="single" w:sz="4" w:space="0" w:color="000000"/>
              <w:right w:val="single" w:sz="4" w:space="0" w:color="000000"/>
            </w:tcBorders>
          </w:tcPr>
          <w:p w14:paraId="259F05FB" w14:textId="77777777" w:rsidR="003F7CCA" w:rsidRDefault="0080197E">
            <w:pPr>
              <w:spacing w:line="259" w:lineRule="auto"/>
              <w:rPr>
                <w:lang w:eastAsia="sl-SI"/>
              </w:rPr>
            </w:pPr>
            <w:r>
              <w:rPr>
                <w:b/>
                <w:lang w:eastAsia="sl-SI"/>
              </w:rPr>
              <w:t>Metformino</w:t>
            </w:r>
          </w:p>
          <w:p w14:paraId="60B52B40" w14:textId="77777777" w:rsidR="003F7CCA" w:rsidRDefault="0080197E">
            <w:pPr>
              <w:spacing w:after="6" w:line="259" w:lineRule="auto"/>
              <w:rPr>
                <w:lang w:eastAsia="sl-SI"/>
              </w:rPr>
            </w:pPr>
            <w:r>
              <w:rPr>
                <w:b/>
                <w:lang w:eastAsia="sl-SI"/>
              </w:rPr>
              <w:t>HCl</w:t>
            </w:r>
          </w:p>
          <w:p w14:paraId="21491184" w14:textId="77777777" w:rsidR="003F7CCA" w:rsidRDefault="0080197E">
            <w:pPr>
              <w:spacing w:line="259" w:lineRule="auto"/>
              <w:rPr>
                <w:lang w:eastAsia="sl-SI"/>
              </w:rPr>
            </w:pPr>
            <w:r>
              <w:rPr>
                <w:b/>
                <w:lang w:eastAsia="sl-SI"/>
              </w:rPr>
              <w:t xml:space="preserve">500 mg </w:t>
            </w:r>
          </w:p>
          <w:p w14:paraId="0B31B193" w14:textId="77777777" w:rsidR="003F7CCA" w:rsidRDefault="0080197E">
            <w:pPr>
              <w:spacing w:line="259" w:lineRule="auto"/>
              <w:rPr>
                <w:lang w:eastAsia="sl-SI"/>
              </w:rPr>
            </w:pPr>
            <w:r>
              <w:rPr>
                <w:b/>
                <w:lang w:eastAsia="sl-SI"/>
              </w:rPr>
              <w:t>2 kartus per parą</w:t>
            </w:r>
          </w:p>
        </w:tc>
        <w:tc>
          <w:tcPr>
            <w:tcW w:w="1407" w:type="dxa"/>
            <w:tcBorders>
              <w:top w:val="single" w:sz="4" w:space="0" w:color="000000"/>
              <w:left w:val="single" w:sz="4" w:space="0" w:color="000000"/>
              <w:bottom w:val="single" w:sz="4" w:space="0" w:color="000000"/>
              <w:right w:val="single" w:sz="4" w:space="0" w:color="000000"/>
            </w:tcBorders>
          </w:tcPr>
          <w:p w14:paraId="0C7605DC" w14:textId="77777777" w:rsidR="003F7CCA" w:rsidRDefault="0080197E">
            <w:pPr>
              <w:spacing w:after="9" w:line="259" w:lineRule="auto"/>
              <w:rPr>
                <w:lang w:eastAsia="sl-SI"/>
              </w:rPr>
            </w:pPr>
            <w:r>
              <w:rPr>
                <w:b/>
                <w:lang w:eastAsia="sl-SI"/>
              </w:rPr>
              <w:t xml:space="preserve">Linagliptinas </w:t>
            </w:r>
          </w:p>
          <w:p w14:paraId="26CB77E7" w14:textId="77777777" w:rsidR="003F7CCA" w:rsidRDefault="0080197E">
            <w:pPr>
              <w:spacing w:line="259" w:lineRule="auto"/>
              <w:rPr>
                <w:lang w:eastAsia="sl-SI"/>
              </w:rPr>
            </w:pPr>
            <w:r>
              <w:rPr>
                <w:b/>
                <w:lang w:eastAsia="sl-SI"/>
              </w:rPr>
              <w:t>2,5 mg</w:t>
            </w:r>
          </w:p>
          <w:p w14:paraId="66C3AE7C" w14:textId="77777777" w:rsidR="003F7CCA" w:rsidRDefault="0080197E">
            <w:pPr>
              <w:spacing w:line="259" w:lineRule="auto"/>
              <w:rPr>
                <w:lang w:eastAsia="sl-SI"/>
              </w:rPr>
            </w:pPr>
            <w:r>
              <w:rPr>
                <w:b/>
                <w:lang w:eastAsia="sl-SI"/>
              </w:rPr>
              <w:t xml:space="preserve">Twice </w:t>
            </w:r>
          </w:p>
          <w:p w14:paraId="7C09B584" w14:textId="77777777" w:rsidR="003F7CCA" w:rsidRDefault="0080197E">
            <w:pPr>
              <w:spacing w:after="16" w:line="259" w:lineRule="auto"/>
              <w:rPr>
                <w:b/>
                <w:lang w:eastAsia="sl-SI"/>
              </w:rPr>
            </w:pPr>
            <w:r>
              <w:rPr>
                <w:b/>
                <w:lang w:eastAsia="sl-SI"/>
              </w:rPr>
              <w:t>2 kartus per</w:t>
            </w:r>
          </w:p>
          <w:p w14:paraId="1B858D6E" w14:textId="77777777" w:rsidR="003F7CCA" w:rsidRDefault="0080197E">
            <w:pPr>
              <w:spacing w:line="259" w:lineRule="auto"/>
              <w:rPr>
                <w:b/>
                <w:bCs/>
                <w:lang w:eastAsia="sl-SI"/>
              </w:rPr>
            </w:pPr>
            <w:r>
              <w:rPr>
                <w:b/>
                <w:bCs/>
                <w:lang w:eastAsia="sl-SI"/>
              </w:rPr>
              <w:t xml:space="preserve">parą </w:t>
            </w:r>
            <w:r>
              <w:rPr>
                <w:b/>
                <w:bCs/>
                <w:vertAlign w:val="superscript"/>
                <w:lang w:eastAsia="sl-SI"/>
              </w:rPr>
              <w:t>1</w:t>
            </w:r>
            <w:r>
              <w:rPr>
                <w:b/>
                <w:bCs/>
                <w:lang w:eastAsia="sl-SI"/>
              </w:rPr>
              <w:t xml:space="preserve"> +</w:t>
            </w:r>
          </w:p>
          <w:p w14:paraId="6D8F6DD4" w14:textId="77777777" w:rsidR="003F7CCA" w:rsidRDefault="0080197E">
            <w:pPr>
              <w:spacing w:line="259" w:lineRule="auto"/>
              <w:rPr>
                <w:b/>
                <w:bCs/>
                <w:lang w:eastAsia="sl-SI"/>
              </w:rPr>
            </w:pPr>
            <w:r>
              <w:rPr>
                <w:b/>
                <w:bCs/>
                <w:lang w:eastAsia="sl-SI"/>
              </w:rPr>
              <w:t>metformino</w:t>
            </w:r>
          </w:p>
          <w:p w14:paraId="3275590D" w14:textId="77777777" w:rsidR="003F7CCA" w:rsidRDefault="0080197E">
            <w:pPr>
              <w:spacing w:after="9" w:line="259" w:lineRule="auto"/>
              <w:rPr>
                <w:lang w:eastAsia="sl-SI"/>
              </w:rPr>
            </w:pPr>
            <w:r>
              <w:rPr>
                <w:b/>
                <w:lang w:eastAsia="sl-SI"/>
              </w:rPr>
              <w:t xml:space="preserve">HCl 500 mg </w:t>
            </w:r>
          </w:p>
          <w:p w14:paraId="5AE60516" w14:textId="77777777" w:rsidR="003F7CCA" w:rsidRDefault="0080197E">
            <w:pPr>
              <w:spacing w:line="259" w:lineRule="auto"/>
              <w:rPr>
                <w:lang w:eastAsia="sl-SI"/>
              </w:rPr>
            </w:pPr>
            <w:r>
              <w:rPr>
                <w:b/>
                <w:lang w:eastAsia="sl-SI"/>
              </w:rPr>
              <w:t xml:space="preserve">2 kartus per </w:t>
            </w:r>
          </w:p>
          <w:p w14:paraId="455E1421" w14:textId="77777777" w:rsidR="003F7CCA" w:rsidRDefault="0080197E">
            <w:pPr>
              <w:spacing w:line="259" w:lineRule="auto"/>
              <w:rPr>
                <w:b/>
                <w:bCs/>
                <w:lang w:eastAsia="sl-SI"/>
              </w:rPr>
            </w:pPr>
            <w:r>
              <w:rPr>
                <w:b/>
                <w:bCs/>
                <w:lang w:eastAsia="sl-SI"/>
              </w:rPr>
              <w:t>parą</w:t>
            </w:r>
          </w:p>
        </w:tc>
        <w:tc>
          <w:tcPr>
            <w:tcW w:w="1298" w:type="dxa"/>
            <w:tcBorders>
              <w:top w:val="single" w:sz="4" w:space="0" w:color="000000"/>
              <w:left w:val="single" w:sz="4" w:space="0" w:color="000000"/>
              <w:bottom w:val="single" w:sz="4" w:space="0" w:color="000000"/>
              <w:right w:val="single" w:sz="4" w:space="0" w:color="000000"/>
            </w:tcBorders>
          </w:tcPr>
          <w:p w14:paraId="4537087C" w14:textId="77777777" w:rsidR="003F7CCA" w:rsidRDefault="0080197E">
            <w:pPr>
              <w:spacing w:line="259" w:lineRule="auto"/>
              <w:ind w:left="2"/>
              <w:rPr>
                <w:b/>
                <w:lang w:eastAsia="sl-SI"/>
              </w:rPr>
            </w:pPr>
            <w:r>
              <w:rPr>
                <w:b/>
                <w:lang w:eastAsia="sl-SI"/>
              </w:rPr>
              <w:t xml:space="preserve">Metformino </w:t>
            </w:r>
          </w:p>
          <w:p w14:paraId="6B4D565C" w14:textId="77777777" w:rsidR="003F7CCA" w:rsidRDefault="0080197E">
            <w:pPr>
              <w:spacing w:after="6" w:line="259" w:lineRule="auto"/>
              <w:ind w:left="2"/>
              <w:rPr>
                <w:b/>
                <w:lang w:eastAsia="sl-SI"/>
              </w:rPr>
            </w:pPr>
            <w:r>
              <w:rPr>
                <w:b/>
                <w:lang w:eastAsia="sl-SI"/>
              </w:rPr>
              <w:t>HCl</w:t>
            </w:r>
          </w:p>
          <w:p w14:paraId="10F6F50C" w14:textId="77777777" w:rsidR="003F7CCA" w:rsidRDefault="0080197E">
            <w:pPr>
              <w:spacing w:line="259" w:lineRule="auto"/>
              <w:ind w:left="2"/>
              <w:rPr>
                <w:b/>
                <w:lang w:eastAsia="sl-SI"/>
              </w:rPr>
            </w:pPr>
            <w:r>
              <w:rPr>
                <w:b/>
                <w:lang w:eastAsia="sl-SI"/>
              </w:rPr>
              <w:t xml:space="preserve">1 000 mg </w:t>
            </w:r>
          </w:p>
          <w:p w14:paraId="6D2376F1" w14:textId="77777777" w:rsidR="003F7CCA" w:rsidRDefault="0080197E">
            <w:pPr>
              <w:spacing w:line="259" w:lineRule="auto"/>
              <w:ind w:left="2"/>
              <w:rPr>
                <w:b/>
                <w:lang w:eastAsia="sl-SI"/>
              </w:rPr>
            </w:pPr>
            <w:r>
              <w:rPr>
                <w:b/>
                <w:lang w:eastAsia="sl-SI"/>
              </w:rPr>
              <w:t xml:space="preserve">2 kartus per </w:t>
            </w:r>
          </w:p>
          <w:p w14:paraId="0496F47D" w14:textId="77777777" w:rsidR="003F7CCA" w:rsidRDefault="0080197E">
            <w:pPr>
              <w:spacing w:line="259" w:lineRule="auto"/>
              <w:ind w:left="2"/>
              <w:rPr>
                <w:b/>
                <w:lang w:eastAsia="sl-SI"/>
              </w:rPr>
            </w:pPr>
            <w:r>
              <w:rPr>
                <w:b/>
                <w:lang w:eastAsia="sl-SI"/>
              </w:rPr>
              <w:t>parą</w:t>
            </w:r>
          </w:p>
        </w:tc>
        <w:tc>
          <w:tcPr>
            <w:tcW w:w="1409" w:type="dxa"/>
            <w:tcBorders>
              <w:top w:val="single" w:sz="4" w:space="0" w:color="000000"/>
              <w:left w:val="single" w:sz="4" w:space="0" w:color="000000"/>
              <w:bottom w:val="single" w:sz="4" w:space="0" w:color="000000"/>
              <w:right w:val="single" w:sz="4" w:space="0" w:color="000000"/>
            </w:tcBorders>
          </w:tcPr>
          <w:p w14:paraId="2E2E197B" w14:textId="77777777" w:rsidR="003F7CCA" w:rsidRDefault="0080197E">
            <w:pPr>
              <w:spacing w:after="9" w:line="259" w:lineRule="auto"/>
              <w:ind w:left="2"/>
              <w:rPr>
                <w:b/>
                <w:lang w:eastAsia="sl-SI"/>
              </w:rPr>
            </w:pPr>
            <w:r>
              <w:rPr>
                <w:b/>
                <w:lang w:eastAsia="sl-SI"/>
              </w:rPr>
              <w:t xml:space="preserve">Linagliptinas </w:t>
            </w:r>
          </w:p>
          <w:p w14:paraId="399454C2" w14:textId="77777777" w:rsidR="003F7CCA" w:rsidRDefault="0080197E">
            <w:pPr>
              <w:spacing w:line="259" w:lineRule="auto"/>
              <w:ind w:left="2"/>
              <w:rPr>
                <w:b/>
                <w:lang w:eastAsia="sl-SI"/>
              </w:rPr>
            </w:pPr>
            <w:r>
              <w:rPr>
                <w:b/>
                <w:lang w:eastAsia="sl-SI"/>
              </w:rPr>
              <w:t>2.5 mg</w:t>
            </w:r>
          </w:p>
          <w:p w14:paraId="0A845E7C" w14:textId="77777777" w:rsidR="003F7CCA" w:rsidRDefault="0080197E">
            <w:pPr>
              <w:spacing w:line="259" w:lineRule="auto"/>
              <w:ind w:left="2"/>
              <w:rPr>
                <w:b/>
                <w:lang w:eastAsia="sl-SI"/>
              </w:rPr>
            </w:pPr>
            <w:r>
              <w:rPr>
                <w:b/>
                <w:lang w:eastAsia="sl-SI"/>
              </w:rPr>
              <w:t xml:space="preserve">2 kartus per </w:t>
            </w:r>
          </w:p>
          <w:p w14:paraId="132983E1" w14:textId="77777777" w:rsidR="003F7CCA" w:rsidRDefault="0080197E">
            <w:pPr>
              <w:spacing w:after="16" w:line="259" w:lineRule="auto"/>
              <w:ind w:left="2"/>
              <w:rPr>
                <w:b/>
                <w:lang w:eastAsia="sl-SI"/>
              </w:rPr>
            </w:pPr>
            <w:r>
              <w:rPr>
                <w:b/>
                <w:lang w:eastAsia="sl-SI"/>
              </w:rPr>
              <w:t>parą</w:t>
            </w:r>
            <w:r>
              <w:rPr>
                <w:b/>
                <w:vertAlign w:val="superscript"/>
                <w:lang w:eastAsia="sl-SI"/>
              </w:rPr>
              <w:t xml:space="preserve">1 </w:t>
            </w:r>
            <w:r>
              <w:rPr>
                <w:b/>
                <w:lang w:eastAsia="sl-SI"/>
              </w:rPr>
              <w:t xml:space="preserve">+ </w:t>
            </w:r>
          </w:p>
          <w:p w14:paraId="3AB5177F" w14:textId="77777777" w:rsidR="003F7CCA" w:rsidRDefault="0080197E">
            <w:pPr>
              <w:spacing w:line="259" w:lineRule="auto"/>
              <w:ind w:left="2"/>
              <w:rPr>
                <w:b/>
                <w:lang w:eastAsia="sl-SI"/>
              </w:rPr>
            </w:pPr>
            <w:r>
              <w:rPr>
                <w:b/>
                <w:lang w:eastAsia="sl-SI"/>
              </w:rPr>
              <w:t xml:space="preserve">metformino </w:t>
            </w:r>
          </w:p>
          <w:p w14:paraId="505324EC" w14:textId="77777777" w:rsidR="003F7CCA" w:rsidRDefault="0080197E">
            <w:pPr>
              <w:spacing w:after="9" w:line="259" w:lineRule="auto"/>
              <w:ind w:left="2"/>
              <w:rPr>
                <w:b/>
                <w:lang w:eastAsia="sl-SI"/>
              </w:rPr>
            </w:pPr>
            <w:r>
              <w:rPr>
                <w:b/>
                <w:lang w:eastAsia="sl-SI"/>
              </w:rPr>
              <w:t xml:space="preserve">HCl </w:t>
            </w:r>
          </w:p>
          <w:p w14:paraId="20BC5E02" w14:textId="77777777" w:rsidR="003F7CCA" w:rsidRDefault="0080197E">
            <w:pPr>
              <w:spacing w:line="259" w:lineRule="auto"/>
              <w:ind w:left="2"/>
              <w:rPr>
                <w:b/>
                <w:lang w:eastAsia="sl-SI"/>
              </w:rPr>
            </w:pPr>
            <w:r>
              <w:rPr>
                <w:b/>
                <w:lang w:eastAsia="sl-SI"/>
              </w:rPr>
              <w:t xml:space="preserve">1 000 mg </w:t>
            </w:r>
          </w:p>
          <w:p w14:paraId="756F3842" w14:textId="77777777" w:rsidR="003F7CCA" w:rsidRDefault="0080197E">
            <w:pPr>
              <w:spacing w:line="259" w:lineRule="auto"/>
              <w:ind w:left="2"/>
              <w:rPr>
                <w:b/>
                <w:lang w:eastAsia="sl-SI"/>
              </w:rPr>
            </w:pPr>
            <w:r>
              <w:rPr>
                <w:b/>
                <w:lang w:eastAsia="sl-SI"/>
              </w:rPr>
              <w:t xml:space="preserve">2 kartus per </w:t>
            </w:r>
          </w:p>
          <w:p w14:paraId="46CE2B65" w14:textId="77777777" w:rsidR="003F7CCA" w:rsidRDefault="0080197E">
            <w:pPr>
              <w:spacing w:line="259" w:lineRule="auto"/>
              <w:ind w:left="2"/>
              <w:rPr>
                <w:b/>
                <w:lang w:eastAsia="sl-SI"/>
              </w:rPr>
            </w:pPr>
            <w:r>
              <w:rPr>
                <w:b/>
                <w:lang w:eastAsia="sl-SI"/>
              </w:rPr>
              <w:t>parą</w:t>
            </w:r>
          </w:p>
        </w:tc>
      </w:tr>
      <w:tr w:rsidR="003F7CCA" w14:paraId="0FE72F8D" w14:textId="77777777">
        <w:trPr>
          <w:trHeight w:val="264"/>
        </w:trPr>
        <w:tc>
          <w:tcPr>
            <w:tcW w:w="1491" w:type="dxa"/>
            <w:tcBorders>
              <w:top w:val="single" w:sz="4" w:space="0" w:color="000000"/>
              <w:left w:val="single" w:sz="4" w:space="0" w:color="000000"/>
              <w:bottom w:val="single" w:sz="4" w:space="0" w:color="000000"/>
              <w:right w:val="single" w:sz="4" w:space="0" w:color="000000"/>
            </w:tcBorders>
          </w:tcPr>
          <w:p w14:paraId="7EE7FB5A" w14:textId="77777777" w:rsidR="003F7CCA" w:rsidRDefault="0080197E">
            <w:pPr>
              <w:spacing w:line="259" w:lineRule="auto"/>
              <w:ind w:left="2"/>
              <w:rPr>
                <w:lang w:eastAsia="sl-SI"/>
              </w:rPr>
            </w:pPr>
            <w:r>
              <w:rPr>
                <w:b/>
                <w:lang w:eastAsia="sl-SI"/>
              </w:rPr>
              <w:t>HbA</w:t>
            </w:r>
            <w:r>
              <w:rPr>
                <w:b/>
                <w:vertAlign w:val="subscript"/>
                <w:lang w:eastAsia="sl-SI"/>
              </w:rPr>
              <w:t xml:space="preserve">1c </w:t>
            </w:r>
            <w:r>
              <w:rPr>
                <w:b/>
                <w:lang w:eastAsia="sl-SI"/>
              </w:rPr>
              <w:t>(%)</w:t>
            </w:r>
          </w:p>
        </w:tc>
        <w:tc>
          <w:tcPr>
            <w:tcW w:w="978" w:type="dxa"/>
            <w:tcBorders>
              <w:top w:val="single" w:sz="4" w:space="0" w:color="000000"/>
              <w:left w:val="single" w:sz="4" w:space="0" w:color="000000"/>
              <w:bottom w:val="single" w:sz="4" w:space="0" w:color="000000"/>
              <w:right w:val="single" w:sz="4" w:space="0" w:color="000000"/>
            </w:tcBorders>
          </w:tcPr>
          <w:p w14:paraId="24A2951F" w14:textId="77777777" w:rsidR="003F7CCA" w:rsidRDefault="003F7CCA">
            <w:pPr>
              <w:spacing w:after="160" w:line="259" w:lineRule="auto"/>
              <w:rPr>
                <w:lang w:eastAsia="sl-SI"/>
              </w:rPr>
            </w:pPr>
          </w:p>
        </w:tc>
        <w:tc>
          <w:tcPr>
            <w:tcW w:w="1409" w:type="dxa"/>
            <w:tcBorders>
              <w:top w:val="single" w:sz="4" w:space="0" w:color="000000"/>
              <w:left w:val="single" w:sz="4" w:space="0" w:color="000000"/>
              <w:bottom w:val="single" w:sz="4" w:space="0" w:color="000000"/>
              <w:right w:val="single" w:sz="4" w:space="0" w:color="000000"/>
            </w:tcBorders>
          </w:tcPr>
          <w:p w14:paraId="0C3F8F9F" w14:textId="77777777" w:rsidR="003F7CCA" w:rsidRDefault="003F7CCA">
            <w:pPr>
              <w:spacing w:after="160" w:line="259" w:lineRule="auto"/>
              <w:rPr>
                <w:lang w:eastAsia="sl-SI"/>
              </w:rPr>
            </w:pPr>
          </w:p>
        </w:tc>
        <w:tc>
          <w:tcPr>
            <w:tcW w:w="1296" w:type="dxa"/>
            <w:tcBorders>
              <w:top w:val="single" w:sz="4" w:space="0" w:color="000000"/>
              <w:left w:val="single" w:sz="4" w:space="0" w:color="000000"/>
              <w:bottom w:val="single" w:sz="4" w:space="0" w:color="000000"/>
              <w:right w:val="single" w:sz="4" w:space="0" w:color="000000"/>
            </w:tcBorders>
          </w:tcPr>
          <w:p w14:paraId="7D757391" w14:textId="77777777" w:rsidR="003F7CCA" w:rsidRDefault="003F7CCA">
            <w:pPr>
              <w:spacing w:after="160" w:line="259" w:lineRule="auto"/>
              <w:rPr>
                <w:lang w:eastAsia="sl-SI"/>
              </w:rPr>
            </w:pPr>
          </w:p>
        </w:tc>
        <w:tc>
          <w:tcPr>
            <w:tcW w:w="1407" w:type="dxa"/>
            <w:tcBorders>
              <w:top w:val="single" w:sz="4" w:space="0" w:color="000000"/>
              <w:left w:val="single" w:sz="4" w:space="0" w:color="000000"/>
              <w:bottom w:val="single" w:sz="4" w:space="0" w:color="000000"/>
              <w:right w:val="single" w:sz="4" w:space="0" w:color="000000"/>
            </w:tcBorders>
          </w:tcPr>
          <w:p w14:paraId="1DDF7358" w14:textId="77777777" w:rsidR="003F7CCA" w:rsidRDefault="003F7CCA">
            <w:pPr>
              <w:spacing w:after="160" w:line="259" w:lineRule="auto"/>
              <w:rPr>
                <w:lang w:eastAsia="sl-SI"/>
              </w:rPr>
            </w:pPr>
          </w:p>
        </w:tc>
        <w:tc>
          <w:tcPr>
            <w:tcW w:w="1298" w:type="dxa"/>
            <w:tcBorders>
              <w:top w:val="single" w:sz="4" w:space="0" w:color="000000"/>
              <w:left w:val="single" w:sz="4" w:space="0" w:color="000000"/>
              <w:bottom w:val="single" w:sz="4" w:space="0" w:color="000000"/>
              <w:right w:val="single" w:sz="4" w:space="0" w:color="000000"/>
            </w:tcBorders>
          </w:tcPr>
          <w:p w14:paraId="2058BF94" w14:textId="77777777" w:rsidR="003F7CCA" w:rsidRDefault="003F7CCA">
            <w:pPr>
              <w:spacing w:after="160" w:line="259" w:lineRule="auto"/>
              <w:rPr>
                <w:lang w:eastAsia="sl-SI"/>
              </w:rPr>
            </w:pPr>
          </w:p>
        </w:tc>
        <w:tc>
          <w:tcPr>
            <w:tcW w:w="1409" w:type="dxa"/>
            <w:tcBorders>
              <w:top w:val="single" w:sz="4" w:space="0" w:color="000000"/>
              <w:left w:val="single" w:sz="4" w:space="0" w:color="000000"/>
              <w:bottom w:val="single" w:sz="4" w:space="0" w:color="000000"/>
              <w:right w:val="single" w:sz="4" w:space="0" w:color="000000"/>
            </w:tcBorders>
          </w:tcPr>
          <w:p w14:paraId="07BA449F" w14:textId="77777777" w:rsidR="003F7CCA" w:rsidRDefault="003F7CCA">
            <w:pPr>
              <w:spacing w:after="160" w:line="259" w:lineRule="auto"/>
              <w:rPr>
                <w:lang w:eastAsia="sl-SI"/>
              </w:rPr>
            </w:pPr>
          </w:p>
        </w:tc>
      </w:tr>
      <w:tr w:rsidR="003F7CCA" w14:paraId="2E57C59B" w14:textId="77777777">
        <w:trPr>
          <w:trHeight w:val="262"/>
        </w:trPr>
        <w:tc>
          <w:tcPr>
            <w:tcW w:w="1491" w:type="dxa"/>
            <w:tcBorders>
              <w:top w:val="single" w:sz="4" w:space="0" w:color="000000"/>
              <w:left w:val="single" w:sz="4" w:space="0" w:color="000000"/>
              <w:bottom w:val="single" w:sz="4" w:space="0" w:color="000000"/>
              <w:right w:val="single" w:sz="4" w:space="0" w:color="000000"/>
            </w:tcBorders>
          </w:tcPr>
          <w:p w14:paraId="3317F902" w14:textId="77777777" w:rsidR="003F7CCA" w:rsidRDefault="0080197E">
            <w:pPr>
              <w:spacing w:line="259" w:lineRule="auto"/>
              <w:ind w:left="2"/>
              <w:rPr>
                <w:lang w:eastAsia="sl-SI"/>
              </w:rPr>
            </w:pPr>
            <w:r>
              <w:rPr>
                <w:lang w:eastAsia="sl-SI"/>
              </w:rPr>
              <w:t>Pacientų skaičius</w:t>
            </w:r>
          </w:p>
        </w:tc>
        <w:tc>
          <w:tcPr>
            <w:tcW w:w="978" w:type="dxa"/>
            <w:tcBorders>
              <w:top w:val="single" w:sz="4" w:space="0" w:color="000000"/>
              <w:left w:val="single" w:sz="4" w:space="0" w:color="000000"/>
              <w:bottom w:val="single" w:sz="4" w:space="0" w:color="000000"/>
              <w:right w:val="single" w:sz="4" w:space="0" w:color="000000"/>
            </w:tcBorders>
          </w:tcPr>
          <w:p w14:paraId="39B891D3" w14:textId="77777777" w:rsidR="003F7CCA" w:rsidRDefault="0080197E">
            <w:pPr>
              <w:spacing w:line="259" w:lineRule="auto"/>
              <w:rPr>
                <w:lang w:eastAsia="sl-SI"/>
              </w:rPr>
            </w:pPr>
            <w:r>
              <w:rPr>
                <w:lang w:eastAsia="sl-SI"/>
              </w:rPr>
              <w:t>n = 65</w:t>
            </w:r>
          </w:p>
        </w:tc>
        <w:tc>
          <w:tcPr>
            <w:tcW w:w="1409" w:type="dxa"/>
            <w:tcBorders>
              <w:top w:val="single" w:sz="4" w:space="0" w:color="000000"/>
              <w:left w:val="single" w:sz="4" w:space="0" w:color="000000"/>
              <w:bottom w:val="single" w:sz="4" w:space="0" w:color="000000"/>
              <w:right w:val="single" w:sz="4" w:space="0" w:color="000000"/>
            </w:tcBorders>
          </w:tcPr>
          <w:p w14:paraId="78BF2C28" w14:textId="77777777" w:rsidR="003F7CCA" w:rsidRDefault="0080197E">
            <w:pPr>
              <w:spacing w:line="259" w:lineRule="auto"/>
              <w:ind w:left="2"/>
              <w:rPr>
                <w:lang w:eastAsia="sl-SI"/>
              </w:rPr>
            </w:pPr>
            <w:r>
              <w:rPr>
                <w:lang w:eastAsia="sl-SI"/>
              </w:rPr>
              <w:t>n = 135</w:t>
            </w:r>
          </w:p>
        </w:tc>
        <w:tc>
          <w:tcPr>
            <w:tcW w:w="1296" w:type="dxa"/>
            <w:tcBorders>
              <w:top w:val="single" w:sz="4" w:space="0" w:color="000000"/>
              <w:left w:val="single" w:sz="4" w:space="0" w:color="000000"/>
              <w:bottom w:val="single" w:sz="4" w:space="0" w:color="000000"/>
              <w:right w:val="single" w:sz="4" w:space="0" w:color="000000"/>
            </w:tcBorders>
          </w:tcPr>
          <w:p w14:paraId="590DF8EF" w14:textId="77777777" w:rsidR="003F7CCA" w:rsidRDefault="0080197E">
            <w:pPr>
              <w:spacing w:line="259" w:lineRule="auto"/>
              <w:rPr>
                <w:lang w:eastAsia="sl-SI"/>
              </w:rPr>
            </w:pPr>
            <w:r>
              <w:rPr>
                <w:lang w:eastAsia="sl-SI"/>
              </w:rPr>
              <w:t>n = 141</w:t>
            </w:r>
          </w:p>
        </w:tc>
        <w:tc>
          <w:tcPr>
            <w:tcW w:w="1407" w:type="dxa"/>
            <w:tcBorders>
              <w:top w:val="single" w:sz="4" w:space="0" w:color="000000"/>
              <w:left w:val="single" w:sz="4" w:space="0" w:color="000000"/>
              <w:bottom w:val="single" w:sz="4" w:space="0" w:color="000000"/>
              <w:right w:val="single" w:sz="4" w:space="0" w:color="000000"/>
            </w:tcBorders>
          </w:tcPr>
          <w:p w14:paraId="0813D327" w14:textId="77777777" w:rsidR="003F7CCA" w:rsidRDefault="0080197E">
            <w:pPr>
              <w:spacing w:line="259" w:lineRule="auto"/>
              <w:rPr>
                <w:lang w:eastAsia="sl-SI"/>
              </w:rPr>
            </w:pPr>
            <w:r>
              <w:rPr>
                <w:lang w:eastAsia="sl-SI"/>
              </w:rPr>
              <w:t>n = 137</w:t>
            </w:r>
          </w:p>
        </w:tc>
        <w:tc>
          <w:tcPr>
            <w:tcW w:w="1298" w:type="dxa"/>
            <w:tcBorders>
              <w:top w:val="single" w:sz="4" w:space="0" w:color="000000"/>
              <w:left w:val="single" w:sz="4" w:space="0" w:color="000000"/>
              <w:bottom w:val="single" w:sz="4" w:space="0" w:color="000000"/>
              <w:right w:val="single" w:sz="4" w:space="0" w:color="000000"/>
            </w:tcBorders>
          </w:tcPr>
          <w:p w14:paraId="7B9828FA" w14:textId="77777777" w:rsidR="003F7CCA" w:rsidRDefault="0080197E">
            <w:pPr>
              <w:spacing w:line="259" w:lineRule="auto"/>
              <w:ind w:left="2"/>
              <w:rPr>
                <w:lang w:eastAsia="sl-SI"/>
              </w:rPr>
            </w:pPr>
            <w:r>
              <w:rPr>
                <w:lang w:eastAsia="sl-SI"/>
              </w:rPr>
              <w:t>n = 138</w:t>
            </w:r>
          </w:p>
        </w:tc>
        <w:tc>
          <w:tcPr>
            <w:tcW w:w="1409" w:type="dxa"/>
            <w:tcBorders>
              <w:top w:val="single" w:sz="4" w:space="0" w:color="000000"/>
              <w:left w:val="single" w:sz="4" w:space="0" w:color="000000"/>
              <w:bottom w:val="single" w:sz="4" w:space="0" w:color="000000"/>
              <w:right w:val="single" w:sz="4" w:space="0" w:color="000000"/>
            </w:tcBorders>
          </w:tcPr>
          <w:p w14:paraId="1768E64D" w14:textId="77777777" w:rsidR="003F7CCA" w:rsidRDefault="0080197E">
            <w:pPr>
              <w:spacing w:line="259" w:lineRule="auto"/>
              <w:ind w:left="2"/>
              <w:rPr>
                <w:lang w:eastAsia="sl-SI"/>
              </w:rPr>
            </w:pPr>
            <w:r>
              <w:rPr>
                <w:lang w:eastAsia="sl-SI"/>
              </w:rPr>
              <w:t>n = 140</w:t>
            </w:r>
          </w:p>
        </w:tc>
      </w:tr>
      <w:tr w:rsidR="003F7CCA" w14:paraId="319ED5CB" w14:textId="77777777">
        <w:trPr>
          <w:trHeight w:val="264"/>
        </w:trPr>
        <w:tc>
          <w:tcPr>
            <w:tcW w:w="1491" w:type="dxa"/>
            <w:tcBorders>
              <w:top w:val="single" w:sz="4" w:space="0" w:color="000000"/>
              <w:left w:val="single" w:sz="4" w:space="0" w:color="000000"/>
              <w:bottom w:val="single" w:sz="4" w:space="0" w:color="000000"/>
              <w:right w:val="single" w:sz="4" w:space="0" w:color="000000"/>
            </w:tcBorders>
          </w:tcPr>
          <w:p w14:paraId="78449689" w14:textId="77777777" w:rsidR="003F7CCA" w:rsidRDefault="0080197E">
            <w:pPr>
              <w:spacing w:line="259" w:lineRule="auto"/>
              <w:ind w:left="2"/>
              <w:rPr>
                <w:lang w:eastAsia="sl-SI"/>
              </w:rPr>
            </w:pPr>
            <w:r>
              <w:rPr>
                <w:lang w:eastAsia="sl-SI"/>
              </w:rPr>
              <w:t>Pradinis (vidurkis)</w:t>
            </w:r>
          </w:p>
        </w:tc>
        <w:tc>
          <w:tcPr>
            <w:tcW w:w="978" w:type="dxa"/>
            <w:tcBorders>
              <w:top w:val="single" w:sz="4" w:space="0" w:color="000000"/>
              <w:left w:val="single" w:sz="4" w:space="0" w:color="000000"/>
              <w:bottom w:val="single" w:sz="4" w:space="0" w:color="000000"/>
              <w:right w:val="single" w:sz="4" w:space="0" w:color="000000"/>
            </w:tcBorders>
          </w:tcPr>
          <w:p w14:paraId="7A4FEDB1" w14:textId="77777777" w:rsidR="003F7CCA" w:rsidRDefault="0080197E">
            <w:pPr>
              <w:spacing w:line="259" w:lineRule="auto"/>
              <w:rPr>
                <w:lang w:eastAsia="sl-SI"/>
              </w:rPr>
            </w:pPr>
            <w:r>
              <w:rPr>
                <w:lang w:eastAsia="sl-SI"/>
              </w:rPr>
              <w:t>8,7</w:t>
            </w:r>
          </w:p>
        </w:tc>
        <w:tc>
          <w:tcPr>
            <w:tcW w:w="1409" w:type="dxa"/>
            <w:tcBorders>
              <w:top w:val="single" w:sz="4" w:space="0" w:color="000000"/>
              <w:left w:val="single" w:sz="4" w:space="0" w:color="000000"/>
              <w:bottom w:val="single" w:sz="4" w:space="0" w:color="000000"/>
              <w:right w:val="single" w:sz="4" w:space="0" w:color="000000"/>
            </w:tcBorders>
          </w:tcPr>
          <w:p w14:paraId="675E9D1A" w14:textId="77777777" w:rsidR="003F7CCA" w:rsidRDefault="0080197E">
            <w:pPr>
              <w:spacing w:line="259" w:lineRule="auto"/>
              <w:ind w:left="2"/>
              <w:rPr>
                <w:lang w:eastAsia="sl-SI"/>
              </w:rPr>
            </w:pPr>
            <w:r>
              <w:rPr>
                <w:lang w:eastAsia="sl-SI"/>
              </w:rPr>
              <w:t>8,7</w:t>
            </w:r>
          </w:p>
        </w:tc>
        <w:tc>
          <w:tcPr>
            <w:tcW w:w="1296" w:type="dxa"/>
            <w:tcBorders>
              <w:top w:val="single" w:sz="4" w:space="0" w:color="000000"/>
              <w:left w:val="single" w:sz="4" w:space="0" w:color="000000"/>
              <w:bottom w:val="single" w:sz="4" w:space="0" w:color="000000"/>
              <w:right w:val="single" w:sz="4" w:space="0" w:color="000000"/>
            </w:tcBorders>
          </w:tcPr>
          <w:p w14:paraId="33BDEDC0" w14:textId="77777777" w:rsidR="003F7CCA" w:rsidRDefault="0080197E">
            <w:pPr>
              <w:spacing w:line="259" w:lineRule="auto"/>
              <w:rPr>
                <w:lang w:eastAsia="sl-SI"/>
              </w:rPr>
            </w:pPr>
            <w:r>
              <w:rPr>
                <w:lang w:eastAsia="sl-SI"/>
              </w:rPr>
              <w:t>8,7</w:t>
            </w:r>
          </w:p>
        </w:tc>
        <w:tc>
          <w:tcPr>
            <w:tcW w:w="1407" w:type="dxa"/>
            <w:tcBorders>
              <w:top w:val="single" w:sz="4" w:space="0" w:color="000000"/>
              <w:left w:val="single" w:sz="4" w:space="0" w:color="000000"/>
              <w:bottom w:val="single" w:sz="4" w:space="0" w:color="000000"/>
              <w:right w:val="single" w:sz="4" w:space="0" w:color="000000"/>
            </w:tcBorders>
          </w:tcPr>
          <w:p w14:paraId="1856A988" w14:textId="77777777" w:rsidR="003F7CCA" w:rsidRDefault="0080197E">
            <w:pPr>
              <w:spacing w:line="259" w:lineRule="auto"/>
              <w:rPr>
                <w:lang w:eastAsia="sl-SI"/>
              </w:rPr>
            </w:pPr>
            <w:r>
              <w:rPr>
                <w:lang w:eastAsia="sl-SI"/>
              </w:rPr>
              <w:t>8,7</w:t>
            </w:r>
          </w:p>
        </w:tc>
        <w:tc>
          <w:tcPr>
            <w:tcW w:w="1298" w:type="dxa"/>
            <w:tcBorders>
              <w:top w:val="single" w:sz="4" w:space="0" w:color="000000"/>
              <w:left w:val="single" w:sz="4" w:space="0" w:color="000000"/>
              <w:bottom w:val="single" w:sz="4" w:space="0" w:color="000000"/>
              <w:right w:val="single" w:sz="4" w:space="0" w:color="000000"/>
            </w:tcBorders>
          </w:tcPr>
          <w:p w14:paraId="4FB28485" w14:textId="77777777" w:rsidR="003F7CCA" w:rsidRDefault="0080197E">
            <w:pPr>
              <w:spacing w:line="259" w:lineRule="auto"/>
              <w:ind w:left="2"/>
              <w:rPr>
                <w:lang w:eastAsia="sl-SI"/>
              </w:rPr>
            </w:pPr>
            <w:r>
              <w:rPr>
                <w:lang w:eastAsia="sl-SI"/>
              </w:rPr>
              <w:t>8,5</w:t>
            </w:r>
          </w:p>
        </w:tc>
        <w:tc>
          <w:tcPr>
            <w:tcW w:w="1409" w:type="dxa"/>
            <w:tcBorders>
              <w:top w:val="single" w:sz="4" w:space="0" w:color="000000"/>
              <w:left w:val="single" w:sz="4" w:space="0" w:color="000000"/>
              <w:bottom w:val="single" w:sz="4" w:space="0" w:color="000000"/>
              <w:right w:val="single" w:sz="4" w:space="0" w:color="000000"/>
            </w:tcBorders>
          </w:tcPr>
          <w:p w14:paraId="0E92D26A" w14:textId="77777777" w:rsidR="003F7CCA" w:rsidRDefault="0080197E">
            <w:pPr>
              <w:spacing w:line="259" w:lineRule="auto"/>
              <w:ind w:left="2"/>
              <w:rPr>
                <w:lang w:eastAsia="sl-SI"/>
              </w:rPr>
            </w:pPr>
            <w:r>
              <w:rPr>
                <w:lang w:eastAsia="sl-SI"/>
              </w:rPr>
              <w:t>8,7</w:t>
            </w:r>
          </w:p>
        </w:tc>
      </w:tr>
      <w:tr w:rsidR="003F7CCA" w14:paraId="21342D68" w14:textId="77777777">
        <w:trPr>
          <w:trHeight w:val="768"/>
        </w:trPr>
        <w:tc>
          <w:tcPr>
            <w:tcW w:w="1491" w:type="dxa"/>
            <w:tcBorders>
              <w:top w:val="single" w:sz="4" w:space="0" w:color="000000"/>
              <w:left w:val="single" w:sz="4" w:space="0" w:color="000000"/>
              <w:bottom w:val="single" w:sz="4" w:space="0" w:color="000000"/>
              <w:right w:val="single" w:sz="4" w:space="0" w:color="000000"/>
            </w:tcBorders>
          </w:tcPr>
          <w:p w14:paraId="357CA9CF" w14:textId="77777777" w:rsidR="003F7CCA" w:rsidRDefault="0080197E">
            <w:pPr>
              <w:spacing w:line="259" w:lineRule="auto"/>
              <w:ind w:left="2"/>
              <w:rPr>
                <w:lang w:eastAsia="sl-SI"/>
              </w:rPr>
            </w:pPr>
            <w:r>
              <w:rPr>
                <w:lang w:eastAsia="sl-SI"/>
              </w:rPr>
              <w:t>Pokytis, palyginti su pradiniu (pritaikytas vidurkis)</w:t>
            </w:r>
          </w:p>
        </w:tc>
        <w:tc>
          <w:tcPr>
            <w:tcW w:w="978" w:type="dxa"/>
            <w:tcBorders>
              <w:top w:val="single" w:sz="4" w:space="0" w:color="000000"/>
              <w:left w:val="single" w:sz="4" w:space="0" w:color="000000"/>
              <w:bottom w:val="single" w:sz="4" w:space="0" w:color="000000"/>
              <w:right w:val="single" w:sz="4" w:space="0" w:color="000000"/>
            </w:tcBorders>
            <w:vAlign w:val="center"/>
          </w:tcPr>
          <w:p w14:paraId="0A8B349B" w14:textId="77777777" w:rsidR="003F7CCA" w:rsidRDefault="0080197E">
            <w:pPr>
              <w:spacing w:line="259" w:lineRule="auto"/>
              <w:rPr>
                <w:lang w:eastAsia="sl-SI"/>
              </w:rPr>
            </w:pPr>
            <w:r>
              <w:rPr>
                <w:lang w:eastAsia="sl-SI"/>
              </w:rPr>
              <w:t>0,1</w:t>
            </w:r>
          </w:p>
        </w:tc>
        <w:tc>
          <w:tcPr>
            <w:tcW w:w="1409" w:type="dxa"/>
            <w:tcBorders>
              <w:top w:val="single" w:sz="4" w:space="0" w:color="000000"/>
              <w:left w:val="single" w:sz="4" w:space="0" w:color="000000"/>
              <w:bottom w:val="single" w:sz="4" w:space="0" w:color="000000"/>
              <w:right w:val="single" w:sz="4" w:space="0" w:color="000000"/>
            </w:tcBorders>
            <w:vAlign w:val="center"/>
          </w:tcPr>
          <w:p w14:paraId="196DDFF3" w14:textId="77777777" w:rsidR="003F7CCA" w:rsidRDefault="0080197E">
            <w:pPr>
              <w:spacing w:line="259" w:lineRule="auto"/>
              <w:ind w:left="2"/>
              <w:rPr>
                <w:lang w:eastAsia="sl-SI"/>
              </w:rPr>
            </w:pPr>
            <w:r>
              <w:rPr>
                <w:lang w:eastAsia="sl-SI"/>
              </w:rPr>
              <w:t>-0,5</w:t>
            </w:r>
          </w:p>
        </w:tc>
        <w:tc>
          <w:tcPr>
            <w:tcW w:w="1296" w:type="dxa"/>
            <w:tcBorders>
              <w:top w:val="single" w:sz="4" w:space="0" w:color="000000"/>
              <w:left w:val="single" w:sz="4" w:space="0" w:color="000000"/>
              <w:bottom w:val="single" w:sz="4" w:space="0" w:color="000000"/>
              <w:right w:val="single" w:sz="4" w:space="0" w:color="000000"/>
            </w:tcBorders>
            <w:vAlign w:val="center"/>
          </w:tcPr>
          <w:p w14:paraId="27352540" w14:textId="77777777" w:rsidR="003F7CCA" w:rsidRDefault="0080197E">
            <w:pPr>
              <w:spacing w:line="259" w:lineRule="auto"/>
              <w:rPr>
                <w:lang w:eastAsia="sl-SI"/>
              </w:rPr>
            </w:pPr>
            <w:r>
              <w:rPr>
                <w:lang w:eastAsia="sl-SI"/>
              </w:rPr>
              <w:t>-0,6</w:t>
            </w:r>
          </w:p>
        </w:tc>
        <w:tc>
          <w:tcPr>
            <w:tcW w:w="1407" w:type="dxa"/>
            <w:tcBorders>
              <w:top w:val="single" w:sz="4" w:space="0" w:color="000000"/>
              <w:left w:val="single" w:sz="4" w:space="0" w:color="000000"/>
              <w:bottom w:val="single" w:sz="4" w:space="0" w:color="000000"/>
              <w:right w:val="single" w:sz="4" w:space="0" w:color="000000"/>
            </w:tcBorders>
            <w:vAlign w:val="center"/>
          </w:tcPr>
          <w:p w14:paraId="3CE2D607" w14:textId="77777777" w:rsidR="003F7CCA" w:rsidRDefault="0080197E">
            <w:pPr>
              <w:spacing w:line="259" w:lineRule="auto"/>
              <w:rPr>
                <w:lang w:eastAsia="sl-SI"/>
              </w:rPr>
            </w:pPr>
            <w:r>
              <w:rPr>
                <w:lang w:eastAsia="sl-SI"/>
              </w:rPr>
              <w:t>-1,2</w:t>
            </w:r>
          </w:p>
        </w:tc>
        <w:tc>
          <w:tcPr>
            <w:tcW w:w="1298" w:type="dxa"/>
            <w:tcBorders>
              <w:top w:val="single" w:sz="4" w:space="0" w:color="000000"/>
              <w:left w:val="single" w:sz="4" w:space="0" w:color="000000"/>
              <w:bottom w:val="single" w:sz="4" w:space="0" w:color="000000"/>
              <w:right w:val="single" w:sz="4" w:space="0" w:color="000000"/>
            </w:tcBorders>
            <w:vAlign w:val="center"/>
          </w:tcPr>
          <w:p w14:paraId="653992D9" w14:textId="77777777" w:rsidR="003F7CCA" w:rsidRDefault="0080197E">
            <w:pPr>
              <w:spacing w:line="259" w:lineRule="auto"/>
              <w:ind w:left="2"/>
              <w:rPr>
                <w:lang w:eastAsia="sl-SI"/>
              </w:rPr>
            </w:pPr>
            <w:r>
              <w:rPr>
                <w:lang w:eastAsia="sl-SI"/>
              </w:rPr>
              <w:t>-1,1</w:t>
            </w:r>
          </w:p>
        </w:tc>
        <w:tc>
          <w:tcPr>
            <w:tcW w:w="1409" w:type="dxa"/>
            <w:tcBorders>
              <w:top w:val="single" w:sz="4" w:space="0" w:color="000000"/>
              <w:left w:val="single" w:sz="4" w:space="0" w:color="000000"/>
              <w:bottom w:val="single" w:sz="4" w:space="0" w:color="000000"/>
              <w:right w:val="single" w:sz="4" w:space="0" w:color="000000"/>
            </w:tcBorders>
            <w:vAlign w:val="center"/>
          </w:tcPr>
          <w:p w14:paraId="6CC37389" w14:textId="77777777" w:rsidR="003F7CCA" w:rsidRDefault="0080197E">
            <w:pPr>
              <w:spacing w:line="259" w:lineRule="auto"/>
              <w:ind w:left="2"/>
              <w:rPr>
                <w:lang w:eastAsia="sl-SI"/>
              </w:rPr>
            </w:pPr>
            <w:r>
              <w:rPr>
                <w:lang w:eastAsia="sl-SI"/>
              </w:rPr>
              <w:t>-1,6</w:t>
            </w:r>
          </w:p>
        </w:tc>
      </w:tr>
      <w:tr w:rsidR="003F7CCA" w14:paraId="45C1F539" w14:textId="77777777">
        <w:trPr>
          <w:trHeight w:val="768"/>
        </w:trPr>
        <w:tc>
          <w:tcPr>
            <w:tcW w:w="1491" w:type="dxa"/>
            <w:tcBorders>
              <w:top w:val="single" w:sz="4" w:space="0" w:color="000000"/>
              <w:left w:val="single" w:sz="4" w:space="0" w:color="000000"/>
              <w:bottom w:val="single" w:sz="4" w:space="0" w:color="000000"/>
              <w:right w:val="single" w:sz="4" w:space="0" w:color="000000"/>
            </w:tcBorders>
          </w:tcPr>
          <w:p w14:paraId="69BEB224" w14:textId="77777777" w:rsidR="003F7CCA" w:rsidRDefault="0080197E">
            <w:pPr>
              <w:spacing w:line="259" w:lineRule="auto"/>
              <w:ind w:left="2"/>
              <w:rPr>
                <w:lang w:eastAsia="sl-SI"/>
              </w:rPr>
            </w:pPr>
            <w:r>
              <w:rPr>
                <w:lang w:eastAsia="sl-SI"/>
              </w:rPr>
              <w:t>Skirtumas, palyginti su placebo grupės (pritaikytas vidurkis) (95 % PI)</w:t>
            </w:r>
          </w:p>
        </w:tc>
        <w:tc>
          <w:tcPr>
            <w:tcW w:w="978" w:type="dxa"/>
            <w:tcBorders>
              <w:top w:val="single" w:sz="4" w:space="0" w:color="000000"/>
              <w:left w:val="single" w:sz="4" w:space="0" w:color="000000"/>
              <w:bottom w:val="single" w:sz="4" w:space="0" w:color="000000"/>
              <w:right w:val="single" w:sz="4" w:space="0" w:color="000000"/>
            </w:tcBorders>
          </w:tcPr>
          <w:p w14:paraId="53C4F43B" w14:textId="77777777" w:rsidR="003F7CCA" w:rsidRDefault="0080197E">
            <w:pPr>
              <w:spacing w:line="259" w:lineRule="auto"/>
              <w:rPr>
                <w:lang w:eastAsia="sl-SI"/>
              </w:rPr>
            </w:pPr>
            <w:r>
              <w:rPr>
                <w:lang w:eastAsia="sl-SI"/>
              </w:rPr>
              <w:t>--</w:t>
            </w:r>
          </w:p>
        </w:tc>
        <w:tc>
          <w:tcPr>
            <w:tcW w:w="1409" w:type="dxa"/>
            <w:tcBorders>
              <w:top w:val="single" w:sz="4" w:space="0" w:color="000000"/>
              <w:left w:val="single" w:sz="4" w:space="0" w:color="000000"/>
              <w:bottom w:val="single" w:sz="4" w:space="0" w:color="000000"/>
              <w:right w:val="single" w:sz="4" w:space="0" w:color="000000"/>
            </w:tcBorders>
          </w:tcPr>
          <w:p w14:paraId="45DA5D84" w14:textId="77777777" w:rsidR="003F7CCA" w:rsidRDefault="0080197E">
            <w:pPr>
              <w:spacing w:line="259" w:lineRule="auto"/>
              <w:ind w:left="2"/>
              <w:rPr>
                <w:lang w:eastAsia="sl-SI"/>
              </w:rPr>
            </w:pPr>
            <w:r>
              <w:rPr>
                <w:lang w:eastAsia="sl-SI"/>
              </w:rPr>
              <w:t>-0,6</w:t>
            </w:r>
          </w:p>
          <w:p w14:paraId="654261E0" w14:textId="77777777" w:rsidR="003F7CCA" w:rsidRDefault="0080197E">
            <w:pPr>
              <w:spacing w:line="259" w:lineRule="auto"/>
              <w:ind w:left="2"/>
              <w:rPr>
                <w:lang w:eastAsia="sl-SI"/>
              </w:rPr>
            </w:pPr>
            <w:r>
              <w:rPr>
                <w:lang w:eastAsia="sl-SI"/>
              </w:rPr>
              <w:t>(-0,9, -0,3)</w:t>
            </w:r>
          </w:p>
        </w:tc>
        <w:tc>
          <w:tcPr>
            <w:tcW w:w="1296" w:type="dxa"/>
            <w:tcBorders>
              <w:top w:val="single" w:sz="4" w:space="0" w:color="000000"/>
              <w:left w:val="single" w:sz="4" w:space="0" w:color="000000"/>
              <w:bottom w:val="single" w:sz="4" w:space="0" w:color="000000"/>
              <w:right w:val="single" w:sz="4" w:space="0" w:color="000000"/>
            </w:tcBorders>
          </w:tcPr>
          <w:p w14:paraId="3EB1AECF" w14:textId="77777777" w:rsidR="003F7CCA" w:rsidRDefault="0080197E">
            <w:pPr>
              <w:spacing w:line="259" w:lineRule="auto"/>
              <w:rPr>
                <w:lang w:eastAsia="sl-SI"/>
              </w:rPr>
            </w:pPr>
            <w:r>
              <w:rPr>
                <w:lang w:eastAsia="sl-SI"/>
              </w:rPr>
              <w:t>-0,8</w:t>
            </w:r>
          </w:p>
          <w:p w14:paraId="418C0C46" w14:textId="77777777" w:rsidR="003F7CCA" w:rsidRDefault="0080197E">
            <w:pPr>
              <w:spacing w:line="259" w:lineRule="auto"/>
              <w:rPr>
                <w:lang w:eastAsia="sl-SI"/>
              </w:rPr>
            </w:pPr>
            <w:r>
              <w:rPr>
                <w:lang w:eastAsia="sl-SI"/>
              </w:rPr>
              <w:t>(-1,0, -0,5)</w:t>
            </w:r>
          </w:p>
        </w:tc>
        <w:tc>
          <w:tcPr>
            <w:tcW w:w="1407" w:type="dxa"/>
            <w:tcBorders>
              <w:top w:val="single" w:sz="4" w:space="0" w:color="000000"/>
              <w:left w:val="single" w:sz="4" w:space="0" w:color="000000"/>
              <w:bottom w:val="single" w:sz="4" w:space="0" w:color="000000"/>
              <w:right w:val="single" w:sz="4" w:space="0" w:color="000000"/>
            </w:tcBorders>
          </w:tcPr>
          <w:p w14:paraId="34BFA170" w14:textId="77777777" w:rsidR="003F7CCA" w:rsidRDefault="0080197E">
            <w:pPr>
              <w:spacing w:line="259" w:lineRule="auto"/>
              <w:rPr>
                <w:lang w:eastAsia="sl-SI"/>
              </w:rPr>
            </w:pPr>
            <w:r>
              <w:rPr>
                <w:lang w:eastAsia="sl-SI"/>
              </w:rPr>
              <w:t>-1,3</w:t>
            </w:r>
          </w:p>
          <w:p w14:paraId="36A10E85" w14:textId="77777777" w:rsidR="003F7CCA" w:rsidRDefault="0080197E">
            <w:pPr>
              <w:spacing w:line="259" w:lineRule="auto"/>
              <w:rPr>
                <w:lang w:eastAsia="sl-SI"/>
              </w:rPr>
            </w:pPr>
            <w:r>
              <w:rPr>
                <w:lang w:eastAsia="sl-SI"/>
              </w:rPr>
              <w:t>(-1,6, -1,1)</w:t>
            </w:r>
          </w:p>
        </w:tc>
        <w:tc>
          <w:tcPr>
            <w:tcW w:w="1298" w:type="dxa"/>
            <w:tcBorders>
              <w:top w:val="single" w:sz="4" w:space="0" w:color="000000"/>
              <w:left w:val="single" w:sz="4" w:space="0" w:color="000000"/>
              <w:bottom w:val="single" w:sz="4" w:space="0" w:color="000000"/>
              <w:right w:val="single" w:sz="4" w:space="0" w:color="000000"/>
            </w:tcBorders>
          </w:tcPr>
          <w:p w14:paraId="5BB6CD12" w14:textId="77777777" w:rsidR="003F7CCA" w:rsidRDefault="0080197E">
            <w:pPr>
              <w:spacing w:after="5" w:line="259" w:lineRule="auto"/>
              <w:ind w:left="2"/>
              <w:rPr>
                <w:lang w:eastAsia="sl-SI"/>
              </w:rPr>
            </w:pPr>
            <w:r>
              <w:rPr>
                <w:lang w:eastAsia="sl-SI"/>
              </w:rPr>
              <w:t>-1,2</w:t>
            </w:r>
          </w:p>
          <w:p w14:paraId="0EE613B1" w14:textId="77777777" w:rsidR="003F7CCA" w:rsidRDefault="0080197E">
            <w:pPr>
              <w:spacing w:line="259" w:lineRule="auto"/>
              <w:ind w:left="2"/>
              <w:rPr>
                <w:lang w:eastAsia="sl-SI"/>
              </w:rPr>
            </w:pPr>
            <w:r>
              <w:rPr>
                <w:lang w:eastAsia="sl-SI"/>
              </w:rPr>
              <w:t>(-1,5, -0,9)</w:t>
            </w:r>
          </w:p>
        </w:tc>
        <w:tc>
          <w:tcPr>
            <w:tcW w:w="1409" w:type="dxa"/>
            <w:tcBorders>
              <w:top w:val="single" w:sz="4" w:space="0" w:color="000000"/>
              <w:left w:val="single" w:sz="4" w:space="0" w:color="000000"/>
              <w:bottom w:val="single" w:sz="4" w:space="0" w:color="000000"/>
              <w:right w:val="single" w:sz="4" w:space="0" w:color="000000"/>
            </w:tcBorders>
          </w:tcPr>
          <w:p w14:paraId="2B8E3336" w14:textId="77777777" w:rsidR="003F7CCA" w:rsidRDefault="0080197E">
            <w:pPr>
              <w:spacing w:line="259" w:lineRule="auto"/>
              <w:ind w:left="2"/>
              <w:rPr>
                <w:lang w:eastAsia="sl-SI"/>
              </w:rPr>
            </w:pPr>
            <w:r>
              <w:rPr>
                <w:lang w:eastAsia="sl-SI"/>
              </w:rPr>
              <w:t>-1,7</w:t>
            </w:r>
          </w:p>
          <w:p w14:paraId="094F6428" w14:textId="77777777" w:rsidR="003F7CCA" w:rsidRDefault="0080197E">
            <w:pPr>
              <w:spacing w:line="259" w:lineRule="auto"/>
              <w:ind w:left="2"/>
              <w:rPr>
                <w:lang w:eastAsia="sl-SI"/>
              </w:rPr>
            </w:pPr>
            <w:r>
              <w:rPr>
                <w:lang w:eastAsia="sl-SI"/>
              </w:rPr>
              <w:t>(-2,0, -1,4)</w:t>
            </w:r>
          </w:p>
        </w:tc>
      </w:tr>
      <w:tr w:rsidR="003F7CCA" w14:paraId="4D506087" w14:textId="77777777">
        <w:trPr>
          <w:trHeight w:val="770"/>
        </w:trPr>
        <w:tc>
          <w:tcPr>
            <w:tcW w:w="1491" w:type="dxa"/>
            <w:tcBorders>
              <w:top w:val="single" w:sz="4" w:space="0" w:color="000000"/>
              <w:left w:val="single" w:sz="4" w:space="0" w:color="000000"/>
              <w:bottom w:val="single" w:sz="4" w:space="0" w:color="000000"/>
              <w:right w:val="single" w:sz="4" w:space="0" w:color="000000"/>
            </w:tcBorders>
          </w:tcPr>
          <w:p w14:paraId="3CE9695E" w14:textId="77777777" w:rsidR="003F7CCA" w:rsidRDefault="0080197E">
            <w:pPr>
              <w:spacing w:line="255" w:lineRule="auto"/>
              <w:ind w:left="2"/>
              <w:rPr>
                <w:lang w:eastAsia="sl-SI"/>
              </w:rPr>
            </w:pPr>
            <w:r>
              <w:rPr>
                <w:lang w:eastAsia="sl-SI"/>
              </w:rPr>
              <w:t>Pacientai (n, %), kurių HbA</w:t>
            </w:r>
            <w:r>
              <w:rPr>
                <w:vertAlign w:val="subscript"/>
                <w:lang w:eastAsia="sl-SI"/>
              </w:rPr>
              <w:t>1c</w:t>
            </w:r>
          </w:p>
          <w:p w14:paraId="617C16EF" w14:textId="77777777" w:rsidR="003F7CCA" w:rsidRDefault="0080197E">
            <w:pPr>
              <w:spacing w:line="259" w:lineRule="auto"/>
              <w:ind w:left="2"/>
              <w:rPr>
                <w:lang w:eastAsia="sl-SI"/>
              </w:rPr>
            </w:pPr>
            <w:r>
              <w:rPr>
                <w:lang w:eastAsia="sl-SI"/>
              </w:rPr>
              <w:t xml:space="preserve"> kiekis &lt; 7 %</w:t>
            </w:r>
          </w:p>
        </w:tc>
        <w:tc>
          <w:tcPr>
            <w:tcW w:w="978" w:type="dxa"/>
            <w:tcBorders>
              <w:top w:val="single" w:sz="4" w:space="0" w:color="000000"/>
              <w:left w:val="single" w:sz="4" w:space="0" w:color="000000"/>
              <w:bottom w:val="single" w:sz="4" w:space="0" w:color="000000"/>
              <w:right w:val="single" w:sz="4" w:space="0" w:color="000000"/>
            </w:tcBorders>
            <w:vAlign w:val="center"/>
          </w:tcPr>
          <w:p w14:paraId="7088BC38" w14:textId="77777777" w:rsidR="003F7CCA" w:rsidRDefault="0080197E">
            <w:pPr>
              <w:spacing w:line="259" w:lineRule="auto"/>
              <w:rPr>
                <w:lang w:eastAsia="sl-SI"/>
              </w:rPr>
            </w:pPr>
            <w:r>
              <w:rPr>
                <w:lang w:eastAsia="sl-SI"/>
              </w:rPr>
              <w:t>7 (10,8)</w:t>
            </w:r>
          </w:p>
        </w:tc>
        <w:tc>
          <w:tcPr>
            <w:tcW w:w="1409" w:type="dxa"/>
            <w:tcBorders>
              <w:top w:val="single" w:sz="4" w:space="0" w:color="000000"/>
              <w:left w:val="single" w:sz="4" w:space="0" w:color="000000"/>
              <w:bottom w:val="single" w:sz="4" w:space="0" w:color="000000"/>
              <w:right w:val="single" w:sz="4" w:space="0" w:color="000000"/>
            </w:tcBorders>
            <w:vAlign w:val="center"/>
          </w:tcPr>
          <w:p w14:paraId="48A991AD" w14:textId="77777777" w:rsidR="003F7CCA" w:rsidRDefault="0080197E">
            <w:pPr>
              <w:spacing w:line="259" w:lineRule="auto"/>
              <w:ind w:left="2"/>
              <w:rPr>
                <w:lang w:eastAsia="sl-SI"/>
              </w:rPr>
            </w:pPr>
            <w:r>
              <w:rPr>
                <w:lang w:eastAsia="sl-SI"/>
              </w:rPr>
              <w:t>14 (10,4)</w:t>
            </w:r>
          </w:p>
        </w:tc>
        <w:tc>
          <w:tcPr>
            <w:tcW w:w="1296" w:type="dxa"/>
            <w:tcBorders>
              <w:top w:val="single" w:sz="4" w:space="0" w:color="000000"/>
              <w:left w:val="single" w:sz="4" w:space="0" w:color="000000"/>
              <w:bottom w:val="single" w:sz="4" w:space="0" w:color="000000"/>
              <w:right w:val="single" w:sz="4" w:space="0" w:color="000000"/>
            </w:tcBorders>
            <w:vAlign w:val="center"/>
          </w:tcPr>
          <w:p w14:paraId="2C4671E4" w14:textId="77777777" w:rsidR="003F7CCA" w:rsidRDefault="0080197E">
            <w:pPr>
              <w:spacing w:line="259" w:lineRule="auto"/>
              <w:rPr>
                <w:lang w:eastAsia="sl-SI"/>
              </w:rPr>
            </w:pPr>
            <w:r>
              <w:rPr>
                <w:lang w:eastAsia="sl-SI"/>
              </w:rPr>
              <w:t>27 (19,1)</w:t>
            </w:r>
          </w:p>
        </w:tc>
        <w:tc>
          <w:tcPr>
            <w:tcW w:w="1407" w:type="dxa"/>
            <w:tcBorders>
              <w:top w:val="single" w:sz="4" w:space="0" w:color="000000"/>
              <w:left w:val="single" w:sz="4" w:space="0" w:color="000000"/>
              <w:bottom w:val="single" w:sz="4" w:space="0" w:color="000000"/>
              <w:right w:val="single" w:sz="4" w:space="0" w:color="000000"/>
            </w:tcBorders>
            <w:vAlign w:val="center"/>
          </w:tcPr>
          <w:p w14:paraId="258BFBB7" w14:textId="77777777" w:rsidR="003F7CCA" w:rsidRDefault="0080197E">
            <w:pPr>
              <w:spacing w:line="259" w:lineRule="auto"/>
              <w:rPr>
                <w:lang w:eastAsia="sl-SI"/>
              </w:rPr>
            </w:pPr>
            <w:r>
              <w:rPr>
                <w:lang w:eastAsia="sl-SI"/>
              </w:rPr>
              <w:t>42 (30,7)</w:t>
            </w:r>
          </w:p>
        </w:tc>
        <w:tc>
          <w:tcPr>
            <w:tcW w:w="1298" w:type="dxa"/>
            <w:tcBorders>
              <w:top w:val="single" w:sz="4" w:space="0" w:color="000000"/>
              <w:left w:val="single" w:sz="4" w:space="0" w:color="000000"/>
              <w:bottom w:val="single" w:sz="4" w:space="0" w:color="000000"/>
              <w:right w:val="single" w:sz="4" w:space="0" w:color="000000"/>
            </w:tcBorders>
            <w:vAlign w:val="center"/>
          </w:tcPr>
          <w:p w14:paraId="064464B0" w14:textId="77777777" w:rsidR="003F7CCA" w:rsidRDefault="0080197E">
            <w:pPr>
              <w:spacing w:line="259" w:lineRule="auto"/>
              <w:ind w:left="2"/>
              <w:rPr>
                <w:lang w:eastAsia="sl-SI"/>
              </w:rPr>
            </w:pPr>
            <w:r>
              <w:rPr>
                <w:lang w:eastAsia="sl-SI"/>
              </w:rPr>
              <w:t>43 (31,2)</w:t>
            </w:r>
          </w:p>
        </w:tc>
        <w:tc>
          <w:tcPr>
            <w:tcW w:w="1409" w:type="dxa"/>
            <w:tcBorders>
              <w:top w:val="single" w:sz="4" w:space="0" w:color="000000"/>
              <w:left w:val="single" w:sz="4" w:space="0" w:color="000000"/>
              <w:bottom w:val="single" w:sz="4" w:space="0" w:color="000000"/>
              <w:right w:val="single" w:sz="4" w:space="0" w:color="000000"/>
            </w:tcBorders>
            <w:vAlign w:val="center"/>
          </w:tcPr>
          <w:p w14:paraId="08D7792D" w14:textId="77777777" w:rsidR="003F7CCA" w:rsidRDefault="0080197E">
            <w:pPr>
              <w:spacing w:line="259" w:lineRule="auto"/>
              <w:ind w:left="2"/>
              <w:rPr>
                <w:lang w:eastAsia="sl-SI"/>
              </w:rPr>
            </w:pPr>
            <w:r>
              <w:rPr>
                <w:lang w:eastAsia="sl-SI"/>
              </w:rPr>
              <w:t>76 (54,3)</w:t>
            </w:r>
          </w:p>
        </w:tc>
      </w:tr>
      <w:tr w:rsidR="003F7CCA" w14:paraId="0EC9E3E4" w14:textId="77777777">
        <w:trPr>
          <w:trHeight w:val="768"/>
        </w:trPr>
        <w:tc>
          <w:tcPr>
            <w:tcW w:w="1491" w:type="dxa"/>
            <w:tcBorders>
              <w:top w:val="single" w:sz="4" w:space="0" w:color="000000"/>
              <w:left w:val="single" w:sz="4" w:space="0" w:color="000000"/>
              <w:bottom w:val="single" w:sz="4" w:space="0" w:color="000000"/>
              <w:right w:val="single" w:sz="4" w:space="0" w:color="000000"/>
            </w:tcBorders>
          </w:tcPr>
          <w:p w14:paraId="1F940931" w14:textId="77777777" w:rsidR="003F7CCA" w:rsidRDefault="0080197E">
            <w:pPr>
              <w:spacing w:line="259" w:lineRule="auto"/>
              <w:ind w:left="2"/>
              <w:rPr>
                <w:lang w:eastAsia="sl-SI"/>
              </w:rPr>
            </w:pPr>
            <w:r>
              <w:rPr>
                <w:lang w:eastAsia="sl-SI"/>
              </w:rPr>
              <w:t>Pacientai (%) gydyti skubiosios pagalbos vaistiniais preparatais</w:t>
            </w:r>
          </w:p>
        </w:tc>
        <w:tc>
          <w:tcPr>
            <w:tcW w:w="978" w:type="dxa"/>
            <w:tcBorders>
              <w:top w:val="single" w:sz="4" w:space="0" w:color="000000"/>
              <w:left w:val="single" w:sz="4" w:space="0" w:color="000000"/>
              <w:bottom w:val="single" w:sz="4" w:space="0" w:color="000000"/>
              <w:right w:val="single" w:sz="4" w:space="0" w:color="000000"/>
            </w:tcBorders>
            <w:vAlign w:val="center"/>
          </w:tcPr>
          <w:p w14:paraId="0D3150BB" w14:textId="77777777" w:rsidR="003F7CCA" w:rsidRDefault="0080197E">
            <w:pPr>
              <w:spacing w:line="259" w:lineRule="auto"/>
              <w:rPr>
                <w:lang w:eastAsia="sl-SI"/>
              </w:rPr>
            </w:pPr>
            <w:r>
              <w:rPr>
                <w:lang w:eastAsia="sl-SI"/>
              </w:rPr>
              <w:t>29,2</w:t>
            </w:r>
          </w:p>
        </w:tc>
        <w:tc>
          <w:tcPr>
            <w:tcW w:w="1409" w:type="dxa"/>
            <w:tcBorders>
              <w:top w:val="single" w:sz="4" w:space="0" w:color="000000"/>
              <w:left w:val="single" w:sz="4" w:space="0" w:color="000000"/>
              <w:bottom w:val="single" w:sz="4" w:space="0" w:color="000000"/>
              <w:right w:val="single" w:sz="4" w:space="0" w:color="000000"/>
            </w:tcBorders>
            <w:vAlign w:val="center"/>
          </w:tcPr>
          <w:p w14:paraId="37F2C4B1" w14:textId="77777777" w:rsidR="003F7CCA" w:rsidRDefault="0080197E">
            <w:pPr>
              <w:spacing w:line="259" w:lineRule="auto"/>
              <w:ind w:left="2"/>
              <w:rPr>
                <w:lang w:eastAsia="sl-SI"/>
              </w:rPr>
            </w:pPr>
            <w:r>
              <w:rPr>
                <w:lang w:eastAsia="sl-SI"/>
              </w:rPr>
              <w:t>11,1</w:t>
            </w:r>
          </w:p>
        </w:tc>
        <w:tc>
          <w:tcPr>
            <w:tcW w:w="1296" w:type="dxa"/>
            <w:tcBorders>
              <w:top w:val="single" w:sz="4" w:space="0" w:color="000000"/>
              <w:left w:val="single" w:sz="4" w:space="0" w:color="000000"/>
              <w:bottom w:val="single" w:sz="4" w:space="0" w:color="000000"/>
              <w:right w:val="single" w:sz="4" w:space="0" w:color="000000"/>
            </w:tcBorders>
            <w:vAlign w:val="center"/>
          </w:tcPr>
          <w:p w14:paraId="77707AF6" w14:textId="77777777" w:rsidR="003F7CCA" w:rsidRDefault="0080197E">
            <w:pPr>
              <w:spacing w:line="259" w:lineRule="auto"/>
              <w:rPr>
                <w:lang w:eastAsia="sl-SI"/>
              </w:rPr>
            </w:pPr>
            <w:r>
              <w:rPr>
                <w:lang w:eastAsia="sl-SI"/>
              </w:rPr>
              <w:t>13,5</w:t>
            </w:r>
          </w:p>
        </w:tc>
        <w:tc>
          <w:tcPr>
            <w:tcW w:w="1407" w:type="dxa"/>
            <w:tcBorders>
              <w:top w:val="single" w:sz="4" w:space="0" w:color="000000"/>
              <w:left w:val="single" w:sz="4" w:space="0" w:color="000000"/>
              <w:bottom w:val="single" w:sz="4" w:space="0" w:color="000000"/>
              <w:right w:val="single" w:sz="4" w:space="0" w:color="000000"/>
            </w:tcBorders>
            <w:vAlign w:val="center"/>
          </w:tcPr>
          <w:p w14:paraId="312A2634" w14:textId="77777777" w:rsidR="003F7CCA" w:rsidRDefault="0080197E">
            <w:pPr>
              <w:spacing w:line="259" w:lineRule="auto"/>
              <w:rPr>
                <w:lang w:eastAsia="sl-SI"/>
              </w:rPr>
            </w:pPr>
            <w:r>
              <w:rPr>
                <w:lang w:eastAsia="sl-SI"/>
              </w:rPr>
              <w:t>7,3</w:t>
            </w:r>
          </w:p>
        </w:tc>
        <w:tc>
          <w:tcPr>
            <w:tcW w:w="1298" w:type="dxa"/>
            <w:tcBorders>
              <w:top w:val="single" w:sz="4" w:space="0" w:color="000000"/>
              <w:left w:val="single" w:sz="4" w:space="0" w:color="000000"/>
              <w:bottom w:val="single" w:sz="4" w:space="0" w:color="000000"/>
              <w:right w:val="single" w:sz="4" w:space="0" w:color="000000"/>
            </w:tcBorders>
            <w:vAlign w:val="center"/>
          </w:tcPr>
          <w:p w14:paraId="39087607" w14:textId="77777777" w:rsidR="003F7CCA" w:rsidRDefault="0080197E">
            <w:pPr>
              <w:spacing w:line="259" w:lineRule="auto"/>
              <w:ind w:left="2"/>
              <w:rPr>
                <w:lang w:eastAsia="sl-SI"/>
              </w:rPr>
            </w:pPr>
            <w:r>
              <w:rPr>
                <w:lang w:eastAsia="sl-SI"/>
              </w:rPr>
              <w:t>8,0</w:t>
            </w:r>
          </w:p>
        </w:tc>
        <w:tc>
          <w:tcPr>
            <w:tcW w:w="1409" w:type="dxa"/>
            <w:tcBorders>
              <w:top w:val="single" w:sz="4" w:space="0" w:color="000000"/>
              <w:left w:val="single" w:sz="4" w:space="0" w:color="000000"/>
              <w:bottom w:val="single" w:sz="4" w:space="0" w:color="000000"/>
              <w:right w:val="single" w:sz="4" w:space="0" w:color="000000"/>
            </w:tcBorders>
            <w:vAlign w:val="center"/>
          </w:tcPr>
          <w:p w14:paraId="14A4BBEB" w14:textId="77777777" w:rsidR="003F7CCA" w:rsidRDefault="0080197E">
            <w:pPr>
              <w:spacing w:line="259" w:lineRule="auto"/>
              <w:ind w:left="2"/>
              <w:rPr>
                <w:lang w:eastAsia="sl-SI"/>
              </w:rPr>
            </w:pPr>
            <w:r>
              <w:rPr>
                <w:lang w:eastAsia="sl-SI"/>
              </w:rPr>
              <w:t>4,3</w:t>
            </w:r>
          </w:p>
        </w:tc>
      </w:tr>
      <w:tr w:rsidR="003F7CCA" w14:paraId="1DE44115" w14:textId="77777777">
        <w:trPr>
          <w:trHeight w:val="264"/>
        </w:trPr>
        <w:tc>
          <w:tcPr>
            <w:tcW w:w="1491" w:type="dxa"/>
            <w:tcBorders>
              <w:top w:val="single" w:sz="4" w:space="0" w:color="000000"/>
              <w:left w:val="single" w:sz="4" w:space="0" w:color="000000"/>
              <w:bottom w:val="single" w:sz="4" w:space="0" w:color="000000"/>
              <w:right w:val="single" w:sz="4" w:space="0" w:color="000000"/>
            </w:tcBorders>
          </w:tcPr>
          <w:p w14:paraId="72385A2C" w14:textId="77777777" w:rsidR="003F7CCA" w:rsidRDefault="0080197E">
            <w:pPr>
              <w:spacing w:line="259" w:lineRule="auto"/>
              <w:ind w:left="2"/>
              <w:rPr>
                <w:lang w:eastAsia="sl-SI"/>
              </w:rPr>
            </w:pPr>
            <w:r>
              <w:rPr>
                <w:b/>
                <w:lang w:eastAsia="sl-SI"/>
              </w:rPr>
              <w:t>GPN (mg/dl)</w:t>
            </w:r>
          </w:p>
        </w:tc>
        <w:tc>
          <w:tcPr>
            <w:tcW w:w="978" w:type="dxa"/>
            <w:tcBorders>
              <w:top w:val="single" w:sz="4" w:space="0" w:color="000000"/>
              <w:left w:val="single" w:sz="4" w:space="0" w:color="000000"/>
              <w:bottom w:val="single" w:sz="4" w:space="0" w:color="000000"/>
              <w:right w:val="single" w:sz="4" w:space="0" w:color="000000"/>
            </w:tcBorders>
          </w:tcPr>
          <w:p w14:paraId="76E83A99" w14:textId="77777777" w:rsidR="003F7CCA" w:rsidRDefault="003F7CCA">
            <w:pPr>
              <w:spacing w:after="160" w:line="259" w:lineRule="auto"/>
              <w:rPr>
                <w:lang w:eastAsia="sl-SI"/>
              </w:rPr>
            </w:pPr>
          </w:p>
        </w:tc>
        <w:tc>
          <w:tcPr>
            <w:tcW w:w="1409" w:type="dxa"/>
            <w:tcBorders>
              <w:top w:val="single" w:sz="4" w:space="0" w:color="000000"/>
              <w:left w:val="single" w:sz="4" w:space="0" w:color="000000"/>
              <w:bottom w:val="single" w:sz="4" w:space="0" w:color="000000"/>
              <w:right w:val="single" w:sz="4" w:space="0" w:color="000000"/>
            </w:tcBorders>
          </w:tcPr>
          <w:p w14:paraId="461D0016" w14:textId="77777777" w:rsidR="003F7CCA" w:rsidRDefault="003F7CCA">
            <w:pPr>
              <w:spacing w:after="160" w:line="259" w:lineRule="auto"/>
              <w:rPr>
                <w:lang w:eastAsia="sl-SI"/>
              </w:rPr>
            </w:pPr>
          </w:p>
        </w:tc>
        <w:tc>
          <w:tcPr>
            <w:tcW w:w="1296" w:type="dxa"/>
            <w:tcBorders>
              <w:top w:val="single" w:sz="4" w:space="0" w:color="000000"/>
              <w:left w:val="single" w:sz="4" w:space="0" w:color="000000"/>
              <w:bottom w:val="single" w:sz="4" w:space="0" w:color="000000"/>
              <w:right w:val="single" w:sz="4" w:space="0" w:color="000000"/>
            </w:tcBorders>
          </w:tcPr>
          <w:p w14:paraId="6199133F" w14:textId="77777777" w:rsidR="003F7CCA" w:rsidRDefault="003F7CCA">
            <w:pPr>
              <w:spacing w:after="160" w:line="259" w:lineRule="auto"/>
              <w:rPr>
                <w:lang w:eastAsia="sl-SI"/>
              </w:rPr>
            </w:pPr>
          </w:p>
        </w:tc>
        <w:tc>
          <w:tcPr>
            <w:tcW w:w="1407" w:type="dxa"/>
            <w:tcBorders>
              <w:top w:val="single" w:sz="4" w:space="0" w:color="000000"/>
              <w:left w:val="single" w:sz="4" w:space="0" w:color="000000"/>
              <w:bottom w:val="single" w:sz="4" w:space="0" w:color="000000"/>
              <w:right w:val="single" w:sz="4" w:space="0" w:color="000000"/>
            </w:tcBorders>
          </w:tcPr>
          <w:p w14:paraId="48844E20" w14:textId="77777777" w:rsidR="003F7CCA" w:rsidRDefault="003F7CCA">
            <w:pPr>
              <w:spacing w:after="160" w:line="259" w:lineRule="auto"/>
              <w:rPr>
                <w:lang w:eastAsia="sl-SI"/>
              </w:rPr>
            </w:pPr>
          </w:p>
        </w:tc>
        <w:tc>
          <w:tcPr>
            <w:tcW w:w="1298" w:type="dxa"/>
            <w:tcBorders>
              <w:top w:val="single" w:sz="4" w:space="0" w:color="000000"/>
              <w:left w:val="single" w:sz="4" w:space="0" w:color="000000"/>
              <w:bottom w:val="single" w:sz="4" w:space="0" w:color="000000"/>
              <w:right w:val="single" w:sz="4" w:space="0" w:color="000000"/>
            </w:tcBorders>
          </w:tcPr>
          <w:p w14:paraId="16B5ED3B" w14:textId="77777777" w:rsidR="003F7CCA" w:rsidRDefault="003F7CCA">
            <w:pPr>
              <w:spacing w:after="160" w:line="259" w:lineRule="auto"/>
              <w:rPr>
                <w:lang w:eastAsia="sl-SI"/>
              </w:rPr>
            </w:pPr>
          </w:p>
        </w:tc>
        <w:tc>
          <w:tcPr>
            <w:tcW w:w="1409" w:type="dxa"/>
            <w:tcBorders>
              <w:top w:val="single" w:sz="4" w:space="0" w:color="000000"/>
              <w:left w:val="single" w:sz="4" w:space="0" w:color="000000"/>
              <w:bottom w:val="single" w:sz="4" w:space="0" w:color="000000"/>
              <w:right w:val="single" w:sz="4" w:space="0" w:color="000000"/>
            </w:tcBorders>
          </w:tcPr>
          <w:p w14:paraId="5C5AAE79" w14:textId="77777777" w:rsidR="003F7CCA" w:rsidRDefault="003F7CCA">
            <w:pPr>
              <w:spacing w:after="160" w:line="259" w:lineRule="auto"/>
              <w:rPr>
                <w:lang w:eastAsia="sl-SI"/>
              </w:rPr>
            </w:pPr>
          </w:p>
        </w:tc>
      </w:tr>
      <w:tr w:rsidR="003F7CCA" w14:paraId="35D7646D" w14:textId="77777777">
        <w:trPr>
          <w:trHeight w:val="262"/>
        </w:trPr>
        <w:tc>
          <w:tcPr>
            <w:tcW w:w="1491" w:type="dxa"/>
            <w:tcBorders>
              <w:top w:val="single" w:sz="4" w:space="0" w:color="000000"/>
              <w:left w:val="single" w:sz="4" w:space="0" w:color="000000"/>
              <w:bottom w:val="single" w:sz="4" w:space="0" w:color="000000"/>
              <w:right w:val="single" w:sz="4" w:space="0" w:color="000000"/>
            </w:tcBorders>
          </w:tcPr>
          <w:p w14:paraId="58A19666" w14:textId="77777777" w:rsidR="003F7CCA" w:rsidRDefault="0080197E">
            <w:pPr>
              <w:spacing w:line="259" w:lineRule="auto"/>
              <w:ind w:left="2"/>
              <w:rPr>
                <w:lang w:eastAsia="sl-SI"/>
              </w:rPr>
            </w:pPr>
            <w:r>
              <w:rPr>
                <w:lang w:eastAsia="sl-SI"/>
              </w:rPr>
              <w:t>Pacientų skaičius</w:t>
            </w:r>
          </w:p>
        </w:tc>
        <w:tc>
          <w:tcPr>
            <w:tcW w:w="978" w:type="dxa"/>
            <w:tcBorders>
              <w:top w:val="single" w:sz="4" w:space="0" w:color="000000"/>
              <w:left w:val="single" w:sz="4" w:space="0" w:color="000000"/>
              <w:bottom w:val="single" w:sz="4" w:space="0" w:color="000000"/>
              <w:right w:val="single" w:sz="4" w:space="0" w:color="000000"/>
            </w:tcBorders>
          </w:tcPr>
          <w:p w14:paraId="4A13A3BE" w14:textId="77777777" w:rsidR="003F7CCA" w:rsidRDefault="0080197E">
            <w:pPr>
              <w:spacing w:line="259" w:lineRule="auto"/>
              <w:rPr>
                <w:lang w:eastAsia="sl-SI"/>
              </w:rPr>
            </w:pPr>
            <w:r>
              <w:rPr>
                <w:lang w:eastAsia="sl-SI"/>
              </w:rPr>
              <w:t>n = 61</w:t>
            </w:r>
          </w:p>
        </w:tc>
        <w:tc>
          <w:tcPr>
            <w:tcW w:w="1409" w:type="dxa"/>
            <w:tcBorders>
              <w:top w:val="single" w:sz="4" w:space="0" w:color="000000"/>
              <w:left w:val="single" w:sz="4" w:space="0" w:color="000000"/>
              <w:bottom w:val="single" w:sz="4" w:space="0" w:color="000000"/>
              <w:right w:val="single" w:sz="4" w:space="0" w:color="000000"/>
            </w:tcBorders>
          </w:tcPr>
          <w:p w14:paraId="6E7D7DF2" w14:textId="77777777" w:rsidR="003F7CCA" w:rsidRDefault="0080197E">
            <w:pPr>
              <w:spacing w:line="259" w:lineRule="auto"/>
              <w:ind w:left="2"/>
              <w:rPr>
                <w:lang w:eastAsia="sl-SI"/>
              </w:rPr>
            </w:pPr>
            <w:r>
              <w:rPr>
                <w:lang w:eastAsia="sl-SI"/>
              </w:rPr>
              <w:t>n = 134</w:t>
            </w:r>
          </w:p>
        </w:tc>
        <w:tc>
          <w:tcPr>
            <w:tcW w:w="1296" w:type="dxa"/>
            <w:tcBorders>
              <w:top w:val="single" w:sz="4" w:space="0" w:color="000000"/>
              <w:left w:val="single" w:sz="4" w:space="0" w:color="000000"/>
              <w:bottom w:val="single" w:sz="4" w:space="0" w:color="000000"/>
              <w:right w:val="single" w:sz="4" w:space="0" w:color="000000"/>
            </w:tcBorders>
          </w:tcPr>
          <w:p w14:paraId="5F55A985" w14:textId="77777777" w:rsidR="003F7CCA" w:rsidRDefault="0080197E">
            <w:pPr>
              <w:spacing w:line="259" w:lineRule="auto"/>
              <w:rPr>
                <w:lang w:eastAsia="sl-SI"/>
              </w:rPr>
            </w:pPr>
            <w:r>
              <w:rPr>
                <w:lang w:eastAsia="sl-SI"/>
              </w:rPr>
              <w:t>n = 136</w:t>
            </w:r>
          </w:p>
        </w:tc>
        <w:tc>
          <w:tcPr>
            <w:tcW w:w="1407" w:type="dxa"/>
            <w:tcBorders>
              <w:top w:val="single" w:sz="4" w:space="0" w:color="000000"/>
              <w:left w:val="single" w:sz="4" w:space="0" w:color="000000"/>
              <w:bottom w:val="single" w:sz="4" w:space="0" w:color="000000"/>
              <w:right w:val="single" w:sz="4" w:space="0" w:color="000000"/>
            </w:tcBorders>
          </w:tcPr>
          <w:p w14:paraId="74552FDA" w14:textId="77777777" w:rsidR="003F7CCA" w:rsidRDefault="0080197E">
            <w:pPr>
              <w:spacing w:line="259" w:lineRule="auto"/>
              <w:rPr>
                <w:lang w:eastAsia="sl-SI"/>
              </w:rPr>
            </w:pPr>
            <w:r>
              <w:rPr>
                <w:lang w:eastAsia="sl-SI"/>
              </w:rPr>
              <w:t>n = 135</w:t>
            </w:r>
          </w:p>
        </w:tc>
        <w:tc>
          <w:tcPr>
            <w:tcW w:w="1298" w:type="dxa"/>
            <w:tcBorders>
              <w:top w:val="single" w:sz="4" w:space="0" w:color="000000"/>
              <w:left w:val="single" w:sz="4" w:space="0" w:color="000000"/>
              <w:bottom w:val="single" w:sz="4" w:space="0" w:color="000000"/>
              <w:right w:val="single" w:sz="4" w:space="0" w:color="000000"/>
            </w:tcBorders>
          </w:tcPr>
          <w:p w14:paraId="0319A48D" w14:textId="77777777" w:rsidR="003F7CCA" w:rsidRDefault="0080197E">
            <w:pPr>
              <w:spacing w:line="259" w:lineRule="auto"/>
              <w:ind w:left="2"/>
              <w:rPr>
                <w:lang w:eastAsia="sl-SI"/>
              </w:rPr>
            </w:pPr>
            <w:r>
              <w:rPr>
                <w:lang w:eastAsia="sl-SI"/>
              </w:rPr>
              <w:t>n = 132</w:t>
            </w:r>
          </w:p>
        </w:tc>
        <w:tc>
          <w:tcPr>
            <w:tcW w:w="1409" w:type="dxa"/>
            <w:tcBorders>
              <w:top w:val="single" w:sz="4" w:space="0" w:color="000000"/>
              <w:left w:val="single" w:sz="4" w:space="0" w:color="000000"/>
              <w:bottom w:val="single" w:sz="4" w:space="0" w:color="000000"/>
              <w:right w:val="single" w:sz="4" w:space="0" w:color="000000"/>
            </w:tcBorders>
          </w:tcPr>
          <w:p w14:paraId="09CA6D7F" w14:textId="77777777" w:rsidR="003F7CCA" w:rsidRDefault="0080197E">
            <w:pPr>
              <w:spacing w:line="259" w:lineRule="auto"/>
              <w:ind w:left="2"/>
              <w:rPr>
                <w:lang w:eastAsia="sl-SI"/>
              </w:rPr>
            </w:pPr>
            <w:r>
              <w:rPr>
                <w:lang w:eastAsia="sl-SI"/>
              </w:rPr>
              <w:t>n = 136</w:t>
            </w:r>
          </w:p>
        </w:tc>
      </w:tr>
      <w:tr w:rsidR="003F7CCA" w14:paraId="18447C60" w14:textId="77777777">
        <w:trPr>
          <w:trHeight w:val="264"/>
        </w:trPr>
        <w:tc>
          <w:tcPr>
            <w:tcW w:w="1491" w:type="dxa"/>
            <w:tcBorders>
              <w:top w:val="single" w:sz="4" w:space="0" w:color="000000"/>
              <w:left w:val="single" w:sz="4" w:space="0" w:color="000000"/>
              <w:bottom w:val="single" w:sz="4" w:space="0" w:color="000000"/>
              <w:right w:val="single" w:sz="4" w:space="0" w:color="000000"/>
            </w:tcBorders>
          </w:tcPr>
          <w:p w14:paraId="2334786A" w14:textId="77777777" w:rsidR="003F7CCA" w:rsidRDefault="0080197E">
            <w:pPr>
              <w:spacing w:line="259" w:lineRule="auto"/>
              <w:ind w:left="2"/>
              <w:rPr>
                <w:lang w:eastAsia="sl-SI"/>
              </w:rPr>
            </w:pPr>
            <w:r>
              <w:rPr>
                <w:lang w:eastAsia="sl-SI"/>
              </w:rPr>
              <w:t>Pradinis (vidurkis)</w:t>
            </w:r>
          </w:p>
        </w:tc>
        <w:tc>
          <w:tcPr>
            <w:tcW w:w="978" w:type="dxa"/>
            <w:tcBorders>
              <w:top w:val="single" w:sz="4" w:space="0" w:color="000000"/>
              <w:left w:val="single" w:sz="4" w:space="0" w:color="000000"/>
              <w:bottom w:val="single" w:sz="4" w:space="0" w:color="000000"/>
              <w:right w:val="single" w:sz="4" w:space="0" w:color="000000"/>
            </w:tcBorders>
          </w:tcPr>
          <w:p w14:paraId="2EFC485C" w14:textId="77777777" w:rsidR="003F7CCA" w:rsidRDefault="0080197E">
            <w:pPr>
              <w:spacing w:line="259" w:lineRule="auto"/>
              <w:rPr>
                <w:lang w:eastAsia="sl-SI"/>
              </w:rPr>
            </w:pPr>
            <w:r>
              <w:rPr>
                <w:lang w:eastAsia="sl-SI"/>
              </w:rPr>
              <w:t>203</w:t>
            </w:r>
          </w:p>
        </w:tc>
        <w:tc>
          <w:tcPr>
            <w:tcW w:w="1409" w:type="dxa"/>
            <w:tcBorders>
              <w:top w:val="single" w:sz="4" w:space="0" w:color="000000"/>
              <w:left w:val="single" w:sz="4" w:space="0" w:color="000000"/>
              <w:bottom w:val="single" w:sz="4" w:space="0" w:color="000000"/>
              <w:right w:val="single" w:sz="4" w:space="0" w:color="000000"/>
            </w:tcBorders>
          </w:tcPr>
          <w:p w14:paraId="1F70C0B3" w14:textId="77777777" w:rsidR="003F7CCA" w:rsidRDefault="0080197E">
            <w:pPr>
              <w:spacing w:line="259" w:lineRule="auto"/>
              <w:ind w:left="2"/>
              <w:rPr>
                <w:lang w:eastAsia="sl-SI"/>
              </w:rPr>
            </w:pPr>
            <w:r>
              <w:rPr>
                <w:lang w:eastAsia="sl-SI"/>
              </w:rPr>
              <w:t>195</w:t>
            </w:r>
          </w:p>
        </w:tc>
        <w:tc>
          <w:tcPr>
            <w:tcW w:w="1296" w:type="dxa"/>
            <w:tcBorders>
              <w:top w:val="single" w:sz="4" w:space="0" w:color="000000"/>
              <w:left w:val="single" w:sz="4" w:space="0" w:color="000000"/>
              <w:bottom w:val="single" w:sz="4" w:space="0" w:color="000000"/>
              <w:right w:val="single" w:sz="4" w:space="0" w:color="000000"/>
            </w:tcBorders>
          </w:tcPr>
          <w:p w14:paraId="439D4D3F" w14:textId="77777777" w:rsidR="003F7CCA" w:rsidRDefault="0080197E">
            <w:pPr>
              <w:spacing w:line="259" w:lineRule="auto"/>
              <w:rPr>
                <w:lang w:eastAsia="sl-SI"/>
              </w:rPr>
            </w:pPr>
            <w:r>
              <w:rPr>
                <w:lang w:eastAsia="sl-SI"/>
              </w:rPr>
              <w:t>191</w:t>
            </w:r>
          </w:p>
        </w:tc>
        <w:tc>
          <w:tcPr>
            <w:tcW w:w="1407" w:type="dxa"/>
            <w:tcBorders>
              <w:top w:val="single" w:sz="4" w:space="0" w:color="000000"/>
              <w:left w:val="single" w:sz="4" w:space="0" w:color="000000"/>
              <w:bottom w:val="single" w:sz="4" w:space="0" w:color="000000"/>
              <w:right w:val="single" w:sz="4" w:space="0" w:color="000000"/>
            </w:tcBorders>
          </w:tcPr>
          <w:p w14:paraId="04A948E6" w14:textId="77777777" w:rsidR="003F7CCA" w:rsidRDefault="0080197E">
            <w:pPr>
              <w:spacing w:line="259" w:lineRule="auto"/>
              <w:rPr>
                <w:lang w:eastAsia="sl-SI"/>
              </w:rPr>
            </w:pPr>
            <w:r>
              <w:rPr>
                <w:lang w:eastAsia="sl-SI"/>
              </w:rPr>
              <w:t>199</w:t>
            </w:r>
          </w:p>
        </w:tc>
        <w:tc>
          <w:tcPr>
            <w:tcW w:w="1298" w:type="dxa"/>
            <w:tcBorders>
              <w:top w:val="single" w:sz="4" w:space="0" w:color="000000"/>
              <w:left w:val="single" w:sz="4" w:space="0" w:color="000000"/>
              <w:bottom w:val="single" w:sz="4" w:space="0" w:color="000000"/>
              <w:right w:val="single" w:sz="4" w:space="0" w:color="000000"/>
            </w:tcBorders>
          </w:tcPr>
          <w:p w14:paraId="6D5E5F51" w14:textId="77777777" w:rsidR="003F7CCA" w:rsidRDefault="0080197E">
            <w:pPr>
              <w:spacing w:line="259" w:lineRule="auto"/>
              <w:ind w:left="2"/>
              <w:rPr>
                <w:lang w:eastAsia="sl-SI"/>
              </w:rPr>
            </w:pPr>
            <w:r>
              <w:rPr>
                <w:lang w:eastAsia="sl-SI"/>
              </w:rPr>
              <w:t>191</w:t>
            </w:r>
          </w:p>
        </w:tc>
        <w:tc>
          <w:tcPr>
            <w:tcW w:w="1409" w:type="dxa"/>
            <w:tcBorders>
              <w:top w:val="single" w:sz="4" w:space="0" w:color="000000"/>
              <w:left w:val="single" w:sz="4" w:space="0" w:color="000000"/>
              <w:bottom w:val="single" w:sz="4" w:space="0" w:color="000000"/>
              <w:right w:val="single" w:sz="4" w:space="0" w:color="000000"/>
            </w:tcBorders>
          </w:tcPr>
          <w:p w14:paraId="587B965E" w14:textId="77777777" w:rsidR="003F7CCA" w:rsidRDefault="0080197E">
            <w:pPr>
              <w:spacing w:line="259" w:lineRule="auto"/>
              <w:ind w:left="2"/>
              <w:rPr>
                <w:lang w:eastAsia="sl-SI"/>
              </w:rPr>
            </w:pPr>
            <w:r>
              <w:rPr>
                <w:lang w:eastAsia="sl-SI"/>
              </w:rPr>
              <w:t>196</w:t>
            </w:r>
          </w:p>
        </w:tc>
      </w:tr>
      <w:tr w:rsidR="003F7CCA" w14:paraId="1382C1B9" w14:textId="77777777">
        <w:trPr>
          <w:trHeight w:val="768"/>
        </w:trPr>
        <w:tc>
          <w:tcPr>
            <w:tcW w:w="1491" w:type="dxa"/>
            <w:tcBorders>
              <w:top w:val="single" w:sz="4" w:space="0" w:color="000000"/>
              <w:left w:val="single" w:sz="4" w:space="0" w:color="000000"/>
              <w:bottom w:val="single" w:sz="4" w:space="0" w:color="000000"/>
              <w:right w:val="single" w:sz="4" w:space="0" w:color="000000"/>
            </w:tcBorders>
          </w:tcPr>
          <w:p w14:paraId="16643BC1" w14:textId="77777777" w:rsidR="003F7CCA" w:rsidRDefault="0080197E">
            <w:pPr>
              <w:spacing w:line="259" w:lineRule="auto"/>
              <w:ind w:left="2"/>
              <w:rPr>
                <w:lang w:eastAsia="sl-SI"/>
              </w:rPr>
            </w:pPr>
            <w:r>
              <w:rPr>
                <w:lang w:eastAsia="sl-SI"/>
              </w:rPr>
              <w:t>Pokytis, palyginti su pradiniu (pritaikytas vidurkis)</w:t>
            </w:r>
          </w:p>
        </w:tc>
        <w:tc>
          <w:tcPr>
            <w:tcW w:w="978" w:type="dxa"/>
            <w:tcBorders>
              <w:top w:val="single" w:sz="4" w:space="0" w:color="000000"/>
              <w:left w:val="single" w:sz="4" w:space="0" w:color="000000"/>
              <w:bottom w:val="single" w:sz="4" w:space="0" w:color="000000"/>
              <w:right w:val="single" w:sz="4" w:space="0" w:color="000000"/>
            </w:tcBorders>
            <w:vAlign w:val="center"/>
          </w:tcPr>
          <w:p w14:paraId="1E551C87" w14:textId="77777777" w:rsidR="003F7CCA" w:rsidRDefault="0080197E">
            <w:pPr>
              <w:spacing w:line="259" w:lineRule="auto"/>
              <w:rPr>
                <w:lang w:eastAsia="sl-SI"/>
              </w:rPr>
            </w:pPr>
            <w:r>
              <w:rPr>
                <w:lang w:eastAsia="sl-SI"/>
              </w:rPr>
              <w:t>10</w:t>
            </w:r>
          </w:p>
        </w:tc>
        <w:tc>
          <w:tcPr>
            <w:tcW w:w="1409" w:type="dxa"/>
            <w:tcBorders>
              <w:top w:val="single" w:sz="4" w:space="0" w:color="000000"/>
              <w:left w:val="single" w:sz="4" w:space="0" w:color="000000"/>
              <w:bottom w:val="single" w:sz="4" w:space="0" w:color="000000"/>
              <w:right w:val="single" w:sz="4" w:space="0" w:color="000000"/>
            </w:tcBorders>
            <w:vAlign w:val="center"/>
          </w:tcPr>
          <w:p w14:paraId="42343079" w14:textId="77777777" w:rsidR="003F7CCA" w:rsidRDefault="0080197E">
            <w:pPr>
              <w:spacing w:line="259" w:lineRule="auto"/>
              <w:ind w:left="2"/>
              <w:rPr>
                <w:lang w:eastAsia="sl-SI"/>
              </w:rPr>
            </w:pPr>
            <w:r>
              <w:rPr>
                <w:lang w:eastAsia="sl-SI"/>
              </w:rPr>
              <w:t>-9</w:t>
            </w:r>
          </w:p>
        </w:tc>
        <w:tc>
          <w:tcPr>
            <w:tcW w:w="1296" w:type="dxa"/>
            <w:tcBorders>
              <w:top w:val="single" w:sz="4" w:space="0" w:color="000000"/>
              <w:left w:val="single" w:sz="4" w:space="0" w:color="000000"/>
              <w:bottom w:val="single" w:sz="4" w:space="0" w:color="000000"/>
              <w:right w:val="single" w:sz="4" w:space="0" w:color="000000"/>
            </w:tcBorders>
            <w:vAlign w:val="center"/>
          </w:tcPr>
          <w:p w14:paraId="67346C18" w14:textId="77777777" w:rsidR="003F7CCA" w:rsidRDefault="0080197E">
            <w:pPr>
              <w:spacing w:line="259" w:lineRule="auto"/>
              <w:rPr>
                <w:lang w:eastAsia="sl-SI"/>
              </w:rPr>
            </w:pPr>
            <w:r>
              <w:rPr>
                <w:lang w:eastAsia="sl-SI"/>
              </w:rPr>
              <w:t>-16</w:t>
            </w:r>
          </w:p>
        </w:tc>
        <w:tc>
          <w:tcPr>
            <w:tcW w:w="1407" w:type="dxa"/>
            <w:tcBorders>
              <w:top w:val="single" w:sz="4" w:space="0" w:color="000000"/>
              <w:left w:val="single" w:sz="4" w:space="0" w:color="000000"/>
              <w:bottom w:val="single" w:sz="4" w:space="0" w:color="000000"/>
              <w:right w:val="single" w:sz="4" w:space="0" w:color="000000"/>
            </w:tcBorders>
            <w:vAlign w:val="center"/>
          </w:tcPr>
          <w:p w14:paraId="6123C243" w14:textId="77777777" w:rsidR="003F7CCA" w:rsidRDefault="0080197E">
            <w:pPr>
              <w:spacing w:line="259" w:lineRule="auto"/>
              <w:rPr>
                <w:lang w:eastAsia="sl-SI"/>
              </w:rPr>
            </w:pPr>
            <w:r>
              <w:rPr>
                <w:lang w:eastAsia="sl-SI"/>
              </w:rPr>
              <w:t>-33</w:t>
            </w:r>
          </w:p>
        </w:tc>
        <w:tc>
          <w:tcPr>
            <w:tcW w:w="1298" w:type="dxa"/>
            <w:tcBorders>
              <w:top w:val="single" w:sz="4" w:space="0" w:color="000000"/>
              <w:left w:val="single" w:sz="4" w:space="0" w:color="000000"/>
              <w:bottom w:val="single" w:sz="4" w:space="0" w:color="000000"/>
              <w:right w:val="single" w:sz="4" w:space="0" w:color="000000"/>
            </w:tcBorders>
            <w:vAlign w:val="center"/>
          </w:tcPr>
          <w:p w14:paraId="33E0739C" w14:textId="77777777" w:rsidR="003F7CCA" w:rsidRDefault="0080197E">
            <w:pPr>
              <w:spacing w:line="259" w:lineRule="auto"/>
              <w:ind w:left="2"/>
              <w:rPr>
                <w:lang w:eastAsia="sl-SI"/>
              </w:rPr>
            </w:pPr>
            <w:r>
              <w:rPr>
                <w:lang w:eastAsia="sl-SI"/>
              </w:rPr>
              <w:t>-32</w:t>
            </w:r>
          </w:p>
        </w:tc>
        <w:tc>
          <w:tcPr>
            <w:tcW w:w="1409" w:type="dxa"/>
            <w:tcBorders>
              <w:top w:val="single" w:sz="4" w:space="0" w:color="000000"/>
              <w:left w:val="single" w:sz="4" w:space="0" w:color="000000"/>
              <w:bottom w:val="single" w:sz="4" w:space="0" w:color="000000"/>
              <w:right w:val="single" w:sz="4" w:space="0" w:color="000000"/>
            </w:tcBorders>
            <w:vAlign w:val="center"/>
          </w:tcPr>
          <w:p w14:paraId="44BFF765" w14:textId="77777777" w:rsidR="003F7CCA" w:rsidRDefault="0080197E">
            <w:pPr>
              <w:spacing w:line="259" w:lineRule="auto"/>
              <w:ind w:left="2"/>
              <w:rPr>
                <w:lang w:eastAsia="sl-SI"/>
              </w:rPr>
            </w:pPr>
            <w:r>
              <w:rPr>
                <w:lang w:eastAsia="sl-SI"/>
              </w:rPr>
              <w:t>-49</w:t>
            </w:r>
          </w:p>
        </w:tc>
      </w:tr>
      <w:tr w:rsidR="003F7CCA" w14:paraId="35BD0576" w14:textId="77777777">
        <w:trPr>
          <w:trHeight w:val="770"/>
        </w:trPr>
        <w:tc>
          <w:tcPr>
            <w:tcW w:w="1491" w:type="dxa"/>
            <w:tcBorders>
              <w:top w:val="single" w:sz="4" w:space="0" w:color="000000"/>
              <w:left w:val="single" w:sz="4" w:space="0" w:color="000000"/>
              <w:bottom w:val="single" w:sz="4" w:space="0" w:color="000000"/>
              <w:right w:val="single" w:sz="4" w:space="0" w:color="000000"/>
            </w:tcBorders>
          </w:tcPr>
          <w:p w14:paraId="1A4E9C7E" w14:textId="77777777" w:rsidR="003F7CCA" w:rsidRDefault="0080197E">
            <w:pPr>
              <w:spacing w:line="259" w:lineRule="auto"/>
              <w:ind w:left="2"/>
              <w:rPr>
                <w:lang w:eastAsia="sl-SI"/>
              </w:rPr>
            </w:pPr>
            <w:r>
              <w:rPr>
                <w:lang w:eastAsia="sl-SI"/>
              </w:rPr>
              <w:t xml:space="preserve">Skirtumas, palyginti su placebo grupės </w:t>
            </w:r>
            <w:r>
              <w:rPr>
                <w:lang w:eastAsia="sl-SI"/>
              </w:rPr>
              <w:lastRenderedPageBreak/>
              <w:t>(pritaikytas vidurkis) (95 % PI)</w:t>
            </w:r>
          </w:p>
        </w:tc>
        <w:tc>
          <w:tcPr>
            <w:tcW w:w="978" w:type="dxa"/>
            <w:tcBorders>
              <w:top w:val="single" w:sz="4" w:space="0" w:color="000000"/>
              <w:left w:val="single" w:sz="4" w:space="0" w:color="000000"/>
              <w:bottom w:val="single" w:sz="4" w:space="0" w:color="000000"/>
              <w:right w:val="single" w:sz="4" w:space="0" w:color="000000"/>
            </w:tcBorders>
          </w:tcPr>
          <w:p w14:paraId="54D64FC9" w14:textId="77777777" w:rsidR="003F7CCA" w:rsidRDefault="0080197E">
            <w:pPr>
              <w:spacing w:line="259" w:lineRule="auto"/>
              <w:rPr>
                <w:lang w:eastAsia="sl-SI"/>
              </w:rPr>
            </w:pPr>
            <w:r>
              <w:rPr>
                <w:lang w:eastAsia="sl-SI"/>
              </w:rPr>
              <w:lastRenderedPageBreak/>
              <w:t>--</w:t>
            </w:r>
          </w:p>
        </w:tc>
        <w:tc>
          <w:tcPr>
            <w:tcW w:w="1409" w:type="dxa"/>
            <w:tcBorders>
              <w:top w:val="single" w:sz="4" w:space="0" w:color="000000"/>
              <w:left w:val="single" w:sz="4" w:space="0" w:color="000000"/>
              <w:bottom w:val="single" w:sz="4" w:space="0" w:color="000000"/>
              <w:right w:val="single" w:sz="4" w:space="0" w:color="000000"/>
            </w:tcBorders>
          </w:tcPr>
          <w:p w14:paraId="3CBFACD5" w14:textId="77777777" w:rsidR="003F7CCA" w:rsidRDefault="0080197E">
            <w:pPr>
              <w:spacing w:line="259" w:lineRule="auto"/>
              <w:ind w:left="2" w:right="378"/>
              <w:rPr>
                <w:lang w:eastAsia="sl-SI"/>
              </w:rPr>
            </w:pPr>
            <w:r>
              <w:rPr>
                <w:lang w:eastAsia="sl-SI"/>
              </w:rPr>
              <w:t>-19 (-31, -6)</w:t>
            </w:r>
          </w:p>
        </w:tc>
        <w:tc>
          <w:tcPr>
            <w:tcW w:w="1296" w:type="dxa"/>
            <w:tcBorders>
              <w:top w:val="single" w:sz="4" w:space="0" w:color="000000"/>
              <w:left w:val="single" w:sz="4" w:space="0" w:color="000000"/>
              <w:bottom w:val="single" w:sz="4" w:space="0" w:color="000000"/>
              <w:right w:val="single" w:sz="4" w:space="0" w:color="000000"/>
            </w:tcBorders>
          </w:tcPr>
          <w:p w14:paraId="205646EA" w14:textId="77777777" w:rsidR="003F7CCA" w:rsidRDefault="0080197E">
            <w:pPr>
              <w:spacing w:line="259" w:lineRule="auto"/>
              <w:ind w:right="243"/>
              <w:rPr>
                <w:lang w:eastAsia="sl-SI"/>
              </w:rPr>
            </w:pPr>
            <w:r>
              <w:rPr>
                <w:lang w:eastAsia="sl-SI"/>
              </w:rPr>
              <w:t>-26 (-38, -14)</w:t>
            </w:r>
          </w:p>
        </w:tc>
        <w:tc>
          <w:tcPr>
            <w:tcW w:w="1407" w:type="dxa"/>
            <w:tcBorders>
              <w:top w:val="single" w:sz="4" w:space="0" w:color="000000"/>
              <w:left w:val="single" w:sz="4" w:space="0" w:color="000000"/>
              <w:bottom w:val="single" w:sz="4" w:space="0" w:color="000000"/>
              <w:right w:val="single" w:sz="4" w:space="0" w:color="000000"/>
            </w:tcBorders>
          </w:tcPr>
          <w:p w14:paraId="28EB4930" w14:textId="77777777" w:rsidR="003F7CCA" w:rsidRDefault="0080197E">
            <w:pPr>
              <w:spacing w:line="259" w:lineRule="auto"/>
              <w:ind w:right="267"/>
              <w:rPr>
                <w:lang w:eastAsia="sl-SI"/>
              </w:rPr>
            </w:pPr>
            <w:r>
              <w:rPr>
                <w:lang w:eastAsia="sl-SI"/>
              </w:rPr>
              <w:t>-43 (-56, -31)</w:t>
            </w:r>
          </w:p>
        </w:tc>
        <w:tc>
          <w:tcPr>
            <w:tcW w:w="1298" w:type="dxa"/>
            <w:tcBorders>
              <w:top w:val="single" w:sz="4" w:space="0" w:color="000000"/>
              <w:left w:val="single" w:sz="4" w:space="0" w:color="000000"/>
              <w:bottom w:val="single" w:sz="4" w:space="0" w:color="000000"/>
              <w:right w:val="single" w:sz="4" w:space="0" w:color="000000"/>
            </w:tcBorders>
          </w:tcPr>
          <w:p w14:paraId="65638988" w14:textId="77777777" w:rsidR="003F7CCA" w:rsidRDefault="0080197E">
            <w:pPr>
              <w:spacing w:line="259" w:lineRule="auto"/>
              <w:ind w:left="2" w:right="241"/>
              <w:rPr>
                <w:lang w:eastAsia="sl-SI"/>
              </w:rPr>
            </w:pPr>
            <w:r>
              <w:rPr>
                <w:lang w:eastAsia="sl-SI"/>
              </w:rPr>
              <w:t>-42 (-55, -30)</w:t>
            </w:r>
          </w:p>
        </w:tc>
        <w:tc>
          <w:tcPr>
            <w:tcW w:w="1409" w:type="dxa"/>
            <w:tcBorders>
              <w:top w:val="single" w:sz="4" w:space="0" w:color="000000"/>
              <w:left w:val="single" w:sz="4" w:space="0" w:color="000000"/>
              <w:bottom w:val="single" w:sz="4" w:space="0" w:color="000000"/>
              <w:right w:val="single" w:sz="4" w:space="0" w:color="000000"/>
            </w:tcBorders>
          </w:tcPr>
          <w:p w14:paraId="36A0111B" w14:textId="77777777" w:rsidR="003F7CCA" w:rsidRDefault="0080197E">
            <w:pPr>
              <w:spacing w:line="259" w:lineRule="auto"/>
              <w:ind w:left="2" w:right="267"/>
              <w:rPr>
                <w:lang w:eastAsia="sl-SI"/>
              </w:rPr>
            </w:pPr>
            <w:r>
              <w:rPr>
                <w:lang w:eastAsia="sl-SI"/>
              </w:rPr>
              <w:t>-60 (-72, -47)</w:t>
            </w:r>
          </w:p>
        </w:tc>
      </w:tr>
    </w:tbl>
    <w:p w14:paraId="2F8752BD" w14:textId="77777777" w:rsidR="003F7CCA" w:rsidRDefault="0080197E">
      <w:pPr>
        <w:widowControl w:val="0"/>
        <w:autoSpaceDE w:val="0"/>
        <w:autoSpaceDN w:val="0"/>
        <w:adjustRightInd w:val="0"/>
        <w:rPr>
          <w:rFonts w:eastAsia="TimesNewRoman"/>
          <w:sz w:val="20"/>
          <w:szCs w:val="20"/>
          <w:lang w:eastAsia="en-US"/>
        </w:rPr>
      </w:pPr>
      <w:r>
        <w:rPr>
          <w:rFonts w:eastAsia="TimesNewRoman"/>
          <w:sz w:val="20"/>
          <w:szCs w:val="20"/>
          <w:lang w:eastAsia="en-US"/>
        </w:rPr>
        <w:t xml:space="preserve">1 Bendra </w:t>
      </w:r>
      <w:proofErr w:type="spellStart"/>
      <w:r>
        <w:rPr>
          <w:rFonts w:eastAsia="TimesNewRoman"/>
          <w:sz w:val="20"/>
          <w:szCs w:val="20"/>
          <w:lang w:eastAsia="en-US"/>
        </w:rPr>
        <w:t>linagliptino</w:t>
      </w:r>
      <w:proofErr w:type="spellEnd"/>
      <w:r>
        <w:rPr>
          <w:rFonts w:eastAsia="TimesNewRoman"/>
          <w:sz w:val="20"/>
          <w:szCs w:val="20"/>
          <w:lang w:eastAsia="en-US"/>
        </w:rPr>
        <w:t xml:space="preserve"> paros dozė 5 mg</w:t>
      </w:r>
    </w:p>
    <w:p w14:paraId="757DF273" w14:textId="77777777" w:rsidR="003F7CCA" w:rsidRDefault="003F7CCA">
      <w:pPr>
        <w:widowControl w:val="0"/>
        <w:autoSpaceDE w:val="0"/>
        <w:autoSpaceDN w:val="0"/>
        <w:adjustRightInd w:val="0"/>
        <w:rPr>
          <w:rFonts w:eastAsia="TimesNewRoman"/>
          <w:sz w:val="22"/>
          <w:szCs w:val="22"/>
          <w:lang w:eastAsia="en-US"/>
        </w:rPr>
      </w:pPr>
    </w:p>
    <w:p w14:paraId="7BCB2527" w14:textId="77777777"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Vidutinis HbA1c kiekis, palyginti su pradiniu, paprastai daugiau sumažėjo tiems pacientams, kurių pradinis HbA1c kiekis buvo didesnis. Poveikis lipidų kiekiui kraujo plazmoje paprastai buvo neutralus. </w:t>
      </w:r>
      <w:proofErr w:type="spellStart"/>
      <w:r>
        <w:rPr>
          <w:rFonts w:eastAsia="TimesNewRoman"/>
          <w:sz w:val="22"/>
          <w:szCs w:val="22"/>
          <w:lang w:eastAsia="en-US"/>
        </w:rPr>
        <w:t>Linagliptino</w:t>
      </w:r>
      <w:proofErr w:type="spellEnd"/>
      <w:r>
        <w:rPr>
          <w:rFonts w:eastAsia="TimesNewRoman"/>
          <w:sz w:val="22"/>
          <w:szCs w:val="22"/>
          <w:lang w:eastAsia="en-US"/>
        </w:rPr>
        <w:t xml:space="preserve"> ir </w:t>
      </w:r>
      <w:proofErr w:type="spellStart"/>
      <w:r>
        <w:rPr>
          <w:rFonts w:eastAsia="TimesNewRoman"/>
          <w:sz w:val="22"/>
          <w:szCs w:val="22"/>
          <w:lang w:eastAsia="en-US"/>
        </w:rPr>
        <w:t>metformino</w:t>
      </w:r>
      <w:proofErr w:type="spellEnd"/>
      <w:r>
        <w:rPr>
          <w:rFonts w:eastAsia="TimesNewRoman"/>
          <w:sz w:val="22"/>
          <w:szCs w:val="22"/>
          <w:lang w:eastAsia="en-US"/>
        </w:rPr>
        <w:t xml:space="preserve"> deriniu gydomų pacientų kūno svoris sumažėjo panašiai, kaip pacientų, vartojančių vien </w:t>
      </w:r>
      <w:proofErr w:type="spellStart"/>
      <w:r>
        <w:rPr>
          <w:rFonts w:eastAsia="TimesNewRoman"/>
          <w:sz w:val="22"/>
          <w:szCs w:val="22"/>
          <w:lang w:eastAsia="en-US"/>
        </w:rPr>
        <w:t>metformino</w:t>
      </w:r>
      <w:proofErr w:type="spellEnd"/>
      <w:r>
        <w:rPr>
          <w:rFonts w:eastAsia="TimesNewRoman"/>
          <w:sz w:val="22"/>
          <w:szCs w:val="22"/>
          <w:lang w:eastAsia="en-US"/>
        </w:rPr>
        <w:t xml:space="preserve"> arba placebo. Pacientų, gydomų vien </w:t>
      </w:r>
      <w:proofErr w:type="spellStart"/>
      <w:r>
        <w:rPr>
          <w:rFonts w:eastAsia="TimesNewRoman"/>
          <w:sz w:val="22"/>
          <w:szCs w:val="22"/>
          <w:lang w:eastAsia="en-US"/>
        </w:rPr>
        <w:t>linagliptinu</w:t>
      </w:r>
      <w:proofErr w:type="spellEnd"/>
      <w:r>
        <w:rPr>
          <w:rFonts w:eastAsia="TimesNewRoman"/>
          <w:sz w:val="22"/>
          <w:szCs w:val="22"/>
          <w:lang w:eastAsia="en-US"/>
        </w:rPr>
        <w:t xml:space="preserve">, kūno svoris, palyginti su pradiniu, nekito. Hipoglikemijos dažnis visų grupių pacientams buvo panašus (gydytiems placebu − 1,4 %, gydytiems 5 mg </w:t>
      </w:r>
      <w:proofErr w:type="spellStart"/>
      <w:r>
        <w:rPr>
          <w:rFonts w:eastAsia="TimesNewRoman"/>
          <w:sz w:val="22"/>
          <w:szCs w:val="22"/>
          <w:lang w:eastAsia="en-US"/>
        </w:rPr>
        <w:t>linagliptino</w:t>
      </w:r>
      <w:proofErr w:type="spellEnd"/>
      <w:r>
        <w:rPr>
          <w:rFonts w:eastAsia="TimesNewRoman"/>
          <w:sz w:val="22"/>
          <w:szCs w:val="22"/>
          <w:lang w:eastAsia="en-US"/>
        </w:rPr>
        <w:t xml:space="preserve"> doze – 0 %, gydytiems </w:t>
      </w:r>
      <w:proofErr w:type="spellStart"/>
      <w:r>
        <w:rPr>
          <w:rFonts w:eastAsia="TimesNewRoman"/>
          <w:sz w:val="22"/>
          <w:szCs w:val="22"/>
          <w:lang w:eastAsia="en-US"/>
        </w:rPr>
        <w:t>metforminu</w:t>
      </w:r>
      <w:proofErr w:type="spellEnd"/>
      <w:r>
        <w:rPr>
          <w:rFonts w:eastAsia="TimesNewRoman"/>
          <w:sz w:val="22"/>
          <w:szCs w:val="22"/>
          <w:lang w:eastAsia="en-US"/>
        </w:rPr>
        <w:t xml:space="preserve"> − 2,1 %, gydytiems du kartus per parą vartojamu 2,5 mg </w:t>
      </w:r>
      <w:proofErr w:type="spellStart"/>
      <w:r>
        <w:rPr>
          <w:rFonts w:eastAsia="TimesNewRoman"/>
          <w:sz w:val="22"/>
          <w:szCs w:val="22"/>
          <w:lang w:eastAsia="en-US"/>
        </w:rPr>
        <w:t>linagliptino</w:t>
      </w:r>
      <w:proofErr w:type="spellEnd"/>
      <w:r>
        <w:rPr>
          <w:rFonts w:eastAsia="TimesNewRoman"/>
          <w:sz w:val="22"/>
          <w:szCs w:val="22"/>
          <w:lang w:eastAsia="en-US"/>
        </w:rPr>
        <w:t xml:space="preserve"> dozės deriniu su </w:t>
      </w:r>
      <w:proofErr w:type="spellStart"/>
      <w:r>
        <w:rPr>
          <w:rFonts w:eastAsia="TimesNewRoman"/>
          <w:sz w:val="22"/>
          <w:szCs w:val="22"/>
          <w:lang w:eastAsia="en-US"/>
        </w:rPr>
        <w:t>metforminu</w:t>
      </w:r>
      <w:proofErr w:type="spellEnd"/>
      <w:r>
        <w:rPr>
          <w:rFonts w:eastAsia="TimesNewRoman"/>
          <w:sz w:val="22"/>
          <w:szCs w:val="22"/>
          <w:lang w:eastAsia="en-US"/>
        </w:rPr>
        <w:t xml:space="preserve"> − 1,4 %).</w:t>
      </w:r>
    </w:p>
    <w:p w14:paraId="3B5D4147" w14:textId="77777777" w:rsidR="003F7CCA" w:rsidRDefault="003F7CCA">
      <w:pPr>
        <w:widowControl w:val="0"/>
        <w:autoSpaceDE w:val="0"/>
        <w:autoSpaceDN w:val="0"/>
        <w:adjustRightInd w:val="0"/>
        <w:rPr>
          <w:rFonts w:eastAsia="TimesNewRoman"/>
          <w:sz w:val="22"/>
          <w:szCs w:val="22"/>
          <w:lang w:eastAsia="en-US"/>
        </w:rPr>
      </w:pPr>
    </w:p>
    <w:p w14:paraId="039E213B" w14:textId="0973E81D"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Gydymo 2 kartus per parą vartojama 2,5 mg </w:t>
      </w:r>
      <w:proofErr w:type="spellStart"/>
      <w:r>
        <w:rPr>
          <w:rFonts w:eastAsia="TimesNewRoman"/>
          <w:sz w:val="22"/>
          <w:szCs w:val="22"/>
          <w:lang w:eastAsia="en-US"/>
        </w:rPr>
        <w:t>linagliptino</w:t>
      </w:r>
      <w:proofErr w:type="spellEnd"/>
      <w:r>
        <w:rPr>
          <w:rFonts w:eastAsia="TimesNewRoman"/>
          <w:sz w:val="22"/>
          <w:szCs w:val="22"/>
          <w:lang w:eastAsia="en-US"/>
        </w:rPr>
        <w:t xml:space="preserve"> doze, palyginti su gydymu kartą per parą vartojama 5 mg </w:t>
      </w:r>
      <w:proofErr w:type="spellStart"/>
      <w:r>
        <w:rPr>
          <w:rFonts w:eastAsia="TimesNewRoman"/>
          <w:sz w:val="22"/>
          <w:szCs w:val="22"/>
          <w:lang w:eastAsia="en-US"/>
        </w:rPr>
        <w:t>linagliptino</w:t>
      </w:r>
      <w:proofErr w:type="spellEnd"/>
      <w:r>
        <w:rPr>
          <w:rFonts w:eastAsia="TimesNewRoman"/>
          <w:sz w:val="22"/>
          <w:szCs w:val="22"/>
          <w:lang w:eastAsia="en-US"/>
        </w:rPr>
        <w:t xml:space="preserve"> doze kartu su </w:t>
      </w:r>
      <w:proofErr w:type="spellStart"/>
      <w:r>
        <w:rPr>
          <w:rFonts w:eastAsia="TimesNewRoman"/>
          <w:sz w:val="22"/>
          <w:szCs w:val="22"/>
          <w:lang w:eastAsia="en-US"/>
        </w:rPr>
        <w:t>metforminu</w:t>
      </w:r>
      <w:proofErr w:type="spellEnd"/>
      <w:r>
        <w:rPr>
          <w:rFonts w:eastAsia="TimesNewRoman"/>
          <w:sz w:val="22"/>
          <w:szCs w:val="22"/>
          <w:lang w:eastAsia="en-US"/>
        </w:rPr>
        <w:t xml:space="preserve">, veiksmingumas ir saugumas pacientams, kuriems </w:t>
      </w:r>
      <w:proofErr w:type="spellStart"/>
      <w:r>
        <w:rPr>
          <w:rFonts w:eastAsia="TimesNewRoman"/>
          <w:sz w:val="22"/>
          <w:szCs w:val="22"/>
          <w:lang w:eastAsia="en-US"/>
        </w:rPr>
        <w:t>monoterapija</w:t>
      </w:r>
      <w:proofErr w:type="spellEnd"/>
      <w:r>
        <w:rPr>
          <w:rFonts w:eastAsia="TimesNewRoman"/>
          <w:sz w:val="22"/>
          <w:szCs w:val="22"/>
          <w:lang w:eastAsia="en-US"/>
        </w:rPr>
        <w:t xml:space="preserve"> </w:t>
      </w:r>
      <w:proofErr w:type="spellStart"/>
      <w:r>
        <w:rPr>
          <w:rFonts w:eastAsia="TimesNewRoman"/>
          <w:sz w:val="22"/>
          <w:szCs w:val="22"/>
          <w:lang w:eastAsia="en-US"/>
        </w:rPr>
        <w:t>metforminu</w:t>
      </w:r>
      <w:proofErr w:type="spellEnd"/>
      <w:r>
        <w:rPr>
          <w:rFonts w:eastAsia="TimesNewRoman"/>
          <w:sz w:val="22"/>
          <w:szCs w:val="22"/>
          <w:lang w:eastAsia="en-US"/>
        </w:rPr>
        <w:t xml:space="preserve"> </w:t>
      </w:r>
      <w:proofErr w:type="spellStart"/>
      <w:r>
        <w:rPr>
          <w:rFonts w:eastAsia="TimesNewRoman"/>
          <w:sz w:val="22"/>
          <w:szCs w:val="22"/>
          <w:lang w:eastAsia="en-US"/>
        </w:rPr>
        <w:t>glikemiją</w:t>
      </w:r>
      <w:proofErr w:type="spellEnd"/>
      <w:r>
        <w:rPr>
          <w:rFonts w:eastAsia="TimesNewRoman"/>
          <w:sz w:val="22"/>
          <w:szCs w:val="22"/>
          <w:lang w:eastAsia="en-US"/>
        </w:rPr>
        <w:t xml:space="preserve"> </w:t>
      </w:r>
      <w:r w:rsidR="0047416A">
        <w:rPr>
          <w:rFonts w:eastAsia="TimesNewRoman"/>
          <w:sz w:val="22"/>
          <w:szCs w:val="22"/>
          <w:lang w:eastAsia="en-US"/>
        </w:rPr>
        <w:t xml:space="preserve">sureguliavo </w:t>
      </w:r>
      <w:r>
        <w:rPr>
          <w:rFonts w:eastAsia="TimesNewRoman"/>
          <w:sz w:val="22"/>
          <w:szCs w:val="22"/>
          <w:lang w:eastAsia="en-US"/>
        </w:rPr>
        <w:t xml:space="preserve">nepakankamai, buvo vertinami 12 savaičių dvigubai aklu, placebu kontroliuojamu tyrimu. Palyginti su placebu, kartą per parą vartojama 5 mg </w:t>
      </w:r>
      <w:proofErr w:type="spellStart"/>
      <w:r>
        <w:rPr>
          <w:rFonts w:eastAsia="TimesNewRoman"/>
          <w:sz w:val="22"/>
          <w:szCs w:val="22"/>
          <w:lang w:eastAsia="en-US"/>
        </w:rPr>
        <w:t>linagliptino</w:t>
      </w:r>
      <w:proofErr w:type="spellEnd"/>
      <w:r>
        <w:rPr>
          <w:rFonts w:eastAsia="TimesNewRoman"/>
          <w:sz w:val="22"/>
          <w:szCs w:val="22"/>
          <w:lang w:eastAsia="en-US"/>
        </w:rPr>
        <w:t xml:space="preserve"> dozė ir 2 kartus per parą vartojama 2,5 mg </w:t>
      </w:r>
      <w:proofErr w:type="spellStart"/>
      <w:r>
        <w:rPr>
          <w:rFonts w:eastAsia="TimesNewRoman"/>
          <w:sz w:val="22"/>
          <w:szCs w:val="22"/>
          <w:lang w:eastAsia="en-US"/>
        </w:rPr>
        <w:t>linagliptino</w:t>
      </w:r>
      <w:proofErr w:type="spellEnd"/>
      <w:r>
        <w:rPr>
          <w:rFonts w:eastAsia="TimesNewRoman"/>
          <w:sz w:val="22"/>
          <w:szCs w:val="22"/>
          <w:lang w:eastAsia="en-US"/>
        </w:rPr>
        <w:t xml:space="preserve"> dozė sukėlė panašų (PI: -0,07; 0,19) reikšmingą HbA1c kiekio sumažėjimą: -0,8 % (kai pradinis kiekis buvo 7,98 %) ir -0,74 % (kai pradinis kiekis buvo 7,96 %). </w:t>
      </w:r>
      <w:proofErr w:type="spellStart"/>
      <w:r>
        <w:rPr>
          <w:rFonts w:eastAsia="TimesNewRoman"/>
          <w:sz w:val="22"/>
          <w:szCs w:val="22"/>
          <w:lang w:eastAsia="en-US"/>
        </w:rPr>
        <w:t>Linagliptinu</w:t>
      </w:r>
      <w:proofErr w:type="spellEnd"/>
      <w:r>
        <w:rPr>
          <w:rFonts w:eastAsia="TimesNewRoman"/>
          <w:sz w:val="22"/>
          <w:szCs w:val="22"/>
          <w:lang w:eastAsia="en-US"/>
        </w:rPr>
        <w:t xml:space="preserve"> gydytiems pacientams hipoglikemijos dažnis buvo panašus į placebo sukeliamą dažnį. Tiriamųjų kūno svoris tarp grupių reikšmingai nesiskyrė.</w:t>
      </w:r>
    </w:p>
    <w:p w14:paraId="646D7F24" w14:textId="77777777" w:rsidR="003F7CCA" w:rsidRDefault="003F7CCA">
      <w:pPr>
        <w:widowControl w:val="0"/>
        <w:autoSpaceDE w:val="0"/>
        <w:autoSpaceDN w:val="0"/>
        <w:adjustRightInd w:val="0"/>
        <w:rPr>
          <w:rFonts w:eastAsia="TimesNewRoman"/>
          <w:sz w:val="22"/>
          <w:szCs w:val="22"/>
          <w:lang w:eastAsia="en-US"/>
        </w:rPr>
      </w:pPr>
    </w:p>
    <w:p w14:paraId="57B37672" w14:textId="77777777" w:rsidR="003F7CCA" w:rsidRDefault="0080197E">
      <w:pPr>
        <w:widowControl w:val="0"/>
        <w:autoSpaceDE w:val="0"/>
        <w:autoSpaceDN w:val="0"/>
        <w:adjustRightInd w:val="0"/>
        <w:rPr>
          <w:rFonts w:eastAsia="TimesNewRoman"/>
          <w:i/>
          <w:iCs/>
          <w:sz w:val="22"/>
          <w:szCs w:val="22"/>
          <w:u w:val="single"/>
          <w:lang w:eastAsia="en-US"/>
        </w:rPr>
      </w:pPr>
      <w:r>
        <w:rPr>
          <w:rFonts w:eastAsia="TimesNewRoman"/>
          <w:i/>
          <w:iCs/>
          <w:sz w:val="22"/>
          <w:szCs w:val="22"/>
          <w:u w:val="single"/>
          <w:lang w:eastAsia="en-US"/>
        </w:rPr>
        <w:t xml:space="preserve">Taikomo gydymo </w:t>
      </w:r>
      <w:proofErr w:type="spellStart"/>
      <w:r>
        <w:rPr>
          <w:rFonts w:eastAsia="TimesNewRoman"/>
          <w:i/>
          <w:iCs/>
          <w:sz w:val="22"/>
          <w:szCs w:val="22"/>
          <w:u w:val="single"/>
          <w:lang w:eastAsia="en-US"/>
        </w:rPr>
        <w:t>metforminu</w:t>
      </w:r>
      <w:proofErr w:type="spellEnd"/>
      <w:r>
        <w:rPr>
          <w:rFonts w:eastAsia="TimesNewRoman"/>
          <w:i/>
          <w:iCs/>
          <w:sz w:val="22"/>
          <w:szCs w:val="22"/>
          <w:u w:val="single"/>
          <w:lang w:eastAsia="en-US"/>
        </w:rPr>
        <w:t xml:space="preserve"> ir </w:t>
      </w:r>
      <w:proofErr w:type="spellStart"/>
      <w:r>
        <w:rPr>
          <w:rFonts w:eastAsia="TimesNewRoman"/>
          <w:i/>
          <w:iCs/>
          <w:sz w:val="22"/>
          <w:szCs w:val="22"/>
          <w:u w:val="single"/>
          <w:lang w:eastAsia="en-US"/>
        </w:rPr>
        <w:t>sulfonilurėjos</w:t>
      </w:r>
      <w:proofErr w:type="spellEnd"/>
      <w:r>
        <w:rPr>
          <w:rFonts w:eastAsia="TimesNewRoman"/>
          <w:i/>
          <w:iCs/>
          <w:sz w:val="22"/>
          <w:szCs w:val="22"/>
          <w:u w:val="single"/>
          <w:lang w:eastAsia="en-US"/>
        </w:rPr>
        <w:t xml:space="preserve"> dariniu papildymas </w:t>
      </w:r>
      <w:proofErr w:type="spellStart"/>
      <w:r>
        <w:rPr>
          <w:rFonts w:eastAsia="TimesNewRoman"/>
          <w:i/>
          <w:iCs/>
          <w:sz w:val="22"/>
          <w:szCs w:val="22"/>
          <w:u w:val="single"/>
          <w:lang w:eastAsia="en-US"/>
        </w:rPr>
        <w:t>linagliptinu</w:t>
      </w:r>
      <w:proofErr w:type="spellEnd"/>
    </w:p>
    <w:p w14:paraId="1AD3E29C" w14:textId="3E9C5D4D"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Gydymo </w:t>
      </w:r>
      <w:proofErr w:type="spellStart"/>
      <w:r>
        <w:rPr>
          <w:rFonts w:eastAsia="TimesNewRoman"/>
          <w:sz w:val="22"/>
          <w:szCs w:val="22"/>
          <w:lang w:eastAsia="en-US"/>
        </w:rPr>
        <w:t>linagliptino</w:t>
      </w:r>
      <w:proofErr w:type="spellEnd"/>
      <w:r>
        <w:rPr>
          <w:rFonts w:eastAsia="TimesNewRoman"/>
          <w:sz w:val="22"/>
          <w:szCs w:val="22"/>
          <w:lang w:eastAsia="en-US"/>
        </w:rPr>
        <w:t xml:space="preserve"> 5 mg paros doze, palyginti su placebu, veiksmingumas ir saugumas pacientams, kuriems gydymas </w:t>
      </w:r>
      <w:proofErr w:type="spellStart"/>
      <w:r>
        <w:rPr>
          <w:rFonts w:eastAsia="TimesNewRoman"/>
          <w:sz w:val="22"/>
          <w:szCs w:val="22"/>
          <w:lang w:eastAsia="en-US"/>
        </w:rPr>
        <w:t>metformino</w:t>
      </w:r>
      <w:proofErr w:type="spellEnd"/>
      <w:r>
        <w:rPr>
          <w:rFonts w:eastAsia="TimesNewRoman"/>
          <w:sz w:val="22"/>
          <w:szCs w:val="22"/>
          <w:lang w:eastAsia="en-US"/>
        </w:rPr>
        <w:t xml:space="preserve"> ir </w:t>
      </w:r>
      <w:proofErr w:type="spellStart"/>
      <w:r>
        <w:rPr>
          <w:rFonts w:eastAsia="TimesNewRoman"/>
          <w:sz w:val="22"/>
          <w:szCs w:val="22"/>
          <w:lang w:eastAsia="en-US"/>
        </w:rPr>
        <w:t>sulfonilurėjos</w:t>
      </w:r>
      <w:proofErr w:type="spellEnd"/>
      <w:r>
        <w:rPr>
          <w:rFonts w:eastAsia="TimesNewRoman"/>
          <w:sz w:val="22"/>
          <w:szCs w:val="22"/>
          <w:lang w:eastAsia="en-US"/>
        </w:rPr>
        <w:t xml:space="preserve"> darinio deriniu nebuvo pakankamai veiksmingas, buvo tirtas placebu kontroliuojamo 24 savaičių trukmės tyrimo metu. </w:t>
      </w:r>
      <w:proofErr w:type="spellStart"/>
      <w:r>
        <w:rPr>
          <w:rFonts w:eastAsia="TimesNewRoman"/>
          <w:sz w:val="22"/>
          <w:szCs w:val="22"/>
          <w:lang w:eastAsia="en-US"/>
        </w:rPr>
        <w:t>Linagliptinas</w:t>
      </w:r>
      <w:proofErr w:type="spellEnd"/>
      <w:r>
        <w:rPr>
          <w:rFonts w:eastAsia="TimesNewRoman"/>
          <w:sz w:val="22"/>
          <w:szCs w:val="22"/>
          <w:lang w:eastAsia="en-US"/>
        </w:rPr>
        <w:t xml:space="preserve"> sukėlė reikšmingą HbA1c kiekio pokytį (-0,62 %, palyginti su placebo sukeliamu), kai vidutinis pradinis HbA1c kiekis buvo 8,14 %. Be to, gydant </w:t>
      </w:r>
      <w:proofErr w:type="spellStart"/>
      <w:r>
        <w:rPr>
          <w:rFonts w:eastAsia="TimesNewRoman"/>
          <w:sz w:val="22"/>
          <w:szCs w:val="22"/>
          <w:lang w:eastAsia="en-US"/>
        </w:rPr>
        <w:t>linagliptinu</w:t>
      </w:r>
      <w:proofErr w:type="spellEnd"/>
      <w:r>
        <w:rPr>
          <w:rFonts w:eastAsia="TimesNewRoman"/>
          <w:sz w:val="22"/>
          <w:szCs w:val="22"/>
          <w:lang w:eastAsia="en-US"/>
        </w:rPr>
        <w:t xml:space="preserve">, reikšmingai didesnė pacientų dalis pasiekė tikslinį HbA1c kiekį, t. y. &lt; 7 % (iš vartojusių </w:t>
      </w:r>
      <w:proofErr w:type="spellStart"/>
      <w:r>
        <w:rPr>
          <w:rFonts w:eastAsia="TimesNewRoman"/>
          <w:sz w:val="22"/>
          <w:szCs w:val="22"/>
          <w:lang w:eastAsia="en-US"/>
        </w:rPr>
        <w:t>linagliptino</w:t>
      </w:r>
      <w:proofErr w:type="spellEnd"/>
      <w:r>
        <w:rPr>
          <w:rFonts w:eastAsia="TimesNewRoman"/>
          <w:sz w:val="22"/>
          <w:szCs w:val="22"/>
          <w:lang w:eastAsia="en-US"/>
        </w:rPr>
        <w:t xml:space="preserve"> − 31,2 %, iš vartojusių placebo − 9,2 %) ir gliukozės </w:t>
      </w:r>
      <w:r w:rsidR="00057CEA">
        <w:rPr>
          <w:rFonts w:eastAsia="TimesNewRoman"/>
          <w:sz w:val="22"/>
          <w:szCs w:val="22"/>
          <w:lang w:eastAsia="en-US"/>
        </w:rPr>
        <w:t xml:space="preserve">koncentracija </w:t>
      </w:r>
      <w:r>
        <w:rPr>
          <w:rFonts w:eastAsia="TimesNewRoman"/>
          <w:sz w:val="22"/>
          <w:szCs w:val="22"/>
          <w:lang w:eastAsia="en-US"/>
        </w:rPr>
        <w:t>kraujo plazmoje nevalgius (GPN) sumažėjo -12,7 mg/dl, palyginti su placebo. Tiriamųjų kūno svoris tarp grupių reikšmingai nesiskyrė.</w:t>
      </w:r>
    </w:p>
    <w:p w14:paraId="4DA9436D" w14:textId="77777777" w:rsidR="003F7CCA" w:rsidRDefault="003F7CCA">
      <w:pPr>
        <w:widowControl w:val="0"/>
        <w:autoSpaceDE w:val="0"/>
        <w:autoSpaceDN w:val="0"/>
        <w:adjustRightInd w:val="0"/>
        <w:rPr>
          <w:rFonts w:eastAsia="TimesNewRoman"/>
          <w:sz w:val="22"/>
          <w:szCs w:val="22"/>
          <w:lang w:eastAsia="en-US"/>
        </w:rPr>
      </w:pPr>
    </w:p>
    <w:p w14:paraId="718C94BF" w14:textId="77777777" w:rsidR="003F7CCA" w:rsidRDefault="0080197E">
      <w:pPr>
        <w:widowControl w:val="0"/>
        <w:autoSpaceDE w:val="0"/>
        <w:autoSpaceDN w:val="0"/>
        <w:adjustRightInd w:val="0"/>
        <w:rPr>
          <w:rFonts w:eastAsia="TimesNewRoman"/>
          <w:i/>
          <w:iCs/>
          <w:sz w:val="22"/>
          <w:szCs w:val="22"/>
          <w:u w:val="single"/>
          <w:lang w:eastAsia="en-US"/>
        </w:rPr>
      </w:pPr>
      <w:r>
        <w:rPr>
          <w:rFonts w:eastAsia="TimesNewRoman"/>
          <w:i/>
          <w:iCs/>
          <w:sz w:val="22"/>
          <w:szCs w:val="22"/>
          <w:u w:val="single"/>
          <w:lang w:eastAsia="en-US"/>
        </w:rPr>
        <w:t xml:space="preserve">Gydymo </w:t>
      </w:r>
      <w:proofErr w:type="spellStart"/>
      <w:r>
        <w:rPr>
          <w:rFonts w:eastAsia="TimesNewRoman"/>
          <w:i/>
          <w:iCs/>
          <w:sz w:val="22"/>
          <w:szCs w:val="22"/>
          <w:u w:val="single"/>
          <w:lang w:eastAsia="en-US"/>
        </w:rPr>
        <w:t>metformino</w:t>
      </w:r>
      <w:proofErr w:type="spellEnd"/>
      <w:r>
        <w:rPr>
          <w:rFonts w:eastAsia="TimesNewRoman"/>
          <w:i/>
          <w:iCs/>
          <w:sz w:val="22"/>
          <w:szCs w:val="22"/>
          <w:u w:val="single"/>
          <w:lang w:eastAsia="en-US"/>
        </w:rPr>
        <w:t xml:space="preserve"> ir </w:t>
      </w:r>
      <w:proofErr w:type="spellStart"/>
      <w:r>
        <w:rPr>
          <w:rFonts w:eastAsia="TimesNewRoman"/>
          <w:i/>
          <w:iCs/>
          <w:sz w:val="22"/>
          <w:szCs w:val="22"/>
          <w:u w:val="single"/>
          <w:lang w:eastAsia="en-US"/>
        </w:rPr>
        <w:t>empagliflozino</w:t>
      </w:r>
      <w:proofErr w:type="spellEnd"/>
      <w:r>
        <w:rPr>
          <w:rFonts w:eastAsia="TimesNewRoman"/>
          <w:i/>
          <w:iCs/>
          <w:sz w:val="22"/>
          <w:szCs w:val="22"/>
          <w:u w:val="single"/>
          <w:lang w:eastAsia="en-US"/>
        </w:rPr>
        <w:t xml:space="preserve"> deriniu papildymas </w:t>
      </w:r>
      <w:proofErr w:type="spellStart"/>
      <w:r>
        <w:rPr>
          <w:rFonts w:eastAsia="TimesNewRoman"/>
          <w:i/>
          <w:iCs/>
          <w:sz w:val="22"/>
          <w:szCs w:val="22"/>
          <w:u w:val="single"/>
          <w:lang w:eastAsia="en-US"/>
        </w:rPr>
        <w:t>linagliptinu</w:t>
      </w:r>
      <w:proofErr w:type="spellEnd"/>
    </w:p>
    <w:p w14:paraId="39334FA9" w14:textId="77777777"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Nepakankamai kontroliuojamiems </w:t>
      </w:r>
      <w:proofErr w:type="spellStart"/>
      <w:r>
        <w:rPr>
          <w:rFonts w:eastAsia="TimesNewRoman"/>
          <w:sz w:val="22"/>
          <w:szCs w:val="22"/>
          <w:lang w:eastAsia="en-US"/>
        </w:rPr>
        <w:t>metforminu</w:t>
      </w:r>
      <w:proofErr w:type="spellEnd"/>
      <w:r>
        <w:rPr>
          <w:rFonts w:eastAsia="TimesNewRoman"/>
          <w:sz w:val="22"/>
          <w:szCs w:val="22"/>
          <w:lang w:eastAsia="en-US"/>
        </w:rPr>
        <w:t xml:space="preserve"> ir </w:t>
      </w:r>
      <w:proofErr w:type="spellStart"/>
      <w:r>
        <w:rPr>
          <w:rFonts w:eastAsia="TimesNewRoman"/>
          <w:sz w:val="22"/>
          <w:szCs w:val="22"/>
          <w:lang w:eastAsia="en-US"/>
        </w:rPr>
        <w:t>empagliflozinu</w:t>
      </w:r>
      <w:proofErr w:type="spellEnd"/>
      <w:r>
        <w:rPr>
          <w:rFonts w:eastAsia="TimesNewRoman"/>
          <w:sz w:val="22"/>
          <w:szCs w:val="22"/>
          <w:lang w:eastAsia="en-US"/>
        </w:rPr>
        <w:t xml:space="preserve"> (10 mg (n = 247) ar 25 mg (n = 217)) pacientams 24 savaičių gydymas papildžius 5 mg </w:t>
      </w:r>
      <w:proofErr w:type="spellStart"/>
      <w:r>
        <w:rPr>
          <w:rFonts w:eastAsia="TimesNewRoman"/>
          <w:sz w:val="22"/>
          <w:szCs w:val="22"/>
          <w:lang w:eastAsia="en-US"/>
        </w:rPr>
        <w:t>linagliptino</w:t>
      </w:r>
      <w:proofErr w:type="spellEnd"/>
      <w:r>
        <w:rPr>
          <w:rFonts w:eastAsia="TimesNewRoman"/>
          <w:sz w:val="22"/>
          <w:szCs w:val="22"/>
          <w:lang w:eastAsia="en-US"/>
        </w:rPr>
        <w:t xml:space="preserve"> sąlygojo koreguoto HbA1c vidurkio sumažėjimą nuo pradinio lygio atitinkamai -0,53 % (reikšmingai skyrėsi nuo papildymo placebu -0,32 % (95 % PI -0,52, -0,13) ir -0,58 % (reikšmingai skyrėsi nuo papildymo placebu -0,47 % (95 % PI -0,66, -0,28). Tikslinį HbA1c &lt; 7 % lygį pasiekė statistiškai reikšmingai didesnė dalis pacientų, kurių pradinis HbA1c buvo ≥ 7,0 % ir kurie buvo gydyti 5 mg </w:t>
      </w:r>
      <w:proofErr w:type="spellStart"/>
      <w:r>
        <w:rPr>
          <w:rFonts w:eastAsia="TimesNewRoman"/>
          <w:sz w:val="22"/>
          <w:szCs w:val="22"/>
          <w:lang w:eastAsia="en-US"/>
        </w:rPr>
        <w:t>linagliptino</w:t>
      </w:r>
      <w:proofErr w:type="spellEnd"/>
      <w:r>
        <w:rPr>
          <w:rFonts w:eastAsia="TimesNewRoman"/>
          <w:sz w:val="22"/>
          <w:szCs w:val="22"/>
          <w:lang w:eastAsia="en-US"/>
        </w:rPr>
        <w:t>, palyginti su placebu.</w:t>
      </w:r>
    </w:p>
    <w:p w14:paraId="0083CC02" w14:textId="77777777" w:rsidR="003F7CCA" w:rsidRDefault="003F7CCA">
      <w:pPr>
        <w:widowControl w:val="0"/>
        <w:autoSpaceDE w:val="0"/>
        <w:autoSpaceDN w:val="0"/>
        <w:adjustRightInd w:val="0"/>
        <w:rPr>
          <w:rFonts w:eastAsia="TimesNewRoman"/>
          <w:sz w:val="22"/>
          <w:szCs w:val="22"/>
          <w:lang w:eastAsia="en-US"/>
        </w:rPr>
      </w:pPr>
    </w:p>
    <w:p w14:paraId="5B361263" w14:textId="77777777" w:rsidR="003F7CCA" w:rsidRDefault="0080197E">
      <w:pPr>
        <w:widowControl w:val="0"/>
        <w:autoSpaceDE w:val="0"/>
        <w:autoSpaceDN w:val="0"/>
        <w:adjustRightInd w:val="0"/>
        <w:rPr>
          <w:rFonts w:eastAsia="TimesNewRoman"/>
          <w:i/>
          <w:iCs/>
          <w:sz w:val="22"/>
          <w:szCs w:val="22"/>
          <w:u w:val="single"/>
          <w:lang w:eastAsia="en-US"/>
        </w:rPr>
      </w:pPr>
      <w:r>
        <w:rPr>
          <w:rFonts w:eastAsia="TimesNewRoman"/>
          <w:i/>
          <w:iCs/>
          <w:sz w:val="22"/>
          <w:szCs w:val="22"/>
          <w:u w:val="single"/>
          <w:lang w:eastAsia="en-US"/>
        </w:rPr>
        <w:t xml:space="preserve">Gydymas </w:t>
      </w:r>
      <w:proofErr w:type="spellStart"/>
      <w:r>
        <w:rPr>
          <w:rFonts w:eastAsia="TimesNewRoman"/>
          <w:i/>
          <w:iCs/>
          <w:sz w:val="22"/>
          <w:szCs w:val="22"/>
          <w:u w:val="single"/>
          <w:lang w:eastAsia="en-US"/>
        </w:rPr>
        <w:t>linagliptinu</w:t>
      </w:r>
      <w:proofErr w:type="spellEnd"/>
      <w:r>
        <w:rPr>
          <w:rFonts w:eastAsia="TimesNewRoman"/>
          <w:i/>
          <w:iCs/>
          <w:sz w:val="22"/>
          <w:szCs w:val="22"/>
          <w:u w:val="single"/>
          <w:lang w:eastAsia="en-US"/>
        </w:rPr>
        <w:t xml:space="preserve"> derinyje su </w:t>
      </w:r>
      <w:proofErr w:type="spellStart"/>
      <w:r>
        <w:rPr>
          <w:rFonts w:eastAsia="TimesNewRoman"/>
          <w:i/>
          <w:iCs/>
          <w:sz w:val="22"/>
          <w:szCs w:val="22"/>
          <w:u w:val="single"/>
          <w:lang w:eastAsia="en-US"/>
        </w:rPr>
        <w:t>metforminu</w:t>
      </w:r>
      <w:proofErr w:type="spellEnd"/>
      <w:r>
        <w:rPr>
          <w:rFonts w:eastAsia="TimesNewRoman"/>
          <w:i/>
          <w:iCs/>
          <w:sz w:val="22"/>
          <w:szCs w:val="22"/>
          <w:u w:val="single"/>
          <w:lang w:eastAsia="en-US"/>
        </w:rPr>
        <w:t xml:space="preserve"> ir insulinu</w:t>
      </w:r>
    </w:p>
    <w:p w14:paraId="446C3981" w14:textId="77777777" w:rsidR="003F7CCA" w:rsidRDefault="0080197E">
      <w:pPr>
        <w:widowControl w:val="0"/>
        <w:autoSpaceDE w:val="0"/>
        <w:autoSpaceDN w:val="0"/>
        <w:adjustRightInd w:val="0"/>
        <w:rPr>
          <w:rFonts w:eastAsia="TimesNewRoman"/>
          <w:sz w:val="22"/>
          <w:szCs w:val="22"/>
          <w:lang w:eastAsia="en-US"/>
        </w:rPr>
      </w:pPr>
      <w:proofErr w:type="spellStart"/>
      <w:r>
        <w:rPr>
          <w:rFonts w:eastAsia="TimesNewRoman"/>
          <w:sz w:val="22"/>
          <w:szCs w:val="22"/>
          <w:lang w:eastAsia="en-US"/>
        </w:rPr>
        <w:t>Linagliptino</w:t>
      </w:r>
      <w:proofErr w:type="spellEnd"/>
      <w:r>
        <w:rPr>
          <w:rFonts w:eastAsia="TimesNewRoman"/>
          <w:sz w:val="22"/>
          <w:szCs w:val="22"/>
          <w:lang w:eastAsia="en-US"/>
        </w:rPr>
        <w:t xml:space="preserve"> (5 mg kartą per parą) veiksmingumas ir saugumas tuo atveju, kai juo buvo papildytas gydymas insulinu, vartojamu kartu su </w:t>
      </w:r>
      <w:proofErr w:type="spellStart"/>
      <w:r>
        <w:rPr>
          <w:rFonts w:eastAsia="TimesNewRoman"/>
          <w:sz w:val="22"/>
          <w:szCs w:val="22"/>
          <w:lang w:eastAsia="en-US"/>
        </w:rPr>
        <w:t>metforminu</w:t>
      </w:r>
      <w:proofErr w:type="spellEnd"/>
      <w:r>
        <w:rPr>
          <w:rFonts w:eastAsia="TimesNewRoman"/>
          <w:sz w:val="22"/>
          <w:szCs w:val="22"/>
          <w:lang w:eastAsia="en-US"/>
        </w:rPr>
        <w:t xml:space="preserve"> arba be jo, buvo vertinamas 24 savaičių placebu kontroliuojamu tyrimu. Šio tyrimo metu </w:t>
      </w:r>
      <w:proofErr w:type="spellStart"/>
      <w:r>
        <w:rPr>
          <w:rFonts w:eastAsia="TimesNewRoman"/>
          <w:sz w:val="22"/>
          <w:szCs w:val="22"/>
          <w:lang w:eastAsia="en-US"/>
        </w:rPr>
        <w:t>metformino</w:t>
      </w:r>
      <w:proofErr w:type="spellEnd"/>
      <w:r>
        <w:rPr>
          <w:rFonts w:eastAsia="TimesNewRoman"/>
          <w:sz w:val="22"/>
          <w:szCs w:val="22"/>
          <w:lang w:eastAsia="en-US"/>
        </w:rPr>
        <w:t xml:space="preserve"> ir insulino deriniu buvo gydomi 83 % pacientų. Šio pogrupio pacientams </w:t>
      </w:r>
      <w:proofErr w:type="spellStart"/>
      <w:r>
        <w:rPr>
          <w:rFonts w:eastAsia="TimesNewRoman"/>
          <w:sz w:val="22"/>
          <w:szCs w:val="22"/>
          <w:lang w:eastAsia="en-US"/>
        </w:rPr>
        <w:t>linagliptinas</w:t>
      </w:r>
      <w:proofErr w:type="spellEnd"/>
      <w:r>
        <w:rPr>
          <w:rFonts w:eastAsia="TimesNewRoman"/>
          <w:sz w:val="22"/>
          <w:szCs w:val="22"/>
          <w:lang w:eastAsia="en-US"/>
        </w:rPr>
        <w:t xml:space="preserve">, derinamas su </w:t>
      </w:r>
      <w:proofErr w:type="spellStart"/>
      <w:r>
        <w:rPr>
          <w:rFonts w:eastAsia="TimesNewRoman"/>
          <w:sz w:val="22"/>
          <w:szCs w:val="22"/>
          <w:lang w:eastAsia="en-US"/>
        </w:rPr>
        <w:t>metforminu</w:t>
      </w:r>
      <w:proofErr w:type="spellEnd"/>
      <w:r>
        <w:rPr>
          <w:rFonts w:eastAsia="TimesNewRoman"/>
          <w:sz w:val="22"/>
          <w:szCs w:val="22"/>
          <w:lang w:eastAsia="en-US"/>
        </w:rPr>
        <w:t xml:space="preserve"> ir insulinu, palyginti su placebu, derinamu su </w:t>
      </w:r>
      <w:proofErr w:type="spellStart"/>
      <w:r>
        <w:rPr>
          <w:rFonts w:eastAsia="TimesNewRoman"/>
          <w:sz w:val="22"/>
          <w:szCs w:val="22"/>
          <w:lang w:eastAsia="en-US"/>
        </w:rPr>
        <w:t>metforminu</w:t>
      </w:r>
      <w:proofErr w:type="spellEnd"/>
      <w:r>
        <w:rPr>
          <w:rFonts w:eastAsia="TimesNewRoman"/>
          <w:sz w:val="22"/>
          <w:szCs w:val="22"/>
          <w:lang w:eastAsia="en-US"/>
        </w:rPr>
        <w:t xml:space="preserve"> ir insulinu, reikšmingai pagerino HbA1c kiekį: koreguotas vidutinis pokytis, palyginti su pradiniu (vidutinis pradinis HbA1c kiekis buvo 8,28 %), buvo -0,68</w:t>
      </w:r>
      <w:r>
        <w:rPr>
          <w:rFonts w:eastAsia="TimesNewRoman"/>
        </w:rPr>
        <w:t> </w:t>
      </w:r>
      <w:r>
        <w:rPr>
          <w:rFonts w:eastAsia="TimesNewRoman"/>
          <w:sz w:val="22"/>
          <w:szCs w:val="22"/>
          <w:lang w:eastAsia="en-US"/>
        </w:rPr>
        <w:t>% (PI: -0,78; -0,57). Nė vienos grupės pacientų kūno svoris reikšmingai nekito, palyginti su pradiniu.</w:t>
      </w:r>
    </w:p>
    <w:p w14:paraId="06E6F17E" w14:textId="77777777" w:rsidR="003F7CCA" w:rsidRDefault="003F7CCA">
      <w:pPr>
        <w:widowControl w:val="0"/>
        <w:autoSpaceDE w:val="0"/>
        <w:autoSpaceDN w:val="0"/>
        <w:adjustRightInd w:val="0"/>
        <w:rPr>
          <w:rFonts w:eastAsia="TimesNewRoman"/>
          <w:sz w:val="22"/>
          <w:szCs w:val="22"/>
          <w:lang w:eastAsia="en-US"/>
        </w:rPr>
      </w:pPr>
    </w:p>
    <w:p w14:paraId="64CB2A44" w14:textId="77777777" w:rsidR="003F7CCA" w:rsidRDefault="0080197E">
      <w:pPr>
        <w:widowControl w:val="0"/>
        <w:autoSpaceDE w:val="0"/>
        <w:autoSpaceDN w:val="0"/>
        <w:adjustRightInd w:val="0"/>
        <w:rPr>
          <w:rFonts w:eastAsia="TimesNewRoman"/>
          <w:i/>
          <w:iCs/>
          <w:sz w:val="22"/>
          <w:szCs w:val="22"/>
          <w:u w:val="single"/>
          <w:lang w:eastAsia="en-US"/>
        </w:rPr>
      </w:pPr>
      <w:r>
        <w:rPr>
          <w:rFonts w:eastAsia="TimesNewRoman"/>
          <w:i/>
          <w:iCs/>
          <w:sz w:val="22"/>
          <w:szCs w:val="22"/>
          <w:u w:val="single"/>
          <w:lang w:eastAsia="en-US"/>
        </w:rPr>
        <w:t xml:space="preserve">Taikomo gydymo </w:t>
      </w:r>
      <w:proofErr w:type="spellStart"/>
      <w:r>
        <w:rPr>
          <w:rFonts w:eastAsia="TimesNewRoman"/>
          <w:i/>
          <w:iCs/>
          <w:sz w:val="22"/>
          <w:szCs w:val="22"/>
          <w:u w:val="single"/>
          <w:lang w:eastAsia="en-US"/>
        </w:rPr>
        <w:t>metforminu</w:t>
      </w:r>
      <w:proofErr w:type="spellEnd"/>
      <w:r>
        <w:rPr>
          <w:rFonts w:eastAsia="TimesNewRoman"/>
          <w:i/>
          <w:iCs/>
          <w:sz w:val="22"/>
          <w:szCs w:val="22"/>
          <w:u w:val="single"/>
          <w:lang w:eastAsia="en-US"/>
        </w:rPr>
        <w:t xml:space="preserve"> papildymas </w:t>
      </w:r>
      <w:proofErr w:type="spellStart"/>
      <w:r>
        <w:rPr>
          <w:rFonts w:eastAsia="TimesNewRoman"/>
          <w:i/>
          <w:iCs/>
          <w:sz w:val="22"/>
          <w:szCs w:val="22"/>
          <w:u w:val="single"/>
          <w:lang w:eastAsia="en-US"/>
        </w:rPr>
        <w:t>linagliptinu</w:t>
      </w:r>
      <w:proofErr w:type="spellEnd"/>
      <w:r>
        <w:rPr>
          <w:rFonts w:eastAsia="TimesNewRoman"/>
          <w:i/>
          <w:iCs/>
          <w:sz w:val="22"/>
          <w:szCs w:val="22"/>
          <w:u w:val="single"/>
          <w:lang w:eastAsia="en-US"/>
        </w:rPr>
        <w:t xml:space="preserve"> arba </w:t>
      </w:r>
      <w:proofErr w:type="spellStart"/>
      <w:r>
        <w:rPr>
          <w:rFonts w:eastAsia="TimesNewRoman"/>
          <w:i/>
          <w:iCs/>
          <w:sz w:val="22"/>
          <w:szCs w:val="22"/>
          <w:u w:val="single"/>
          <w:lang w:eastAsia="en-US"/>
        </w:rPr>
        <w:t>glimepiridu</w:t>
      </w:r>
      <w:proofErr w:type="spellEnd"/>
      <w:r>
        <w:rPr>
          <w:rFonts w:eastAsia="TimesNewRoman"/>
          <w:i/>
          <w:iCs/>
          <w:sz w:val="22"/>
          <w:szCs w:val="22"/>
          <w:u w:val="single"/>
          <w:lang w:eastAsia="en-US"/>
        </w:rPr>
        <w:t xml:space="preserve"> (24 mėnesių tyrimo duomenys)</w:t>
      </w:r>
    </w:p>
    <w:p w14:paraId="61215515" w14:textId="0FB438BB"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Tyrimo, kuriuo buvo lyginamas taikomo gydymo </w:t>
      </w:r>
      <w:proofErr w:type="spellStart"/>
      <w:r>
        <w:rPr>
          <w:rFonts w:eastAsia="TimesNewRoman"/>
          <w:sz w:val="22"/>
          <w:szCs w:val="22"/>
          <w:lang w:eastAsia="en-US"/>
        </w:rPr>
        <w:t>metforminu</w:t>
      </w:r>
      <w:proofErr w:type="spellEnd"/>
      <w:r>
        <w:rPr>
          <w:rFonts w:eastAsia="TimesNewRoman"/>
          <w:sz w:val="22"/>
          <w:szCs w:val="22"/>
          <w:lang w:eastAsia="en-US"/>
        </w:rPr>
        <w:t xml:space="preserve"> papildymo </w:t>
      </w:r>
      <w:proofErr w:type="spellStart"/>
      <w:r>
        <w:rPr>
          <w:rFonts w:eastAsia="TimesNewRoman"/>
          <w:sz w:val="22"/>
          <w:szCs w:val="22"/>
          <w:lang w:eastAsia="en-US"/>
        </w:rPr>
        <w:t>linagliptino</w:t>
      </w:r>
      <w:proofErr w:type="spellEnd"/>
      <w:r>
        <w:rPr>
          <w:rFonts w:eastAsia="TimesNewRoman"/>
          <w:sz w:val="22"/>
          <w:szCs w:val="22"/>
          <w:lang w:eastAsia="en-US"/>
        </w:rPr>
        <w:t xml:space="preserve"> 5 mg paros doze arba </w:t>
      </w:r>
      <w:proofErr w:type="spellStart"/>
      <w:r>
        <w:rPr>
          <w:rFonts w:eastAsia="TimesNewRoman"/>
          <w:sz w:val="22"/>
          <w:szCs w:val="22"/>
          <w:lang w:eastAsia="en-US"/>
        </w:rPr>
        <w:t>glimepiridu</w:t>
      </w:r>
      <w:proofErr w:type="spellEnd"/>
      <w:r>
        <w:rPr>
          <w:rFonts w:eastAsia="TimesNewRoman"/>
          <w:sz w:val="22"/>
          <w:szCs w:val="22"/>
          <w:lang w:eastAsia="en-US"/>
        </w:rPr>
        <w:t xml:space="preserve"> (vidutinė dozė 3 mg) veiksmingumas ir saugumas pacientams, kuriems </w:t>
      </w:r>
      <w:proofErr w:type="spellStart"/>
      <w:r>
        <w:rPr>
          <w:rFonts w:eastAsia="TimesNewRoman"/>
          <w:sz w:val="22"/>
          <w:szCs w:val="22"/>
          <w:lang w:eastAsia="en-US"/>
        </w:rPr>
        <w:t>monoterapija</w:t>
      </w:r>
      <w:proofErr w:type="spellEnd"/>
      <w:r>
        <w:rPr>
          <w:rFonts w:eastAsia="TimesNewRoman"/>
          <w:sz w:val="22"/>
          <w:szCs w:val="22"/>
          <w:lang w:eastAsia="en-US"/>
        </w:rPr>
        <w:t xml:space="preserve"> </w:t>
      </w:r>
      <w:proofErr w:type="spellStart"/>
      <w:r>
        <w:rPr>
          <w:rFonts w:eastAsia="TimesNewRoman"/>
          <w:sz w:val="22"/>
          <w:szCs w:val="22"/>
          <w:lang w:eastAsia="en-US"/>
        </w:rPr>
        <w:t>metforminu</w:t>
      </w:r>
      <w:proofErr w:type="spellEnd"/>
      <w:r>
        <w:rPr>
          <w:rFonts w:eastAsia="TimesNewRoman"/>
          <w:sz w:val="22"/>
          <w:szCs w:val="22"/>
          <w:lang w:eastAsia="en-US"/>
        </w:rPr>
        <w:t xml:space="preserve"> </w:t>
      </w:r>
      <w:proofErr w:type="spellStart"/>
      <w:r>
        <w:rPr>
          <w:rFonts w:eastAsia="TimesNewRoman"/>
          <w:sz w:val="22"/>
          <w:szCs w:val="22"/>
          <w:lang w:eastAsia="en-US"/>
        </w:rPr>
        <w:t>glikemiją</w:t>
      </w:r>
      <w:proofErr w:type="spellEnd"/>
      <w:r>
        <w:rPr>
          <w:rFonts w:eastAsia="TimesNewRoman"/>
          <w:sz w:val="22"/>
          <w:szCs w:val="22"/>
          <w:lang w:eastAsia="en-US"/>
        </w:rPr>
        <w:t xml:space="preserve"> </w:t>
      </w:r>
      <w:r w:rsidR="00AD0AD0">
        <w:rPr>
          <w:rFonts w:eastAsia="TimesNewRoman"/>
          <w:sz w:val="22"/>
          <w:szCs w:val="22"/>
          <w:lang w:eastAsia="en-US"/>
        </w:rPr>
        <w:t xml:space="preserve">sureguliavo </w:t>
      </w:r>
      <w:r>
        <w:rPr>
          <w:rFonts w:eastAsia="TimesNewRoman"/>
          <w:sz w:val="22"/>
          <w:szCs w:val="22"/>
          <w:lang w:eastAsia="en-US"/>
        </w:rPr>
        <w:t xml:space="preserve">nepakankamai, metu </w:t>
      </w:r>
      <w:proofErr w:type="spellStart"/>
      <w:r>
        <w:rPr>
          <w:rFonts w:eastAsia="TimesNewRoman"/>
          <w:sz w:val="22"/>
          <w:szCs w:val="22"/>
          <w:lang w:eastAsia="en-US"/>
        </w:rPr>
        <w:t>linagliptinu</w:t>
      </w:r>
      <w:proofErr w:type="spellEnd"/>
      <w:r>
        <w:rPr>
          <w:rFonts w:eastAsia="TimesNewRoman"/>
          <w:sz w:val="22"/>
          <w:szCs w:val="22"/>
          <w:lang w:eastAsia="en-US"/>
        </w:rPr>
        <w:t xml:space="preserve"> gydomiems pacientams vidutinio HbA1c kiekio sumažėjimas buvo -0,16 % (vidutinis pradinis HbA1c kiekis buvo 7,69 %), </w:t>
      </w:r>
      <w:proofErr w:type="spellStart"/>
      <w:r>
        <w:rPr>
          <w:rFonts w:eastAsia="TimesNewRoman"/>
          <w:sz w:val="22"/>
          <w:szCs w:val="22"/>
          <w:lang w:eastAsia="en-US"/>
        </w:rPr>
        <w:t>glimepiridu</w:t>
      </w:r>
      <w:proofErr w:type="spellEnd"/>
      <w:r>
        <w:rPr>
          <w:rFonts w:eastAsia="TimesNewRoman"/>
          <w:sz w:val="22"/>
          <w:szCs w:val="22"/>
          <w:lang w:eastAsia="en-US"/>
        </w:rPr>
        <w:t xml:space="preserve"> gydomiems pacientams − -0,36 % (vidutinis pradinis HbA1c kiekis buvo 7,69 %), vidutinis gydymo skirtumas − 0,2 % (97,5</w:t>
      </w:r>
      <w:r>
        <w:rPr>
          <w:rFonts w:eastAsia="TimesNewRoman"/>
        </w:rPr>
        <w:t> </w:t>
      </w:r>
      <w:r>
        <w:rPr>
          <w:rFonts w:eastAsia="TimesNewRoman"/>
          <w:sz w:val="22"/>
          <w:szCs w:val="22"/>
          <w:lang w:eastAsia="en-US"/>
        </w:rPr>
        <w:t xml:space="preserve">% PI: 0,09; 0,299). </w:t>
      </w:r>
      <w:proofErr w:type="spellStart"/>
      <w:r>
        <w:rPr>
          <w:rFonts w:eastAsia="TimesNewRoman"/>
          <w:sz w:val="22"/>
          <w:szCs w:val="22"/>
          <w:lang w:eastAsia="en-US"/>
        </w:rPr>
        <w:t>Linagliptinu</w:t>
      </w:r>
      <w:proofErr w:type="spellEnd"/>
      <w:r>
        <w:rPr>
          <w:rFonts w:eastAsia="TimesNewRoman"/>
          <w:sz w:val="22"/>
          <w:szCs w:val="22"/>
          <w:lang w:eastAsia="en-US"/>
        </w:rPr>
        <w:t xml:space="preserve"> gydomos grupės pacientams hipoglikemijos </w:t>
      </w:r>
      <w:r>
        <w:rPr>
          <w:rFonts w:eastAsia="TimesNewRoman"/>
          <w:sz w:val="22"/>
          <w:szCs w:val="22"/>
          <w:lang w:eastAsia="en-US"/>
        </w:rPr>
        <w:lastRenderedPageBreak/>
        <w:t xml:space="preserve">dažnis buvo reikšmingai mažesnis (7,5 %) negu </w:t>
      </w:r>
      <w:proofErr w:type="spellStart"/>
      <w:r>
        <w:rPr>
          <w:rFonts w:eastAsia="TimesNewRoman"/>
          <w:sz w:val="22"/>
          <w:szCs w:val="22"/>
          <w:lang w:eastAsia="en-US"/>
        </w:rPr>
        <w:t>glimepiridu</w:t>
      </w:r>
      <w:proofErr w:type="spellEnd"/>
      <w:r>
        <w:rPr>
          <w:rFonts w:eastAsia="TimesNewRoman"/>
          <w:sz w:val="22"/>
          <w:szCs w:val="22"/>
          <w:lang w:eastAsia="en-US"/>
        </w:rPr>
        <w:t xml:space="preserve"> gydomos grupės pacientams (36,1 </w:t>
      </w:r>
      <w:bookmarkStart w:id="6" w:name="_Hlk222752498"/>
      <w:r>
        <w:rPr>
          <w:rFonts w:eastAsia="TimesNewRoman"/>
          <w:sz w:val="22"/>
          <w:szCs w:val="22"/>
          <w:lang w:eastAsia="en-US"/>
        </w:rPr>
        <w:t>%</w:t>
      </w:r>
      <w:bookmarkEnd w:id="6"/>
      <w:r>
        <w:rPr>
          <w:rFonts w:eastAsia="TimesNewRoman"/>
          <w:sz w:val="22"/>
          <w:szCs w:val="22"/>
          <w:lang w:eastAsia="en-US"/>
        </w:rPr>
        <w:t xml:space="preserve">). </w:t>
      </w:r>
      <w:proofErr w:type="spellStart"/>
      <w:r>
        <w:rPr>
          <w:rFonts w:eastAsia="TimesNewRoman"/>
          <w:sz w:val="22"/>
          <w:szCs w:val="22"/>
          <w:lang w:eastAsia="en-US"/>
        </w:rPr>
        <w:t>Linagliptinu</w:t>
      </w:r>
      <w:proofErr w:type="spellEnd"/>
      <w:r>
        <w:rPr>
          <w:rFonts w:eastAsia="TimesNewRoman"/>
          <w:sz w:val="22"/>
          <w:szCs w:val="22"/>
          <w:lang w:eastAsia="en-US"/>
        </w:rPr>
        <w:t xml:space="preserve"> gydomų pacientų vidutinis kūno svoris, palyginti su pradiniu, reikšmingai sumažėjo, </w:t>
      </w:r>
      <w:proofErr w:type="spellStart"/>
      <w:r>
        <w:rPr>
          <w:rFonts w:eastAsia="TimesNewRoman"/>
          <w:sz w:val="22"/>
          <w:szCs w:val="22"/>
          <w:lang w:eastAsia="en-US"/>
        </w:rPr>
        <w:t>glimepiridu</w:t>
      </w:r>
      <w:proofErr w:type="spellEnd"/>
      <w:r>
        <w:rPr>
          <w:rFonts w:eastAsia="TimesNewRoman"/>
          <w:sz w:val="22"/>
          <w:szCs w:val="22"/>
          <w:lang w:eastAsia="en-US"/>
        </w:rPr>
        <w:t xml:space="preserve"> gydomų pacientų − reikšmingi padidėjo (atitinkamai -1,39 kg ir +1,29 kg).</w:t>
      </w:r>
    </w:p>
    <w:p w14:paraId="56C9F36C" w14:textId="77777777" w:rsidR="003F7CCA" w:rsidRDefault="003F7CCA">
      <w:pPr>
        <w:widowControl w:val="0"/>
        <w:autoSpaceDE w:val="0"/>
        <w:autoSpaceDN w:val="0"/>
        <w:adjustRightInd w:val="0"/>
        <w:rPr>
          <w:rFonts w:eastAsia="TimesNewRoman"/>
          <w:sz w:val="22"/>
          <w:szCs w:val="22"/>
          <w:lang w:eastAsia="en-US"/>
        </w:rPr>
      </w:pPr>
    </w:p>
    <w:p w14:paraId="1C8C6C8C" w14:textId="0FF104AD" w:rsidR="003F7CCA" w:rsidRDefault="0080197E">
      <w:pPr>
        <w:widowControl w:val="0"/>
        <w:autoSpaceDE w:val="0"/>
        <w:autoSpaceDN w:val="0"/>
        <w:adjustRightInd w:val="0"/>
        <w:rPr>
          <w:rFonts w:eastAsia="TimesNewRoman"/>
          <w:sz w:val="22"/>
          <w:szCs w:val="22"/>
          <w:u w:val="single"/>
          <w:lang w:eastAsia="en-US"/>
        </w:rPr>
      </w:pPr>
      <w:r>
        <w:rPr>
          <w:rFonts w:eastAsia="TimesNewRoman"/>
          <w:sz w:val="22"/>
          <w:szCs w:val="22"/>
          <w:u w:val="single"/>
          <w:lang w:eastAsia="en-US"/>
        </w:rPr>
        <w:t xml:space="preserve">Gydymo papildymas </w:t>
      </w:r>
      <w:proofErr w:type="spellStart"/>
      <w:r>
        <w:rPr>
          <w:rFonts w:eastAsia="TimesNewRoman"/>
          <w:sz w:val="22"/>
          <w:szCs w:val="22"/>
          <w:u w:val="single"/>
          <w:lang w:eastAsia="en-US"/>
        </w:rPr>
        <w:t>linagliptinu</w:t>
      </w:r>
      <w:proofErr w:type="spellEnd"/>
      <w:r>
        <w:rPr>
          <w:rFonts w:eastAsia="TimesNewRoman"/>
          <w:sz w:val="22"/>
          <w:szCs w:val="22"/>
          <w:u w:val="single"/>
          <w:lang w:eastAsia="en-US"/>
        </w:rPr>
        <w:t xml:space="preserve"> senyviems (</w:t>
      </w:r>
      <w:r w:rsidRPr="00A6463E">
        <w:rPr>
          <w:color w:val="000000"/>
          <w:sz w:val="22"/>
          <w:szCs w:val="22"/>
          <w:u w:val="single"/>
          <w:lang w:eastAsia="sl-SI"/>
        </w:rPr>
        <w:t>≥ </w:t>
      </w:r>
      <w:r>
        <w:rPr>
          <w:rFonts w:eastAsia="TimesNewRoman"/>
          <w:sz w:val="22"/>
          <w:szCs w:val="22"/>
          <w:u w:val="single"/>
          <w:lang w:eastAsia="en-US"/>
        </w:rPr>
        <w:t xml:space="preserve">70 metų) </w:t>
      </w:r>
      <w:r w:rsidR="0047416A">
        <w:rPr>
          <w:rFonts w:eastAsia="TimesNewRoman"/>
          <w:sz w:val="22"/>
          <w:szCs w:val="22"/>
          <w:u w:val="single"/>
          <w:lang w:eastAsia="en-US"/>
        </w:rPr>
        <w:t>pacientams</w:t>
      </w:r>
      <w:r>
        <w:rPr>
          <w:rFonts w:eastAsia="TimesNewRoman"/>
          <w:sz w:val="22"/>
          <w:szCs w:val="22"/>
          <w:u w:val="single"/>
          <w:lang w:eastAsia="en-US"/>
        </w:rPr>
        <w:t>, sergantiems 2 tipo cukriniu diabetu</w:t>
      </w:r>
    </w:p>
    <w:p w14:paraId="522D096E" w14:textId="238A6BE8" w:rsidR="003F7CCA" w:rsidRDefault="0080197E">
      <w:pPr>
        <w:widowControl w:val="0"/>
        <w:autoSpaceDE w:val="0"/>
        <w:autoSpaceDN w:val="0"/>
        <w:adjustRightInd w:val="0"/>
        <w:rPr>
          <w:rFonts w:eastAsia="TimesNewRoman"/>
          <w:sz w:val="22"/>
          <w:szCs w:val="22"/>
          <w:lang w:eastAsia="en-US"/>
        </w:rPr>
      </w:pPr>
      <w:proofErr w:type="spellStart"/>
      <w:r>
        <w:rPr>
          <w:rFonts w:eastAsia="TimesNewRoman"/>
          <w:sz w:val="22"/>
          <w:szCs w:val="22"/>
          <w:lang w:eastAsia="en-US"/>
        </w:rPr>
        <w:t>Linagliptino</w:t>
      </w:r>
      <w:proofErr w:type="spellEnd"/>
      <w:r>
        <w:rPr>
          <w:rFonts w:eastAsia="TimesNewRoman"/>
          <w:sz w:val="22"/>
          <w:szCs w:val="22"/>
          <w:lang w:eastAsia="en-US"/>
        </w:rPr>
        <w:t xml:space="preserve"> veiksmingumas ir saugumas 2 tipo cukriniu diabetu sergantiems senyviems (</w:t>
      </w:r>
      <w:r w:rsidRPr="00A6463E">
        <w:rPr>
          <w:color w:val="000000"/>
          <w:sz w:val="22"/>
          <w:szCs w:val="22"/>
          <w:lang w:eastAsia="sl-SI"/>
        </w:rPr>
        <w:t>≥ </w:t>
      </w:r>
      <w:r>
        <w:rPr>
          <w:rFonts w:eastAsia="TimesNewRoman"/>
          <w:sz w:val="22"/>
          <w:szCs w:val="22"/>
          <w:lang w:eastAsia="en-US"/>
        </w:rPr>
        <w:t xml:space="preserve">70 metų) </w:t>
      </w:r>
      <w:r w:rsidR="0047416A">
        <w:rPr>
          <w:rFonts w:eastAsia="TimesNewRoman"/>
          <w:sz w:val="22"/>
          <w:szCs w:val="22"/>
          <w:lang w:eastAsia="en-US"/>
        </w:rPr>
        <w:t xml:space="preserve">pacientams </w:t>
      </w:r>
      <w:r>
        <w:rPr>
          <w:rFonts w:eastAsia="TimesNewRoman"/>
          <w:sz w:val="22"/>
          <w:szCs w:val="22"/>
          <w:lang w:eastAsia="en-US"/>
        </w:rPr>
        <w:t xml:space="preserve">buvo vertinamas 24 savaičių trukmės dvigubai aklu tyrimu. Foninis gydymas buvo taikomas </w:t>
      </w:r>
      <w:proofErr w:type="spellStart"/>
      <w:r>
        <w:rPr>
          <w:rFonts w:eastAsia="TimesNewRoman"/>
          <w:sz w:val="22"/>
          <w:szCs w:val="22"/>
          <w:lang w:eastAsia="en-US"/>
        </w:rPr>
        <w:t>metforminu</w:t>
      </w:r>
      <w:proofErr w:type="spellEnd"/>
      <w:r>
        <w:rPr>
          <w:rFonts w:eastAsia="TimesNewRoman"/>
          <w:sz w:val="22"/>
          <w:szCs w:val="22"/>
          <w:lang w:eastAsia="en-US"/>
        </w:rPr>
        <w:t xml:space="preserve"> ir (arba) </w:t>
      </w:r>
      <w:proofErr w:type="spellStart"/>
      <w:r>
        <w:rPr>
          <w:rFonts w:eastAsia="TimesNewRoman"/>
          <w:sz w:val="22"/>
          <w:szCs w:val="22"/>
          <w:lang w:eastAsia="en-US"/>
        </w:rPr>
        <w:t>sulfonilurėjos</w:t>
      </w:r>
      <w:proofErr w:type="spellEnd"/>
      <w:r>
        <w:rPr>
          <w:rFonts w:eastAsia="TimesNewRoman"/>
          <w:sz w:val="22"/>
          <w:szCs w:val="22"/>
          <w:lang w:eastAsia="en-US"/>
        </w:rPr>
        <w:t xml:space="preserve"> dariniu ir (arba) insulinu. Foniniam antidiabetiniam gydymui vartojamos dozės pirmųjų 12 gydymo savaičių laikotarpiu buvo stabilios, po to buvo leidžiama jas koreguoti. </w:t>
      </w:r>
      <w:proofErr w:type="spellStart"/>
      <w:r>
        <w:rPr>
          <w:rFonts w:eastAsia="TimesNewRoman"/>
          <w:sz w:val="22"/>
          <w:szCs w:val="22"/>
          <w:lang w:eastAsia="en-US"/>
        </w:rPr>
        <w:t>Linagliptinas</w:t>
      </w:r>
      <w:proofErr w:type="spellEnd"/>
      <w:r>
        <w:rPr>
          <w:rFonts w:eastAsia="TimesNewRoman"/>
          <w:sz w:val="22"/>
          <w:szCs w:val="22"/>
          <w:lang w:eastAsia="en-US"/>
        </w:rPr>
        <w:t xml:space="preserve"> reikšmingai pagerino HbA1c kiekį (-0,64 % pokytis, palyginti su placebo sukeltu, po 24 gydymo savaičių), kai vidutinis pradinis HbA1c kiekis buvo 7,8 %. Be to, </w:t>
      </w:r>
      <w:proofErr w:type="spellStart"/>
      <w:r>
        <w:rPr>
          <w:rFonts w:eastAsia="TimesNewRoman"/>
          <w:sz w:val="22"/>
          <w:szCs w:val="22"/>
          <w:lang w:eastAsia="en-US"/>
        </w:rPr>
        <w:t>linagliptinas</w:t>
      </w:r>
      <w:proofErr w:type="spellEnd"/>
      <w:r>
        <w:rPr>
          <w:rFonts w:eastAsia="TimesNewRoman"/>
          <w:sz w:val="22"/>
          <w:szCs w:val="22"/>
          <w:lang w:eastAsia="en-US"/>
        </w:rPr>
        <w:t xml:space="preserve">, palyginti su placebu, reikšmingai pagerino gliukozės </w:t>
      </w:r>
      <w:r w:rsidR="00F26E8E">
        <w:rPr>
          <w:rFonts w:eastAsia="TimesNewRoman"/>
          <w:sz w:val="22"/>
          <w:szCs w:val="22"/>
          <w:lang w:eastAsia="en-US"/>
        </w:rPr>
        <w:t xml:space="preserve">koncentraciją </w:t>
      </w:r>
      <w:r>
        <w:rPr>
          <w:rFonts w:eastAsia="TimesNewRoman"/>
          <w:sz w:val="22"/>
          <w:szCs w:val="22"/>
          <w:lang w:eastAsia="en-US"/>
        </w:rPr>
        <w:t>kraujo plazmoje nevalgius (GPN). Tiriamųjų kūno svoris tarp grupių reikšmingai nesiskyrė.</w:t>
      </w:r>
    </w:p>
    <w:p w14:paraId="24CFA13F" w14:textId="77777777" w:rsidR="003F7CCA" w:rsidRDefault="003F7CCA">
      <w:pPr>
        <w:widowControl w:val="0"/>
        <w:autoSpaceDE w:val="0"/>
        <w:autoSpaceDN w:val="0"/>
        <w:adjustRightInd w:val="0"/>
        <w:rPr>
          <w:rFonts w:eastAsia="TimesNewRoman"/>
          <w:sz w:val="22"/>
          <w:szCs w:val="22"/>
          <w:lang w:eastAsia="en-US"/>
        </w:rPr>
      </w:pPr>
    </w:p>
    <w:p w14:paraId="4C69B106" w14:textId="77777777"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2 tipo cukriniu diabetu sergančių senyvų (</w:t>
      </w:r>
      <w:r w:rsidRPr="00A6463E">
        <w:rPr>
          <w:color w:val="000000"/>
          <w:sz w:val="22"/>
          <w:szCs w:val="22"/>
          <w:lang w:eastAsia="sl-SI"/>
        </w:rPr>
        <w:t>≥ </w:t>
      </w:r>
      <w:r>
        <w:rPr>
          <w:rFonts w:eastAsia="TimesNewRoman"/>
          <w:sz w:val="22"/>
          <w:szCs w:val="22"/>
          <w:lang w:eastAsia="en-US"/>
        </w:rPr>
        <w:t xml:space="preserve">70 metų) pacientų (n = 183), kuriems buvo taikomas foninis gydymas </w:t>
      </w:r>
      <w:proofErr w:type="spellStart"/>
      <w:r>
        <w:rPr>
          <w:rFonts w:eastAsia="TimesNewRoman"/>
          <w:sz w:val="22"/>
          <w:szCs w:val="22"/>
          <w:lang w:eastAsia="en-US"/>
        </w:rPr>
        <w:t>metforminu</w:t>
      </w:r>
      <w:proofErr w:type="spellEnd"/>
      <w:r>
        <w:rPr>
          <w:rFonts w:eastAsia="TimesNewRoman"/>
          <w:sz w:val="22"/>
          <w:szCs w:val="22"/>
          <w:lang w:eastAsia="en-US"/>
        </w:rPr>
        <w:t xml:space="preserve"> ir baziniu insulinu, bendros analizės duomenimis, </w:t>
      </w:r>
      <w:proofErr w:type="spellStart"/>
      <w:r>
        <w:rPr>
          <w:rFonts w:eastAsia="TimesNewRoman"/>
          <w:sz w:val="22"/>
          <w:szCs w:val="22"/>
          <w:lang w:eastAsia="en-US"/>
        </w:rPr>
        <w:t>linagliptino</w:t>
      </w:r>
      <w:proofErr w:type="spellEnd"/>
      <w:r>
        <w:rPr>
          <w:rFonts w:eastAsia="TimesNewRoman"/>
          <w:sz w:val="22"/>
          <w:szCs w:val="22"/>
          <w:lang w:eastAsia="en-US"/>
        </w:rPr>
        <w:t xml:space="preserve"> derinys su </w:t>
      </w:r>
      <w:proofErr w:type="spellStart"/>
      <w:r>
        <w:rPr>
          <w:rFonts w:eastAsia="TimesNewRoman"/>
          <w:sz w:val="22"/>
          <w:szCs w:val="22"/>
          <w:lang w:eastAsia="en-US"/>
        </w:rPr>
        <w:t>metforminu</w:t>
      </w:r>
      <w:proofErr w:type="spellEnd"/>
      <w:r>
        <w:rPr>
          <w:rFonts w:eastAsia="TimesNewRoman"/>
          <w:sz w:val="22"/>
          <w:szCs w:val="22"/>
          <w:lang w:eastAsia="en-US"/>
        </w:rPr>
        <w:t xml:space="preserve"> ir insulinu, palyginti su placebo deriniu su </w:t>
      </w:r>
      <w:proofErr w:type="spellStart"/>
      <w:r>
        <w:rPr>
          <w:rFonts w:eastAsia="TimesNewRoman"/>
          <w:sz w:val="22"/>
          <w:szCs w:val="22"/>
          <w:lang w:eastAsia="en-US"/>
        </w:rPr>
        <w:t>metforminu</w:t>
      </w:r>
      <w:proofErr w:type="spellEnd"/>
      <w:r>
        <w:rPr>
          <w:rFonts w:eastAsia="TimesNewRoman"/>
          <w:sz w:val="22"/>
          <w:szCs w:val="22"/>
          <w:lang w:eastAsia="en-US"/>
        </w:rPr>
        <w:t xml:space="preserve"> ir insulinu, reikšmingai pagerino HbA1c parametrus: koreguotas vidutinis pokytis, palyginti su pradiniu (vidutinis pradinis HbA1c kiekis: 8,13 %), buvo -0,81 </w:t>
      </w:r>
      <w:r w:rsidRPr="00A6463E">
        <w:rPr>
          <w:color w:val="000000"/>
          <w:sz w:val="22"/>
          <w:szCs w:val="22"/>
          <w:lang w:eastAsia="sl-SI"/>
        </w:rPr>
        <w:t>%</w:t>
      </w:r>
      <w:r>
        <w:rPr>
          <w:rFonts w:eastAsia="TimesNewRoman"/>
          <w:sz w:val="22"/>
          <w:szCs w:val="22"/>
          <w:lang w:eastAsia="en-US"/>
        </w:rPr>
        <w:t xml:space="preserve"> (PI: -1,01; -0,61).</w:t>
      </w:r>
    </w:p>
    <w:p w14:paraId="0DB9036E" w14:textId="77777777" w:rsidR="003F7CCA" w:rsidRDefault="003F7CCA">
      <w:pPr>
        <w:widowControl w:val="0"/>
        <w:autoSpaceDE w:val="0"/>
        <w:autoSpaceDN w:val="0"/>
        <w:adjustRightInd w:val="0"/>
        <w:rPr>
          <w:rFonts w:eastAsia="TimesNewRoman"/>
          <w:sz w:val="22"/>
          <w:szCs w:val="22"/>
          <w:lang w:eastAsia="en-US"/>
        </w:rPr>
      </w:pPr>
    </w:p>
    <w:p w14:paraId="0DC55B0C" w14:textId="77777777" w:rsidR="003F7CCA" w:rsidRDefault="0080197E">
      <w:pPr>
        <w:widowControl w:val="0"/>
        <w:autoSpaceDE w:val="0"/>
        <w:autoSpaceDN w:val="0"/>
        <w:adjustRightInd w:val="0"/>
        <w:rPr>
          <w:rFonts w:eastAsia="TimesNewRoman"/>
          <w:sz w:val="22"/>
          <w:szCs w:val="22"/>
          <w:u w:val="single"/>
          <w:lang w:eastAsia="en-US"/>
        </w:rPr>
      </w:pPr>
      <w:proofErr w:type="spellStart"/>
      <w:r>
        <w:rPr>
          <w:rFonts w:eastAsia="TimesNewRoman"/>
          <w:sz w:val="22"/>
          <w:szCs w:val="22"/>
          <w:u w:val="single"/>
          <w:lang w:eastAsia="en-US"/>
        </w:rPr>
        <w:t>Linagliptino</w:t>
      </w:r>
      <w:proofErr w:type="spellEnd"/>
      <w:r>
        <w:rPr>
          <w:rFonts w:eastAsia="TimesNewRoman"/>
          <w:sz w:val="22"/>
          <w:szCs w:val="22"/>
          <w:u w:val="single"/>
          <w:lang w:eastAsia="en-US"/>
        </w:rPr>
        <w:t xml:space="preserve"> saugumo širdies ir kraujagyslių sistemai bei inkstams tyrimas (CARMELINA)</w:t>
      </w:r>
    </w:p>
    <w:p w14:paraId="674284CB" w14:textId="388A097D"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CARMELINA buvo atsitiktinių imčių tyrimas, kuriame dalyvavo 6 979 pacientai, sergantys 2 tipo</w:t>
      </w:r>
      <w:r w:rsidR="00016A23">
        <w:rPr>
          <w:rFonts w:eastAsia="TimesNewRoman"/>
          <w:sz w:val="22"/>
          <w:szCs w:val="22"/>
          <w:lang w:eastAsia="en-US"/>
        </w:rPr>
        <w:t xml:space="preserve"> cukriniu</w:t>
      </w:r>
      <w:r>
        <w:rPr>
          <w:rFonts w:eastAsia="TimesNewRoman"/>
          <w:sz w:val="22"/>
          <w:szCs w:val="22"/>
          <w:lang w:eastAsia="en-US"/>
        </w:rPr>
        <w:t xml:space="preserve"> diabetu ir turintys padidintą su ŠKS susijusią riziką, kurią parodė nustatyta </w:t>
      </w:r>
      <w:proofErr w:type="spellStart"/>
      <w:r>
        <w:rPr>
          <w:rFonts w:eastAsia="TimesNewRoman"/>
          <w:sz w:val="22"/>
          <w:szCs w:val="22"/>
          <w:lang w:eastAsia="en-US"/>
        </w:rPr>
        <w:t>makrovaskulinė</w:t>
      </w:r>
      <w:proofErr w:type="spellEnd"/>
      <w:r>
        <w:rPr>
          <w:rFonts w:eastAsia="TimesNewRoman"/>
          <w:sz w:val="22"/>
          <w:szCs w:val="22"/>
          <w:lang w:eastAsia="en-US"/>
        </w:rPr>
        <w:t xml:space="preserve"> arba inkstų liga anamnezėje. Pacientai vartojo 5 mg </w:t>
      </w:r>
      <w:proofErr w:type="spellStart"/>
      <w:r>
        <w:rPr>
          <w:rFonts w:eastAsia="TimesNewRoman"/>
          <w:sz w:val="22"/>
          <w:szCs w:val="22"/>
          <w:lang w:eastAsia="en-US"/>
        </w:rPr>
        <w:t>linagliptino</w:t>
      </w:r>
      <w:proofErr w:type="spellEnd"/>
      <w:r>
        <w:rPr>
          <w:rFonts w:eastAsia="TimesNewRoman"/>
          <w:sz w:val="22"/>
          <w:szCs w:val="22"/>
          <w:lang w:eastAsia="en-US"/>
        </w:rPr>
        <w:t xml:space="preserve"> (3 494) arba placebą (3 485), šiuos vaistinius preparatus skiriant papildomai prie standartinio gydymo, taikomo atsižvelgiant į regionui nustatytą HbA1c normą, su ŠKS susijusius rizikos veiksnius ir inkstų ligą. Tyrimo populiaciją sudarė 1 211 (17,4 %) pacientų, kurių amžius buvo ≥ 75 metų, ir 4 348 (62,3 %) pacientai, kurių sutrikusi inkstų funkcija. Maždaug 19 % populiacijos </w:t>
      </w:r>
      <w:proofErr w:type="spellStart"/>
      <w:r>
        <w:rPr>
          <w:rFonts w:eastAsia="TimesNewRoman"/>
          <w:sz w:val="22"/>
          <w:szCs w:val="22"/>
          <w:lang w:eastAsia="en-US"/>
        </w:rPr>
        <w:t>aGFG</w:t>
      </w:r>
      <w:proofErr w:type="spellEnd"/>
      <w:r>
        <w:rPr>
          <w:rFonts w:eastAsia="TimesNewRoman"/>
          <w:sz w:val="22"/>
          <w:szCs w:val="22"/>
          <w:lang w:eastAsia="en-US"/>
        </w:rPr>
        <w:t xml:space="preserve"> buvo nuo ≥ 45 iki &lt; 60 ml/min./1,73 m</w:t>
      </w:r>
      <w:r>
        <w:rPr>
          <w:rFonts w:eastAsia="TimesNewRoman"/>
          <w:sz w:val="22"/>
          <w:szCs w:val="22"/>
          <w:vertAlign w:val="superscript"/>
          <w:lang w:eastAsia="en-US"/>
        </w:rPr>
        <w:t>2</w:t>
      </w:r>
      <w:r>
        <w:rPr>
          <w:rFonts w:eastAsia="TimesNewRoman"/>
          <w:sz w:val="22"/>
          <w:szCs w:val="22"/>
          <w:lang w:eastAsia="en-US"/>
        </w:rPr>
        <w:t xml:space="preserve">, 28 % populiacijos </w:t>
      </w:r>
      <w:proofErr w:type="spellStart"/>
      <w:r>
        <w:rPr>
          <w:rFonts w:eastAsia="TimesNewRoman"/>
          <w:sz w:val="22"/>
          <w:szCs w:val="22"/>
          <w:lang w:eastAsia="en-US"/>
        </w:rPr>
        <w:t>aGFG</w:t>
      </w:r>
      <w:proofErr w:type="spellEnd"/>
      <w:r>
        <w:rPr>
          <w:rFonts w:eastAsia="TimesNewRoman"/>
          <w:sz w:val="22"/>
          <w:szCs w:val="22"/>
          <w:lang w:eastAsia="en-US"/>
        </w:rPr>
        <w:t xml:space="preserve"> buvo nuo ≥ 30 iki &lt; 45 ml/min./1,73 m</w:t>
      </w:r>
      <w:r>
        <w:rPr>
          <w:rFonts w:eastAsia="TimesNewRoman"/>
          <w:sz w:val="22"/>
          <w:szCs w:val="22"/>
          <w:vertAlign w:val="superscript"/>
          <w:lang w:eastAsia="en-US"/>
        </w:rPr>
        <w:t>2</w:t>
      </w:r>
      <w:r>
        <w:rPr>
          <w:rFonts w:eastAsia="TimesNewRoman"/>
          <w:sz w:val="22"/>
          <w:szCs w:val="22"/>
          <w:lang w:eastAsia="en-US"/>
        </w:rPr>
        <w:t xml:space="preserve">, o 15 % </w:t>
      </w:r>
      <w:proofErr w:type="spellStart"/>
      <w:r>
        <w:rPr>
          <w:rFonts w:eastAsia="TimesNewRoman"/>
          <w:sz w:val="22"/>
          <w:szCs w:val="22"/>
          <w:lang w:eastAsia="en-US"/>
        </w:rPr>
        <w:t>aGFG</w:t>
      </w:r>
      <w:proofErr w:type="spellEnd"/>
      <w:r>
        <w:rPr>
          <w:rFonts w:eastAsia="TimesNewRoman"/>
          <w:sz w:val="22"/>
          <w:szCs w:val="22"/>
          <w:lang w:eastAsia="en-US"/>
        </w:rPr>
        <w:t xml:space="preserve"> buvo &lt; 30 ml/min./1,73 m</w:t>
      </w:r>
      <w:r>
        <w:rPr>
          <w:rFonts w:eastAsia="TimesNewRoman"/>
          <w:sz w:val="22"/>
          <w:szCs w:val="22"/>
          <w:vertAlign w:val="superscript"/>
          <w:lang w:eastAsia="en-US"/>
        </w:rPr>
        <w:t>2</w:t>
      </w:r>
      <w:r>
        <w:rPr>
          <w:rFonts w:eastAsia="TimesNewRoman"/>
          <w:sz w:val="22"/>
          <w:szCs w:val="22"/>
          <w:lang w:eastAsia="en-US"/>
        </w:rPr>
        <w:t>. HbA1c vidurkis pradinio vertinimo metu siekė 8 %.</w:t>
      </w:r>
    </w:p>
    <w:p w14:paraId="7DED4ABE" w14:textId="77777777"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Tyrimas buvo skirtas įrodyti ne prastesnį rezultatą, vertinant pagal pirminę sudėtinę vertinamąją baigtį (poveikį širdies ir kraujagyslių sistemai), kurią sudarė pirmasis mirties dėl priežasčių, susijusių su širdies ir kraujagyslių ligomis, atvejis, arba nemirtinas miokardo infarktas (MI), arba nemirtinas insultas (3 kriterijų didieji nepageidaujami širdies ir kraujagyslių reiškiniai [angl. 3-point </w:t>
      </w:r>
      <w:proofErr w:type="spellStart"/>
      <w:r>
        <w:rPr>
          <w:rFonts w:eastAsia="TimesNewRoman"/>
          <w:sz w:val="22"/>
          <w:szCs w:val="22"/>
          <w:lang w:eastAsia="en-US"/>
        </w:rPr>
        <w:t>major</w:t>
      </w:r>
      <w:proofErr w:type="spellEnd"/>
      <w:r>
        <w:rPr>
          <w:rFonts w:eastAsia="TimesNewRoman"/>
          <w:sz w:val="22"/>
          <w:szCs w:val="22"/>
          <w:lang w:eastAsia="en-US"/>
        </w:rPr>
        <w:t xml:space="preserve"> </w:t>
      </w:r>
      <w:proofErr w:type="spellStart"/>
      <w:r>
        <w:rPr>
          <w:rFonts w:eastAsia="TimesNewRoman"/>
          <w:sz w:val="22"/>
          <w:szCs w:val="22"/>
          <w:lang w:eastAsia="en-US"/>
        </w:rPr>
        <w:t>adverse</w:t>
      </w:r>
      <w:proofErr w:type="spellEnd"/>
      <w:r>
        <w:rPr>
          <w:rFonts w:eastAsia="TimesNewRoman"/>
          <w:sz w:val="22"/>
          <w:szCs w:val="22"/>
          <w:lang w:eastAsia="en-US"/>
        </w:rPr>
        <w:t xml:space="preserve"> </w:t>
      </w:r>
      <w:proofErr w:type="spellStart"/>
      <w:r>
        <w:rPr>
          <w:rFonts w:eastAsia="TimesNewRoman"/>
          <w:sz w:val="22"/>
          <w:szCs w:val="22"/>
          <w:lang w:eastAsia="en-US"/>
        </w:rPr>
        <w:t>cardiovascular</w:t>
      </w:r>
      <w:proofErr w:type="spellEnd"/>
      <w:r>
        <w:rPr>
          <w:rFonts w:eastAsia="TimesNewRoman"/>
          <w:sz w:val="22"/>
          <w:szCs w:val="22"/>
          <w:lang w:eastAsia="en-US"/>
        </w:rPr>
        <w:t xml:space="preserve"> </w:t>
      </w:r>
      <w:proofErr w:type="spellStart"/>
      <w:r>
        <w:rPr>
          <w:rFonts w:eastAsia="TimesNewRoman"/>
          <w:sz w:val="22"/>
          <w:szCs w:val="22"/>
          <w:lang w:eastAsia="en-US"/>
        </w:rPr>
        <w:t>events</w:t>
      </w:r>
      <w:proofErr w:type="spellEnd"/>
      <w:r>
        <w:rPr>
          <w:rFonts w:eastAsia="TimesNewRoman"/>
          <w:sz w:val="22"/>
          <w:szCs w:val="22"/>
          <w:lang w:eastAsia="en-US"/>
        </w:rPr>
        <w:t xml:space="preserve">, 3P-MACE]). Poveikio inkstams sudėtinė vertinamoji baigtis apibūdinta kaip mirtis dėl inkstų ligos, ilgalaikė galutinės stadijos inkstų liga arba ilgalaikis </w:t>
      </w:r>
      <w:proofErr w:type="spellStart"/>
      <w:r>
        <w:rPr>
          <w:rFonts w:eastAsia="TimesNewRoman"/>
          <w:sz w:val="22"/>
          <w:szCs w:val="22"/>
          <w:lang w:eastAsia="en-US"/>
        </w:rPr>
        <w:t>aGFG</w:t>
      </w:r>
      <w:proofErr w:type="spellEnd"/>
      <w:r>
        <w:rPr>
          <w:rFonts w:eastAsia="TimesNewRoman"/>
          <w:sz w:val="22"/>
          <w:szCs w:val="22"/>
          <w:lang w:eastAsia="en-US"/>
        </w:rPr>
        <w:t xml:space="preserve"> sumažėjimas 40 % arba daugiau.</w:t>
      </w:r>
    </w:p>
    <w:p w14:paraId="1359438D" w14:textId="77777777" w:rsidR="003F7CCA" w:rsidRDefault="003F7CCA">
      <w:pPr>
        <w:widowControl w:val="0"/>
        <w:autoSpaceDE w:val="0"/>
        <w:autoSpaceDN w:val="0"/>
        <w:adjustRightInd w:val="0"/>
        <w:rPr>
          <w:rFonts w:eastAsia="TimesNewRoman"/>
          <w:sz w:val="22"/>
          <w:szCs w:val="22"/>
          <w:lang w:eastAsia="en-US"/>
        </w:rPr>
      </w:pPr>
    </w:p>
    <w:p w14:paraId="62813AAF" w14:textId="77777777" w:rsidR="003F7CCA" w:rsidRDefault="0080197E">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Po stebėjimo laikotarpio, kurio mediana 2,2 metų, </w:t>
      </w:r>
      <w:proofErr w:type="spellStart"/>
      <w:r>
        <w:rPr>
          <w:rFonts w:eastAsia="TimesNewRoman"/>
          <w:sz w:val="22"/>
          <w:szCs w:val="22"/>
          <w:lang w:eastAsia="en-US"/>
        </w:rPr>
        <w:t>linagliptinas</w:t>
      </w:r>
      <w:proofErr w:type="spellEnd"/>
      <w:r>
        <w:rPr>
          <w:rFonts w:eastAsia="TimesNewRoman"/>
          <w:sz w:val="22"/>
          <w:szCs w:val="22"/>
          <w:lang w:eastAsia="en-US"/>
        </w:rPr>
        <w:t xml:space="preserve">, juo papildant standartinį gydymą, pagrindinių nepageidaujamų širdies ir kraujagyslių reiškinių arba su inkstais susijusių išeičių rizikos nedidino. Lyginant su standartiniu 2 tipo cukrinio diabeto gydymu be </w:t>
      </w:r>
      <w:proofErr w:type="spellStart"/>
      <w:r>
        <w:rPr>
          <w:rFonts w:eastAsia="TimesNewRoman"/>
          <w:sz w:val="22"/>
          <w:szCs w:val="22"/>
          <w:lang w:eastAsia="en-US"/>
        </w:rPr>
        <w:t>linagliptino</w:t>
      </w:r>
      <w:proofErr w:type="spellEnd"/>
      <w:r>
        <w:rPr>
          <w:rFonts w:eastAsia="TimesNewRoman"/>
          <w:sz w:val="22"/>
          <w:szCs w:val="22"/>
          <w:lang w:eastAsia="en-US"/>
        </w:rPr>
        <w:t>, hospitalizacijos dėl širdies nepakankamumo rizikos, kuri buvo papildoma vertinamoji baigtis (įvertinimą atliko nepriklausomas vertinimo komitetas), padidėjimo nepastebėta (žr. 4 lentelę).</w:t>
      </w:r>
    </w:p>
    <w:p w14:paraId="12B529D6" w14:textId="77777777" w:rsidR="003F7CCA" w:rsidRDefault="003F7CCA">
      <w:pPr>
        <w:widowControl w:val="0"/>
        <w:autoSpaceDE w:val="0"/>
        <w:autoSpaceDN w:val="0"/>
        <w:adjustRightInd w:val="0"/>
        <w:rPr>
          <w:rFonts w:eastAsia="TimesNewRoman"/>
          <w:sz w:val="22"/>
          <w:szCs w:val="22"/>
          <w:lang w:eastAsia="en-US"/>
        </w:rPr>
      </w:pPr>
    </w:p>
    <w:p w14:paraId="4B12BD8D" w14:textId="77777777" w:rsidR="003F7CCA" w:rsidRDefault="0080197E">
      <w:pPr>
        <w:widowControl w:val="0"/>
        <w:autoSpaceDE w:val="0"/>
        <w:autoSpaceDN w:val="0"/>
        <w:adjustRightInd w:val="0"/>
        <w:ind w:left="1440" w:hanging="1440"/>
        <w:rPr>
          <w:sz w:val="22"/>
          <w:szCs w:val="22"/>
        </w:rPr>
      </w:pPr>
      <w:r>
        <w:rPr>
          <w:rFonts w:eastAsia="TimesNewRoman"/>
          <w:sz w:val="22"/>
          <w:szCs w:val="22"/>
          <w:lang w:eastAsia="en-US"/>
        </w:rPr>
        <w:t>4 lentelė:</w:t>
      </w:r>
      <w:r>
        <w:rPr>
          <w:rFonts w:eastAsia="TimesNewRoman"/>
          <w:sz w:val="22"/>
          <w:szCs w:val="22"/>
          <w:lang w:eastAsia="en-US"/>
        </w:rPr>
        <w:tab/>
      </w:r>
      <w:r>
        <w:rPr>
          <w:sz w:val="22"/>
          <w:szCs w:val="22"/>
        </w:rPr>
        <w:t>Su širdimi ir kraujagyslėmis bei inkstais susijusios išeitys pagal gydymo grupę CARMELINA tyrimo metu</w:t>
      </w:r>
    </w:p>
    <w:p w14:paraId="28FE96A7" w14:textId="77777777" w:rsidR="003F7CCA" w:rsidRDefault="003F7CCA">
      <w:pPr>
        <w:widowControl w:val="0"/>
        <w:autoSpaceDE w:val="0"/>
        <w:autoSpaceDN w:val="0"/>
        <w:adjustRightInd w:val="0"/>
        <w:ind w:left="1440" w:hanging="1440"/>
        <w:rPr>
          <w:sz w:val="22"/>
          <w:szCs w:val="22"/>
        </w:rPr>
      </w:pPr>
    </w:p>
    <w:tbl>
      <w:tblPr>
        <w:tblStyle w:val="TableGrid4"/>
        <w:tblW w:w="9288" w:type="dxa"/>
        <w:tblInd w:w="-108" w:type="dxa"/>
        <w:tblCellMar>
          <w:top w:w="51" w:type="dxa"/>
          <w:left w:w="108" w:type="dxa"/>
          <w:right w:w="96" w:type="dxa"/>
        </w:tblCellMar>
        <w:tblLook w:val="04A0" w:firstRow="1" w:lastRow="0" w:firstColumn="1" w:lastColumn="0" w:noHBand="0" w:noVBand="1"/>
      </w:tblPr>
      <w:tblGrid>
        <w:gridCol w:w="2019"/>
        <w:gridCol w:w="1452"/>
        <w:gridCol w:w="1454"/>
        <w:gridCol w:w="1454"/>
        <w:gridCol w:w="1455"/>
        <w:gridCol w:w="1454"/>
      </w:tblGrid>
      <w:tr w:rsidR="003F7CCA" w14:paraId="44F4CF90" w14:textId="77777777">
        <w:trPr>
          <w:trHeight w:val="516"/>
        </w:trPr>
        <w:tc>
          <w:tcPr>
            <w:tcW w:w="2019" w:type="dxa"/>
            <w:vMerge w:val="restart"/>
            <w:tcBorders>
              <w:top w:val="single" w:sz="4" w:space="0" w:color="000000"/>
              <w:left w:val="single" w:sz="4" w:space="0" w:color="000000"/>
              <w:bottom w:val="single" w:sz="4" w:space="0" w:color="000000"/>
              <w:right w:val="single" w:sz="4" w:space="0" w:color="000000"/>
            </w:tcBorders>
          </w:tcPr>
          <w:p w14:paraId="49E642A2" w14:textId="77777777" w:rsidR="003F7CCA" w:rsidRDefault="003F7CCA">
            <w:pPr>
              <w:spacing w:after="160" w:line="259" w:lineRule="auto"/>
              <w:rPr>
                <w:lang w:eastAsia="sl-SI"/>
              </w:rPr>
            </w:pPr>
          </w:p>
        </w:tc>
        <w:tc>
          <w:tcPr>
            <w:tcW w:w="2906" w:type="dxa"/>
            <w:gridSpan w:val="2"/>
            <w:tcBorders>
              <w:top w:val="single" w:sz="4" w:space="0" w:color="000000"/>
              <w:left w:val="single" w:sz="4" w:space="0" w:color="000000"/>
              <w:bottom w:val="single" w:sz="4" w:space="0" w:color="000000"/>
              <w:right w:val="single" w:sz="4" w:space="0" w:color="000000"/>
            </w:tcBorders>
          </w:tcPr>
          <w:p w14:paraId="21972303" w14:textId="77777777" w:rsidR="003F7CCA" w:rsidRDefault="0080197E">
            <w:pPr>
              <w:spacing w:line="259" w:lineRule="auto"/>
              <w:ind w:right="12"/>
              <w:jc w:val="center"/>
              <w:rPr>
                <w:lang w:eastAsia="sl-SI"/>
              </w:rPr>
            </w:pPr>
            <w:r>
              <w:rPr>
                <w:b/>
                <w:lang w:eastAsia="sl-SI"/>
              </w:rPr>
              <w:t>Linagliptinas 5 mg</w:t>
            </w:r>
          </w:p>
        </w:tc>
        <w:tc>
          <w:tcPr>
            <w:tcW w:w="2909" w:type="dxa"/>
            <w:gridSpan w:val="2"/>
            <w:tcBorders>
              <w:top w:val="single" w:sz="4" w:space="0" w:color="000000"/>
              <w:left w:val="single" w:sz="4" w:space="0" w:color="000000"/>
              <w:bottom w:val="single" w:sz="4" w:space="0" w:color="000000"/>
              <w:right w:val="single" w:sz="4" w:space="0" w:color="000000"/>
            </w:tcBorders>
          </w:tcPr>
          <w:p w14:paraId="3E26DB9E" w14:textId="77777777" w:rsidR="003F7CCA" w:rsidRDefault="0080197E">
            <w:pPr>
              <w:spacing w:line="259" w:lineRule="auto"/>
              <w:ind w:right="10"/>
              <w:jc w:val="center"/>
              <w:rPr>
                <w:lang w:eastAsia="sl-SI"/>
              </w:rPr>
            </w:pPr>
            <w:r>
              <w:rPr>
                <w:b/>
                <w:lang w:eastAsia="sl-SI"/>
              </w:rPr>
              <w:t>Placebas</w:t>
            </w:r>
          </w:p>
        </w:tc>
        <w:tc>
          <w:tcPr>
            <w:tcW w:w="1454" w:type="dxa"/>
            <w:tcBorders>
              <w:top w:val="single" w:sz="4" w:space="0" w:color="000000"/>
              <w:left w:val="single" w:sz="4" w:space="0" w:color="000000"/>
              <w:bottom w:val="single" w:sz="4" w:space="0" w:color="000000"/>
              <w:right w:val="single" w:sz="4" w:space="0" w:color="000000"/>
            </w:tcBorders>
          </w:tcPr>
          <w:p w14:paraId="73C418B5" w14:textId="77777777" w:rsidR="003F7CCA" w:rsidRDefault="0080197E">
            <w:pPr>
              <w:spacing w:line="259" w:lineRule="auto"/>
              <w:ind w:left="6"/>
              <w:jc w:val="center"/>
              <w:rPr>
                <w:b/>
                <w:bCs/>
                <w:lang w:eastAsia="sl-SI"/>
              </w:rPr>
            </w:pPr>
            <w:r>
              <w:rPr>
                <w:b/>
                <w:bCs/>
                <w:lang w:eastAsia="sl-SI"/>
              </w:rPr>
              <w:t>Rizikos santykis</w:t>
            </w:r>
          </w:p>
        </w:tc>
      </w:tr>
      <w:tr w:rsidR="003F7CCA" w14:paraId="75172F1A" w14:textId="77777777">
        <w:trPr>
          <w:trHeight w:val="770"/>
        </w:trPr>
        <w:tc>
          <w:tcPr>
            <w:tcW w:w="0" w:type="auto"/>
            <w:vMerge/>
            <w:tcBorders>
              <w:top w:val="nil"/>
              <w:left w:val="single" w:sz="4" w:space="0" w:color="000000"/>
              <w:bottom w:val="single" w:sz="4" w:space="0" w:color="000000"/>
              <w:right w:val="single" w:sz="4" w:space="0" w:color="000000"/>
            </w:tcBorders>
          </w:tcPr>
          <w:p w14:paraId="7ECBB23B" w14:textId="77777777" w:rsidR="003F7CCA" w:rsidRDefault="003F7CCA">
            <w:pPr>
              <w:spacing w:after="160" w:line="259" w:lineRule="auto"/>
              <w:rPr>
                <w:lang w:eastAsia="sl-SI"/>
              </w:rPr>
            </w:pPr>
          </w:p>
        </w:tc>
        <w:tc>
          <w:tcPr>
            <w:tcW w:w="1452" w:type="dxa"/>
            <w:tcBorders>
              <w:top w:val="single" w:sz="4" w:space="0" w:color="000000"/>
              <w:left w:val="single" w:sz="4" w:space="0" w:color="000000"/>
              <w:bottom w:val="single" w:sz="4" w:space="0" w:color="000000"/>
              <w:right w:val="single" w:sz="4" w:space="0" w:color="000000"/>
            </w:tcBorders>
          </w:tcPr>
          <w:p w14:paraId="6781895A" w14:textId="77777777" w:rsidR="003F7CCA" w:rsidRDefault="0080197E">
            <w:pPr>
              <w:spacing w:line="259" w:lineRule="auto"/>
              <w:jc w:val="center"/>
              <w:rPr>
                <w:lang w:eastAsia="sl-SI"/>
              </w:rPr>
            </w:pPr>
            <w:r>
              <w:rPr>
                <w:lang w:eastAsia="sl-SI"/>
              </w:rPr>
              <w:t>Tiriamųjų skaičius (%)</w:t>
            </w:r>
          </w:p>
        </w:tc>
        <w:tc>
          <w:tcPr>
            <w:tcW w:w="1454" w:type="dxa"/>
            <w:tcBorders>
              <w:top w:val="single" w:sz="4" w:space="0" w:color="000000"/>
              <w:left w:val="single" w:sz="4" w:space="0" w:color="000000"/>
              <w:bottom w:val="single" w:sz="4" w:space="0" w:color="000000"/>
              <w:right w:val="single" w:sz="4" w:space="0" w:color="000000"/>
            </w:tcBorders>
          </w:tcPr>
          <w:p w14:paraId="6F7F2EB7" w14:textId="77777777" w:rsidR="003F7CCA" w:rsidRDefault="0080197E">
            <w:pPr>
              <w:spacing w:line="259" w:lineRule="auto"/>
              <w:ind w:right="14"/>
              <w:jc w:val="center"/>
              <w:rPr>
                <w:lang w:eastAsia="sl-SI"/>
              </w:rPr>
            </w:pPr>
            <w:r>
              <w:rPr>
                <w:lang w:eastAsia="sl-SI"/>
              </w:rPr>
              <w:t>Įvykių dažnis per</w:t>
            </w:r>
          </w:p>
          <w:p w14:paraId="7D300755" w14:textId="77777777" w:rsidR="003F7CCA" w:rsidRDefault="0080197E">
            <w:pPr>
              <w:spacing w:line="259" w:lineRule="auto"/>
              <w:ind w:right="10"/>
              <w:jc w:val="center"/>
              <w:rPr>
                <w:lang w:eastAsia="sl-SI"/>
              </w:rPr>
            </w:pPr>
            <w:r>
              <w:rPr>
                <w:lang w:eastAsia="sl-SI"/>
              </w:rPr>
              <w:t>1 000 SPM*</w:t>
            </w:r>
          </w:p>
        </w:tc>
        <w:tc>
          <w:tcPr>
            <w:tcW w:w="1454" w:type="dxa"/>
            <w:tcBorders>
              <w:top w:val="single" w:sz="4" w:space="0" w:color="000000"/>
              <w:left w:val="single" w:sz="4" w:space="0" w:color="000000"/>
              <w:bottom w:val="single" w:sz="4" w:space="0" w:color="000000"/>
              <w:right w:val="single" w:sz="4" w:space="0" w:color="000000"/>
            </w:tcBorders>
          </w:tcPr>
          <w:p w14:paraId="3696349A" w14:textId="77777777" w:rsidR="003F7CCA" w:rsidRDefault="0080197E">
            <w:pPr>
              <w:spacing w:line="259" w:lineRule="auto"/>
              <w:jc w:val="center"/>
              <w:rPr>
                <w:lang w:eastAsia="sl-SI"/>
              </w:rPr>
            </w:pPr>
            <w:r>
              <w:rPr>
                <w:lang w:eastAsia="sl-SI"/>
              </w:rPr>
              <w:t>Tiriamųjų skaičius (%)</w:t>
            </w:r>
          </w:p>
        </w:tc>
        <w:tc>
          <w:tcPr>
            <w:tcW w:w="1455" w:type="dxa"/>
            <w:tcBorders>
              <w:top w:val="single" w:sz="4" w:space="0" w:color="000000"/>
              <w:left w:val="single" w:sz="4" w:space="0" w:color="000000"/>
              <w:bottom w:val="single" w:sz="4" w:space="0" w:color="000000"/>
              <w:right w:val="single" w:sz="4" w:space="0" w:color="000000"/>
            </w:tcBorders>
          </w:tcPr>
          <w:p w14:paraId="3B6CC100" w14:textId="77777777" w:rsidR="003F7CCA" w:rsidRDefault="0080197E">
            <w:pPr>
              <w:spacing w:line="259" w:lineRule="auto"/>
              <w:ind w:right="14"/>
              <w:jc w:val="center"/>
              <w:rPr>
                <w:lang w:eastAsia="sl-SI"/>
              </w:rPr>
            </w:pPr>
            <w:r>
              <w:rPr>
                <w:lang w:eastAsia="sl-SI"/>
              </w:rPr>
              <w:t>Įvykių dažnis per</w:t>
            </w:r>
          </w:p>
          <w:p w14:paraId="5634FAA9" w14:textId="77777777" w:rsidR="003F7CCA" w:rsidRDefault="0080197E">
            <w:pPr>
              <w:spacing w:line="259" w:lineRule="auto"/>
              <w:ind w:right="10"/>
              <w:jc w:val="center"/>
              <w:rPr>
                <w:lang w:eastAsia="sl-SI"/>
              </w:rPr>
            </w:pPr>
            <w:r>
              <w:rPr>
                <w:lang w:eastAsia="sl-SI"/>
              </w:rPr>
              <w:t>1 000 SPM</w:t>
            </w:r>
          </w:p>
        </w:tc>
        <w:tc>
          <w:tcPr>
            <w:tcW w:w="1454" w:type="dxa"/>
            <w:tcBorders>
              <w:top w:val="single" w:sz="4" w:space="0" w:color="000000"/>
              <w:left w:val="single" w:sz="4" w:space="0" w:color="000000"/>
              <w:bottom w:val="single" w:sz="4" w:space="0" w:color="000000"/>
              <w:right w:val="single" w:sz="4" w:space="0" w:color="000000"/>
            </w:tcBorders>
          </w:tcPr>
          <w:p w14:paraId="4981012E" w14:textId="77777777" w:rsidR="003F7CCA" w:rsidRDefault="0080197E">
            <w:pPr>
              <w:spacing w:line="259" w:lineRule="auto"/>
              <w:ind w:right="15"/>
              <w:jc w:val="center"/>
              <w:rPr>
                <w:lang w:eastAsia="sl-SI"/>
              </w:rPr>
            </w:pPr>
            <w:r>
              <w:rPr>
                <w:lang w:eastAsia="sl-SI"/>
              </w:rPr>
              <w:t>(95 % PI)</w:t>
            </w:r>
          </w:p>
        </w:tc>
      </w:tr>
      <w:tr w:rsidR="003F7CCA" w14:paraId="413782CF" w14:textId="77777777">
        <w:trPr>
          <w:trHeight w:val="262"/>
        </w:trPr>
        <w:tc>
          <w:tcPr>
            <w:tcW w:w="2019" w:type="dxa"/>
            <w:tcBorders>
              <w:top w:val="single" w:sz="4" w:space="0" w:color="000000"/>
              <w:left w:val="single" w:sz="4" w:space="0" w:color="000000"/>
              <w:bottom w:val="single" w:sz="4" w:space="0" w:color="000000"/>
              <w:right w:val="single" w:sz="4" w:space="0" w:color="000000"/>
            </w:tcBorders>
          </w:tcPr>
          <w:p w14:paraId="15770025" w14:textId="77777777" w:rsidR="003F7CCA" w:rsidRDefault="0080197E">
            <w:pPr>
              <w:spacing w:line="259" w:lineRule="auto"/>
              <w:rPr>
                <w:lang w:eastAsia="sl-SI"/>
              </w:rPr>
            </w:pPr>
            <w:r>
              <w:rPr>
                <w:lang w:eastAsia="sl-SI"/>
              </w:rPr>
              <w:t>Pacientų skiačius</w:t>
            </w:r>
          </w:p>
        </w:tc>
        <w:tc>
          <w:tcPr>
            <w:tcW w:w="1452" w:type="dxa"/>
            <w:tcBorders>
              <w:top w:val="single" w:sz="4" w:space="0" w:color="000000"/>
              <w:left w:val="single" w:sz="4" w:space="0" w:color="000000"/>
              <w:bottom w:val="single" w:sz="4" w:space="0" w:color="000000"/>
              <w:right w:val="single" w:sz="4" w:space="0" w:color="000000"/>
            </w:tcBorders>
          </w:tcPr>
          <w:p w14:paraId="114D3D1F" w14:textId="77777777" w:rsidR="003F7CCA" w:rsidRDefault="0080197E">
            <w:pPr>
              <w:spacing w:line="259" w:lineRule="auto"/>
              <w:ind w:right="12"/>
              <w:jc w:val="center"/>
              <w:rPr>
                <w:lang w:eastAsia="sl-SI"/>
              </w:rPr>
            </w:pPr>
            <w:r>
              <w:rPr>
                <w:lang w:eastAsia="sl-SI"/>
              </w:rPr>
              <w:t>3 494</w:t>
            </w:r>
          </w:p>
        </w:tc>
        <w:tc>
          <w:tcPr>
            <w:tcW w:w="1454" w:type="dxa"/>
            <w:tcBorders>
              <w:top w:val="single" w:sz="4" w:space="0" w:color="000000"/>
              <w:left w:val="single" w:sz="4" w:space="0" w:color="000000"/>
              <w:bottom w:val="single" w:sz="4" w:space="0" w:color="000000"/>
              <w:right w:val="single" w:sz="4" w:space="0" w:color="000000"/>
            </w:tcBorders>
          </w:tcPr>
          <w:p w14:paraId="5B2E9225" w14:textId="77777777" w:rsidR="003F7CCA" w:rsidRDefault="003F7CCA">
            <w:pPr>
              <w:spacing w:after="160" w:line="259" w:lineRule="auto"/>
              <w:rPr>
                <w:lang w:eastAsia="sl-SI"/>
              </w:rPr>
            </w:pPr>
          </w:p>
        </w:tc>
        <w:tc>
          <w:tcPr>
            <w:tcW w:w="1454" w:type="dxa"/>
            <w:tcBorders>
              <w:top w:val="single" w:sz="4" w:space="0" w:color="000000"/>
              <w:left w:val="single" w:sz="4" w:space="0" w:color="000000"/>
              <w:bottom w:val="single" w:sz="4" w:space="0" w:color="000000"/>
              <w:right w:val="single" w:sz="4" w:space="0" w:color="000000"/>
            </w:tcBorders>
          </w:tcPr>
          <w:p w14:paraId="24A98503" w14:textId="77777777" w:rsidR="003F7CCA" w:rsidRDefault="0080197E">
            <w:pPr>
              <w:spacing w:line="259" w:lineRule="auto"/>
              <w:ind w:right="10"/>
              <w:jc w:val="center"/>
              <w:rPr>
                <w:lang w:eastAsia="sl-SI"/>
              </w:rPr>
            </w:pPr>
            <w:r>
              <w:rPr>
                <w:lang w:eastAsia="sl-SI"/>
              </w:rPr>
              <w:t>3 485</w:t>
            </w:r>
          </w:p>
        </w:tc>
        <w:tc>
          <w:tcPr>
            <w:tcW w:w="1455" w:type="dxa"/>
            <w:tcBorders>
              <w:top w:val="single" w:sz="4" w:space="0" w:color="000000"/>
              <w:left w:val="single" w:sz="4" w:space="0" w:color="000000"/>
              <w:bottom w:val="single" w:sz="4" w:space="0" w:color="000000"/>
              <w:right w:val="single" w:sz="4" w:space="0" w:color="000000"/>
            </w:tcBorders>
          </w:tcPr>
          <w:p w14:paraId="16608954" w14:textId="77777777" w:rsidR="003F7CCA" w:rsidRDefault="003F7CCA">
            <w:pPr>
              <w:spacing w:after="160" w:line="259" w:lineRule="auto"/>
              <w:rPr>
                <w:lang w:eastAsia="sl-SI"/>
              </w:rPr>
            </w:pPr>
          </w:p>
        </w:tc>
        <w:tc>
          <w:tcPr>
            <w:tcW w:w="1454" w:type="dxa"/>
            <w:tcBorders>
              <w:top w:val="single" w:sz="4" w:space="0" w:color="000000"/>
              <w:left w:val="single" w:sz="4" w:space="0" w:color="000000"/>
              <w:bottom w:val="single" w:sz="4" w:space="0" w:color="000000"/>
              <w:right w:val="single" w:sz="4" w:space="0" w:color="000000"/>
            </w:tcBorders>
          </w:tcPr>
          <w:p w14:paraId="108108B3" w14:textId="77777777" w:rsidR="003F7CCA" w:rsidRDefault="003F7CCA">
            <w:pPr>
              <w:spacing w:after="160" w:line="259" w:lineRule="auto"/>
              <w:rPr>
                <w:lang w:eastAsia="sl-SI"/>
              </w:rPr>
            </w:pPr>
          </w:p>
        </w:tc>
      </w:tr>
      <w:tr w:rsidR="003F7CCA" w14:paraId="0B545EC5" w14:textId="77777777">
        <w:trPr>
          <w:trHeight w:val="1277"/>
        </w:trPr>
        <w:tc>
          <w:tcPr>
            <w:tcW w:w="2019" w:type="dxa"/>
            <w:tcBorders>
              <w:top w:val="single" w:sz="4" w:space="0" w:color="000000"/>
              <w:left w:val="single" w:sz="4" w:space="0" w:color="000000"/>
              <w:bottom w:val="single" w:sz="4" w:space="0" w:color="000000"/>
              <w:right w:val="single" w:sz="4" w:space="0" w:color="000000"/>
            </w:tcBorders>
          </w:tcPr>
          <w:p w14:paraId="09A2197E" w14:textId="77777777" w:rsidR="003F7CCA" w:rsidRDefault="0080197E">
            <w:pPr>
              <w:spacing w:line="259" w:lineRule="auto"/>
              <w:rPr>
                <w:lang w:eastAsia="sl-SI"/>
              </w:rPr>
            </w:pPr>
            <w:r>
              <w:rPr>
                <w:lang w:eastAsia="sl-SI"/>
              </w:rPr>
              <w:lastRenderedPageBreak/>
              <w:t>Pirminis ŠKS sudėtinis kriterijus (mirtis dėl priežasčių, susijusių su širdies ir kraujagyslių ligomis, nemirtinas MI, nemirtinas insultas)</w:t>
            </w:r>
          </w:p>
        </w:tc>
        <w:tc>
          <w:tcPr>
            <w:tcW w:w="1452" w:type="dxa"/>
            <w:tcBorders>
              <w:top w:val="single" w:sz="4" w:space="0" w:color="000000"/>
              <w:left w:val="single" w:sz="4" w:space="0" w:color="000000"/>
              <w:bottom w:val="single" w:sz="4" w:space="0" w:color="000000"/>
              <w:right w:val="single" w:sz="4" w:space="0" w:color="000000"/>
            </w:tcBorders>
          </w:tcPr>
          <w:p w14:paraId="2AB8A588" w14:textId="77777777" w:rsidR="003F7CCA" w:rsidRDefault="0080197E">
            <w:pPr>
              <w:spacing w:line="259" w:lineRule="auto"/>
              <w:ind w:right="13"/>
              <w:jc w:val="center"/>
              <w:rPr>
                <w:lang w:eastAsia="sl-SI"/>
              </w:rPr>
            </w:pPr>
            <w:r>
              <w:rPr>
                <w:lang w:eastAsia="sl-SI"/>
              </w:rPr>
              <w:t>434 (12,4)</w:t>
            </w:r>
          </w:p>
        </w:tc>
        <w:tc>
          <w:tcPr>
            <w:tcW w:w="1454" w:type="dxa"/>
            <w:tcBorders>
              <w:top w:val="single" w:sz="4" w:space="0" w:color="000000"/>
              <w:left w:val="single" w:sz="4" w:space="0" w:color="000000"/>
              <w:bottom w:val="single" w:sz="4" w:space="0" w:color="000000"/>
              <w:right w:val="single" w:sz="4" w:space="0" w:color="000000"/>
            </w:tcBorders>
          </w:tcPr>
          <w:p w14:paraId="08B31313" w14:textId="77777777" w:rsidR="003F7CCA" w:rsidRDefault="0080197E">
            <w:pPr>
              <w:spacing w:line="259" w:lineRule="auto"/>
              <w:ind w:right="10"/>
              <w:jc w:val="center"/>
              <w:rPr>
                <w:lang w:eastAsia="sl-SI"/>
              </w:rPr>
            </w:pPr>
            <w:r>
              <w:rPr>
                <w:lang w:eastAsia="sl-SI"/>
              </w:rPr>
              <w:t>57,7</w:t>
            </w:r>
          </w:p>
        </w:tc>
        <w:tc>
          <w:tcPr>
            <w:tcW w:w="1454" w:type="dxa"/>
            <w:tcBorders>
              <w:top w:val="single" w:sz="4" w:space="0" w:color="000000"/>
              <w:left w:val="single" w:sz="4" w:space="0" w:color="000000"/>
              <w:bottom w:val="single" w:sz="4" w:space="0" w:color="000000"/>
              <w:right w:val="single" w:sz="4" w:space="0" w:color="000000"/>
            </w:tcBorders>
          </w:tcPr>
          <w:p w14:paraId="58EF6A03" w14:textId="77777777" w:rsidR="003F7CCA" w:rsidRDefault="0080197E">
            <w:pPr>
              <w:spacing w:line="259" w:lineRule="auto"/>
              <w:ind w:right="11"/>
              <w:jc w:val="center"/>
              <w:rPr>
                <w:lang w:eastAsia="sl-SI"/>
              </w:rPr>
            </w:pPr>
            <w:r>
              <w:rPr>
                <w:lang w:eastAsia="sl-SI"/>
              </w:rPr>
              <w:t>420 (12,1)</w:t>
            </w:r>
          </w:p>
        </w:tc>
        <w:tc>
          <w:tcPr>
            <w:tcW w:w="1455" w:type="dxa"/>
            <w:tcBorders>
              <w:top w:val="single" w:sz="4" w:space="0" w:color="000000"/>
              <w:left w:val="single" w:sz="4" w:space="0" w:color="000000"/>
              <w:bottom w:val="single" w:sz="4" w:space="0" w:color="000000"/>
              <w:right w:val="single" w:sz="4" w:space="0" w:color="000000"/>
            </w:tcBorders>
          </w:tcPr>
          <w:p w14:paraId="73C2D213" w14:textId="77777777" w:rsidR="003F7CCA" w:rsidRDefault="0080197E">
            <w:pPr>
              <w:spacing w:line="259" w:lineRule="auto"/>
              <w:ind w:right="10"/>
              <w:jc w:val="center"/>
              <w:rPr>
                <w:lang w:eastAsia="sl-SI"/>
              </w:rPr>
            </w:pPr>
            <w:r>
              <w:rPr>
                <w:lang w:eastAsia="sl-SI"/>
              </w:rPr>
              <w:t>56,3</w:t>
            </w:r>
          </w:p>
        </w:tc>
        <w:tc>
          <w:tcPr>
            <w:tcW w:w="1454" w:type="dxa"/>
            <w:tcBorders>
              <w:top w:val="single" w:sz="4" w:space="0" w:color="000000"/>
              <w:left w:val="single" w:sz="4" w:space="0" w:color="000000"/>
              <w:bottom w:val="single" w:sz="4" w:space="0" w:color="000000"/>
              <w:right w:val="single" w:sz="4" w:space="0" w:color="000000"/>
            </w:tcBorders>
          </w:tcPr>
          <w:p w14:paraId="14020CB4" w14:textId="77777777" w:rsidR="003F7CCA" w:rsidRDefault="0080197E">
            <w:pPr>
              <w:spacing w:line="259" w:lineRule="auto"/>
              <w:ind w:right="12"/>
              <w:jc w:val="center"/>
              <w:rPr>
                <w:lang w:eastAsia="sl-SI"/>
              </w:rPr>
            </w:pPr>
            <w:r>
              <w:rPr>
                <w:lang w:eastAsia="sl-SI"/>
              </w:rPr>
              <w:t xml:space="preserve">1,02 (0,89, </w:t>
            </w:r>
          </w:p>
          <w:p w14:paraId="2DAE1B26" w14:textId="77777777" w:rsidR="003F7CCA" w:rsidRDefault="0080197E">
            <w:pPr>
              <w:spacing w:line="259" w:lineRule="auto"/>
              <w:ind w:right="12"/>
              <w:jc w:val="center"/>
              <w:rPr>
                <w:lang w:eastAsia="sl-SI"/>
              </w:rPr>
            </w:pPr>
            <w:r>
              <w:rPr>
                <w:lang w:eastAsia="sl-SI"/>
              </w:rPr>
              <w:t>1,17)**</w:t>
            </w:r>
          </w:p>
        </w:tc>
      </w:tr>
      <w:tr w:rsidR="003F7CCA" w14:paraId="74E55D12" w14:textId="77777777">
        <w:trPr>
          <w:trHeight w:val="1274"/>
        </w:trPr>
        <w:tc>
          <w:tcPr>
            <w:tcW w:w="2019" w:type="dxa"/>
            <w:tcBorders>
              <w:top w:val="single" w:sz="4" w:space="0" w:color="000000"/>
              <w:left w:val="single" w:sz="4" w:space="0" w:color="000000"/>
              <w:bottom w:val="single" w:sz="4" w:space="0" w:color="000000"/>
              <w:right w:val="single" w:sz="4" w:space="0" w:color="000000"/>
            </w:tcBorders>
          </w:tcPr>
          <w:p w14:paraId="3EC45680" w14:textId="77777777" w:rsidR="003F7CCA" w:rsidRDefault="0080197E">
            <w:pPr>
              <w:spacing w:line="259" w:lineRule="auto"/>
              <w:rPr>
                <w:lang w:eastAsia="sl-SI"/>
              </w:rPr>
            </w:pPr>
            <w:r>
              <w:rPr>
                <w:lang w:eastAsia="sl-SI"/>
              </w:rPr>
              <w:t>Antrinis inkstų sudėtinis kriterijus (su inkstais susijusi mirtis, GILS, ilgalaikis 40 % aGFG sumažėjimas)</w:t>
            </w:r>
          </w:p>
        </w:tc>
        <w:tc>
          <w:tcPr>
            <w:tcW w:w="1452" w:type="dxa"/>
            <w:tcBorders>
              <w:top w:val="single" w:sz="4" w:space="0" w:color="000000"/>
              <w:left w:val="single" w:sz="4" w:space="0" w:color="000000"/>
              <w:bottom w:val="single" w:sz="4" w:space="0" w:color="000000"/>
              <w:right w:val="single" w:sz="4" w:space="0" w:color="000000"/>
            </w:tcBorders>
          </w:tcPr>
          <w:p w14:paraId="0D37496A" w14:textId="77777777" w:rsidR="003F7CCA" w:rsidRDefault="0080197E">
            <w:pPr>
              <w:spacing w:line="259" w:lineRule="auto"/>
              <w:ind w:right="13"/>
              <w:jc w:val="center"/>
              <w:rPr>
                <w:lang w:eastAsia="sl-SI"/>
              </w:rPr>
            </w:pPr>
            <w:r>
              <w:rPr>
                <w:lang w:eastAsia="sl-SI"/>
              </w:rPr>
              <w:t>327 (9,4)</w:t>
            </w:r>
          </w:p>
        </w:tc>
        <w:tc>
          <w:tcPr>
            <w:tcW w:w="1454" w:type="dxa"/>
            <w:tcBorders>
              <w:top w:val="single" w:sz="4" w:space="0" w:color="000000"/>
              <w:left w:val="single" w:sz="4" w:space="0" w:color="000000"/>
              <w:bottom w:val="single" w:sz="4" w:space="0" w:color="000000"/>
              <w:right w:val="single" w:sz="4" w:space="0" w:color="000000"/>
            </w:tcBorders>
          </w:tcPr>
          <w:p w14:paraId="1D0823FA" w14:textId="77777777" w:rsidR="003F7CCA" w:rsidRDefault="0080197E">
            <w:pPr>
              <w:spacing w:line="259" w:lineRule="auto"/>
              <w:ind w:right="10"/>
              <w:jc w:val="center"/>
              <w:rPr>
                <w:lang w:eastAsia="sl-SI"/>
              </w:rPr>
            </w:pPr>
            <w:r>
              <w:rPr>
                <w:lang w:eastAsia="sl-SI"/>
              </w:rPr>
              <w:t>48,9</w:t>
            </w:r>
          </w:p>
        </w:tc>
        <w:tc>
          <w:tcPr>
            <w:tcW w:w="1454" w:type="dxa"/>
            <w:tcBorders>
              <w:top w:val="single" w:sz="4" w:space="0" w:color="000000"/>
              <w:left w:val="single" w:sz="4" w:space="0" w:color="000000"/>
              <w:bottom w:val="single" w:sz="4" w:space="0" w:color="000000"/>
              <w:right w:val="single" w:sz="4" w:space="0" w:color="000000"/>
            </w:tcBorders>
          </w:tcPr>
          <w:p w14:paraId="5C58F7B3" w14:textId="77777777" w:rsidR="003F7CCA" w:rsidRDefault="0080197E">
            <w:pPr>
              <w:spacing w:line="259" w:lineRule="auto"/>
              <w:ind w:right="11"/>
              <w:jc w:val="center"/>
              <w:rPr>
                <w:lang w:eastAsia="sl-SI"/>
              </w:rPr>
            </w:pPr>
            <w:r>
              <w:rPr>
                <w:lang w:eastAsia="sl-SI"/>
              </w:rPr>
              <w:t>306 (8,8)</w:t>
            </w:r>
          </w:p>
        </w:tc>
        <w:tc>
          <w:tcPr>
            <w:tcW w:w="1455" w:type="dxa"/>
            <w:tcBorders>
              <w:top w:val="single" w:sz="4" w:space="0" w:color="000000"/>
              <w:left w:val="single" w:sz="4" w:space="0" w:color="000000"/>
              <w:bottom w:val="single" w:sz="4" w:space="0" w:color="000000"/>
              <w:right w:val="single" w:sz="4" w:space="0" w:color="000000"/>
            </w:tcBorders>
          </w:tcPr>
          <w:p w14:paraId="5C236B9D" w14:textId="77777777" w:rsidR="003F7CCA" w:rsidRDefault="0080197E">
            <w:pPr>
              <w:spacing w:line="259" w:lineRule="auto"/>
              <w:ind w:right="10"/>
              <w:jc w:val="center"/>
              <w:rPr>
                <w:lang w:eastAsia="sl-SI"/>
              </w:rPr>
            </w:pPr>
            <w:r>
              <w:rPr>
                <w:lang w:eastAsia="sl-SI"/>
              </w:rPr>
              <w:t>46,6</w:t>
            </w:r>
          </w:p>
        </w:tc>
        <w:tc>
          <w:tcPr>
            <w:tcW w:w="1454" w:type="dxa"/>
            <w:tcBorders>
              <w:top w:val="single" w:sz="4" w:space="0" w:color="000000"/>
              <w:left w:val="single" w:sz="4" w:space="0" w:color="000000"/>
              <w:bottom w:val="single" w:sz="4" w:space="0" w:color="000000"/>
              <w:right w:val="single" w:sz="4" w:space="0" w:color="000000"/>
            </w:tcBorders>
          </w:tcPr>
          <w:p w14:paraId="55E43ADA" w14:textId="77777777" w:rsidR="003F7CCA" w:rsidRDefault="0080197E">
            <w:pPr>
              <w:spacing w:line="259" w:lineRule="auto"/>
              <w:ind w:right="12"/>
              <w:jc w:val="center"/>
              <w:rPr>
                <w:lang w:eastAsia="sl-SI"/>
              </w:rPr>
            </w:pPr>
            <w:r>
              <w:rPr>
                <w:lang w:eastAsia="sl-SI"/>
              </w:rPr>
              <w:t xml:space="preserve">1,04 (0,89, </w:t>
            </w:r>
          </w:p>
          <w:p w14:paraId="2FB2AEB7" w14:textId="77777777" w:rsidR="003F7CCA" w:rsidRDefault="0080197E">
            <w:pPr>
              <w:spacing w:line="259" w:lineRule="auto"/>
              <w:ind w:right="13"/>
              <w:jc w:val="center"/>
              <w:rPr>
                <w:lang w:eastAsia="sl-SI"/>
              </w:rPr>
            </w:pPr>
            <w:r>
              <w:rPr>
                <w:lang w:eastAsia="sl-SI"/>
              </w:rPr>
              <w:t>1,22)</w:t>
            </w:r>
          </w:p>
        </w:tc>
      </w:tr>
      <w:tr w:rsidR="003F7CCA" w14:paraId="05879275" w14:textId="77777777">
        <w:trPr>
          <w:trHeight w:val="516"/>
        </w:trPr>
        <w:tc>
          <w:tcPr>
            <w:tcW w:w="2019" w:type="dxa"/>
            <w:tcBorders>
              <w:top w:val="single" w:sz="4" w:space="0" w:color="000000"/>
              <w:left w:val="single" w:sz="4" w:space="0" w:color="000000"/>
              <w:bottom w:val="single" w:sz="4" w:space="0" w:color="000000"/>
              <w:right w:val="single" w:sz="4" w:space="0" w:color="000000"/>
            </w:tcBorders>
          </w:tcPr>
          <w:p w14:paraId="1E307D64" w14:textId="77777777" w:rsidR="003F7CCA" w:rsidRDefault="0080197E">
            <w:pPr>
              <w:spacing w:line="259" w:lineRule="auto"/>
              <w:rPr>
                <w:lang w:eastAsia="sl-SI"/>
              </w:rPr>
            </w:pPr>
            <w:r>
              <w:rPr>
                <w:lang w:eastAsia="sl-SI"/>
              </w:rPr>
              <w:t>Mirštamumas dėl bet kurios priežasties</w:t>
            </w:r>
          </w:p>
        </w:tc>
        <w:tc>
          <w:tcPr>
            <w:tcW w:w="1452" w:type="dxa"/>
            <w:tcBorders>
              <w:top w:val="single" w:sz="4" w:space="0" w:color="000000"/>
              <w:left w:val="single" w:sz="4" w:space="0" w:color="000000"/>
              <w:bottom w:val="single" w:sz="4" w:space="0" w:color="000000"/>
              <w:right w:val="single" w:sz="4" w:space="0" w:color="000000"/>
            </w:tcBorders>
          </w:tcPr>
          <w:p w14:paraId="454736ED" w14:textId="77777777" w:rsidR="003F7CCA" w:rsidRDefault="0080197E">
            <w:pPr>
              <w:spacing w:line="259" w:lineRule="auto"/>
              <w:ind w:right="13"/>
              <w:jc w:val="center"/>
              <w:rPr>
                <w:lang w:eastAsia="sl-SI"/>
              </w:rPr>
            </w:pPr>
            <w:r>
              <w:rPr>
                <w:lang w:eastAsia="sl-SI"/>
              </w:rPr>
              <w:t>367 (10,5)</w:t>
            </w:r>
          </w:p>
        </w:tc>
        <w:tc>
          <w:tcPr>
            <w:tcW w:w="1454" w:type="dxa"/>
            <w:tcBorders>
              <w:top w:val="single" w:sz="4" w:space="0" w:color="000000"/>
              <w:left w:val="single" w:sz="4" w:space="0" w:color="000000"/>
              <w:bottom w:val="single" w:sz="4" w:space="0" w:color="000000"/>
              <w:right w:val="single" w:sz="4" w:space="0" w:color="000000"/>
            </w:tcBorders>
          </w:tcPr>
          <w:p w14:paraId="5812F485" w14:textId="77777777" w:rsidR="003F7CCA" w:rsidRDefault="0080197E">
            <w:pPr>
              <w:spacing w:line="259" w:lineRule="auto"/>
              <w:ind w:right="10"/>
              <w:jc w:val="center"/>
              <w:rPr>
                <w:lang w:eastAsia="sl-SI"/>
              </w:rPr>
            </w:pPr>
            <w:r>
              <w:rPr>
                <w:lang w:eastAsia="sl-SI"/>
              </w:rPr>
              <w:t>46,9</w:t>
            </w:r>
          </w:p>
        </w:tc>
        <w:tc>
          <w:tcPr>
            <w:tcW w:w="1454" w:type="dxa"/>
            <w:tcBorders>
              <w:top w:val="single" w:sz="4" w:space="0" w:color="000000"/>
              <w:left w:val="single" w:sz="4" w:space="0" w:color="000000"/>
              <w:bottom w:val="single" w:sz="4" w:space="0" w:color="000000"/>
              <w:right w:val="single" w:sz="4" w:space="0" w:color="000000"/>
            </w:tcBorders>
          </w:tcPr>
          <w:p w14:paraId="6A3B64A9" w14:textId="77777777" w:rsidR="003F7CCA" w:rsidRDefault="0080197E">
            <w:pPr>
              <w:spacing w:line="259" w:lineRule="auto"/>
              <w:ind w:right="11"/>
              <w:jc w:val="center"/>
              <w:rPr>
                <w:lang w:eastAsia="sl-SI"/>
              </w:rPr>
            </w:pPr>
            <w:r>
              <w:rPr>
                <w:lang w:eastAsia="sl-SI"/>
              </w:rPr>
              <w:t>373 (10,7)</w:t>
            </w:r>
          </w:p>
        </w:tc>
        <w:tc>
          <w:tcPr>
            <w:tcW w:w="1455" w:type="dxa"/>
            <w:tcBorders>
              <w:top w:val="single" w:sz="4" w:space="0" w:color="000000"/>
              <w:left w:val="single" w:sz="4" w:space="0" w:color="000000"/>
              <w:bottom w:val="single" w:sz="4" w:space="0" w:color="000000"/>
              <w:right w:val="single" w:sz="4" w:space="0" w:color="000000"/>
            </w:tcBorders>
          </w:tcPr>
          <w:p w14:paraId="03919924" w14:textId="77777777" w:rsidR="003F7CCA" w:rsidRDefault="0080197E">
            <w:pPr>
              <w:spacing w:line="259" w:lineRule="auto"/>
              <w:ind w:right="10"/>
              <w:jc w:val="center"/>
              <w:rPr>
                <w:lang w:eastAsia="sl-SI"/>
              </w:rPr>
            </w:pPr>
            <w:r>
              <w:rPr>
                <w:lang w:eastAsia="sl-SI"/>
              </w:rPr>
              <w:t>48,0</w:t>
            </w:r>
          </w:p>
        </w:tc>
        <w:tc>
          <w:tcPr>
            <w:tcW w:w="1454" w:type="dxa"/>
            <w:tcBorders>
              <w:top w:val="single" w:sz="4" w:space="0" w:color="000000"/>
              <w:left w:val="single" w:sz="4" w:space="0" w:color="000000"/>
              <w:bottom w:val="single" w:sz="4" w:space="0" w:color="000000"/>
              <w:right w:val="single" w:sz="4" w:space="0" w:color="000000"/>
            </w:tcBorders>
          </w:tcPr>
          <w:p w14:paraId="03ACA338" w14:textId="77777777" w:rsidR="003F7CCA" w:rsidRDefault="0080197E">
            <w:pPr>
              <w:spacing w:line="259" w:lineRule="auto"/>
              <w:ind w:right="12"/>
              <w:jc w:val="center"/>
              <w:rPr>
                <w:lang w:eastAsia="sl-SI"/>
              </w:rPr>
            </w:pPr>
            <w:r>
              <w:rPr>
                <w:lang w:eastAsia="sl-SI"/>
              </w:rPr>
              <w:t xml:space="preserve">0,98 (0,84, </w:t>
            </w:r>
          </w:p>
          <w:p w14:paraId="10FE441C" w14:textId="77777777" w:rsidR="003F7CCA" w:rsidRDefault="0080197E">
            <w:pPr>
              <w:spacing w:line="259" w:lineRule="auto"/>
              <w:ind w:right="13"/>
              <w:jc w:val="center"/>
              <w:rPr>
                <w:lang w:eastAsia="sl-SI"/>
              </w:rPr>
            </w:pPr>
            <w:r>
              <w:rPr>
                <w:lang w:eastAsia="sl-SI"/>
              </w:rPr>
              <w:t>1,13)</w:t>
            </w:r>
          </w:p>
        </w:tc>
      </w:tr>
      <w:tr w:rsidR="003F7CCA" w14:paraId="33D9291A" w14:textId="77777777">
        <w:trPr>
          <w:trHeight w:val="516"/>
        </w:trPr>
        <w:tc>
          <w:tcPr>
            <w:tcW w:w="2019" w:type="dxa"/>
            <w:tcBorders>
              <w:top w:val="single" w:sz="4" w:space="0" w:color="000000"/>
              <w:left w:val="single" w:sz="4" w:space="0" w:color="000000"/>
              <w:bottom w:val="single" w:sz="4" w:space="0" w:color="000000"/>
              <w:right w:val="single" w:sz="4" w:space="0" w:color="000000"/>
            </w:tcBorders>
          </w:tcPr>
          <w:p w14:paraId="3D0A5364" w14:textId="77777777" w:rsidR="003F7CCA" w:rsidRDefault="0080197E">
            <w:pPr>
              <w:spacing w:line="259" w:lineRule="auto"/>
              <w:rPr>
                <w:lang w:eastAsia="sl-SI"/>
              </w:rPr>
            </w:pPr>
            <w:r>
              <w:rPr>
                <w:lang w:eastAsia="sl-SI"/>
              </w:rPr>
              <w:t>Mirtis dėl priežasčių, susijusių su širdies ir kraujagyslių ligomis</w:t>
            </w:r>
          </w:p>
        </w:tc>
        <w:tc>
          <w:tcPr>
            <w:tcW w:w="1452" w:type="dxa"/>
            <w:tcBorders>
              <w:top w:val="single" w:sz="4" w:space="0" w:color="000000"/>
              <w:left w:val="single" w:sz="4" w:space="0" w:color="000000"/>
              <w:bottom w:val="single" w:sz="4" w:space="0" w:color="000000"/>
              <w:right w:val="single" w:sz="4" w:space="0" w:color="000000"/>
            </w:tcBorders>
          </w:tcPr>
          <w:p w14:paraId="502E08B5" w14:textId="77777777" w:rsidR="003F7CCA" w:rsidRDefault="0080197E">
            <w:pPr>
              <w:spacing w:line="259" w:lineRule="auto"/>
              <w:ind w:right="13"/>
              <w:jc w:val="center"/>
              <w:rPr>
                <w:lang w:eastAsia="sl-SI"/>
              </w:rPr>
            </w:pPr>
            <w:r>
              <w:rPr>
                <w:lang w:eastAsia="sl-SI"/>
              </w:rPr>
              <w:t>255 (7,3)</w:t>
            </w:r>
          </w:p>
        </w:tc>
        <w:tc>
          <w:tcPr>
            <w:tcW w:w="1454" w:type="dxa"/>
            <w:tcBorders>
              <w:top w:val="single" w:sz="4" w:space="0" w:color="000000"/>
              <w:left w:val="single" w:sz="4" w:space="0" w:color="000000"/>
              <w:bottom w:val="single" w:sz="4" w:space="0" w:color="000000"/>
              <w:right w:val="single" w:sz="4" w:space="0" w:color="000000"/>
            </w:tcBorders>
          </w:tcPr>
          <w:p w14:paraId="1110D861" w14:textId="77777777" w:rsidR="003F7CCA" w:rsidRDefault="0080197E">
            <w:pPr>
              <w:spacing w:line="259" w:lineRule="auto"/>
              <w:ind w:right="10"/>
              <w:jc w:val="center"/>
              <w:rPr>
                <w:lang w:eastAsia="sl-SI"/>
              </w:rPr>
            </w:pPr>
            <w:r>
              <w:rPr>
                <w:lang w:eastAsia="sl-SI"/>
              </w:rPr>
              <w:t>32,6</w:t>
            </w:r>
          </w:p>
        </w:tc>
        <w:tc>
          <w:tcPr>
            <w:tcW w:w="1454" w:type="dxa"/>
            <w:tcBorders>
              <w:top w:val="single" w:sz="4" w:space="0" w:color="000000"/>
              <w:left w:val="single" w:sz="4" w:space="0" w:color="000000"/>
              <w:bottom w:val="single" w:sz="4" w:space="0" w:color="000000"/>
              <w:right w:val="single" w:sz="4" w:space="0" w:color="000000"/>
            </w:tcBorders>
          </w:tcPr>
          <w:p w14:paraId="4E49C5CC" w14:textId="77777777" w:rsidR="003F7CCA" w:rsidRDefault="0080197E">
            <w:pPr>
              <w:spacing w:line="259" w:lineRule="auto"/>
              <w:ind w:right="11"/>
              <w:jc w:val="center"/>
              <w:rPr>
                <w:lang w:eastAsia="sl-SI"/>
              </w:rPr>
            </w:pPr>
            <w:r>
              <w:rPr>
                <w:lang w:eastAsia="sl-SI"/>
              </w:rPr>
              <w:t>264 (7,6)</w:t>
            </w:r>
          </w:p>
        </w:tc>
        <w:tc>
          <w:tcPr>
            <w:tcW w:w="1455" w:type="dxa"/>
            <w:tcBorders>
              <w:top w:val="single" w:sz="4" w:space="0" w:color="000000"/>
              <w:left w:val="single" w:sz="4" w:space="0" w:color="000000"/>
              <w:bottom w:val="single" w:sz="4" w:space="0" w:color="000000"/>
              <w:right w:val="single" w:sz="4" w:space="0" w:color="000000"/>
            </w:tcBorders>
          </w:tcPr>
          <w:p w14:paraId="7F3604AA" w14:textId="77777777" w:rsidR="003F7CCA" w:rsidRDefault="0080197E">
            <w:pPr>
              <w:spacing w:line="259" w:lineRule="auto"/>
              <w:ind w:right="12"/>
              <w:jc w:val="center"/>
              <w:rPr>
                <w:lang w:eastAsia="sl-SI"/>
              </w:rPr>
            </w:pPr>
            <w:r>
              <w:rPr>
                <w:lang w:eastAsia="sl-SI"/>
              </w:rPr>
              <w:t>34</w:t>
            </w:r>
          </w:p>
        </w:tc>
        <w:tc>
          <w:tcPr>
            <w:tcW w:w="1454" w:type="dxa"/>
            <w:tcBorders>
              <w:top w:val="single" w:sz="4" w:space="0" w:color="000000"/>
              <w:left w:val="single" w:sz="4" w:space="0" w:color="000000"/>
              <w:bottom w:val="single" w:sz="4" w:space="0" w:color="000000"/>
              <w:right w:val="single" w:sz="4" w:space="0" w:color="000000"/>
            </w:tcBorders>
          </w:tcPr>
          <w:p w14:paraId="565DDAA1" w14:textId="77777777" w:rsidR="003F7CCA" w:rsidRDefault="0080197E">
            <w:pPr>
              <w:spacing w:line="259" w:lineRule="auto"/>
              <w:ind w:right="12"/>
              <w:jc w:val="center"/>
              <w:rPr>
                <w:lang w:eastAsia="sl-SI"/>
              </w:rPr>
            </w:pPr>
            <w:r>
              <w:rPr>
                <w:lang w:eastAsia="sl-SI"/>
              </w:rPr>
              <w:t xml:space="preserve">0,96 (0,81, </w:t>
            </w:r>
          </w:p>
          <w:p w14:paraId="6999297A" w14:textId="77777777" w:rsidR="003F7CCA" w:rsidRDefault="0080197E">
            <w:pPr>
              <w:spacing w:line="259" w:lineRule="auto"/>
              <w:ind w:right="13"/>
              <w:jc w:val="center"/>
              <w:rPr>
                <w:lang w:eastAsia="sl-SI"/>
              </w:rPr>
            </w:pPr>
            <w:r>
              <w:rPr>
                <w:lang w:eastAsia="sl-SI"/>
              </w:rPr>
              <w:t>1,14)</w:t>
            </w:r>
          </w:p>
        </w:tc>
      </w:tr>
      <w:tr w:rsidR="003F7CCA" w14:paraId="38367FA0" w14:textId="77777777">
        <w:trPr>
          <w:trHeight w:val="516"/>
        </w:trPr>
        <w:tc>
          <w:tcPr>
            <w:tcW w:w="2019" w:type="dxa"/>
            <w:tcBorders>
              <w:top w:val="single" w:sz="4" w:space="0" w:color="000000"/>
              <w:left w:val="single" w:sz="4" w:space="0" w:color="000000"/>
              <w:bottom w:val="single" w:sz="4" w:space="0" w:color="000000"/>
              <w:right w:val="single" w:sz="4" w:space="0" w:color="000000"/>
            </w:tcBorders>
          </w:tcPr>
          <w:p w14:paraId="2D0AA6FC" w14:textId="77777777" w:rsidR="003F7CCA" w:rsidRDefault="0080197E">
            <w:pPr>
              <w:spacing w:line="259" w:lineRule="auto"/>
              <w:rPr>
                <w:lang w:eastAsia="sl-SI"/>
              </w:rPr>
            </w:pPr>
            <w:r>
              <w:rPr>
                <w:lang w:eastAsia="sl-SI"/>
              </w:rPr>
              <w:t>Hospitalizacija dėl širdies nepakankamumo</w:t>
            </w:r>
          </w:p>
        </w:tc>
        <w:tc>
          <w:tcPr>
            <w:tcW w:w="1452" w:type="dxa"/>
            <w:tcBorders>
              <w:top w:val="single" w:sz="4" w:space="0" w:color="000000"/>
              <w:left w:val="single" w:sz="4" w:space="0" w:color="000000"/>
              <w:bottom w:val="single" w:sz="4" w:space="0" w:color="000000"/>
              <w:right w:val="single" w:sz="4" w:space="0" w:color="000000"/>
            </w:tcBorders>
          </w:tcPr>
          <w:p w14:paraId="0CB4D18A" w14:textId="77777777" w:rsidR="003F7CCA" w:rsidRDefault="0080197E">
            <w:pPr>
              <w:spacing w:line="259" w:lineRule="auto"/>
              <w:ind w:right="13"/>
              <w:jc w:val="center"/>
              <w:rPr>
                <w:lang w:eastAsia="sl-SI"/>
              </w:rPr>
            </w:pPr>
            <w:r>
              <w:rPr>
                <w:lang w:eastAsia="sl-SI"/>
              </w:rPr>
              <w:t>209 (6,0)</w:t>
            </w:r>
          </w:p>
        </w:tc>
        <w:tc>
          <w:tcPr>
            <w:tcW w:w="1454" w:type="dxa"/>
            <w:tcBorders>
              <w:top w:val="single" w:sz="4" w:space="0" w:color="000000"/>
              <w:left w:val="single" w:sz="4" w:space="0" w:color="000000"/>
              <w:bottom w:val="single" w:sz="4" w:space="0" w:color="000000"/>
              <w:right w:val="single" w:sz="4" w:space="0" w:color="000000"/>
            </w:tcBorders>
          </w:tcPr>
          <w:p w14:paraId="0FD75342" w14:textId="77777777" w:rsidR="003F7CCA" w:rsidRDefault="0080197E">
            <w:pPr>
              <w:spacing w:line="259" w:lineRule="auto"/>
              <w:ind w:right="10"/>
              <w:jc w:val="center"/>
              <w:rPr>
                <w:lang w:eastAsia="sl-SI"/>
              </w:rPr>
            </w:pPr>
            <w:r>
              <w:rPr>
                <w:lang w:eastAsia="sl-SI"/>
              </w:rPr>
              <w:t>27,7</w:t>
            </w:r>
          </w:p>
        </w:tc>
        <w:tc>
          <w:tcPr>
            <w:tcW w:w="1454" w:type="dxa"/>
            <w:tcBorders>
              <w:top w:val="single" w:sz="4" w:space="0" w:color="000000"/>
              <w:left w:val="single" w:sz="4" w:space="0" w:color="000000"/>
              <w:bottom w:val="single" w:sz="4" w:space="0" w:color="000000"/>
              <w:right w:val="single" w:sz="4" w:space="0" w:color="000000"/>
            </w:tcBorders>
          </w:tcPr>
          <w:p w14:paraId="52A1C053" w14:textId="77777777" w:rsidR="003F7CCA" w:rsidRDefault="0080197E">
            <w:pPr>
              <w:spacing w:line="259" w:lineRule="auto"/>
              <w:ind w:right="11"/>
              <w:jc w:val="center"/>
              <w:rPr>
                <w:lang w:eastAsia="sl-SI"/>
              </w:rPr>
            </w:pPr>
            <w:r>
              <w:rPr>
                <w:lang w:eastAsia="sl-SI"/>
              </w:rPr>
              <w:t>226 (6,5)</w:t>
            </w:r>
          </w:p>
        </w:tc>
        <w:tc>
          <w:tcPr>
            <w:tcW w:w="1455" w:type="dxa"/>
            <w:tcBorders>
              <w:top w:val="single" w:sz="4" w:space="0" w:color="000000"/>
              <w:left w:val="single" w:sz="4" w:space="0" w:color="000000"/>
              <w:bottom w:val="single" w:sz="4" w:space="0" w:color="000000"/>
              <w:right w:val="single" w:sz="4" w:space="0" w:color="000000"/>
            </w:tcBorders>
          </w:tcPr>
          <w:p w14:paraId="225C1695" w14:textId="77777777" w:rsidR="003F7CCA" w:rsidRDefault="0080197E">
            <w:pPr>
              <w:spacing w:line="259" w:lineRule="auto"/>
              <w:ind w:right="10"/>
              <w:jc w:val="center"/>
              <w:rPr>
                <w:lang w:eastAsia="sl-SI"/>
              </w:rPr>
            </w:pPr>
            <w:r>
              <w:rPr>
                <w:lang w:eastAsia="sl-SI"/>
              </w:rPr>
              <w:t>30,4</w:t>
            </w:r>
          </w:p>
        </w:tc>
        <w:tc>
          <w:tcPr>
            <w:tcW w:w="1454" w:type="dxa"/>
            <w:tcBorders>
              <w:top w:val="single" w:sz="4" w:space="0" w:color="000000"/>
              <w:left w:val="single" w:sz="4" w:space="0" w:color="000000"/>
              <w:bottom w:val="single" w:sz="4" w:space="0" w:color="000000"/>
              <w:right w:val="single" w:sz="4" w:space="0" w:color="000000"/>
            </w:tcBorders>
          </w:tcPr>
          <w:p w14:paraId="41DB1138" w14:textId="77777777" w:rsidR="003F7CCA" w:rsidRDefault="0080197E">
            <w:pPr>
              <w:spacing w:line="259" w:lineRule="auto"/>
              <w:ind w:right="12"/>
              <w:jc w:val="center"/>
              <w:rPr>
                <w:lang w:eastAsia="sl-SI"/>
              </w:rPr>
            </w:pPr>
            <w:r>
              <w:rPr>
                <w:lang w:eastAsia="sl-SI"/>
              </w:rPr>
              <w:t xml:space="preserve">0,90 (0,74, </w:t>
            </w:r>
          </w:p>
          <w:p w14:paraId="0C3068F0" w14:textId="77777777" w:rsidR="003F7CCA" w:rsidRDefault="0080197E">
            <w:pPr>
              <w:spacing w:line="259" w:lineRule="auto"/>
              <w:ind w:right="13"/>
              <w:jc w:val="center"/>
              <w:rPr>
                <w:lang w:eastAsia="sl-SI"/>
              </w:rPr>
            </w:pPr>
            <w:r>
              <w:rPr>
                <w:lang w:eastAsia="sl-SI"/>
              </w:rPr>
              <w:t>1,08)</w:t>
            </w:r>
          </w:p>
        </w:tc>
      </w:tr>
    </w:tbl>
    <w:p w14:paraId="1DCAFF0F" w14:textId="77777777" w:rsidR="003F7CCA" w:rsidRDefault="0080197E">
      <w:pPr>
        <w:widowControl w:val="0"/>
        <w:tabs>
          <w:tab w:val="left" w:pos="567"/>
        </w:tabs>
        <w:ind w:left="567" w:hanging="567"/>
        <w:outlineLvl w:val="2"/>
        <w:rPr>
          <w:bCs/>
          <w:kern w:val="28"/>
          <w:sz w:val="20"/>
          <w:szCs w:val="20"/>
          <w:lang w:eastAsia="en-US"/>
        </w:rPr>
      </w:pPr>
      <w:r>
        <w:rPr>
          <w:bCs/>
          <w:kern w:val="28"/>
          <w:sz w:val="20"/>
          <w:szCs w:val="20"/>
          <w:lang w:eastAsia="en-US"/>
        </w:rPr>
        <w:t>* SPM = sutartiniai pacientų metai</w:t>
      </w:r>
    </w:p>
    <w:p w14:paraId="0FA7A570" w14:textId="77777777" w:rsidR="003F7CCA" w:rsidRDefault="0080197E">
      <w:pPr>
        <w:widowControl w:val="0"/>
        <w:tabs>
          <w:tab w:val="left" w:pos="567"/>
        </w:tabs>
        <w:ind w:left="567" w:hanging="567"/>
        <w:outlineLvl w:val="2"/>
        <w:rPr>
          <w:bCs/>
          <w:kern w:val="28"/>
          <w:sz w:val="20"/>
          <w:szCs w:val="20"/>
          <w:lang w:eastAsia="en-US"/>
        </w:rPr>
      </w:pPr>
      <w:r>
        <w:rPr>
          <w:bCs/>
          <w:kern w:val="28"/>
          <w:sz w:val="20"/>
          <w:szCs w:val="20"/>
          <w:lang w:eastAsia="en-US"/>
        </w:rPr>
        <w:t>** Neprastesnio rezultato testas, skirtas parodyti, kad viršutinė 95 % PI rizikos santykio riba yra mažesnė kaip 1,3</w:t>
      </w:r>
    </w:p>
    <w:p w14:paraId="2D827C00" w14:textId="77777777" w:rsidR="003F7CCA" w:rsidRDefault="003F7CCA">
      <w:pPr>
        <w:widowControl w:val="0"/>
        <w:tabs>
          <w:tab w:val="left" w:pos="567"/>
        </w:tabs>
        <w:ind w:left="567" w:hanging="567"/>
        <w:outlineLvl w:val="2"/>
        <w:rPr>
          <w:b/>
          <w:kern w:val="28"/>
          <w:sz w:val="22"/>
          <w:szCs w:val="22"/>
          <w:lang w:eastAsia="en-US"/>
        </w:rPr>
      </w:pPr>
    </w:p>
    <w:p w14:paraId="01DBDC54"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Analizuojant </w:t>
      </w:r>
      <w:proofErr w:type="spellStart"/>
      <w:r>
        <w:rPr>
          <w:rFonts w:eastAsiaTheme="minorHAnsi"/>
          <w:color w:val="000000"/>
          <w:sz w:val="22"/>
          <w:szCs w:val="22"/>
          <w:lang w:eastAsia="en-US"/>
        </w:rPr>
        <w:t>albuminurijos</w:t>
      </w:r>
      <w:proofErr w:type="spellEnd"/>
      <w:r>
        <w:rPr>
          <w:rFonts w:eastAsiaTheme="minorHAnsi"/>
          <w:color w:val="000000"/>
          <w:sz w:val="22"/>
          <w:szCs w:val="22"/>
          <w:lang w:eastAsia="en-US"/>
        </w:rPr>
        <w:t xml:space="preserve"> progresavimą (pokytį iš </w:t>
      </w:r>
      <w:proofErr w:type="spellStart"/>
      <w:r>
        <w:rPr>
          <w:rFonts w:eastAsiaTheme="minorHAnsi"/>
          <w:color w:val="000000"/>
          <w:sz w:val="22"/>
          <w:szCs w:val="22"/>
          <w:lang w:eastAsia="en-US"/>
        </w:rPr>
        <w:t>normoalbuminurijos</w:t>
      </w:r>
      <w:proofErr w:type="spellEnd"/>
      <w:r>
        <w:rPr>
          <w:rFonts w:eastAsiaTheme="minorHAnsi"/>
          <w:color w:val="000000"/>
          <w:sz w:val="22"/>
          <w:szCs w:val="22"/>
          <w:lang w:eastAsia="en-US"/>
        </w:rPr>
        <w:t xml:space="preserve"> į </w:t>
      </w:r>
      <w:proofErr w:type="spellStart"/>
      <w:r>
        <w:rPr>
          <w:rFonts w:eastAsiaTheme="minorHAnsi"/>
          <w:color w:val="000000"/>
          <w:sz w:val="22"/>
          <w:szCs w:val="22"/>
          <w:lang w:eastAsia="en-US"/>
        </w:rPr>
        <w:t>mikroalbuminuriją</w:t>
      </w:r>
      <w:proofErr w:type="spellEnd"/>
      <w:r>
        <w:rPr>
          <w:rFonts w:eastAsiaTheme="minorHAnsi"/>
          <w:color w:val="000000"/>
          <w:sz w:val="22"/>
          <w:szCs w:val="22"/>
          <w:lang w:eastAsia="en-US"/>
        </w:rPr>
        <w:t xml:space="preserve"> ar </w:t>
      </w:r>
      <w:proofErr w:type="spellStart"/>
      <w:r>
        <w:rPr>
          <w:rFonts w:eastAsiaTheme="minorHAnsi"/>
          <w:color w:val="000000"/>
          <w:sz w:val="22"/>
          <w:szCs w:val="22"/>
          <w:lang w:eastAsia="en-US"/>
        </w:rPr>
        <w:t>makroalbuminuriją</w:t>
      </w:r>
      <w:proofErr w:type="spellEnd"/>
      <w:r>
        <w:rPr>
          <w:rFonts w:eastAsiaTheme="minorHAnsi"/>
          <w:color w:val="000000"/>
          <w:sz w:val="22"/>
          <w:szCs w:val="22"/>
          <w:lang w:eastAsia="en-US"/>
        </w:rPr>
        <w:t xml:space="preserve"> arba iš </w:t>
      </w:r>
      <w:proofErr w:type="spellStart"/>
      <w:r>
        <w:rPr>
          <w:rFonts w:eastAsiaTheme="minorHAnsi"/>
          <w:color w:val="000000"/>
          <w:sz w:val="22"/>
          <w:szCs w:val="22"/>
          <w:lang w:eastAsia="en-US"/>
        </w:rPr>
        <w:t>mikroalbuminurijos</w:t>
      </w:r>
      <w:proofErr w:type="spellEnd"/>
      <w:r>
        <w:rPr>
          <w:rFonts w:eastAsiaTheme="minorHAnsi"/>
          <w:color w:val="000000"/>
          <w:sz w:val="22"/>
          <w:szCs w:val="22"/>
          <w:lang w:eastAsia="en-US"/>
        </w:rPr>
        <w:t xml:space="preserve"> į </w:t>
      </w:r>
      <w:proofErr w:type="spellStart"/>
      <w:r>
        <w:rPr>
          <w:rFonts w:eastAsiaTheme="minorHAnsi"/>
          <w:color w:val="000000"/>
          <w:sz w:val="22"/>
          <w:szCs w:val="22"/>
          <w:lang w:eastAsia="en-US"/>
        </w:rPr>
        <w:t>makroalbuminuriją</w:t>
      </w:r>
      <w:proofErr w:type="spellEnd"/>
      <w:r>
        <w:rPr>
          <w:rFonts w:eastAsiaTheme="minorHAnsi"/>
          <w:color w:val="000000"/>
          <w:sz w:val="22"/>
          <w:szCs w:val="22"/>
          <w:lang w:eastAsia="en-US"/>
        </w:rPr>
        <w:t xml:space="preserve">), apskaičiuotas rizikos santykis siekė 0,86 (95 % PI 0,78; 0,95) </w:t>
      </w:r>
      <w:proofErr w:type="spellStart"/>
      <w:r>
        <w:rPr>
          <w:rFonts w:eastAsiaTheme="minorHAnsi"/>
          <w:color w:val="000000"/>
          <w:sz w:val="22"/>
          <w:szCs w:val="22"/>
          <w:lang w:eastAsia="en-US"/>
        </w:rPr>
        <w:t>linagliptiną</w:t>
      </w:r>
      <w:proofErr w:type="spellEnd"/>
      <w:r>
        <w:rPr>
          <w:rFonts w:eastAsiaTheme="minorHAnsi"/>
          <w:color w:val="000000"/>
          <w:sz w:val="22"/>
          <w:szCs w:val="22"/>
          <w:lang w:eastAsia="en-US"/>
        </w:rPr>
        <w:t xml:space="preserve"> lyginant su placebu.</w:t>
      </w:r>
    </w:p>
    <w:p w14:paraId="6AA02B33" w14:textId="77777777" w:rsidR="003F7CCA" w:rsidRDefault="003F7CCA">
      <w:pPr>
        <w:autoSpaceDE w:val="0"/>
        <w:autoSpaceDN w:val="0"/>
        <w:adjustRightInd w:val="0"/>
        <w:rPr>
          <w:rFonts w:eastAsiaTheme="minorHAnsi"/>
          <w:color w:val="000000"/>
          <w:sz w:val="22"/>
          <w:szCs w:val="22"/>
          <w:lang w:eastAsia="en-US"/>
        </w:rPr>
      </w:pPr>
    </w:p>
    <w:p w14:paraId="1DA63593" w14:textId="77777777" w:rsidR="003F7CCA" w:rsidRDefault="0080197E">
      <w:pPr>
        <w:autoSpaceDE w:val="0"/>
        <w:autoSpaceDN w:val="0"/>
        <w:adjustRightInd w:val="0"/>
        <w:rPr>
          <w:rFonts w:eastAsiaTheme="minorHAnsi"/>
          <w:color w:val="000000"/>
          <w:sz w:val="22"/>
          <w:szCs w:val="22"/>
          <w:u w:val="single"/>
          <w:lang w:eastAsia="en-US"/>
        </w:rPr>
      </w:pPr>
      <w:proofErr w:type="spellStart"/>
      <w:r>
        <w:rPr>
          <w:rFonts w:eastAsiaTheme="minorHAnsi"/>
          <w:i/>
          <w:iCs/>
          <w:color w:val="000000"/>
          <w:sz w:val="22"/>
          <w:szCs w:val="22"/>
          <w:u w:val="single"/>
          <w:lang w:eastAsia="en-US"/>
        </w:rPr>
        <w:t>Linagliptino</w:t>
      </w:r>
      <w:proofErr w:type="spellEnd"/>
      <w:r>
        <w:rPr>
          <w:rFonts w:eastAsiaTheme="minorHAnsi"/>
          <w:i/>
          <w:iCs/>
          <w:color w:val="000000"/>
          <w:sz w:val="22"/>
          <w:szCs w:val="22"/>
          <w:u w:val="single"/>
          <w:lang w:eastAsia="en-US"/>
        </w:rPr>
        <w:t xml:space="preserve"> saugumo širdies ir kraujagyslių sistemai tyrimas (CAROLINA)</w:t>
      </w:r>
    </w:p>
    <w:p w14:paraId="0C61FE0E"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CAROLINA buvo atsitiktinių imčių tyrimas, kuriame dalyvavo 6 033 pacientai, sergantys ankstyvuoju 2 tipo cukriniu diabetu ir turintys padidintą su ŠKS susijusią riziką arba nustatytų komplikacijų. Pacientai vartojo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(3 023) arba 1-4 mg </w:t>
      </w:r>
      <w:proofErr w:type="spellStart"/>
      <w:r>
        <w:rPr>
          <w:rFonts w:eastAsiaTheme="minorHAnsi"/>
          <w:color w:val="000000"/>
          <w:sz w:val="22"/>
          <w:szCs w:val="22"/>
          <w:lang w:eastAsia="en-US"/>
        </w:rPr>
        <w:t>glimepirido</w:t>
      </w:r>
      <w:proofErr w:type="spellEnd"/>
      <w:r>
        <w:rPr>
          <w:rFonts w:eastAsiaTheme="minorHAnsi"/>
          <w:color w:val="000000"/>
          <w:sz w:val="22"/>
          <w:szCs w:val="22"/>
          <w:lang w:eastAsia="en-US"/>
        </w:rPr>
        <w:t xml:space="preserve"> (3 010), šiuos vaistinius preparatus skiriant papildomai prie standartinio gydymo (įskaitant foninį gydymą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kuris taikytas 83 % pacientų), taikomo atsižvelgiant į regionui nustatytą HbA</w:t>
      </w:r>
      <w:r>
        <w:rPr>
          <w:rFonts w:eastAsiaTheme="minorHAnsi"/>
          <w:color w:val="000000"/>
          <w:sz w:val="14"/>
          <w:szCs w:val="14"/>
          <w:lang w:eastAsia="en-US"/>
        </w:rPr>
        <w:t xml:space="preserve">1c </w:t>
      </w:r>
      <w:r>
        <w:rPr>
          <w:rFonts w:eastAsiaTheme="minorHAnsi"/>
          <w:color w:val="000000"/>
          <w:sz w:val="22"/>
          <w:szCs w:val="22"/>
          <w:lang w:eastAsia="en-US"/>
        </w:rPr>
        <w:t>normą ir su ŠKS susijusius rizikos veiksnius. Tyrimo populiacijos amžiaus vidurkis siekė 64 metus ir tyrime dalyvavo 2 030 (34 %) pacientų, kurių amžius buvo ≥ 70 metų. Tyrimo populiaciją sudarė 2 089 (35 %) pacientai, sirgę širdies ir kraujagyslių liga, ir 1 130 (19 %) pacientų, kurių sutrikusi inkstų funkcija (</w:t>
      </w:r>
      <w:proofErr w:type="spellStart"/>
      <w:r>
        <w:rPr>
          <w:rFonts w:eastAsiaTheme="minorHAnsi"/>
          <w:color w:val="000000"/>
          <w:sz w:val="22"/>
          <w:szCs w:val="22"/>
          <w:lang w:eastAsia="en-US"/>
        </w:rPr>
        <w:t>aGFG</w:t>
      </w:r>
      <w:proofErr w:type="spellEnd"/>
      <w:r>
        <w:rPr>
          <w:rFonts w:eastAsiaTheme="minorHAnsi"/>
          <w:color w:val="000000"/>
          <w:sz w:val="22"/>
          <w:szCs w:val="22"/>
          <w:lang w:eastAsia="en-US"/>
        </w:rPr>
        <w:t xml:space="preserve"> &lt; 60 ml/min./1,73 m</w:t>
      </w:r>
      <w:r>
        <w:rPr>
          <w:rFonts w:eastAsiaTheme="minorHAnsi"/>
          <w:color w:val="000000"/>
          <w:sz w:val="14"/>
          <w:szCs w:val="14"/>
          <w:lang w:eastAsia="en-US"/>
        </w:rPr>
        <w:t xml:space="preserve">2 </w:t>
      </w:r>
      <w:r>
        <w:rPr>
          <w:rFonts w:eastAsiaTheme="minorHAnsi"/>
          <w:color w:val="000000"/>
          <w:sz w:val="22"/>
          <w:szCs w:val="22"/>
          <w:lang w:eastAsia="en-US"/>
        </w:rPr>
        <w:t>pradinio vertinimo metu). HbA</w:t>
      </w:r>
      <w:r>
        <w:rPr>
          <w:rFonts w:eastAsiaTheme="minorHAnsi"/>
          <w:color w:val="000000"/>
          <w:sz w:val="14"/>
          <w:szCs w:val="14"/>
          <w:lang w:eastAsia="en-US"/>
        </w:rPr>
        <w:t xml:space="preserve">1c </w:t>
      </w:r>
      <w:r>
        <w:rPr>
          <w:rFonts w:eastAsiaTheme="minorHAnsi"/>
          <w:color w:val="000000"/>
          <w:sz w:val="22"/>
          <w:szCs w:val="22"/>
          <w:lang w:eastAsia="en-US"/>
        </w:rPr>
        <w:t>vidurkis pradinio vertinimo metu siekė 7,15 %.</w:t>
      </w:r>
    </w:p>
    <w:p w14:paraId="265C14A9" w14:textId="77777777" w:rsidR="003F7CCA" w:rsidRDefault="003F7CCA">
      <w:pPr>
        <w:autoSpaceDE w:val="0"/>
        <w:autoSpaceDN w:val="0"/>
        <w:adjustRightInd w:val="0"/>
        <w:rPr>
          <w:rFonts w:eastAsiaTheme="minorHAnsi"/>
          <w:color w:val="000000"/>
          <w:sz w:val="22"/>
          <w:szCs w:val="22"/>
          <w:lang w:eastAsia="en-US"/>
        </w:rPr>
      </w:pPr>
    </w:p>
    <w:p w14:paraId="35916C5D"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Tyrimas buvo skirtas įrodyti ne prastesnį rezultatą, vertinant pagal pirminę sudėtinę vertinamąją baigtį (poveikį širdies ir kraujagyslių sistemai), kurią sudarė pirmasis mirties dėl priežasčių, susijusių su širdies ir kraujagyslių ligomis, atvejis, arba nemirtinas miokardo infarktas (MI), arba nemirtinas insultas (3P-MACE).</w:t>
      </w:r>
    </w:p>
    <w:p w14:paraId="26F704E0" w14:textId="77777777" w:rsidR="003F7CCA" w:rsidRDefault="003F7CCA">
      <w:pPr>
        <w:autoSpaceDE w:val="0"/>
        <w:autoSpaceDN w:val="0"/>
        <w:adjustRightInd w:val="0"/>
        <w:rPr>
          <w:rFonts w:eastAsiaTheme="minorHAnsi"/>
          <w:color w:val="000000"/>
          <w:sz w:val="22"/>
          <w:szCs w:val="22"/>
          <w:lang w:eastAsia="en-US"/>
        </w:rPr>
      </w:pPr>
    </w:p>
    <w:p w14:paraId="6D82DE16"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Po stebėjimo laikotarpio, kurio mediana buvo 6,25 metų, </w:t>
      </w:r>
      <w:proofErr w:type="spellStart"/>
      <w:r>
        <w:rPr>
          <w:rFonts w:eastAsiaTheme="minorHAnsi"/>
          <w:color w:val="000000"/>
          <w:sz w:val="22"/>
          <w:szCs w:val="22"/>
          <w:lang w:eastAsia="en-US"/>
        </w:rPr>
        <w:t>linagliptinas</w:t>
      </w:r>
      <w:proofErr w:type="spellEnd"/>
      <w:r>
        <w:rPr>
          <w:rFonts w:eastAsiaTheme="minorHAnsi"/>
          <w:color w:val="000000"/>
          <w:sz w:val="22"/>
          <w:szCs w:val="22"/>
          <w:lang w:eastAsia="en-US"/>
        </w:rPr>
        <w:t xml:space="preserve">, jo skiriant papildomai prie standartinio gydymo, pagrindinių nepageidaujamų širdies ir kraujagyslių reiškinių rizikos (5 lentelė), palyginti su </w:t>
      </w:r>
      <w:proofErr w:type="spellStart"/>
      <w:r>
        <w:rPr>
          <w:rFonts w:eastAsiaTheme="minorHAnsi"/>
          <w:color w:val="000000"/>
          <w:sz w:val="22"/>
          <w:szCs w:val="22"/>
          <w:lang w:eastAsia="en-US"/>
        </w:rPr>
        <w:t>glimepiridu</w:t>
      </w:r>
      <w:proofErr w:type="spellEnd"/>
      <w:r>
        <w:rPr>
          <w:rFonts w:eastAsiaTheme="minorHAnsi"/>
          <w:color w:val="000000"/>
          <w:sz w:val="22"/>
          <w:szCs w:val="22"/>
          <w:lang w:eastAsia="en-US"/>
        </w:rPr>
        <w:t xml:space="preserve">, nedidino. Nuoseklūs rezultatai gauti nepriklausomai nuo to, ar pacientai vartojo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ar ne.</w:t>
      </w:r>
    </w:p>
    <w:p w14:paraId="508EF497" w14:textId="77777777" w:rsidR="003F7CCA" w:rsidRDefault="003F7CCA">
      <w:pPr>
        <w:widowControl w:val="0"/>
        <w:tabs>
          <w:tab w:val="left" w:pos="567"/>
        </w:tabs>
        <w:ind w:left="567" w:hanging="567"/>
        <w:outlineLvl w:val="2"/>
        <w:rPr>
          <w:b/>
          <w:kern w:val="28"/>
          <w:sz w:val="22"/>
          <w:szCs w:val="22"/>
          <w:lang w:eastAsia="en-US"/>
        </w:rPr>
      </w:pPr>
    </w:p>
    <w:p w14:paraId="174A35C6" w14:textId="77777777" w:rsidR="003F7CCA" w:rsidRPr="00A6463E" w:rsidRDefault="0080197E">
      <w:pPr>
        <w:ind w:left="1118" w:right="11" w:hanging="1133"/>
        <w:rPr>
          <w:sz w:val="22"/>
          <w:szCs w:val="22"/>
          <w:lang w:eastAsia="sl-SI"/>
        </w:rPr>
      </w:pPr>
      <w:r w:rsidRPr="00A6463E">
        <w:rPr>
          <w:sz w:val="22"/>
          <w:szCs w:val="22"/>
          <w:lang w:eastAsia="sl-SI"/>
        </w:rPr>
        <w:lastRenderedPageBreak/>
        <w:t>5 len</w:t>
      </w:r>
      <w:r>
        <w:rPr>
          <w:sz w:val="22"/>
          <w:szCs w:val="22"/>
          <w:lang w:eastAsia="sl-SI"/>
        </w:rPr>
        <w:t>telė</w:t>
      </w:r>
      <w:r w:rsidRPr="00A6463E">
        <w:rPr>
          <w:sz w:val="22"/>
          <w:szCs w:val="22"/>
          <w:lang w:eastAsia="sl-SI"/>
        </w:rPr>
        <w:t>:</w:t>
      </w:r>
      <w:r w:rsidRPr="00A6463E">
        <w:rPr>
          <w:sz w:val="22"/>
          <w:szCs w:val="22"/>
          <w:lang w:eastAsia="sl-SI"/>
        </w:rPr>
        <w:tab/>
      </w:r>
      <w:r>
        <w:rPr>
          <w:sz w:val="22"/>
          <w:szCs w:val="22"/>
        </w:rPr>
        <w:t>Pagrindiniai nepageidaujami širdies ir kraujagyslių reiškiniai (MACE) ir mirštamumas pagal gydymo grupę CAROLINA tyrimo metu</w:t>
      </w:r>
    </w:p>
    <w:p w14:paraId="14FDBC82" w14:textId="77777777" w:rsidR="003F7CCA" w:rsidRDefault="003F7CCA">
      <w:pPr>
        <w:widowControl w:val="0"/>
        <w:tabs>
          <w:tab w:val="left" w:pos="567"/>
        </w:tabs>
        <w:ind w:left="567" w:hanging="567"/>
        <w:outlineLvl w:val="2"/>
        <w:rPr>
          <w:b/>
          <w:kern w:val="28"/>
          <w:sz w:val="22"/>
          <w:szCs w:val="22"/>
          <w:lang w:eastAsia="en-US"/>
        </w:rPr>
      </w:pPr>
    </w:p>
    <w:tbl>
      <w:tblPr>
        <w:tblStyle w:val="TableGrid5"/>
        <w:tblW w:w="9288" w:type="dxa"/>
        <w:tblInd w:w="-108" w:type="dxa"/>
        <w:tblCellMar>
          <w:top w:w="51" w:type="dxa"/>
          <w:left w:w="108" w:type="dxa"/>
          <w:right w:w="96" w:type="dxa"/>
        </w:tblCellMar>
        <w:tblLook w:val="04A0" w:firstRow="1" w:lastRow="0" w:firstColumn="1" w:lastColumn="0" w:noHBand="0" w:noVBand="1"/>
      </w:tblPr>
      <w:tblGrid>
        <w:gridCol w:w="2018"/>
        <w:gridCol w:w="1289"/>
        <w:gridCol w:w="1392"/>
        <w:gridCol w:w="1390"/>
        <w:gridCol w:w="1392"/>
        <w:gridCol w:w="1807"/>
      </w:tblGrid>
      <w:tr w:rsidR="003F7CCA" w14:paraId="0A71D734" w14:textId="77777777">
        <w:trPr>
          <w:trHeight w:val="264"/>
        </w:trPr>
        <w:tc>
          <w:tcPr>
            <w:tcW w:w="2018" w:type="dxa"/>
            <w:vMerge w:val="restart"/>
            <w:tcBorders>
              <w:top w:val="single" w:sz="4" w:space="0" w:color="000000"/>
              <w:left w:val="single" w:sz="4" w:space="0" w:color="000000"/>
              <w:bottom w:val="single" w:sz="4" w:space="0" w:color="000000"/>
              <w:right w:val="single" w:sz="4" w:space="0" w:color="000000"/>
            </w:tcBorders>
          </w:tcPr>
          <w:p w14:paraId="653576F4" w14:textId="77777777" w:rsidR="003F7CCA" w:rsidRDefault="003F7CCA">
            <w:pPr>
              <w:spacing w:after="160" w:line="259" w:lineRule="auto"/>
              <w:rPr>
                <w:lang w:eastAsia="sl-SI"/>
              </w:rPr>
            </w:pPr>
          </w:p>
        </w:tc>
        <w:tc>
          <w:tcPr>
            <w:tcW w:w="2681" w:type="dxa"/>
            <w:gridSpan w:val="2"/>
            <w:tcBorders>
              <w:top w:val="single" w:sz="4" w:space="0" w:color="000000"/>
              <w:left w:val="single" w:sz="4" w:space="0" w:color="000000"/>
              <w:bottom w:val="single" w:sz="4" w:space="0" w:color="000000"/>
              <w:right w:val="single" w:sz="4" w:space="0" w:color="000000"/>
            </w:tcBorders>
          </w:tcPr>
          <w:p w14:paraId="4F216387" w14:textId="77777777" w:rsidR="003F7CCA" w:rsidRDefault="0080197E">
            <w:pPr>
              <w:spacing w:line="259" w:lineRule="auto"/>
              <w:ind w:right="12"/>
              <w:jc w:val="center"/>
              <w:rPr>
                <w:lang w:eastAsia="sl-SI"/>
              </w:rPr>
            </w:pPr>
            <w:r>
              <w:rPr>
                <w:b/>
                <w:lang w:eastAsia="sl-SI"/>
              </w:rPr>
              <w:t>Linagliptinas 5 mg</w:t>
            </w:r>
          </w:p>
        </w:tc>
        <w:tc>
          <w:tcPr>
            <w:tcW w:w="2782" w:type="dxa"/>
            <w:gridSpan w:val="2"/>
            <w:tcBorders>
              <w:top w:val="single" w:sz="4" w:space="0" w:color="000000"/>
              <w:left w:val="single" w:sz="4" w:space="0" w:color="000000"/>
              <w:bottom w:val="single" w:sz="4" w:space="0" w:color="000000"/>
              <w:right w:val="single" w:sz="4" w:space="0" w:color="000000"/>
            </w:tcBorders>
          </w:tcPr>
          <w:p w14:paraId="4EF419AB" w14:textId="77777777" w:rsidR="003F7CCA" w:rsidRDefault="0080197E">
            <w:pPr>
              <w:spacing w:line="259" w:lineRule="auto"/>
              <w:ind w:right="15"/>
              <w:jc w:val="center"/>
              <w:rPr>
                <w:lang w:eastAsia="sl-SI"/>
              </w:rPr>
            </w:pPr>
            <w:r>
              <w:rPr>
                <w:b/>
                <w:lang w:eastAsia="sl-SI"/>
              </w:rPr>
              <w:t>Glimepiridas (1-4 mg)</w:t>
            </w:r>
          </w:p>
        </w:tc>
        <w:tc>
          <w:tcPr>
            <w:tcW w:w="1807" w:type="dxa"/>
            <w:tcBorders>
              <w:top w:val="single" w:sz="4" w:space="0" w:color="000000"/>
              <w:left w:val="single" w:sz="4" w:space="0" w:color="000000"/>
              <w:bottom w:val="single" w:sz="4" w:space="0" w:color="000000"/>
              <w:right w:val="single" w:sz="4" w:space="0" w:color="000000"/>
            </w:tcBorders>
          </w:tcPr>
          <w:p w14:paraId="058996FB" w14:textId="77777777" w:rsidR="003F7CCA" w:rsidRDefault="0080197E">
            <w:pPr>
              <w:spacing w:line="259" w:lineRule="auto"/>
              <w:ind w:right="17"/>
              <w:jc w:val="center"/>
              <w:rPr>
                <w:b/>
                <w:bCs/>
                <w:lang w:eastAsia="sl-SI"/>
              </w:rPr>
            </w:pPr>
            <w:r>
              <w:rPr>
                <w:b/>
                <w:bCs/>
                <w:lang w:eastAsia="sl-SI"/>
              </w:rPr>
              <w:t>Rizikos santykis</w:t>
            </w:r>
          </w:p>
        </w:tc>
      </w:tr>
      <w:tr w:rsidR="003F7CCA" w14:paraId="28239427" w14:textId="77777777">
        <w:trPr>
          <w:trHeight w:val="768"/>
        </w:trPr>
        <w:tc>
          <w:tcPr>
            <w:tcW w:w="0" w:type="auto"/>
            <w:vMerge/>
            <w:tcBorders>
              <w:top w:val="nil"/>
              <w:left w:val="single" w:sz="4" w:space="0" w:color="000000"/>
              <w:bottom w:val="single" w:sz="4" w:space="0" w:color="000000"/>
              <w:right w:val="single" w:sz="4" w:space="0" w:color="000000"/>
            </w:tcBorders>
          </w:tcPr>
          <w:p w14:paraId="4C59AC53" w14:textId="77777777" w:rsidR="003F7CCA" w:rsidRDefault="003F7CCA">
            <w:pPr>
              <w:spacing w:after="160" w:line="259" w:lineRule="auto"/>
              <w:rPr>
                <w:lang w:eastAsia="sl-SI"/>
              </w:rPr>
            </w:pPr>
          </w:p>
        </w:tc>
        <w:tc>
          <w:tcPr>
            <w:tcW w:w="1289" w:type="dxa"/>
            <w:tcBorders>
              <w:top w:val="single" w:sz="4" w:space="0" w:color="000000"/>
              <w:left w:val="single" w:sz="4" w:space="0" w:color="000000"/>
              <w:bottom w:val="single" w:sz="4" w:space="0" w:color="000000"/>
              <w:right w:val="single" w:sz="4" w:space="0" w:color="000000"/>
            </w:tcBorders>
          </w:tcPr>
          <w:p w14:paraId="2734BC1A" w14:textId="77777777" w:rsidR="003F7CCA" w:rsidRDefault="0080197E">
            <w:pPr>
              <w:spacing w:line="259" w:lineRule="auto"/>
              <w:ind w:left="55"/>
              <w:rPr>
                <w:lang w:eastAsia="sl-SI"/>
              </w:rPr>
            </w:pPr>
            <w:r>
              <w:rPr>
                <w:lang w:eastAsia="sl-SI"/>
              </w:rPr>
              <w:t xml:space="preserve">Tiriamųjų </w:t>
            </w:r>
          </w:p>
          <w:p w14:paraId="2D210405" w14:textId="77777777" w:rsidR="003F7CCA" w:rsidRDefault="0080197E">
            <w:pPr>
              <w:spacing w:line="259" w:lineRule="auto"/>
              <w:ind w:right="14"/>
              <w:jc w:val="center"/>
              <w:rPr>
                <w:lang w:eastAsia="sl-SI"/>
              </w:rPr>
            </w:pPr>
            <w:r>
              <w:rPr>
                <w:lang w:eastAsia="sl-SI"/>
              </w:rPr>
              <w:t xml:space="preserve">skaičius </w:t>
            </w:r>
          </w:p>
          <w:p w14:paraId="66A3EDBC" w14:textId="77777777" w:rsidR="003F7CCA" w:rsidRDefault="0080197E">
            <w:pPr>
              <w:spacing w:line="259" w:lineRule="auto"/>
              <w:ind w:right="10"/>
              <w:jc w:val="center"/>
              <w:rPr>
                <w:lang w:eastAsia="sl-SI"/>
              </w:rPr>
            </w:pPr>
            <w:r>
              <w:rPr>
                <w:lang w:eastAsia="sl-SI"/>
              </w:rPr>
              <w:t>(%)</w:t>
            </w:r>
          </w:p>
        </w:tc>
        <w:tc>
          <w:tcPr>
            <w:tcW w:w="1392" w:type="dxa"/>
            <w:tcBorders>
              <w:top w:val="single" w:sz="4" w:space="0" w:color="000000"/>
              <w:left w:val="single" w:sz="4" w:space="0" w:color="000000"/>
              <w:bottom w:val="single" w:sz="4" w:space="0" w:color="000000"/>
              <w:right w:val="single" w:sz="4" w:space="0" w:color="000000"/>
            </w:tcBorders>
          </w:tcPr>
          <w:p w14:paraId="39E42ECC" w14:textId="77777777" w:rsidR="003F7CCA" w:rsidRDefault="0080197E">
            <w:pPr>
              <w:spacing w:line="259" w:lineRule="auto"/>
              <w:ind w:left="118"/>
              <w:rPr>
                <w:lang w:eastAsia="sl-SI"/>
              </w:rPr>
            </w:pPr>
            <w:r>
              <w:rPr>
                <w:lang w:eastAsia="sl-SI"/>
              </w:rPr>
              <w:t>Įvykių dažnis per</w:t>
            </w:r>
          </w:p>
          <w:p w14:paraId="01E4185D" w14:textId="77777777" w:rsidR="003F7CCA" w:rsidRDefault="0080197E">
            <w:pPr>
              <w:spacing w:line="259" w:lineRule="auto"/>
              <w:ind w:left="118"/>
              <w:rPr>
                <w:lang w:eastAsia="sl-SI"/>
              </w:rPr>
            </w:pPr>
            <w:r>
              <w:rPr>
                <w:lang w:eastAsia="sl-SI"/>
              </w:rPr>
              <w:t>1 000 SPM*</w:t>
            </w:r>
          </w:p>
        </w:tc>
        <w:tc>
          <w:tcPr>
            <w:tcW w:w="1390" w:type="dxa"/>
            <w:tcBorders>
              <w:top w:val="single" w:sz="4" w:space="0" w:color="000000"/>
              <w:left w:val="single" w:sz="4" w:space="0" w:color="000000"/>
              <w:bottom w:val="single" w:sz="4" w:space="0" w:color="000000"/>
              <w:right w:val="single" w:sz="4" w:space="0" w:color="000000"/>
            </w:tcBorders>
          </w:tcPr>
          <w:p w14:paraId="26874981" w14:textId="77777777" w:rsidR="003F7CCA" w:rsidRDefault="0080197E">
            <w:pPr>
              <w:spacing w:line="259" w:lineRule="auto"/>
              <w:jc w:val="center"/>
              <w:rPr>
                <w:lang w:eastAsia="sl-SI"/>
              </w:rPr>
            </w:pPr>
            <w:r>
              <w:rPr>
                <w:lang w:eastAsia="sl-SI"/>
              </w:rPr>
              <w:t>Tiriamųjų skaičius (%)</w:t>
            </w:r>
          </w:p>
        </w:tc>
        <w:tc>
          <w:tcPr>
            <w:tcW w:w="1392" w:type="dxa"/>
            <w:tcBorders>
              <w:top w:val="none" w:sz="6" w:space="0" w:color="auto"/>
              <w:bottom w:val="none" w:sz="6" w:space="0" w:color="auto"/>
            </w:tcBorders>
          </w:tcPr>
          <w:p w14:paraId="2F1BA9AA" w14:textId="77777777" w:rsidR="003F7CCA" w:rsidRDefault="0080197E">
            <w:pPr>
              <w:spacing w:line="259" w:lineRule="auto"/>
              <w:ind w:left="118"/>
              <w:rPr>
                <w:lang w:eastAsia="sl-SI"/>
              </w:rPr>
            </w:pPr>
            <w:r>
              <w:t xml:space="preserve">Įvykių dažnis per 1 000 SPM* </w:t>
            </w:r>
          </w:p>
        </w:tc>
        <w:tc>
          <w:tcPr>
            <w:tcW w:w="1807" w:type="dxa"/>
            <w:tcBorders>
              <w:top w:val="single" w:sz="4" w:space="0" w:color="000000"/>
              <w:left w:val="single" w:sz="4" w:space="0" w:color="000000"/>
              <w:bottom w:val="single" w:sz="4" w:space="0" w:color="000000"/>
              <w:right w:val="single" w:sz="4" w:space="0" w:color="000000"/>
            </w:tcBorders>
          </w:tcPr>
          <w:p w14:paraId="5348BA65" w14:textId="77777777" w:rsidR="003F7CCA" w:rsidRDefault="0080197E">
            <w:pPr>
              <w:spacing w:line="259" w:lineRule="auto"/>
              <w:ind w:right="22"/>
              <w:jc w:val="center"/>
              <w:rPr>
                <w:lang w:eastAsia="sl-SI"/>
              </w:rPr>
            </w:pPr>
            <w:r>
              <w:rPr>
                <w:lang w:eastAsia="sl-SI"/>
              </w:rPr>
              <w:t>(95 % PI)</w:t>
            </w:r>
          </w:p>
        </w:tc>
      </w:tr>
      <w:tr w:rsidR="003F7CCA" w14:paraId="415862E5" w14:textId="77777777">
        <w:trPr>
          <w:trHeight w:val="264"/>
        </w:trPr>
        <w:tc>
          <w:tcPr>
            <w:tcW w:w="2018" w:type="dxa"/>
            <w:tcBorders>
              <w:top w:val="single" w:sz="4" w:space="0" w:color="000000"/>
              <w:left w:val="single" w:sz="4" w:space="0" w:color="000000"/>
              <w:bottom w:val="single" w:sz="4" w:space="0" w:color="000000"/>
              <w:right w:val="single" w:sz="4" w:space="0" w:color="000000"/>
            </w:tcBorders>
          </w:tcPr>
          <w:p w14:paraId="77F75F60" w14:textId="77777777" w:rsidR="003F7CCA" w:rsidRDefault="0080197E">
            <w:pPr>
              <w:spacing w:line="259" w:lineRule="auto"/>
              <w:rPr>
                <w:lang w:eastAsia="sl-SI"/>
              </w:rPr>
            </w:pPr>
            <w:r>
              <w:rPr>
                <w:lang w:eastAsia="sl-SI"/>
              </w:rPr>
              <w:t>Pacientų skaičius</w:t>
            </w:r>
          </w:p>
        </w:tc>
        <w:tc>
          <w:tcPr>
            <w:tcW w:w="2681" w:type="dxa"/>
            <w:gridSpan w:val="2"/>
            <w:tcBorders>
              <w:top w:val="single" w:sz="4" w:space="0" w:color="000000"/>
              <w:left w:val="single" w:sz="4" w:space="0" w:color="000000"/>
              <w:bottom w:val="single" w:sz="4" w:space="0" w:color="000000"/>
              <w:right w:val="single" w:sz="4" w:space="0" w:color="000000"/>
            </w:tcBorders>
          </w:tcPr>
          <w:p w14:paraId="6812E374" w14:textId="77777777" w:rsidR="003F7CCA" w:rsidRDefault="0080197E">
            <w:pPr>
              <w:spacing w:line="259" w:lineRule="auto"/>
              <w:ind w:right="12"/>
              <w:jc w:val="center"/>
              <w:rPr>
                <w:lang w:eastAsia="sl-SI"/>
              </w:rPr>
            </w:pPr>
            <w:r>
              <w:rPr>
                <w:lang w:eastAsia="sl-SI"/>
              </w:rPr>
              <w:t>3 023</w:t>
            </w:r>
          </w:p>
        </w:tc>
        <w:tc>
          <w:tcPr>
            <w:tcW w:w="2782" w:type="dxa"/>
            <w:gridSpan w:val="2"/>
            <w:tcBorders>
              <w:top w:val="single" w:sz="4" w:space="0" w:color="000000"/>
              <w:left w:val="single" w:sz="4" w:space="0" w:color="000000"/>
              <w:bottom w:val="single" w:sz="4" w:space="0" w:color="000000"/>
              <w:right w:val="single" w:sz="4" w:space="0" w:color="000000"/>
            </w:tcBorders>
          </w:tcPr>
          <w:p w14:paraId="37ACC377" w14:textId="77777777" w:rsidR="003F7CCA" w:rsidRDefault="0080197E">
            <w:pPr>
              <w:spacing w:line="259" w:lineRule="auto"/>
              <w:ind w:right="17"/>
              <w:jc w:val="center"/>
              <w:rPr>
                <w:lang w:eastAsia="sl-SI"/>
              </w:rPr>
            </w:pPr>
            <w:r>
              <w:rPr>
                <w:lang w:eastAsia="sl-SI"/>
              </w:rPr>
              <w:t>3 010</w:t>
            </w:r>
          </w:p>
        </w:tc>
        <w:tc>
          <w:tcPr>
            <w:tcW w:w="1807" w:type="dxa"/>
            <w:tcBorders>
              <w:top w:val="single" w:sz="4" w:space="0" w:color="000000"/>
              <w:left w:val="single" w:sz="4" w:space="0" w:color="000000"/>
              <w:bottom w:val="single" w:sz="4" w:space="0" w:color="000000"/>
              <w:right w:val="single" w:sz="4" w:space="0" w:color="000000"/>
            </w:tcBorders>
          </w:tcPr>
          <w:p w14:paraId="79D37C67" w14:textId="77777777" w:rsidR="003F7CCA" w:rsidRDefault="003F7CCA">
            <w:pPr>
              <w:spacing w:after="160" w:line="259" w:lineRule="auto"/>
              <w:rPr>
                <w:lang w:eastAsia="sl-SI"/>
              </w:rPr>
            </w:pPr>
          </w:p>
        </w:tc>
      </w:tr>
      <w:tr w:rsidR="003F7CCA" w14:paraId="4D951F22" w14:textId="77777777">
        <w:trPr>
          <w:trHeight w:val="1274"/>
        </w:trPr>
        <w:tc>
          <w:tcPr>
            <w:tcW w:w="2018" w:type="dxa"/>
            <w:tcBorders>
              <w:top w:val="single" w:sz="4" w:space="0" w:color="000000"/>
              <w:left w:val="single" w:sz="4" w:space="0" w:color="000000"/>
              <w:bottom w:val="single" w:sz="4" w:space="0" w:color="000000"/>
              <w:right w:val="single" w:sz="4" w:space="0" w:color="000000"/>
            </w:tcBorders>
          </w:tcPr>
          <w:p w14:paraId="76D6BF2F" w14:textId="77777777" w:rsidR="003F7CCA" w:rsidRDefault="0080197E">
            <w:pPr>
              <w:spacing w:line="259" w:lineRule="auto"/>
              <w:rPr>
                <w:lang w:eastAsia="sl-SI"/>
              </w:rPr>
            </w:pPr>
            <w:r>
              <w:rPr>
                <w:lang w:eastAsia="sl-SI"/>
              </w:rPr>
              <w:t>Pirminis ŠKS sudėtinis kriterijus (mirtis dėl priežasčių, susijusių su širdies ir kraujagyslių ligomis, nemirtinas MI, nemirtinas insultas)</w:t>
            </w:r>
          </w:p>
        </w:tc>
        <w:tc>
          <w:tcPr>
            <w:tcW w:w="1289" w:type="dxa"/>
            <w:tcBorders>
              <w:top w:val="single" w:sz="4" w:space="0" w:color="000000"/>
              <w:left w:val="single" w:sz="4" w:space="0" w:color="000000"/>
              <w:bottom w:val="single" w:sz="4" w:space="0" w:color="000000"/>
              <w:right w:val="single" w:sz="4" w:space="0" w:color="000000"/>
            </w:tcBorders>
          </w:tcPr>
          <w:p w14:paraId="27715FAB" w14:textId="77777777" w:rsidR="003F7CCA" w:rsidRDefault="0080197E">
            <w:pPr>
              <w:spacing w:line="259" w:lineRule="auto"/>
              <w:ind w:right="13"/>
              <w:jc w:val="center"/>
              <w:rPr>
                <w:lang w:eastAsia="sl-SI"/>
              </w:rPr>
            </w:pPr>
            <w:r>
              <w:rPr>
                <w:lang w:eastAsia="sl-SI"/>
              </w:rPr>
              <w:t>356 (11,8)</w:t>
            </w:r>
          </w:p>
        </w:tc>
        <w:tc>
          <w:tcPr>
            <w:tcW w:w="1392" w:type="dxa"/>
            <w:tcBorders>
              <w:top w:val="single" w:sz="4" w:space="0" w:color="000000"/>
              <w:left w:val="single" w:sz="4" w:space="0" w:color="000000"/>
              <w:bottom w:val="single" w:sz="4" w:space="0" w:color="000000"/>
              <w:right w:val="single" w:sz="4" w:space="0" w:color="000000"/>
            </w:tcBorders>
          </w:tcPr>
          <w:p w14:paraId="436FE4AF" w14:textId="77777777" w:rsidR="003F7CCA" w:rsidRDefault="0080197E">
            <w:pPr>
              <w:spacing w:line="259" w:lineRule="auto"/>
              <w:ind w:right="10"/>
              <w:jc w:val="center"/>
              <w:rPr>
                <w:lang w:eastAsia="sl-SI"/>
              </w:rPr>
            </w:pPr>
            <w:r>
              <w:rPr>
                <w:lang w:eastAsia="sl-SI"/>
              </w:rPr>
              <w:t>20,7</w:t>
            </w:r>
          </w:p>
        </w:tc>
        <w:tc>
          <w:tcPr>
            <w:tcW w:w="1390" w:type="dxa"/>
            <w:tcBorders>
              <w:top w:val="single" w:sz="4" w:space="0" w:color="000000"/>
              <w:left w:val="single" w:sz="4" w:space="0" w:color="000000"/>
              <w:bottom w:val="single" w:sz="4" w:space="0" w:color="000000"/>
              <w:right w:val="single" w:sz="4" w:space="0" w:color="000000"/>
            </w:tcBorders>
          </w:tcPr>
          <w:p w14:paraId="36A4E4F1" w14:textId="77777777" w:rsidR="003F7CCA" w:rsidRDefault="0080197E">
            <w:pPr>
              <w:spacing w:line="259" w:lineRule="auto"/>
              <w:ind w:right="13"/>
              <w:jc w:val="center"/>
              <w:rPr>
                <w:lang w:eastAsia="sl-SI"/>
              </w:rPr>
            </w:pPr>
            <w:r>
              <w:rPr>
                <w:lang w:eastAsia="sl-SI"/>
              </w:rPr>
              <w:t>362 (12,0)</w:t>
            </w:r>
          </w:p>
        </w:tc>
        <w:tc>
          <w:tcPr>
            <w:tcW w:w="1392" w:type="dxa"/>
            <w:tcBorders>
              <w:top w:val="single" w:sz="4" w:space="0" w:color="000000"/>
              <w:left w:val="single" w:sz="4" w:space="0" w:color="000000"/>
              <w:bottom w:val="single" w:sz="4" w:space="0" w:color="000000"/>
              <w:right w:val="single" w:sz="4" w:space="0" w:color="000000"/>
            </w:tcBorders>
          </w:tcPr>
          <w:p w14:paraId="6EEFC372" w14:textId="77777777" w:rsidR="003F7CCA" w:rsidRDefault="0080197E">
            <w:pPr>
              <w:spacing w:line="259" w:lineRule="auto"/>
              <w:ind w:right="10"/>
              <w:jc w:val="center"/>
              <w:rPr>
                <w:lang w:eastAsia="sl-SI"/>
              </w:rPr>
            </w:pPr>
            <w:r>
              <w:rPr>
                <w:lang w:eastAsia="sl-SI"/>
              </w:rPr>
              <w:t>21,2</w:t>
            </w:r>
          </w:p>
        </w:tc>
        <w:tc>
          <w:tcPr>
            <w:tcW w:w="1807" w:type="dxa"/>
            <w:tcBorders>
              <w:top w:val="single" w:sz="4" w:space="0" w:color="000000"/>
              <w:left w:val="single" w:sz="4" w:space="0" w:color="000000"/>
              <w:bottom w:val="single" w:sz="4" w:space="0" w:color="000000"/>
              <w:right w:val="single" w:sz="4" w:space="0" w:color="000000"/>
            </w:tcBorders>
          </w:tcPr>
          <w:p w14:paraId="7F29DAB4" w14:textId="77777777" w:rsidR="003F7CCA" w:rsidRDefault="0080197E">
            <w:pPr>
              <w:spacing w:line="259" w:lineRule="auto"/>
              <w:ind w:right="19"/>
              <w:jc w:val="center"/>
              <w:rPr>
                <w:lang w:eastAsia="sl-SI"/>
              </w:rPr>
            </w:pPr>
            <w:r>
              <w:rPr>
                <w:lang w:eastAsia="sl-SI"/>
              </w:rPr>
              <w:t xml:space="preserve">0,98 (0,84, </w:t>
            </w:r>
          </w:p>
          <w:p w14:paraId="03B839FC" w14:textId="77777777" w:rsidR="003F7CCA" w:rsidRDefault="0080197E">
            <w:pPr>
              <w:spacing w:line="259" w:lineRule="auto"/>
              <w:ind w:right="14"/>
              <w:jc w:val="center"/>
              <w:rPr>
                <w:lang w:eastAsia="sl-SI"/>
              </w:rPr>
            </w:pPr>
            <w:r>
              <w:rPr>
                <w:lang w:eastAsia="sl-SI"/>
              </w:rPr>
              <w:t>1,14)**</w:t>
            </w:r>
          </w:p>
        </w:tc>
      </w:tr>
      <w:tr w:rsidR="003F7CCA" w14:paraId="50DB4CA4" w14:textId="77777777">
        <w:trPr>
          <w:trHeight w:val="262"/>
        </w:trPr>
        <w:tc>
          <w:tcPr>
            <w:tcW w:w="2018" w:type="dxa"/>
            <w:tcBorders>
              <w:top w:val="single" w:sz="4" w:space="0" w:color="000000"/>
              <w:left w:val="single" w:sz="4" w:space="0" w:color="000000"/>
              <w:bottom w:val="single" w:sz="4" w:space="0" w:color="000000"/>
              <w:right w:val="single" w:sz="4" w:space="0" w:color="000000"/>
            </w:tcBorders>
          </w:tcPr>
          <w:p w14:paraId="6CD84A18" w14:textId="77777777" w:rsidR="003F7CCA" w:rsidRDefault="0080197E">
            <w:pPr>
              <w:spacing w:line="259" w:lineRule="auto"/>
              <w:rPr>
                <w:lang w:eastAsia="sl-SI"/>
              </w:rPr>
            </w:pPr>
            <w:r>
              <w:rPr>
                <w:lang w:eastAsia="sl-SI"/>
              </w:rPr>
              <w:t>Mirštamumas dėl bet kurios priežasties</w:t>
            </w:r>
          </w:p>
        </w:tc>
        <w:tc>
          <w:tcPr>
            <w:tcW w:w="1289" w:type="dxa"/>
            <w:tcBorders>
              <w:top w:val="single" w:sz="4" w:space="0" w:color="000000"/>
              <w:left w:val="single" w:sz="4" w:space="0" w:color="000000"/>
              <w:bottom w:val="single" w:sz="4" w:space="0" w:color="000000"/>
              <w:right w:val="single" w:sz="4" w:space="0" w:color="000000"/>
            </w:tcBorders>
          </w:tcPr>
          <w:p w14:paraId="409F6664" w14:textId="77777777" w:rsidR="003F7CCA" w:rsidRDefault="0080197E">
            <w:pPr>
              <w:spacing w:line="259" w:lineRule="auto"/>
              <w:ind w:right="13"/>
              <w:jc w:val="center"/>
              <w:rPr>
                <w:lang w:eastAsia="sl-SI"/>
              </w:rPr>
            </w:pPr>
            <w:r>
              <w:rPr>
                <w:lang w:eastAsia="sl-SI"/>
              </w:rPr>
              <w:t>308 (10,2)</w:t>
            </w:r>
          </w:p>
        </w:tc>
        <w:tc>
          <w:tcPr>
            <w:tcW w:w="1392" w:type="dxa"/>
            <w:tcBorders>
              <w:top w:val="single" w:sz="4" w:space="0" w:color="000000"/>
              <w:left w:val="single" w:sz="4" w:space="0" w:color="000000"/>
              <w:bottom w:val="single" w:sz="4" w:space="0" w:color="000000"/>
              <w:right w:val="single" w:sz="4" w:space="0" w:color="000000"/>
            </w:tcBorders>
          </w:tcPr>
          <w:p w14:paraId="3E27E4EB" w14:textId="77777777" w:rsidR="003F7CCA" w:rsidRDefault="0080197E">
            <w:pPr>
              <w:spacing w:line="259" w:lineRule="auto"/>
              <w:ind w:right="10"/>
              <w:jc w:val="center"/>
              <w:rPr>
                <w:lang w:eastAsia="sl-SI"/>
              </w:rPr>
            </w:pPr>
            <w:r>
              <w:rPr>
                <w:lang w:eastAsia="sl-SI"/>
              </w:rPr>
              <w:t>16,8</w:t>
            </w:r>
          </w:p>
        </w:tc>
        <w:tc>
          <w:tcPr>
            <w:tcW w:w="1390" w:type="dxa"/>
            <w:tcBorders>
              <w:top w:val="single" w:sz="4" w:space="0" w:color="000000"/>
              <w:left w:val="single" w:sz="4" w:space="0" w:color="000000"/>
              <w:bottom w:val="single" w:sz="4" w:space="0" w:color="000000"/>
              <w:right w:val="single" w:sz="4" w:space="0" w:color="000000"/>
            </w:tcBorders>
          </w:tcPr>
          <w:p w14:paraId="1B85D601" w14:textId="77777777" w:rsidR="003F7CCA" w:rsidRDefault="0080197E">
            <w:pPr>
              <w:spacing w:line="259" w:lineRule="auto"/>
              <w:ind w:right="13"/>
              <w:jc w:val="center"/>
              <w:rPr>
                <w:lang w:eastAsia="sl-SI"/>
              </w:rPr>
            </w:pPr>
            <w:r>
              <w:rPr>
                <w:lang w:eastAsia="sl-SI"/>
              </w:rPr>
              <w:t>336 (11,2)</w:t>
            </w:r>
          </w:p>
        </w:tc>
        <w:tc>
          <w:tcPr>
            <w:tcW w:w="1392" w:type="dxa"/>
            <w:tcBorders>
              <w:top w:val="single" w:sz="4" w:space="0" w:color="000000"/>
              <w:left w:val="single" w:sz="4" w:space="0" w:color="000000"/>
              <w:bottom w:val="single" w:sz="4" w:space="0" w:color="000000"/>
              <w:right w:val="single" w:sz="4" w:space="0" w:color="000000"/>
            </w:tcBorders>
          </w:tcPr>
          <w:p w14:paraId="786F948A" w14:textId="77777777" w:rsidR="003F7CCA" w:rsidRDefault="0080197E">
            <w:pPr>
              <w:spacing w:line="259" w:lineRule="auto"/>
              <w:ind w:right="10"/>
              <w:jc w:val="center"/>
              <w:rPr>
                <w:lang w:eastAsia="sl-SI"/>
              </w:rPr>
            </w:pPr>
            <w:r>
              <w:rPr>
                <w:lang w:eastAsia="sl-SI"/>
              </w:rPr>
              <w:t>18,4</w:t>
            </w:r>
          </w:p>
        </w:tc>
        <w:tc>
          <w:tcPr>
            <w:tcW w:w="1807" w:type="dxa"/>
            <w:tcBorders>
              <w:top w:val="single" w:sz="4" w:space="0" w:color="000000"/>
              <w:left w:val="single" w:sz="4" w:space="0" w:color="000000"/>
              <w:bottom w:val="single" w:sz="4" w:space="0" w:color="000000"/>
              <w:right w:val="single" w:sz="4" w:space="0" w:color="000000"/>
            </w:tcBorders>
          </w:tcPr>
          <w:p w14:paraId="6BA26A77" w14:textId="77777777" w:rsidR="003F7CCA" w:rsidRDefault="0080197E">
            <w:pPr>
              <w:spacing w:line="259" w:lineRule="auto"/>
              <w:ind w:right="18"/>
              <w:jc w:val="center"/>
              <w:rPr>
                <w:lang w:eastAsia="sl-SI"/>
              </w:rPr>
            </w:pPr>
            <w:r>
              <w:rPr>
                <w:lang w:eastAsia="sl-SI"/>
              </w:rPr>
              <w:t>0,91 (0,78,1,06)</w:t>
            </w:r>
          </w:p>
        </w:tc>
      </w:tr>
      <w:tr w:rsidR="003F7CCA" w14:paraId="6CAD15BD" w14:textId="77777777">
        <w:trPr>
          <w:trHeight w:val="264"/>
        </w:trPr>
        <w:tc>
          <w:tcPr>
            <w:tcW w:w="2018" w:type="dxa"/>
            <w:tcBorders>
              <w:top w:val="single" w:sz="4" w:space="0" w:color="000000"/>
              <w:left w:val="single" w:sz="4" w:space="0" w:color="000000"/>
              <w:bottom w:val="single" w:sz="4" w:space="0" w:color="000000"/>
              <w:right w:val="single" w:sz="4" w:space="0" w:color="000000"/>
            </w:tcBorders>
          </w:tcPr>
          <w:p w14:paraId="081821B3" w14:textId="77777777" w:rsidR="003F7CCA" w:rsidRDefault="0080197E">
            <w:pPr>
              <w:spacing w:line="259" w:lineRule="auto"/>
              <w:rPr>
                <w:lang w:eastAsia="sl-SI"/>
              </w:rPr>
            </w:pPr>
            <w:r>
              <w:rPr>
                <w:lang w:eastAsia="sl-SI"/>
              </w:rPr>
              <w:t>Mirtis dėl priežasčių, susijusių su širdies ir kraujagyslių ligomis</w:t>
            </w:r>
          </w:p>
        </w:tc>
        <w:tc>
          <w:tcPr>
            <w:tcW w:w="1289" w:type="dxa"/>
            <w:tcBorders>
              <w:top w:val="single" w:sz="4" w:space="0" w:color="000000"/>
              <w:left w:val="single" w:sz="4" w:space="0" w:color="000000"/>
              <w:bottom w:val="single" w:sz="4" w:space="0" w:color="000000"/>
              <w:right w:val="single" w:sz="4" w:space="0" w:color="000000"/>
            </w:tcBorders>
          </w:tcPr>
          <w:p w14:paraId="20D175A5" w14:textId="77777777" w:rsidR="003F7CCA" w:rsidRDefault="0080197E">
            <w:pPr>
              <w:spacing w:line="259" w:lineRule="auto"/>
              <w:ind w:right="13"/>
              <w:jc w:val="center"/>
              <w:rPr>
                <w:lang w:eastAsia="sl-SI"/>
              </w:rPr>
            </w:pPr>
            <w:r>
              <w:rPr>
                <w:lang w:eastAsia="sl-SI"/>
              </w:rPr>
              <w:t>169 (5,6)</w:t>
            </w:r>
          </w:p>
        </w:tc>
        <w:tc>
          <w:tcPr>
            <w:tcW w:w="1392" w:type="dxa"/>
            <w:tcBorders>
              <w:top w:val="single" w:sz="4" w:space="0" w:color="000000"/>
              <w:left w:val="single" w:sz="4" w:space="0" w:color="000000"/>
              <w:bottom w:val="single" w:sz="4" w:space="0" w:color="000000"/>
              <w:right w:val="single" w:sz="4" w:space="0" w:color="000000"/>
            </w:tcBorders>
          </w:tcPr>
          <w:p w14:paraId="1E9AF576" w14:textId="77777777" w:rsidR="003F7CCA" w:rsidRDefault="0080197E">
            <w:pPr>
              <w:spacing w:line="259" w:lineRule="auto"/>
              <w:ind w:right="14"/>
              <w:jc w:val="center"/>
              <w:rPr>
                <w:lang w:eastAsia="sl-SI"/>
              </w:rPr>
            </w:pPr>
            <w:r>
              <w:rPr>
                <w:lang w:eastAsia="sl-SI"/>
              </w:rPr>
              <w:t>9,2</w:t>
            </w:r>
          </w:p>
        </w:tc>
        <w:tc>
          <w:tcPr>
            <w:tcW w:w="1390" w:type="dxa"/>
            <w:tcBorders>
              <w:top w:val="single" w:sz="4" w:space="0" w:color="000000"/>
              <w:left w:val="single" w:sz="4" w:space="0" w:color="000000"/>
              <w:bottom w:val="single" w:sz="4" w:space="0" w:color="000000"/>
              <w:right w:val="single" w:sz="4" w:space="0" w:color="000000"/>
            </w:tcBorders>
          </w:tcPr>
          <w:p w14:paraId="39C78463" w14:textId="77777777" w:rsidR="003F7CCA" w:rsidRDefault="0080197E">
            <w:pPr>
              <w:spacing w:line="259" w:lineRule="auto"/>
              <w:ind w:right="13"/>
              <w:jc w:val="center"/>
              <w:rPr>
                <w:lang w:eastAsia="sl-SI"/>
              </w:rPr>
            </w:pPr>
            <w:r>
              <w:rPr>
                <w:lang w:eastAsia="sl-SI"/>
              </w:rPr>
              <w:t>168 (5,6)</w:t>
            </w:r>
          </w:p>
        </w:tc>
        <w:tc>
          <w:tcPr>
            <w:tcW w:w="1392" w:type="dxa"/>
            <w:tcBorders>
              <w:top w:val="single" w:sz="4" w:space="0" w:color="000000"/>
              <w:left w:val="single" w:sz="4" w:space="0" w:color="000000"/>
              <w:bottom w:val="single" w:sz="4" w:space="0" w:color="000000"/>
              <w:right w:val="single" w:sz="4" w:space="0" w:color="000000"/>
            </w:tcBorders>
          </w:tcPr>
          <w:p w14:paraId="362E9F9C" w14:textId="77777777" w:rsidR="003F7CCA" w:rsidRDefault="0080197E">
            <w:pPr>
              <w:spacing w:line="259" w:lineRule="auto"/>
              <w:ind w:right="14"/>
              <w:jc w:val="center"/>
              <w:rPr>
                <w:lang w:eastAsia="sl-SI"/>
              </w:rPr>
            </w:pPr>
            <w:r>
              <w:rPr>
                <w:lang w:eastAsia="sl-SI"/>
              </w:rPr>
              <w:t>9,2</w:t>
            </w:r>
          </w:p>
        </w:tc>
        <w:tc>
          <w:tcPr>
            <w:tcW w:w="1807" w:type="dxa"/>
            <w:tcBorders>
              <w:top w:val="single" w:sz="4" w:space="0" w:color="000000"/>
              <w:left w:val="single" w:sz="4" w:space="0" w:color="000000"/>
              <w:bottom w:val="single" w:sz="4" w:space="0" w:color="000000"/>
              <w:right w:val="single" w:sz="4" w:space="0" w:color="000000"/>
            </w:tcBorders>
          </w:tcPr>
          <w:p w14:paraId="35ADEEC0" w14:textId="77777777" w:rsidR="003F7CCA" w:rsidRDefault="0080197E">
            <w:pPr>
              <w:spacing w:line="259" w:lineRule="auto"/>
              <w:ind w:left="60"/>
              <w:rPr>
                <w:lang w:eastAsia="sl-SI"/>
              </w:rPr>
            </w:pPr>
            <w:r>
              <w:rPr>
                <w:lang w:eastAsia="sl-SI"/>
              </w:rPr>
              <w:t>1,00 (0,81, 1,24)</w:t>
            </w:r>
          </w:p>
        </w:tc>
      </w:tr>
      <w:tr w:rsidR="003F7CCA" w14:paraId="3E6BE5A4" w14:textId="77777777">
        <w:trPr>
          <w:trHeight w:val="516"/>
        </w:trPr>
        <w:tc>
          <w:tcPr>
            <w:tcW w:w="2018" w:type="dxa"/>
            <w:tcBorders>
              <w:top w:val="single" w:sz="4" w:space="0" w:color="000000"/>
              <w:left w:val="single" w:sz="4" w:space="0" w:color="000000"/>
              <w:bottom w:val="single" w:sz="4" w:space="0" w:color="000000"/>
              <w:right w:val="single" w:sz="4" w:space="0" w:color="000000"/>
            </w:tcBorders>
          </w:tcPr>
          <w:p w14:paraId="4727D345" w14:textId="77777777" w:rsidR="003F7CCA" w:rsidRDefault="0080197E">
            <w:pPr>
              <w:spacing w:line="259" w:lineRule="auto"/>
              <w:rPr>
                <w:lang w:eastAsia="sl-SI"/>
              </w:rPr>
            </w:pPr>
            <w:r>
              <w:rPr>
                <w:lang w:eastAsia="sl-SI"/>
              </w:rPr>
              <w:t>Hospitalizacija dėl širdies nepakankamumo (HŠN)</w:t>
            </w:r>
          </w:p>
        </w:tc>
        <w:tc>
          <w:tcPr>
            <w:tcW w:w="1289" w:type="dxa"/>
            <w:tcBorders>
              <w:top w:val="single" w:sz="4" w:space="0" w:color="000000"/>
              <w:left w:val="single" w:sz="4" w:space="0" w:color="000000"/>
              <w:bottom w:val="single" w:sz="4" w:space="0" w:color="000000"/>
              <w:right w:val="single" w:sz="4" w:space="0" w:color="000000"/>
            </w:tcBorders>
          </w:tcPr>
          <w:p w14:paraId="5DE0CF36" w14:textId="77777777" w:rsidR="003F7CCA" w:rsidRDefault="0080197E">
            <w:pPr>
              <w:spacing w:line="259" w:lineRule="auto"/>
              <w:ind w:right="13"/>
              <w:jc w:val="center"/>
              <w:rPr>
                <w:lang w:eastAsia="sl-SI"/>
              </w:rPr>
            </w:pPr>
            <w:r>
              <w:rPr>
                <w:lang w:eastAsia="sl-SI"/>
              </w:rPr>
              <w:t>112 (3,7)</w:t>
            </w:r>
          </w:p>
        </w:tc>
        <w:tc>
          <w:tcPr>
            <w:tcW w:w="1392" w:type="dxa"/>
            <w:tcBorders>
              <w:top w:val="single" w:sz="4" w:space="0" w:color="000000"/>
              <w:left w:val="single" w:sz="4" w:space="0" w:color="000000"/>
              <w:bottom w:val="single" w:sz="4" w:space="0" w:color="000000"/>
              <w:right w:val="single" w:sz="4" w:space="0" w:color="000000"/>
            </w:tcBorders>
          </w:tcPr>
          <w:p w14:paraId="147A3FF5" w14:textId="77777777" w:rsidR="003F7CCA" w:rsidRDefault="0080197E">
            <w:pPr>
              <w:spacing w:line="259" w:lineRule="auto"/>
              <w:ind w:right="14"/>
              <w:jc w:val="center"/>
              <w:rPr>
                <w:lang w:eastAsia="sl-SI"/>
              </w:rPr>
            </w:pPr>
            <w:r>
              <w:rPr>
                <w:lang w:eastAsia="sl-SI"/>
              </w:rPr>
              <w:t>6,4</w:t>
            </w:r>
          </w:p>
        </w:tc>
        <w:tc>
          <w:tcPr>
            <w:tcW w:w="1390" w:type="dxa"/>
            <w:tcBorders>
              <w:top w:val="single" w:sz="4" w:space="0" w:color="000000"/>
              <w:left w:val="single" w:sz="4" w:space="0" w:color="000000"/>
              <w:bottom w:val="single" w:sz="4" w:space="0" w:color="000000"/>
              <w:right w:val="single" w:sz="4" w:space="0" w:color="000000"/>
            </w:tcBorders>
          </w:tcPr>
          <w:p w14:paraId="30F45EB7" w14:textId="77777777" w:rsidR="003F7CCA" w:rsidRDefault="0080197E">
            <w:pPr>
              <w:spacing w:line="259" w:lineRule="auto"/>
              <w:ind w:right="13"/>
              <w:jc w:val="center"/>
              <w:rPr>
                <w:lang w:eastAsia="sl-SI"/>
              </w:rPr>
            </w:pPr>
            <w:r>
              <w:rPr>
                <w:lang w:eastAsia="sl-SI"/>
              </w:rPr>
              <w:t>92 (3,1)</w:t>
            </w:r>
          </w:p>
        </w:tc>
        <w:tc>
          <w:tcPr>
            <w:tcW w:w="1392" w:type="dxa"/>
            <w:tcBorders>
              <w:top w:val="single" w:sz="4" w:space="0" w:color="000000"/>
              <w:left w:val="single" w:sz="4" w:space="0" w:color="000000"/>
              <w:bottom w:val="single" w:sz="4" w:space="0" w:color="000000"/>
              <w:right w:val="single" w:sz="4" w:space="0" w:color="000000"/>
            </w:tcBorders>
          </w:tcPr>
          <w:p w14:paraId="29E25B9D" w14:textId="77777777" w:rsidR="003F7CCA" w:rsidRDefault="0080197E">
            <w:pPr>
              <w:spacing w:line="259" w:lineRule="auto"/>
              <w:ind w:right="14"/>
              <w:jc w:val="center"/>
              <w:rPr>
                <w:lang w:eastAsia="sl-SI"/>
              </w:rPr>
            </w:pPr>
            <w:r>
              <w:rPr>
                <w:lang w:eastAsia="sl-SI"/>
              </w:rPr>
              <w:t>5,3</w:t>
            </w:r>
          </w:p>
        </w:tc>
        <w:tc>
          <w:tcPr>
            <w:tcW w:w="1807" w:type="dxa"/>
            <w:tcBorders>
              <w:top w:val="single" w:sz="4" w:space="0" w:color="000000"/>
              <w:left w:val="single" w:sz="4" w:space="0" w:color="000000"/>
              <w:bottom w:val="single" w:sz="4" w:space="0" w:color="000000"/>
              <w:right w:val="single" w:sz="4" w:space="0" w:color="000000"/>
            </w:tcBorders>
          </w:tcPr>
          <w:p w14:paraId="6BE1544C" w14:textId="77777777" w:rsidR="003F7CCA" w:rsidRDefault="0080197E">
            <w:pPr>
              <w:spacing w:line="259" w:lineRule="auto"/>
              <w:ind w:left="60"/>
              <w:rPr>
                <w:lang w:eastAsia="sl-SI"/>
              </w:rPr>
            </w:pPr>
            <w:r>
              <w:rPr>
                <w:lang w:eastAsia="sl-SI"/>
              </w:rPr>
              <w:t>1,21 (0,92, 1,59)</w:t>
            </w:r>
          </w:p>
        </w:tc>
      </w:tr>
    </w:tbl>
    <w:p w14:paraId="4C558C22" w14:textId="77777777" w:rsidR="003F7CCA" w:rsidRDefault="0080197E">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SPM = sutartiniai pacientų metai </w:t>
      </w:r>
    </w:p>
    <w:p w14:paraId="08EDE01A" w14:textId="77777777" w:rsidR="003F7CCA" w:rsidRDefault="0080197E">
      <w:pPr>
        <w:widowControl w:val="0"/>
        <w:tabs>
          <w:tab w:val="left" w:pos="567"/>
        </w:tabs>
        <w:ind w:left="567" w:hanging="567"/>
        <w:outlineLvl w:val="2"/>
        <w:rPr>
          <w:b/>
          <w:kern w:val="28"/>
          <w:sz w:val="22"/>
          <w:szCs w:val="22"/>
          <w:lang w:eastAsia="en-US"/>
        </w:rPr>
      </w:pPr>
      <w:r>
        <w:rPr>
          <w:rFonts w:eastAsiaTheme="minorHAnsi"/>
          <w:color w:val="000000"/>
          <w:sz w:val="20"/>
          <w:szCs w:val="20"/>
          <w:lang w:eastAsia="en-US"/>
        </w:rPr>
        <w:t>** Neprastesnio rezultato testas, skirtas parodyti, kad viršutinė 95 % PI rizikos santykio riba yra mažesnė kaip 1,3</w:t>
      </w:r>
    </w:p>
    <w:p w14:paraId="28BB0091" w14:textId="77777777" w:rsidR="003F7CCA" w:rsidRDefault="003F7CCA">
      <w:pPr>
        <w:widowControl w:val="0"/>
        <w:tabs>
          <w:tab w:val="left" w:pos="567"/>
        </w:tabs>
        <w:ind w:left="567" w:hanging="567"/>
        <w:outlineLvl w:val="2"/>
        <w:rPr>
          <w:b/>
          <w:kern w:val="28"/>
          <w:sz w:val="22"/>
          <w:szCs w:val="22"/>
          <w:lang w:eastAsia="en-US"/>
        </w:rPr>
      </w:pPr>
    </w:p>
    <w:p w14:paraId="29117A37" w14:textId="77777777" w:rsidR="003F7CCA" w:rsidRPr="00A6463E" w:rsidRDefault="0080197E">
      <w:pPr>
        <w:pStyle w:val="Default"/>
        <w:rPr>
          <w:rFonts w:eastAsiaTheme="minorHAnsi"/>
          <w:sz w:val="22"/>
          <w:szCs w:val="22"/>
          <w:lang w:val="lt-LT" w:eastAsia="en-US"/>
        </w:rPr>
      </w:pPr>
      <w:r w:rsidRPr="00A6463E">
        <w:rPr>
          <w:rFonts w:eastAsiaTheme="minorHAnsi"/>
          <w:sz w:val="22"/>
          <w:szCs w:val="22"/>
          <w:lang w:val="lt-LT" w:eastAsia="en-US"/>
        </w:rPr>
        <w:t xml:space="preserve">Visą gydymo laikotarpį (gydymo laiko mediana siekė 5,9 metų) pacientų, patyrusių vidutinę arba sunkią hipoglikemiją, rodiklis </w:t>
      </w:r>
      <w:proofErr w:type="spellStart"/>
      <w:r w:rsidRPr="00A6463E">
        <w:rPr>
          <w:rFonts w:eastAsiaTheme="minorHAnsi"/>
          <w:sz w:val="22"/>
          <w:szCs w:val="22"/>
          <w:lang w:val="lt-LT" w:eastAsia="en-US"/>
        </w:rPr>
        <w:t>linagliptino</w:t>
      </w:r>
      <w:proofErr w:type="spellEnd"/>
      <w:r w:rsidRPr="00A6463E">
        <w:rPr>
          <w:rFonts w:eastAsiaTheme="minorHAnsi"/>
          <w:sz w:val="22"/>
          <w:szCs w:val="22"/>
          <w:lang w:val="lt-LT" w:eastAsia="en-US"/>
        </w:rPr>
        <w:t xml:space="preserve"> grupėje buvo 6,5 %, palyginti su 30,9 % </w:t>
      </w:r>
      <w:proofErr w:type="spellStart"/>
      <w:r w:rsidRPr="00A6463E">
        <w:rPr>
          <w:rFonts w:eastAsiaTheme="minorHAnsi"/>
          <w:sz w:val="22"/>
          <w:szCs w:val="22"/>
          <w:lang w:val="lt-LT" w:eastAsia="en-US"/>
        </w:rPr>
        <w:t>glimepirido</w:t>
      </w:r>
      <w:proofErr w:type="spellEnd"/>
      <w:r w:rsidRPr="00A6463E">
        <w:rPr>
          <w:rFonts w:eastAsiaTheme="minorHAnsi"/>
          <w:sz w:val="22"/>
          <w:szCs w:val="22"/>
          <w:lang w:val="lt-LT" w:eastAsia="en-US"/>
        </w:rPr>
        <w:t xml:space="preserve"> grupėje; sunki hipoglikemija ištiko 0,3 % pacientų, vartojusių </w:t>
      </w:r>
      <w:proofErr w:type="spellStart"/>
      <w:r w:rsidRPr="00A6463E">
        <w:rPr>
          <w:rFonts w:eastAsiaTheme="minorHAnsi"/>
          <w:sz w:val="22"/>
          <w:szCs w:val="22"/>
          <w:lang w:val="lt-LT" w:eastAsia="en-US"/>
        </w:rPr>
        <w:t>linagliptiną</w:t>
      </w:r>
      <w:proofErr w:type="spellEnd"/>
      <w:r w:rsidRPr="00A6463E">
        <w:rPr>
          <w:rFonts w:eastAsiaTheme="minorHAnsi"/>
          <w:sz w:val="22"/>
          <w:szCs w:val="22"/>
          <w:lang w:val="lt-LT" w:eastAsia="en-US"/>
        </w:rPr>
        <w:t xml:space="preserve">, palyginti su 2,2 % pacientų, vartojusių </w:t>
      </w:r>
      <w:proofErr w:type="spellStart"/>
      <w:r w:rsidRPr="00A6463E">
        <w:rPr>
          <w:rFonts w:eastAsiaTheme="minorHAnsi"/>
          <w:sz w:val="22"/>
          <w:szCs w:val="22"/>
          <w:lang w:val="lt-LT" w:eastAsia="en-US"/>
        </w:rPr>
        <w:t>glimepiridą</w:t>
      </w:r>
      <w:proofErr w:type="spellEnd"/>
      <w:r w:rsidRPr="00A6463E">
        <w:rPr>
          <w:rFonts w:eastAsiaTheme="minorHAnsi"/>
          <w:sz w:val="22"/>
          <w:szCs w:val="22"/>
          <w:lang w:val="lt-LT" w:eastAsia="en-US"/>
        </w:rPr>
        <w:t>.</w:t>
      </w:r>
    </w:p>
    <w:p w14:paraId="1E8A6B05" w14:textId="77777777" w:rsidR="003F7CCA" w:rsidRPr="00A6463E" w:rsidRDefault="003F7CCA">
      <w:pPr>
        <w:pStyle w:val="Default"/>
        <w:rPr>
          <w:rFonts w:eastAsiaTheme="minorHAnsi"/>
          <w:sz w:val="22"/>
          <w:szCs w:val="22"/>
          <w:lang w:val="lt-LT" w:eastAsia="en-US"/>
        </w:rPr>
      </w:pPr>
    </w:p>
    <w:p w14:paraId="3F386CE4" w14:textId="77777777" w:rsidR="003F7CCA" w:rsidRDefault="0080197E">
      <w:pPr>
        <w:pStyle w:val="Default"/>
        <w:rPr>
          <w:rFonts w:eastAsiaTheme="minorHAnsi"/>
          <w:sz w:val="22"/>
          <w:szCs w:val="22"/>
          <w:u w:val="single"/>
          <w:lang w:val="lt-LT" w:eastAsia="en-US"/>
        </w:rPr>
      </w:pPr>
      <w:r>
        <w:rPr>
          <w:rFonts w:eastAsiaTheme="minorHAnsi"/>
          <w:i/>
          <w:iCs/>
          <w:sz w:val="22"/>
          <w:szCs w:val="22"/>
          <w:u w:val="single"/>
          <w:lang w:val="lt-LT" w:eastAsia="en-US"/>
        </w:rPr>
        <w:t>Metforminas</w:t>
      </w:r>
    </w:p>
    <w:p w14:paraId="72B64B01" w14:textId="105A582F"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Intensyvios gliukozės </w:t>
      </w:r>
      <w:r w:rsidR="00D6368A">
        <w:rPr>
          <w:rFonts w:eastAsiaTheme="minorHAnsi"/>
          <w:color w:val="000000"/>
          <w:sz w:val="22"/>
          <w:szCs w:val="22"/>
          <w:lang w:eastAsia="en-US"/>
        </w:rPr>
        <w:t xml:space="preserve">koncentracijos </w:t>
      </w:r>
      <w:r>
        <w:rPr>
          <w:rFonts w:eastAsiaTheme="minorHAnsi"/>
          <w:color w:val="000000"/>
          <w:sz w:val="22"/>
          <w:szCs w:val="22"/>
          <w:lang w:eastAsia="en-US"/>
        </w:rPr>
        <w:t xml:space="preserve">kraujyje kontrolės 2 tipo cukriniu diabetu sergantiems pacientams ilgalaikė nauda buvo vertinama žvalgomuoju atsitiktinių imčių tyrimu (UKPDS). Antsvorio turinčių pacientų gydymo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po to, kai gydymas vien dieta buvo neveiksmingas, rezultatų analizė parodė:</w:t>
      </w:r>
    </w:p>
    <w:p w14:paraId="56685FF2" w14:textId="77777777" w:rsidR="003F7CCA" w:rsidRDefault="003F7CCA">
      <w:pPr>
        <w:autoSpaceDE w:val="0"/>
        <w:autoSpaceDN w:val="0"/>
        <w:adjustRightInd w:val="0"/>
        <w:rPr>
          <w:rFonts w:eastAsiaTheme="minorHAnsi"/>
          <w:color w:val="000000"/>
          <w:sz w:val="22"/>
          <w:szCs w:val="22"/>
          <w:lang w:eastAsia="en-US"/>
        </w:rPr>
      </w:pPr>
    </w:p>
    <w:p w14:paraId="7D35A70B" w14:textId="77777777" w:rsidR="003F7CCA" w:rsidRPr="00A6463E" w:rsidRDefault="0080197E">
      <w:pPr>
        <w:numPr>
          <w:ilvl w:val="0"/>
          <w:numId w:val="16"/>
        </w:numPr>
        <w:spacing w:after="35"/>
        <w:ind w:left="567" w:right="11" w:hanging="567"/>
        <w:contextualSpacing/>
        <w:rPr>
          <w:sz w:val="22"/>
          <w:szCs w:val="22"/>
          <w:lang w:eastAsia="sl-SI"/>
        </w:rPr>
      </w:pPr>
      <w:r>
        <w:rPr>
          <w:rFonts w:eastAsiaTheme="minorHAnsi"/>
          <w:sz w:val="22"/>
          <w:szCs w:val="22"/>
          <w:lang w:eastAsia="en-US"/>
        </w:rPr>
        <w:t xml:space="preserve">bet kokios su cukriniu diabetu susijusios komplikacijos absoliučios rizikos reikšmingą sumažėjimą </w:t>
      </w:r>
      <w:proofErr w:type="spellStart"/>
      <w:r>
        <w:rPr>
          <w:rFonts w:eastAsiaTheme="minorHAnsi"/>
          <w:sz w:val="22"/>
          <w:szCs w:val="22"/>
          <w:lang w:eastAsia="en-US"/>
        </w:rPr>
        <w:t>metforminu</w:t>
      </w:r>
      <w:proofErr w:type="spellEnd"/>
      <w:r>
        <w:rPr>
          <w:rFonts w:eastAsiaTheme="minorHAnsi"/>
          <w:sz w:val="22"/>
          <w:szCs w:val="22"/>
          <w:lang w:eastAsia="en-US"/>
        </w:rPr>
        <w:t xml:space="preserve"> gydomos grupės pacientams (29,8 reiškinio / 1 000 paciento metų), palyginti su vien dieta gydomos grupės pacientais (43,3 reiškinio / 1 000 paciento metų), p = 0,0023 ir palyginti su grupių, gydomų vien </w:t>
      </w:r>
      <w:proofErr w:type="spellStart"/>
      <w:r>
        <w:rPr>
          <w:rFonts w:eastAsiaTheme="minorHAnsi"/>
          <w:sz w:val="22"/>
          <w:szCs w:val="22"/>
          <w:lang w:eastAsia="en-US"/>
        </w:rPr>
        <w:t>sulfonilurėjos</w:t>
      </w:r>
      <w:proofErr w:type="spellEnd"/>
      <w:r>
        <w:rPr>
          <w:rFonts w:eastAsiaTheme="minorHAnsi"/>
          <w:sz w:val="22"/>
          <w:szCs w:val="22"/>
          <w:lang w:eastAsia="en-US"/>
        </w:rPr>
        <w:t xml:space="preserve"> dariniu bei vien insulinu (40,1 reiškinio / 1 000 paciento metų), bendrais duomenimis, p = 0,0034;</w:t>
      </w:r>
    </w:p>
    <w:p w14:paraId="0E5652ED" w14:textId="77777777" w:rsidR="003F7CCA" w:rsidRPr="00A6463E" w:rsidRDefault="0080197E">
      <w:pPr>
        <w:numPr>
          <w:ilvl w:val="0"/>
          <w:numId w:val="16"/>
        </w:numPr>
        <w:spacing w:after="35"/>
        <w:ind w:left="567" w:right="11" w:hanging="567"/>
        <w:contextualSpacing/>
        <w:rPr>
          <w:sz w:val="22"/>
          <w:szCs w:val="22"/>
          <w:lang w:eastAsia="sl-SI"/>
        </w:rPr>
      </w:pPr>
      <w:r>
        <w:rPr>
          <w:rFonts w:eastAsiaTheme="minorHAnsi"/>
          <w:color w:val="000000"/>
          <w:sz w:val="22"/>
          <w:szCs w:val="22"/>
          <w:lang w:eastAsia="en-US"/>
        </w:rPr>
        <w:t xml:space="preserve">bet kokio su cukrinu diabetu susijusio mirštamumo absoliučios rizikos reikšmingą sumažėjimą: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gydomos grupės pacientams 7,5 reiškinio / 1 000 paciento metų, vien dieta gydomos grupės pacientams 12,7 reiškinio / 1 000 paciento metų, p = 0,017;</w:t>
      </w:r>
    </w:p>
    <w:p w14:paraId="20B80060" w14:textId="77777777" w:rsidR="003F7CCA" w:rsidRPr="00A6463E" w:rsidRDefault="0080197E">
      <w:pPr>
        <w:numPr>
          <w:ilvl w:val="0"/>
          <w:numId w:val="16"/>
        </w:numPr>
        <w:spacing w:after="35"/>
        <w:ind w:left="567" w:right="11" w:hanging="567"/>
        <w:contextualSpacing/>
        <w:rPr>
          <w:sz w:val="22"/>
          <w:szCs w:val="22"/>
          <w:lang w:eastAsia="sl-SI"/>
        </w:rPr>
      </w:pPr>
      <w:r>
        <w:rPr>
          <w:rFonts w:eastAsiaTheme="minorHAnsi"/>
          <w:color w:val="000000"/>
          <w:sz w:val="22"/>
          <w:szCs w:val="22"/>
          <w:lang w:eastAsia="en-US"/>
        </w:rPr>
        <w:lastRenderedPageBreak/>
        <w:t xml:space="preserve">bendro mirštamumo absoliučios rizikos reikšmingą sumažėjimą: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gydomos grupės pacientams buvo 13,5 reiškinio / 1 000 paciento metų, vien dieta gydomos grupės pacientams 20,6 reiškinio / 1 000 paciento metų (p = 0,011), o vien </w:t>
      </w:r>
      <w:proofErr w:type="spellStart"/>
      <w:r>
        <w:rPr>
          <w:rFonts w:eastAsiaTheme="minorHAnsi"/>
          <w:color w:val="000000"/>
          <w:sz w:val="22"/>
          <w:szCs w:val="22"/>
          <w:lang w:eastAsia="en-US"/>
        </w:rPr>
        <w:t>sulfonilurėjos</w:t>
      </w:r>
      <w:proofErr w:type="spellEnd"/>
      <w:r>
        <w:rPr>
          <w:rFonts w:eastAsiaTheme="minorHAnsi"/>
          <w:color w:val="000000"/>
          <w:sz w:val="22"/>
          <w:szCs w:val="22"/>
          <w:lang w:eastAsia="en-US"/>
        </w:rPr>
        <w:t xml:space="preserve"> dariniu bei vien insulinu gydomų grupių pacientams bendrai nustatyta 18,9 reiškinio / 1 000 paciento metų (p = 0,021);</w:t>
      </w:r>
    </w:p>
    <w:p w14:paraId="4DF33825" w14:textId="77777777" w:rsidR="003F7CCA" w:rsidRPr="00A6463E" w:rsidRDefault="0080197E">
      <w:pPr>
        <w:numPr>
          <w:ilvl w:val="0"/>
          <w:numId w:val="16"/>
        </w:numPr>
        <w:spacing w:after="35"/>
        <w:ind w:left="567" w:right="11" w:hanging="567"/>
        <w:contextualSpacing/>
        <w:rPr>
          <w:sz w:val="22"/>
          <w:szCs w:val="22"/>
          <w:lang w:eastAsia="sl-SI"/>
        </w:rPr>
      </w:pPr>
      <w:r>
        <w:rPr>
          <w:rFonts w:eastAsiaTheme="minorHAnsi"/>
          <w:color w:val="000000"/>
          <w:sz w:val="22"/>
          <w:szCs w:val="22"/>
          <w:lang w:eastAsia="en-US"/>
        </w:rPr>
        <w:t xml:space="preserve">miokardo infarkto absoliučios rizikos reikšmingą sumažėjimą: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gydomos grupės pacientams buvo 11 reiškinių / 1 000 paciento metų, vien dieta gydomos grupės pacientams 18 reiškinių / 1 000 paciento metų (p = 0,01).</w:t>
      </w:r>
    </w:p>
    <w:p w14:paraId="06BDB20C" w14:textId="77777777" w:rsidR="003F7CCA" w:rsidRDefault="003F7CCA">
      <w:pPr>
        <w:widowControl w:val="0"/>
        <w:tabs>
          <w:tab w:val="left" w:pos="567"/>
        </w:tabs>
        <w:ind w:left="567" w:hanging="567"/>
        <w:outlineLvl w:val="2"/>
        <w:rPr>
          <w:b/>
          <w:kern w:val="28"/>
          <w:sz w:val="22"/>
          <w:szCs w:val="22"/>
          <w:lang w:eastAsia="en-US"/>
        </w:rPr>
      </w:pPr>
    </w:p>
    <w:p w14:paraId="3664183A" w14:textId="77777777" w:rsidR="003F7CCA" w:rsidRDefault="0080197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Vaikų populiacija</w:t>
      </w:r>
    </w:p>
    <w:p w14:paraId="390246CE"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Dvigubai koduoto, atsitiktinių imčių, placebu kontroliuojamo, lygiagrečių grupių, 26 savaičių trukmės (su iki 52 savaičių trukmės, dvigubai koduotu gydymo veikliąja medžiaga saugumo periodu), tyrimo metu (DINAMO), buvo tirtas 10 mg </w:t>
      </w:r>
      <w:proofErr w:type="spellStart"/>
      <w:r>
        <w:rPr>
          <w:rFonts w:eastAsiaTheme="minorHAnsi"/>
          <w:color w:val="000000"/>
          <w:sz w:val="22"/>
          <w:szCs w:val="22"/>
          <w:lang w:eastAsia="en-US"/>
        </w:rPr>
        <w:t>empagliflozino</w:t>
      </w:r>
      <w:proofErr w:type="spellEnd"/>
      <w:r>
        <w:rPr>
          <w:rFonts w:eastAsiaTheme="minorHAnsi"/>
          <w:color w:val="000000"/>
          <w:sz w:val="22"/>
          <w:szCs w:val="22"/>
          <w:lang w:eastAsia="en-US"/>
        </w:rPr>
        <w:t xml:space="preserve"> (su galimybe dozę padidinti iki 25 mg), arba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vartojamo vieną kartą per parą, klinikinis veiksmingumas ir saugumas 10- 17 metų vaikams ir paaugliams, sergantiems 2 tipo cukriniu diabetu. 91 % tyrime dalyvavusių pacientų su dieta ir fiziniu krūviu papildomai taikytas gydymas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xml:space="preserve">. </w:t>
      </w:r>
      <w:r>
        <w:rPr>
          <w:sz w:val="22"/>
          <w:szCs w:val="22"/>
        </w:rPr>
        <w:t xml:space="preserve">Pradinio vertinimo metu HbA1c vidurkis buvo 8,03 %. Gydymas 5 mg </w:t>
      </w:r>
      <w:proofErr w:type="spellStart"/>
      <w:r>
        <w:rPr>
          <w:sz w:val="22"/>
          <w:szCs w:val="22"/>
        </w:rPr>
        <w:t>linagliptino</w:t>
      </w:r>
      <w:proofErr w:type="spellEnd"/>
      <w:r>
        <w:rPr>
          <w:sz w:val="22"/>
          <w:szCs w:val="22"/>
        </w:rPr>
        <w:t xml:space="preserve"> HbA1c kiekio reikšmingai nepagerino. Po 26 savaičių, gydymo </w:t>
      </w:r>
      <w:proofErr w:type="spellStart"/>
      <w:r>
        <w:rPr>
          <w:sz w:val="22"/>
          <w:szCs w:val="22"/>
        </w:rPr>
        <w:t>linagliptinu</w:t>
      </w:r>
      <w:proofErr w:type="spellEnd"/>
      <w:r>
        <w:rPr>
          <w:sz w:val="22"/>
          <w:szCs w:val="22"/>
        </w:rPr>
        <w:t xml:space="preserve"> ir placebu skirtumas pagal koreguotą vidutinį HbA1c pokytį buvo -0,34 % (95 % PI -0,99; 0,3 ; p = 0,2935). Koreguotas vidutinis HbA1c pokytis nuo pradinio vertinimo buvo 0,33 % pacientams, vartojusiems </w:t>
      </w:r>
      <w:proofErr w:type="spellStart"/>
      <w:r>
        <w:rPr>
          <w:sz w:val="22"/>
          <w:szCs w:val="22"/>
        </w:rPr>
        <w:t>linagliptiną</w:t>
      </w:r>
      <w:proofErr w:type="spellEnd"/>
      <w:r>
        <w:rPr>
          <w:sz w:val="22"/>
          <w:szCs w:val="22"/>
        </w:rPr>
        <w:t>, ir 0,68 % pacientams, vartojusiems placebą (žr. 4.2 skyrių).</w:t>
      </w:r>
    </w:p>
    <w:p w14:paraId="27632F98" w14:textId="77777777" w:rsidR="003F7CCA" w:rsidRDefault="003F7CCA">
      <w:pPr>
        <w:widowControl w:val="0"/>
        <w:tabs>
          <w:tab w:val="left" w:pos="567"/>
        </w:tabs>
        <w:ind w:left="567" w:hanging="567"/>
        <w:outlineLvl w:val="2"/>
        <w:rPr>
          <w:b/>
          <w:kern w:val="28"/>
          <w:sz w:val="22"/>
          <w:szCs w:val="22"/>
          <w:lang w:eastAsia="en-US"/>
        </w:rPr>
      </w:pPr>
    </w:p>
    <w:p w14:paraId="23259D22" w14:textId="77777777" w:rsidR="003F7CCA" w:rsidRDefault="0080197E">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7509DCB1" w14:textId="77777777" w:rsidR="003F7CCA" w:rsidRDefault="003F7CCA">
      <w:pPr>
        <w:widowControl w:val="0"/>
        <w:ind w:left="567" w:hanging="567"/>
        <w:rPr>
          <w:bCs/>
          <w:sz w:val="22"/>
          <w:szCs w:val="22"/>
          <w:lang w:eastAsia="en-US"/>
        </w:rPr>
      </w:pPr>
    </w:p>
    <w:p w14:paraId="16646D1C"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Biologinio ekvivalentiškumo sveikų asmenų organizme tyrimai parodė, kad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sudėtinės tabletės yra biologiškai ekvivalentiškos kartu vartojamomis atskiroms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tabletėms.</w:t>
      </w:r>
    </w:p>
    <w:p w14:paraId="25BA99EC" w14:textId="77777777" w:rsidR="003F7CCA" w:rsidRDefault="003F7CCA">
      <w:pPr>
        <w:autoSpaceDE w:val="0"/>
        <w:autoSpaceDN w:val="0"/>
        <w:adjustRightInd w:val="0"/>
        <w:rPr>
          <w:rFonts w:eastAsiaTheme="minorHAnsi"/>
          <w:color w:val="000000"/>
          <w:sz w:val="22"/>
          <w:szCs w:val="22"/>
          <w:lang w:eastAsia="en-US"/>
        </w:rPr>
      </w:pPr>
    </w:p>
    <w:p w14:paraId="02AFC8E8"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Lonagliptono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2,5/1 000 mg išgėrus su maistu bendra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ekspozicija organizme nepakito.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AUC irgi nepakito, tačiau vartojant su maistu vidutinė didžiausia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koncentracija kraujo serume sumažėjo 18 </w:t>
      </w:r>
      <w:r w:rsidRPr="00A6463E">
        <w:rPr>
          <w:sz w:val="22"/>
          <w:szCs w:val="22"/>
          <w:lang w:eastAsia="en-US"/>
        </w:rPr>
        <w:t>%</w:t>
      </w:r>
      <w:r>
        <w:rPr>
          <w:rFonts w:eastAsiaTheme="minorHAnsi"/>
          <w:color w:val="000000"/>
          <w:sz w:val="22"/>
          <w:szCs w:val="22"/>
          <w:lang w:eastAsia="en-US"/>
        </w:rPr>
        <w:t>, o laikas, per kurį koncentracija kraujo serume tampa didžiausia, pailgėjo 2 val. Kad šie pokyčiai būtų kliniškai reikšmingi, nėra tikėtina.</w:t>
      </w:r>
    </w:p>
    <w:p w14:paraId="2CBB1B6A" w14:textId="77777777" w:rsidR="003F7CCA" w:rsidRDefault="003F7CCA">
      <w:pPr>
        <w:autoSpaceDE w:val="0"/>
        <w:autoSpaceDN w:val="0"/>
        <w:adjustRightInd w:val="0"/>
        <w:rPr>
          <w:rFonts w:eastAsiaTheme="minorHAnsi"/>
          <w:color w:val="000000"/>
          <w:sz w:val="22"/>
          <w:szCs w:val="22"/>
          <w:lang w:eastAsia="en-US"/>
        </w:rPr>
      </w:pPr>
    </w:p>
    <w:p w14:paraId="21176EA7"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Toliau pateikti teiginiai atspindi atskirų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veikliųjų medžiagų </w:t>
      </w:r>
      <w:proofErr w:type="spellStart"/>
      <w:r>
        <w:rPr>
          <w:rFonts w:eastAsiaTheme="minorHAnsi"/>
          <w:color w:val="000000"/>
          <w:sz w:val="22"/>
          <w:szCs w:val="22"/>
          <w:lang w:eastAsia="en-US"/>
        </w:rPr>
        <w:t>farmakokinetines</w:t>
      </w:r>
      <w:proofErr w:type="spellEnd"/>
      <w:r>
        <w:rPr>
          <w:rFonts w:eastAsiaTheme="minorHAnsi"/>
          <w:color w:val="000000"/>
          <w:sz w:val="22"/>
          <w:szCs w:val="22"/>
          <w:lang w:eastAsia="en-US"/>
        </w:rPr>
        <w:t xml:space="preserve"> savybes.</w:t>
      </w:r>
    </w:p>
    <w:p w14:paraId="1AFCCF8B" w14:textId="77777777" w:rsidR="003F7CCA" w:rsidRDefault="003F7CCA">
      <w:pPr>
        <w:autoSpaceDE w:val="0"/>
        <w:autoSpaceDN w:val="0"/>
        <w:adjustRightInd w:val="0"/>
        <w:rPr>
          <w:rFonts w:eastAsiaTheme="minorHAnsi"/>
          <w:color w:val="000000"/>
          <w:sz w:val="22"/>
          <w:szCs w:val="22"/>
          <w:lang w:eastAsia="en-US"/>
        </w:rPr>
      </w:pPr>
    </w:p>
    <w:p w14:paraId="6FB2B6EC" w14:textId="77777777" w:rsidR="003F7CCA" w:rsidRDefault="0080197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Linagliptinas</w:t>
      </w:r>
      <w:proofErr w:type="spellEnd"/>
    </w:p>
    <w:p w14:paraId="36207B1D" w14:textId="77777777" w:rsidR="003F7CCA" w:rsidRDefault="0080197E">
      <w:pPr>
        <w:keepNext/>
        <w:tabs>
          <w:tab w:val="left" w:pos="567"/>
        </w:tabs>
        <w:outlineLvl w:val="3"/>
        <w:rPr>
          <w:rFonts w:eastAsiaTheme="minorHAnsi"/>
          <w:color w:val="000000"/>
          <w:sz w:val="22"/>
          <w:szCs w:val="22"/>
          <w:lang w:eastAsia="en-US"/>
        </w:rPr>
      </w:pP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farmakokinetika plačiai buvo tirta sveikų asmenų ir 2 tipo cukriniu diabetu sergančių pacientų organizme. 5 mg dozę išgėrusių sveikų savanorių ar pacientų organizme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absorbcija buvo greita, didžiausia koncentracija kraujo plazmoje (</w:t>
      </w:r>
      <w:proofErr w:type="spellStart"/>
      <w:r>
        <w:rPr>
          <w:rFonts w:eastAsiaTheme="minorHAnsi"/>
          <w:color w:val="000000"/>
          <w:sz w:val="22"/>
          <w:szCs w:val="22"/>
          <w:lang w:eastAsia="en-US"/>
        </w:rPr>
        <w:t>Tmax</w:t>
      </w:r>
      <w:proofErr w:type="spellEnd"/>
      <w:r>
        <w:rPr>
          <w:rFonts w:eastAsiaTheme="minorHAnsi"/>
          <w:color w:val="000000"/>
          <w:sz w:val="22"/>
          <w:szCs w:val="22"/>
          <w:lang w:eastAsia="en-US"/>
        </w:rPr>
        <w:t xml:space="preserve"> mediana) atsirado po 1,5 val. nuo dozės pavartojimo.</w:t>
      </w:r>
    </w:p>
    <w:p w14:paraId="171FD949" w14:textId="77777777" w:rsidR="003F7CCA" w:rsidRDefault="003F7CCA">
      <w:pPr>
        <w:keepNext/>
        <w:tabs>
          <w:tab w:val="left" w:pos="567"/>
        </w:tabs>
        <w:outlineLvl w:val="3"/>
        <w:rPr>
          <w:rFonts w:eastAsiaTheme="minorHAnsi"/>
          <w:color w:val="000000"/>
          <w:sz w:val="22"/>
          <w:szCs w:val="22"/>
          <w:lang w:eastAsia="en-US"/>
        </w:rPr>
      </w:pPr>
    </w:p>
    <w:p w14:paraId="3BDF7F84" w14:textId="77777777" w:rsidR="003F7CCA" w:rsidRPr="00A6463E" w:rsidRDefault="0080197E">
      <w:pPr>
        <w:pStyle w:val="Default"/>
        <w:rPr>
          <w:sz w:val="22"/>
          <w:szCs w:val="22"/>
          <w:lang w:val="lt-LT"/>
        </w:rPr>
      </w:pPr>
      <w:proofErr w:type="spellStart"/>
      <w:r w:rsidRPr="00A6463E">
        <w:rPr>
          <w:sz w:val="22"/>
          <w:szCs w:val="22"/>
          <w:lang w:val="lt-LT"/>
        </w:rPr>
        <w:t>Linagliptino</w:t>
      </w:r>
      <w:proofErr w:type="spellEnd"/>
      <w:r w:rsidRPr="00A6463E">
        <w:rPr>
          <w:sz w:val="22"/>
          <w:szCs w:val="22"/>
          <w:lang w:val="lt-LT"/>
        </w:rPr>
        <w:t xml:space="preserve"> koncentracijos mažėjimas kraujo plazmoje yra trifazis, galutinės fazės metu pusinės eliminacijos laikas yra ilgas (galutinė </w:t>
      </w:r>
      <w:proofErr w:type="spellStart"/>
      <w:r w:rsidRPr="00A6463E">
        <w:rPr>
          <w:sz w:val="22"/>
          <w:szCs w:val="22"/>
          <w:lang w:val="lt-LT"/>
        </w:rPr>
        <w:t>linagliptino</w:t>
      </w:r>
      <w:proofErr w:type="spellEnd"/>
      <w:r w:rsidRPr="00A6463E">
        <w:rPr>
          <w:sz w:val="22"/>
          <w:szCs w:val="22"/>
          <w:lang w:val="lt-LT"/>
        </w:rPr>
        <w:t xml:space="preserve"> pusinė eliminacija trunka ilgiau negu 100 val.) ir daugiausiai priklauso nuo įsotinamojo, tvirto </w:t>
      </w:r>
      <w:proofErr w:type="spellStart"/>
      <w:r w:rsidRPr="00A6463E">
        <w:rPr>
          <w:sz w:val="22"/>
          <w:szCs w:val="22"/>
          <w:lang w:val="lt-LT"/>
        </w:rPr>
        <w:t>linagliptino</w:t>
      </w:r>
      <w:proofErr w:type="spellEnd"/>
      <w:r w:rsidRPr="00A6463E">
        <w:rPr>
          <w:sz w:val="22"/>
          <w:szCs w:val="22"/>
          <w:lang w:val="lt-LT"/>
        </w:rPr>
        <w:t xml:space="preserve"> prisijungimo prie DPP-4, o veikliosios medžiagos kaupimuisi organizme įtakos nedaro. </w:t>
      </w:r>
      <w:proofErr w:type="spellStart"/>
      <w:r w:rsidRPr="00A6463E">
        <w:rPr>
          <w:sz w:val="22"/>
          <w:szCs w:val="22"/>
          <w:lang w:val="lt-LT"/>
        </w:rPr>
        <w:t>Linagliptino</w:t>
      </w:r>
      <w:proofErr w:type="spellEnd"/>
      <w:r w:rsidRPr="00A6463E">
        <w:rPr>
          <w:sz w:val="22"/>
          <w:szCs w:val="22"/>
          <w:lang w:val="lt-LT"/>
        </w:rPr>
        <w:t xml:space="preserve"> kaupimosi efektyvus pusinis laikas, nustatytas daugkartinių 5 mg dozių vartojimo metu, yra maždaug 12 val. Vartojant po vieną 5 mg </w:t>
      </w:r>
      <w:proofErr w:type="spellStart"/>
      <w:r w:rsidRPr="00A6463E">
        <w:rPr>
          <w:sz w:val="22"/>
          <w:szCs w:val="22"/>
          <w:lang w:val="lt-LT"/>
        </w:rPr>
        <w:t>linagliptino</w:t>
      </w:r>
      <w:proofErr w:type="spellEnd"/>
      <w:r w:rsidRPr="00A6463E">
        <w:rPr>
          <w:sz w:val="22"/>
          <w:szCs w:val="22"/>
          <w:lang w:val="lt-LT"/>
        </w:rPr>
        <w:t xml:space="preserve"> dozę per parą, </w:t>
      </w:r>
      <w:proofErr w:type="spellStart"/>
      <w:r w:rsidRPr="00A6463E">
        <w:rPr>
          <w:sz w:val="22"/>
          <w:szCs w:val="22"/>
          <w:lang w:val="lt-LT"/>
        </w:rPr>
        <w:t>pusiausvyrinė</w:t>
      </w:r>
      <w:proofErr w:type="spellEnd"/>
      <w:r w:rsidRPr="00A6463E">
        <w:rPr>
          <w:sz w:val="22"/>
          <w:szCs w:val="22"/>
          <w:lang w:val="lt-LT"/>
        </w:rPr>
        <w:t xml:space="preserve"> koncentracija kraujo plazmoje nusistovi iki trečiosios dozės. 5 mg dozę pavartojus tuo metu, kai koncentracija </w:t>
      </w:r>
      <w:proofErr w:type="spellStart"/>
      <w:r w:rsidRPr="00A6463E">
        <w:rPr>
          <w:sz w:val="22"/>
          <w:szCs w:val="22"/>
          <w:lang w:val="lt-LT"/>
        </w:rPr>
        <w:t>pusiausvyrinė</w:t>
      </w:r>
      <w:proofErr w:type="spellEnd"/>
      <w:r w:rsidRPr="00A6463E">
        <w:rPr>
          <w:sz w:val="22"/>
          <w:szCs w:val="22"/>
          <w:lang w:val="lt-LT"/>
        </w:rPr>
        <w:t xml:space="preserve">, </w:t>
      </w:r>
      <w:proofErr w:type="spellStart"/>
      <w:r w:rsidRPr="00A6463E">
        <w:rPr>
          <w:sz w:val="22"/>
          <w:szCs w:val="22"/>
          <w:lang w:val="lt-LT"/>
        </w:rPr>
        <w:t>linagliptino</w:t>
      </w:r>
      <w:proofErr w:type="spellEnd"/>
      <w:r w:rsidRPr="00A6463E">
        <w:rPr>
          <w:sz w:val="22"/>
          <w:szCs w:val="22"/>
          <w:lang w:val="lt-LT"/>
        </w:rPr>
        <w:t xml:space="preserve"> AUC būna maždaug 33 </w:t>
      </w:r>
      <w:r w:rsidRPr="00A6463E">
        <w:rPr>
          <w:sz w:val="22"/>
          <w:szCs w:val="22"/>
          <w:lang w:val="lt-LT" w:eastAsia="en-US"/>
        </w:rPr>
        <w:t>%</w:t>
      </w:r>
      <w:r w:rsidRPr="00A6463E">
        <w:rPr>
          <w:sz w:val="22"/>
          <w:szCs w:val="22"/>
          <w:lang w:val="lt-LT"/>
        </w:rPr>
        <w:t xml:space="preserve"> didesnė negu po pirmosios dozės pavartojimo. Atskirų tiriamųjų ir to paties paciento organizme </w:t>
      </w:r>
      <w:proofErr w:type="spellStart"/>
      <w:r w:rsidRPr="00A6463E">
        <w:rPr>
          <w:sz w:val="22"/>
          <w:szCs w:val="22"/>
          <w:lang w:val="lt-LT"/>
        </w:rPr>
        <w:t>linagliptino</w:t>
      </w:r>
      <w:proofErr w:type="spellEnd"/>
      <w:r w:rsidRPr="00A6463E">
        <w:rPr>
          <w:sz w:val="22"/>
          <w:szCs w:val="22"/>
          <w:lang w:val="lt-LT"/>
        </w:rPr>
        <w:t xml:space="preserve"> AUC variacijos koeficientas buvo mažas (atitinkamai 12,6 </w:t>
      </w:r>
      <w:r w:rsidRPr="00A6463E">
        <w:rPr>
          <w:sz w:val="22"/>
          <w:szCs w:val="22"/>
          <w:lang w:val="lt-LT" w:eastAsia="en-US"/>
        </w:rPr>
        <w:t>%</w:t>
      </w:r>
      <w:r w:rsidRPr="00A6463E">
        <w:rPr>
          <w:sz w:val="22"/>
          <w:szCs w:val="22"/>
          <w:lang w:val="lt-LT"/>
        </w:rPr>
        <w:t xml:space="preserve"> ir 28,5 </w:t>
      </w:r>
      <w:r w:rsidRPr="00A6463E">
        <w:rPr>
          <w:sz w:val="22"/>
          <w:szCs w:val="22"/>
          <w:lang w:val="lt-LT" w:eastAsia="en-US"/>
        </w:rPr>
        <w:t>%</w:t>
      </w:r>
      <w:r w:rsidRPr="00A6463E">
        <w:rPr>
          <w:sz w:val="22"/>
          <w:szCs w:val="22"/>
          <w:lang w:val="lt-LT"/>
        </w:rPr>
        <w:t xml:space="preserve">). Dėl nuo koncentracijos priklausomo </w:t>
      </w:r>
      <w:proofErr w:type="spellStart"/>
      <w:r w:rsidRPr="00A6463E">
        <w:rPr>
          <w:sz w:val="22"/>
          <w:szCs w:val="22"/>
          <w:lang w:val="lt-LT"/>
        </w:rPr>
        <w:t>linagliptino</w:t>
      </w:r>
      <w:proofErr w:type="spellEnd"/>
      <w:r w:rsidRPr="00A6463E">
        <w:rPr>
          <w:sz w:val="22"/>
          <w:szCs w:val="22"/>
          <w:lang w:val="lt-LT"/>
        </w:rPr>
        <w:t xml:space="preserve"> prisijungimo prie DPP-4 </w:t>
      </w:r>
      <w:proofErr w:type="spellStart"/>
      <w:r w:rsidRPr="00A6463E">
        <w:rPr>
          <w:sz w:val="22"/>
          <w:szCs w:val="22"/>
          <w:lang w:val="lt-LT"/>
        </w:rPr>
        <w:t>linagliptino</w:t>
      </w:r>
      <w:proofErr w:type="spellEnd"/>
      <w:r w:rsidRPr="00A6463E">
        <w:rPr>
          <w:sz w:val="22"/>
          <w:szCs w:val="22"/>
          <w:lang w:val="lt-LT"/>
        </w:rPr>
        <w:t xml:space="preserve"> farmakokinetika, remiantis bendra ekspozicija, nėra tiesinė: bendro </w:t>
      </w:r>
      <w:proofErr w:type="spellStart"/>
      <w:r w:rsidRPr="00A6463E">
        <w:rPr>
          <w:sz w:val="22"/>
          <w:szCs w:val="22"/>
          <w:lang w:val="lt-LT"/>
        </w:rPr>
        <w:t>linagliptino</w:t>
      </w:r>
      <w:proofErr w:type="spellEnd"/>
      <w:r w:rsidRPr="00A6463E">
        <w:rPr>
          <w:sz w:val="22"/>
          <w:szCs w:val="22"/>
          <w:lang w:val="lt-LT"/>
        </w:rPr>
        <w:t xml:space="preserve"> AUC kraujo plazmoje didėja mažiau negu dozei proporcingai, neprisijungusio </w:t>
      </w:r>
      <w:proofErr w:type="spellStart"/>
      <w:r w:rsidRPr="00A6463E">
        <w:rPr>
          <w:sz w:val="22"/>
          <w:szCs w:val="22"/>
          <w:lang w:val="lt-LT"/>
        </w:rPr>
        <w:t>linagliptino</w:t>
      </w:r>
      <w:proofErr w:type="spellEnd"/>
      <w:r w:rsidRPr="00A6463E">
        <w:rPr>
          <w:sz w:val="22"/>
          <w:szCs w:val="22"/>
          <w:lang w:val="lt-LT"/>
        </w:rPr>
        <w:t xml:space="preserve"> AUC − apytikriai proporcingai dozės dydžiui. Sveikų tiriamųjų ir 2 tipo cukriniu diabetu sergančių pacientų organizme </w:t>
      </w:r>
      <w:proofErr w:type="spellStart"/>
      <w:r w:rsidRPr="00A6463E">
        <w:rPr>
          <w:sz w:val="22"/>
          <w:szCs w:val="22"/>
          <w:lang w:val="lt-LT"/>
        </w:rPr>
        <w:t>linagliptino</w:t>
      </w:r>
      <w:proofErr w:type="spellEnd"/>
      <w:r w:rsidRPr="00A6463E">
        <w:rPr>
          <w:sz w:val="22"/>
          <w:szCs w:val="22"/>
          <w:lang w:val="lt-LT"/>
        </w:rPr>
        <w:t xml:space="preserve"> farmakokinetika paprastai buvo panaši.</w:t>
      </w:r>
    </w:p>
    <w:p w14:paraId="082BB510" w14:textId="77777777" w:rsidR="003F7CCA" w:rsidRPr="00A6463E" w:rsidRDefault="003F7CCA">
      <w:pPr>
        <w:pStyle w:val="Default"/>
        <w:rPr>
          <w:sz w:val="22"/>
          <w:szCs w:val="22"/>
          <w:lang w:val="lt-LT"/>
        </w:rPr>
      </w:pPr>
    </w:p>
    <w:p w14:paraId="0FCDCC94" w14:textId="77777777" w:rsidR="003F7CCA" w:rsidRDefault="0080197E">
      <w:pPr>
        <w:pStyle w:val="Default"/>
        <w:rPr>
          <w:rFonts w:eastAsiaTheme="minorHAnsi"/>
          <w:sz w:val="22"/>
          <w:szCs w:val="22"/>
          <w:lang w:val="lt-LT" w:eastAsia="en-US"/>
        </w:rPr>
      </w:pPr>
      <w:r>
        <w:rPr>
          <w:rFonts w:eastAsiaTheme="minorHAnsi"/>
          <w:i/>
          <w:iCs/>
          <w:sz w:val="22"/>
          <w:szCs w:val="22"/>
          <w:lang w:val="lt-LT" w:eastAsia="en-US"/>
        </w:rPr>
        <w:t>Absorbcija</w:t>
      </w:r>
    </w:p>
    <w:p w14:paraId="652E1238"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lastRenderedPageBreak/>
        <w:t xml:space="preserve">Absoliutus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biologinis prieinamumas yra maždaug 30 </w:t>
      </w:r>
      <w:r w:rsidRPr="00A6463E">
        <w:rPr>
          <w:sz w:val="22"/>
          <w:szCs w:val="22"/>
          <w:lang w:eastAsia="en-US"/>
        </w:rPr>
        <w:t>%</w:t>
      </w:r>
      <w:r>
        <w:rPr>
          <w:rFonts w:eastAsiaTheme="minorHAnsi"/>
          <w:color w:val="000000"/>
          <w:sz w:val="22"/>
          <w:szCs w:val="22"/>
          <w:lang w:eastAsia="en-US"/>
        </w:rPr>
        <w:t xml:space="preserve">. Labai riebus maistas kartu pavartoto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laiką, per kurį koncentracija kraujo plazmoje tampa didžiausia (</w:t>
      </w:r>
      <w:proofErr w:type="spellStart"/>
      <w:r>
        <w:rPr>
          <w:rFonts w:eastAsiaTheme="minorHAnsi"/>
          <w:color w:val="000000"/>
          <w:sz w:val="22"/>
          <w:szCs w:val="22"/>
          <w:lang w:eastAsia="en-US"/>
        </w:rPr>
        <w:t>C</w:t>
      </w:r>
      <w:r>
        <w:rPr>
          <w:rFonts w:eastAsiaTheme="minorHAnsi"/>
          <w:color w:val="000000"/>
          <w:sz w:val="22"/>
          <w:szCs w:val="22"/>
          <w:vertAlign w:val="subscript"/>
          <w:lang w:eastAsia="en-US"/>
        </w:rPr>
        <w:t>max</w:t>
      </w:r>
      <w:proofErr w:type="spellEnd"/>
      <w:r>
        <w:rPr>
          <w:rFonts w:eastAsiaTheme="minorHAnsi"/>
          <w:color w:val="000000"/>
          <w:sz w:val="22"/>
          <w:szCs w:val="22"/>
          <w:lang w:eastAsia="en-US"/>
        </w:rPr>
        <w:t xml:space="preserve">), pailgino 2 val., o </w:t>
      </w:r>
      <w:proofErr w:type="spellStart"/>
      <w:r>
        <w:rPr>
          <w:rFonts w:eastAsiaTheme="minorHAnsi"/>
          <w:color w:val="000000"/>
          <w:sz w:val="22"/>
          <w:szCs w:val="22"/>
          <w:lang w:eastAsia="en-US"/>
        </w:rPr>
        <w:t>C</w:t>
      </w:r>
      <w:r>
        <w:rPr>
          <w:rFonts w:eastAsiaTheme="minorHAnsi"/>
          <w:color w:val="000000"/>
          <w:sz w:val="22"/>
          <w:szCs w:val="22"/>
          <w:vertAlign w:val="subscript"/>
          <w:lang w:eastAsia="en-US"/>
        </w:rPr>
        <w:t>max</w:t>
      </w:r>
      <w:proofErr w:type="spellEnd"/>
      <w:r>
        <w:rPr>
          <w:rFonts w:eastAsiaTheme="minorHAnsi"/>
          <w:color w:val="000000"/>
          <w:sz w:val="22"/>
          <w:szCs w:val="22"/>
          <w:lang w:eastAsia="en-US"/>
        </w:rPr>
        <w:t xml:space="preserve"> sumažino 15 %, tačiau AUC</w:t>
      </w:r>
      <w:r>
        <w:rPr>
          <w:rFonts w:eastAsiaTheme="minorHAnsi"/>
          <w:color w:val="000000"/>
          <w:sz w:val="22"/>
          <w:szCs w:val="22"/>
          <w:vertAlign w:val="subscript"/>
          <w:lang w:eastAsia="en-US"/>
        </w:rPr>
        <w:t>0-72 val.</w:t>
      </w:r>
      <w:r>
        <w:rPr>
          <w:rFonts w:eastAsiaTheme="minorHAnsi"/>
          <w:color w:val="000000"/>
          <w:sz w:val="22"/>
          <w:szCs w:val="22"/>
          <w:lang w:eastAsia="en-US"/>
        </w:rPr>
        <w:t xml:space="preserve"> poveikio nedarė. Kliniškai reikšmingas poveikis </w:t>
      </w:r>
      <w:proofErr w:type="spellStart"/>
      <w:r>
        <w:rPr>
          <w:rFonts w:eastAsiaTheme="minorHAnsi"/>
          <w:color w:val="000000"/>
          <w:sz w:val="22"/>
          <w:szCs w:val="22"/>
          <w:lang w:eastAsia="en-US"/>
        </w:rPr>
        <w:t>C</w:t>
      </w:r>
      <w:r>
        <w:rPr>
          <w:rFonts w:eastAsiaTheme="minorHAnsi"/>
          <w:color w:val="000000"/>
          <w:sz w:val="22"/>
          <w:szCs w:val="22"/>
          <w:vertAlign w:val="subscript"/>
          <w:lang w:eastAsia="en-US"/>
        </w:rPr>
        <w:t>max</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T</w:t>
      </w:r>
      <w:r>
        <w:rPr>
          <w:rFonts w:eastAsiaTheme="minorHAnsi"/>
          <w:color w:val="000000"/>
          <w:sz w:val="22"/>
          <w:szCs w:val="22"/>
          <w:vertAlign w:val="subscript"/>
          <w:lang w:eastAsia="en-US"/>
        </w:rPr>
        <w:t>max</w:t>
      </w:r>
      <w:proofErr w:type="spellEnd"/>
      <w:r>
        <w:rPr>
          <w:rFonts w:eastAsiaTheme="minorHAnsi"/>
          <w:color w:val="000000"/>
          <w:sz w:val="22"/>
          <w:szCs w:val="22"/>
          <w:lang w:eastAsia="en-US"/>
        </w:rPr>
        <w:t xml:space="preserve"> nėra tikėtinas, todėl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galima gerti valgio metu arba nevalgius.</w:t>
      </w:r>
    </w:p>
    <w:p w14:paraId="337DE0FC" w14:textId="77777777" w:rsidR="003F7CCA" w:rsidRDefault="003F7CCA">
      <w:pPr>
        <w:autoSpaceDE w:val="0"/>
        <w:autoSpaceDN w:val="0"/>
        <w:adjustRightInd w:val="0"/>
        <w:rPr>
          <w:rFonts w:eastAsiaTheme="minorHAnsi"/>
          <w:i/>
          <w:iCs/>
          <w:color w:val="000000"/>
          <w:sz w:val="22"/>
          <w:szCs w:val="22"/>
          <w:lang w:eastAsia="en-US"/>
        </w:rPr>
      </w:pPr>
    </w:p>
    <w:p w14:paraId="7F2CF9F0"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Pasiskirstymas</w:t>
      </w:r>
    </w:p>
    <w:p w14:paraId="7B7D5695"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Sveikų asmenų organizme į veną suleistos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dozės vidutinis tariamasis pasiskirstymo tūris tuo metu, kai apykaita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xml:space="preserve">, dėl prisijungimo prie audinių yra maždaug 1 110 litrų. Tai rodo, kad </w:t>
      </w:r>
      <w:proofErr w:type="spellStart"/>
      <w:r>
        <w:rPr>
          <w:rFonts w:eastAsiaTheme="minorHAnsi"/>
          <w:color w:val="000000"/>
          <w:sz w:val="22"/>
          <w:szCs w:val="22"/>
          <w:lang w:eastAsia="en-US"/>
        </w:rPr>
        <w:t>linagliptinas</w:t>
      </w:r>
      <w:proofErr w:type="spellEnd"/>
      <w:r>
        <w:rPr>
          <w:rFonts w:eastAsiaTheme="minorHAnsi"/>
          <w:color w:val="000000"/>
          <w:sz w:val="22"/>
          <w:szCs w:val="22"/>
          <w:lang w:eastAsia="en-US"/>
        </w:rPr>
        <w:t xml:space="preserve"> plačiai pasiskirsto audiniuose.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prisijungimas prie kraujo plazmos baltymų priklauso nuo jo koncentracijos kraujyje: jei koncentracija yra 1 </w:t>
      </w:r>
      <w:proofErr w:type="spellStart"/>
      <w:r>
        <w:rPr>
          <w:rFonts w:eastAsiaTheme="minorHAnsi"/>
          <w:color w:val="000000"/>
          <w:sz w:val="22"/>
          <w:szCs w:val="22"/>
          <w:lang w:eastAsia="en-US"/>
        </w:rPr>
        <w:t>nanomolis</w:t>
      </w:r>
      <w:proofErr w:type="spellEnd"/>
      <w:r>
        <w:rPr>
          <w:rFonts w:eastAsiaTheme="minorHAnsi"/>
          <w:color w:val="000000"/>
          <w:sz w:val="22"/>
          <w:szCs w:val="22"/>
          <w:lang w:eastAsia="en-US"/>
        </w:rPr>
        <w:t>/l, prisijungia maždaug 99 </w:t>
      </w:r>
      <w:r w:rsidRPr="00A6463E">
        <w:rPr>
          <w:sz w:val="22"/>
          <w:szCs w:val="22"/>
          <w:lang w:eastAsia="en-US"/>
        </w:rPr>
        <w:t>%</w:t>
      </w:r>
      <w:r>
        <w:rPr>
          <w:rFonts w:eastAsiaTheme="minorHAnsi"/>
          <w:color w:val="000000"/>
          <w:sz w:val="22"/>
          <w:szCs w:val="22"/>
          <w:lang w:eastAsia="en-US"/>
        </w:rPr>
        <w:t xml:space="preserve">, jei </w:t>
      </w:r>
      <w:r w:rsidRPr="00A6463E">
        <w:rPr>
          <w:sz w:val="22"/>
          <w:szCs w:val="22"/>
          <w:lang w:eastAsia="en-US"/>
        </w:rPr>
        <w:t>≥ </w:t>
      </w:r>
      <w:r>
        <w:rPr>
          <w:rFonts w:eastAsiaTheme="minorHAnsi"/>
          <w:color w:val="000000"/>
          <w:sz w:val="22"/>
          <w:szCs w:val="22"/>
          <w:lang w:eastAsia="en-US"/>
        </w:rPr>
        <w:t>30 </w:t>
      </w:r>
      <w:proofErr w:type="spellStart"/>
      <w:r>
        <w:rPr>
          <w:rFonts w:eastAsiaTheme="minorHAnsi"/>
          <w:color w:val="000000"/>
          <w:sz w:val="22"/>
          <w:szCs w:val="22"/>
          <w:lang w:eastAsia="en-US"/>
        </w:rPr>
        <w:t>nanomolių</w:t>
      </w:r>
      <w:proofErr w:type="spellEnd"/>
      <w:r>
        <w:rPr>
          <w:rFonts w:eastAsiaTheme="minorHAnsi"/>
          <w:color w:val="000000"/>
          <w:sz w:val="22"/>
          <w:szCs w:val="22"/>
          <w:lang w:eastAsia="en-US"/>
        </w:rPr>
        <w:t>/l − 75-89 </w:t>
      </w:r>
      <w:r w:rsidRPr="00A6463E">
        <w:rPr>
          <w:sz w:val="22"/>
          <w:szCs w:val="22"/>
          <w:lang w:eastAsia="en-US"/>
        </w:rPr>
        <w:t>%</w:t>
      </w:r>
      <w:r>
        <w:rPr>
          <w:rFonts w:eastAsiaTheme="minorHAnsi"/>
          <w:color w:val="000000"/>
          <w:sz w:val="22"/>
          <w:szCs w:val="22"/>
          <w:lang w:eastAsia="en-US"/>
        </w:rPr>
        <w:t xml:space="preserve">. Tai rodo, kad prisijungimas prie DPP-4 įsotinamas didėjant koncentracijai kraujyje. Kai koncentracija didelė ir prisijungimas prie DPP-4 visiškai įsotintas, prie kitokių (ne DPP-4) kraujo baltymų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prisijungė 70-80 </w:t>
      </w:r>
      <w:r w:rsidRPr="00A6463E">
        <w:rPr>
          <w:sz w:val="22"/>
          <w:szCs w:val="22"/>
          <w:lang w:eastAsia="en-US"/>
        </w:rPr>
        <w:t>%</w:t>
      </w:r>
      <w:r>
        <w:rPr>
          <w:rFonts w:eastAsiaTheme="minorHAnsi"/>
          <w:color w:val="000000"/>
          <w:sz w:val="22"/>
          <w:szCs w:val="22"/>
          <w:lang w:eastAsia="en-US"/>
        </w:rPr>
        <w:t>, o 20-30 </w:t>
      </w:r>
      <w:r w:rsidRPr="00A6463E">
        <w:rPr>
          <w:sz w:val="22"/>
          <w:szCs w:val="22"/>
          <w:lang w:eastAsia="en-US"/>
        </w:rPr>
        <w:t>%</w:t>
      </w:r>
      <w:r>
        <w:rPr>
          <w:rFonts w:eastAsiaTheme="minorHAnsi"/>
          <w:color w:val="000000"/>
          <w:sz w:val="22"/>
          <w:szCs w:val="22"/>
          <w:lang w:eastAsia="en-US"/>
        </w:rPr>
        <w:t xml:space="preserve"> buvo neprisijungusio kraujo plazmoje.</w:t>
      </w:r>
    </w:p>
    <w:p w14:paraId="126F8FA3" w14:textId="77777777" w:rsidR="003F7CCA" w:rsidRDefault="003F7CCA">
      <w:pPr>
        <w:autoSpaceDE w:val="0"/>
        <w:autoSpaceDN w:val="0"/>
        <w:adjustRightInd w:val="0"/>
        <w:rPr>
          <w:rFonts w:eastAsiaTheme="minorHAnsi"/>
          <w:i/>
          <w:iCs/>
          <w:color w:val="000000"/>
          <w:sz w:val="22"/>
          <w:szCs w:val="22"/>
          <w:lang w:eastAsia="en-US"/>
        </w:rPr>
      </w:pPr>
    </w:p>
    <w:p w14:paraId="5CE61D48"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i/>
          <w:iCs/>
          <w:color w:val="000000"/>
          <w:sz w:val="22"/>
          <w:szCs w:val="22"/>
          <w:lang w:eastAsia="en-US"/>
        </w:rPr>
        <w:t>Biotransformacija</w:t>
      </w:r>
      <w:proofErr w:type="spellEnd"/>
    </w:p>
    <w:p w14:paraId="02FE2E6C"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Išgėrus 10 mg [</w:t>
      </w:r>
      <w:r>
        <w:rPr>
          <w:rFonts w:eastAsiaTheme="minorHAnsi"/>
          <w:color w:val="000000"/>
          <w:sz w:val="22"/>
          <w:szCs w:val="22"/>
          <w:vertAlign w:val="superscript"/>
          <w:lang w:eastAsia="en-US"/>
        </w:rPr>
        <w:t>14</w:t>
      </w:r>
      <w:r>
        <w:rPr>
          <w:rFonts w:eastAsiaTheme="minorHAnsi"/>
          <w:color w:val="000000"/>
          <w:sz w:val="22"/>
          <w:szCs w:val="22"/>
          <w:lang w:eastAsia="en-US"/>
        </w:rPr>
        <w:t xml:space="preserve">C]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dozę, maždaug 5 </w:t>
      </w:r>
      <w:r w:rsidRPr="00A6463E">
        <w:rPr>
          <w:sz w:val="22"/>
          <w:szCs w:val="22"/>
          <w:lang w:eastAsia="en-US"/>
        </w:rPr>
        <w:t>%</w:t>
      </w:r>
      <w:r>
        <w:rPr>
          <w:rFonts w:eastAsiaTheme="minorHAnsi"/>
          <w:color w:val="000000"/>
          <w:sz w:val="22"/>
          <w:szCs w:val="22"/>
          <w:lang w:eastAsia="en-US"/>
        </w:rPr>
        <w:t xml:space="preserve"> radioaktyvumo iš organizmo išsiskyrė su šlapimu. Metabolizmas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eliminacijai nėra toks svarbus. Buvo nustatytas vienas svarbiausias metabolitas, kurio santykinė ekspozicija tuo metu, kai apykaita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atitiko 13,3 </w:t>
      </w:r>
      <w:r w:rsidRPr="00A6463E">
        <w:rPr>
          <w:sz w:val="22"/>
          <w:szCs w:val="22"/>
          <w:lang w:eastAsia="en-US"/>
        </w:rPr>
        <w:t>%</w:t>
      </w:r>
      <w:r>
        <w:rPr>
          <w:rFonts w:eastAsiaTheme="minorHAnsi"/>
          <w:color w:val="000000"/>
          <w:sz w:val="22"/>
          <w:szCs w:val="22"/>
          <w:lang w:eastAsia="en-US"/>
        </w:rPr>
        <w:t xml:space="preserve">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ekspozicijos, tačiau buvo atskleista, kad farmakologiškai šis metabolitas yra neaktyvus, todėl neprisideda prie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sukeliamo DPP-4 slopinimo kraujo plazmoje.</w:t>
      </w:r>
    </w:p>
    <w:p w14:paraId="6C47A1D9" w14:textId="77777777" w:rsidR="003F7CCA" w:rsidRDefault="003F7CCA">
      <w:pPr>
        <w:autoSpaceDE w:val="0"/>
        <w:autoSpaceDN w:val="0"/>
        <w:adjustRightInd w:val="0"/>
        <w:rPr>
          <w:rFonts w:eastAsiaTheme="minorHAnsi"/>
          <w:i/>
          <w:iCs/>
          <w:color w:val="000000"/>
          <w:sz w:val="22"/>
          <w:szCs w:val="22"/>
          <w:lang w:eastAsia="en-US"/>
        </w:rPr>
      </w:pPr>
    </w:p>
    <w:p w14:paraId="13190004"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Eliminacija</w:t>
      </w:r>
    </w:p>
    <w:p w14:paraId="41225F83"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Iš sveikų savanorių, išgėrusių [</w:t>
      </w:r>
      <w:r>
        <w:rPr>
          <w:rFonts w:eastAsiaTheme="minorHAnsi"/>
          <w:color w:val="000000"/>
          <w:sz w:val="22"/>
          <w:szCs w:val="22"/>
          <w:vertAlign w:val="superscript"/>
          <w:lang w:eastAsia="en-US"/>
        </w:rPr>
        <w:t>14</w:t>
      </w:r>
      <w:r>
        <w:rPr>
          <w:rFonts w:eastAsiaTheme="minorHAnsi"/>
          <w:color w:val="000000"/>
          <w:sz w:val="22"/>
          <w:szCs w:val="22"/>
          <w:lang w:eastAsia="en-US"/>
        </w:rPr>
        <w:t xml:space="preserve">C]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dozę, organizmo maždaug 85 </w:t>
      </w:r>
      <w:r w:rsidRPr="00A6463E">
        <w:rPr>
          <w:sz w:val="22"/>
          <w:szCs w:val="22"/>
          <w:lang w:eastAsia="en-US"/>
        </w:rPr>
        <w:t>%</w:t>
      </w:r>
      <w:r>
        <w:rPr>
          <w:rFonts w:eastAsiaTheme="minorHAnsi"/>
          <w:color w:val="000000"/>
          <w:sz w:val="22"/>
          <w:szCs w:val="22"/>
          <w:lang w:eastAsia="en-US"/>
        </w:rPr>
        <w:t xml:space="preserve"> pavartoto radioaktyvumo išsiskyrė su išmatomis (80 </w:t>
      </w:r>
      <w:r w:rsidRPr="00A6463E">
        <w:rPr>
          <w:sz w:val="22"/>
          <w:szCs w:val="22"/>
          <w:lang w:eastAsia="en-US"/>
        </w:rPr>
        <w:t>%</w:t>
      </w:r>
      <w:r>
        <w:rPr>
          <w:rFonts w:eastAsiaTheme="minorHAnsi"/>
          <w:color w:val="000000"/>
          <w:sz w:val="22"/>
          <w:szCs w:val="22"/>
          <w:lang w:eastAsia="en-US"/>
        </w:rPr>
        <w:t>) ir šlapimu (5 </w:t>
      </w:r>
      <w:r w:rsidRPr="00A6463E">
        <w:rPr>
          <w:sz w:val="22"/>
          <w:szCs w:val="22"/>
          <w:lang w:eastAsia="en-US"/>
        </w:rPr>
        <w:t>%</w:t>
      </w:r>
      <w:r>
        <w:rPr>
          <w:rFonts w:eastAsiaTheme="minorHAnsi"/>
          <w:color w:val="000000"/>
          <w:sz w:val="22"/>
          <w:szCs w:val="22"/>
          <w:lang w:eastAsia="en-US"/>
        </w:rPr>
        <w:t xml:space="preserve">) per 4 paras po pavartojimo. Inkstų klirensas tuo metu, kai apykaita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buvo 70 ml/min.</w:t>
      </w:r>
    </w:p>
    <w:p w14:paraId="5EB6F80F" w14:textId="77777777" w:rsidR="003F7CCA" w:rsidRDefault="003F7CCA">
      <w:pPr>
        <w:autoSpaceDE w:val="0"/>
        <w:autoSpaceDN w:val="0"/>
        <w:adjustRightInd w:val="0"/>
        <w:rPr>
          <w:rFonts w:eastAsiaTheme="minorHAnsi"/>
          <w:i/>
          <w:iCs/>
          <w:color w:val="000000"/>
          <w:sz w:val="22"/>
          <w:szCs w:val="22"/>
          <w:lang w:eastAsia="en-US"/>
        </w:rPr>
      </w:pPr>
    </w:p>
    <w:p w14:paraId="2C573EA1"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Sutrikusi inkstų funkcija</w:t>
      </w:r>
    </w:p>
    <w:p w14:paraId="2A0A5E89"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Pacientų, kuriems yra lengvas inkstų funkcijos sutrikimas, organizme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ekspozicija tuo metu, kai apykaita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xml:space="preserve">, buvo panaši į ekspoziciją sveikų asmenų organizme. Vidutinio sunkumo inkstų funkcijos sutrikimo atveju buvo stebėtas saikingas ekspozicijos padidėjimas apie 1,7 karto, palyginti su ekspozicija kontrolinės grupės tiriamųjų organizme. 2 tipo cukriniu diabetu sergančių pacientų, kuriems yra sunkus inkstų funkcijos sutrikimas, organizme ekspozicija buvo maždaug 1,4 karto didesnė negu 2 tipo cukriniu diabetu sergančių pacientų, kurių inkstų funkcija normali. Pacientų, kuriems yra galutinė inkstų ligos stadija (GILS), organizme apskaičiuotas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AUC tuo metu, kai apykaita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xml:space="preserve">, rodo, kad ekspozicija yra panaši į asmenų, kuriems yra vidutinio sunkumo arba sunkus inkstų funkcijos sutrikimas. Be to, nėra tikėtina, kad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kiekį, kuris yra reikšmingas gydant, būtų galima pašalinti hemodialize ar </w:t>
      </w:r>
      <w:proofErr w:type="spellStart"/>
      <w:r>
        <w:rPr>
          <w:rFonts w:eastAsiaTheme="minorHAnsi"/>
          <w:color w:val="000000"/>
          <w:sz w:val="22"/>
          <w:szCs w:val="22"/>
          <w:lang w:eastAsia="en-US"/>
        </w:rPr>
        <w:t>peritonine</w:t>
      </w:r>
      <w:proofErr w:type="spellEnd"/>
      <w:r>
        <w:rPr>
          <w:rFonts w:eastAsiaTheme="minorHAnsi"/>
          <w:color w:val="000000"/>
          <w:sz w:val="22"/>
          <w:szCs w:val="22"/>
          <w:lang w:eastAsia="en-US"/>
        </w:rPr>
        <w:t xml:space="preserve"> dialize. Taigi pacientams, kurių inkstų funkcija sutrikusi,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dozės keisti nerekomenduojama, todėl šio vaistinio preparato vartojimą nutraukus dėl inkstų funkcijos sutrikimo pasireiškimo, gydymą galima tęsti tokia pačia bendra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paros doze, vartojama atskirų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tablečių pavidalu.</w:t>
      </w:r>
    </w:p>
    <w:p w14:paraId="6AD98283" w14:textId="77777777" w:rsidR="003F7CCA" w:rsidRDefault="003F7CCA">
      <w:pPr>
        <w:autoSpaceDE w:val="0"/>
        <w:autoSpaceDN w:val="0"/>
        <w:adjustRightInd w:val="0"/>
        <w:rPr>
          <w:rFonts w:eastAsiaTheme="minorHAnsi"/>
          <w:i/>
          <w:iCs/>
          <w:color w:val="000000"/>
          <w:sz w:val="22"/>
          <w:szCs w:val="22"/>
          <w:lang w:eastAsia="en-US"/>
        </w:rPr>
      </w:pPr>
    </w:p>
    <w:p w14:paraId="3570C624"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Sutrikusi kepenų funkcija</w:t>
      </w:r>
    </w:p>
    <w:p w14:paraId="426E11F1"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Pacientų, kuriems yra lengvas, vidutinio sunkumo arba sunkus kepenų funkcijos sutrikimas (pagal </w:t>
      </w:r>
      <w:proofErr w:type="spellStart"/>
      <w:r>
        <w:rPr>
          <w:rFonts w:eastAsiaTheme="minorHAnsi"/>
          <w:color w:val="000000"/>
          <w:sz w:val="22"/>
          <w:szCs w:val="22"/>
          <w:lang w:eastAsia="en-US"/>
        </w:rPr>
        <w:t>Child-Pugh</w:t>
      </w:r>
      <w:proofErr w:type="spellEnd"/>
      <w:r>
        <w:rPr>
          <w:rFonts w:eastAsiaTheme="minorHAnsi"/>
          <w:color w:val="000000"/>
          <w:sz w:val="22"/>
          <w:szCs w:val="22"/>
          <w:lang w:eastAsia="en-US"/>
        </w:rPr>
        <w:t xml:space="preserve"> klasifikaciją), organizme po daugkartinių 5 mg dozių vartojimo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AUC ir </w:t>
      </w:r>
      <w:proofErr w:type="spellStart"/>
      <w:r>
        <w:rPr>
          <w:rFonts w:eastAsiaTheme="minorHAnsi"/>
          <w:color w:val="000000"/>
          <w:sz w:val="22"/>
          <w:szCs w:val="22"/>
          <w:lang w:eastAsia="en-US"/>
        </w:rPr>
        <w:t>C</w:t>
      </w:r>
      <w:r>
        <w:rPr>
          <w:rFonts w:eastAsiaTheme="minorHAnsi"/>
          <w:color w:val="000000"/>
          <w:sz w:val="14"/>
          <w:szCs w:val="14"/>
          <w:lang w:eastAsia="en-US"/>
        </w:rPr>
        <w:t>max</w:t>
      </w:r>
      <w:proofErr w:type="spellEnd"/>
      <w:r>
        <w:rPr>
          <w:rFonts w:eastAsiaTheme="minorHAnsi"/>
          <w:color w:val="000000"/>
          <w:sz w:val="14"/>
          <w:szCs w:val="14"/>
          <w:lang w:eastAsia="en-US"/>
        </w:rPr>
        <w:t xml:space="preserve"> </w:t>
      </w:r>
      <w:r>
        <w:rPr>
          <w:rFonts w:eastAsiaTheme="minorHAnsi"/>
          <w:color w:val="000000"/>
          <w:sz w:val="22"/>
          <w:szCs w:val="22"/>
          <w:lang w:eastAsia="en-US"/>
        </w:rPr>
        <w:t>vidurkiai buvo panašūs į nustatytus sveikų kontrolinės grupės tiriamųjų organizme.</w:t>
      </w:r>
    </w:p>
    <w:p w14:paraId="13B3339A" w14:textId="77777777" w:rsidR="003F7CCA" w:rsidRDefault="003F7CCA">
      <w:pPr>
        <w:autoSpaceDE w:val="0"/>
        <w:autoSpaceDN w:val="0"/>
        <w:adjustRightInd w:val="0"/>
        <w:rPr>
          <w:rFonts w:eastAsiaTheme="minorHAnsi"/>
          <w:i/>
          <w:iCs/>
          <w:color w:val="000000"/>
          <w:sz w:val="22"/>
          <w:szCs w:val="22"/>
          <w:lang w:eastAsia="en-US"/>
        </w:rPr>
      </w:pPr>
    </w:p>
    <w:p w14:paraId="5CCF67BF"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Kūno masės indeksas (KMI)</w:t>
      </w:r>
    </w:p>
    <w:p w14:paraId="1BCBEB32" w14:textId="77777777" w:rsidR="003F7CCA" w:rsidRPr="00A6463E" w:rsidRDefault="0080197E">
      <w:pPr>
        <w:pStyle w:val="Default"/>
        <w:rPr>
          <w:rFonts w:eastAsiaTheme="minorHAnsi"/>
          <w:sz w:val="22"/>
          <w:szCs w:val="22"/>
          <w:lang w:val="lt-LT" w:eastAsia="en-US"/>
        </w:rPr>
      </w:pPr>
      <w:r w:rsidRPr="00A6463E">
        <w:rPr>
          <w:rFonts w:eastAsiaTheme="minorHAnsi"/>
          <w:sz w:val="22"/>
          <w:szCs w:val="22"/>
          <w:lang w:val="lt-LT" w:eastAsia="en-US"/>
        </w:rPr>
        <w:t xml:space="preserve">I fazės ir II fazės tyrimų populiacijos farmakokinetikos analizės duomenimis, kūno masės indeksas kliniškai reikšmingos įtakos </w:t>
      </w:r>
      <w:proofErr w:type="spellStart"/>
      <w:r w:rsidRPr="00A6463E">
        <w:rPr>
          <w:rFonts w:eastAsiaTheme="minorHAnsi"/>
          <w:sz w:val="22"/>
          <w:szCs w:val="22"/>
          <w:lang w:val="lt-LT" w:eastAsia="en-US"/>
        </w:rPr>
        <w:t>linagliptino</w:t>
      </w:r>
      <w:proofErr w:type="spellEnd"/>
      <w:r w:rsidRPr="00A6463E">
        <w:rPr>
          <w:rFonts w:eastAsiaTheme="minorHAnsi"/>
          <w:sz w:val="22"/>
          <w:szCs w:val="22"/>
          <w:lang w:val="lt-LT" w:eastAsia="en-US"/>
        </w:rPr>
        <w:t xml:space="preserve"> farmakokinetikai nedaro. Prieš vaistinį preparatą registruojant klinikiniai tyrimai buvo atlikti su pacientais, kurių KMI buvo ne didesnis kaip 40 kg/m</w:t>
      </w:r>
      <w:r w:rsidRPr="00A6463E">
        <w:rPr>
          <w:rFonts w:eastAsiaTheme="minorHAnsi"/>
          <w:sz w:val="22"/>
          <w:szCs w:val="22"/>
          <w:vertAlign w:val="superscript"/>
          <w:lang w:val="lt-LT" w:eastAsia="en-US"/>
        </w:rPr>
        <w:t>2</w:t>
      </w:r>
      <w:r w:rsidRPr="00A6463E">
        <w:rPr>
          <w:rFonts w:eastAsiaTheme="minorHAnsi"/>
          <w:sz w:val="22"/>
          <w:szCs w:val="22"/>
          <w:lang w:val="lt-LT" w:eastAsia="en-US"/>
        </w:rPr>
        <w:t>.</w:t>
      </w:r>
    </w:p>
    <w:p w14:paraId="790AAAB6" w14:textId="77777777" w:rsidR="003F7CCA" w:rsidRPr="00A6463E" w:rsidRDefault="003F7CCA">
      <w:pPr>
        <w:pStyle w:val="Default"/>
        <w:rPr>
          <w:rFonts w:eastAsiaTheme="minorHAnsi"/>
          <w:sz w:val="22"/>
          <w:szCs w:val="22"/>
          <w:lang w:val="lt-LT" w:eastAsia="en-US"/>
        </w:rPr>
      </w:pPr>
    </w:p>
    <w:p w14:paraId="2944083F" w14:textId="77777777" w:rsidR="003F7CCA" w:rsidRDefault="0080197E">
      <w:pPr>
        <w:pStyle w:val="Default"/>
        <w:rPr>
          <w:rFonts w:eastAsiaTheme="minorHAnsi"/>
          <w:sz w:val="22"/>
          <w:szCs w:val="22"/>
          <w:lang w:val="lt-LT" w:eastAsia="en-US"/>
        </w:rPr>
      </w:pPr>
      <w:r>
        <w:rPr>
          <w:rFonts w:eastAsiaTheme="minorHAnsi"/>
          <w:i/>
          <w:iCs/>
          <w:sz w:val="22"/>
          <w:szCs w:val="22"/>
          <w:lang w:val="lt-LT" w:eastAsia="en-US"/>
        </w:rPr>
        <w:t>Lytis</w:t>
      </w:r>
    </w:p>
    <w:p w14:paraId="31FD23BE"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 fazės ir II fazės tyrimų populiacijos farmakokinetikos analizės duomenimis, lytis kliniškai reikšmingos įtakos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farmakokinetikai nedaro.</w:t>
      </w:r>
    </w:p>
    <w:p w14:paraId="5750F51B" w14:textId="77777777" w:rsidR="003F7CCA" w:rsidRDefault="003F7CCA">
      <w:pPr>
        <w:autoSpaceDE w:val="0"/>
        <w:autoSpaceDN w:val="0"/>
        <w:adjustRightInd w:val="0"/>
        <w:rPr>
          <w:rFonts w:eastAsiaTheme="minorHAnsi"/>
          <w:i/>
          <w:iCs/>
          <w:color w:val="000000"/>
          <w:sz w:val="22"/>
          <w:szCs w:val="22"/>
          <w:lang w:eastAsia="en-US"/>
        </w:rPr>
      </w:pPr>
    </w:p>
    <w:p w14:paraId="57D7F8C7" w14:textId="74F5BFB0"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lastRenderedPageBreak/>
        <w:t xml:space="preserve">Senyvi </w:t>
      </w:r>
      <w:r w:rsidR="00A43E9F">
        <w:rPr>
          <w:rFonts w:eastAsiaTheme="minorHAnsi"/>
          <w:i/>
          <w:iCs/>
          <w:color w:val="000000"/>
          <w:sz w:val="22"/>
          <w:szCs w:val="22"/>
          <w:lang w:eastAsia="en-US"/>
        </w:rPr>
        <w:t>pacientai</w:t>
      </w:r>
    </w:p>
    <w:p w14:paraId="136FE0AF"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 fazės ir II fazės tyrimų populiacijos farmakokinetikos analizės duomenimis, amžius kliniškai reikšmingos įtakos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farmakokinetikai nedaro. Senyvų (iš 65-80 metų pacientų grupės vyriausias pacientas buvo 78 metų) asmenų kraujo plazmoje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koncentracija buvo panaši į jaunesnių. Be to, III fazės 24 savaičių trukmės tyrimo metu 2 tipo cukriniu diabetu sergantiems senyviems (</w:t>
      </w:r>
      <w:r w:rsidRPr="00A6463E">
        <w:rPr>
          <w:sz w:val="22"/>
          <w:szCs w:val="22"/>
          <w:lang w:eastAsia="en-US"/>
        </w:rPr>
        <w:t>≥ </w:t>
      </w:r>
      <w:r>
        <w:rPr>
          <w:rFonts w:eastAsiaTheme="minorHAnsi"/>
          <w:color w:val="000000"/>
          <w:sz w:val="22"/>
          <w:szCs w:val="22"/>
          <w:lang w:eastAsia="en-US"/>
        </w:rPr>
        <w:t xml:space="preserve">70 metų) pacientams buvo matuota mažiausia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koncentracija. Šio tyrimo metu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koncentracija buvo koncentracijos, kuri anksčiau buvo nustatyta 2 tipo cukriniu diabetu sergančių jaunesnių pacientų kraujo plazmoje, ribose.</w:t>
      </w:r>
    </w:p>
    <w:p w14:paraId="460B4CC0" w14:textId="77777777" w:rsidR="003F7CCA" w:rsidRDefault="003F7CCA">
      <w:pPr>
        <w:autoSpaceDE w:val="0"/>
        <w:autoSpaceDN w:val="0"/>
        <w:adjustRightInd w:val="0"/>
        <w:rPr>
          <w:rFonts w:eastAsiaTheme="minorHAnsi"/>
          <w:color w:val="000000"/>
          <w:sz w:val="22"/>
          <w:szCs w:val="22"/>
          <w:lang w:eastAsia="en-US"/>
        </w:rPr>
      </w:pPr>
    </w:p>
    <w:p w14:paraId="3A8C3DEA"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Vaikų populiacija</w:t>
      </w:r>
    </w:p>
    <w:p w14:paraId="312FFD85"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II fazės pediatrinio tyrimo metu buvo tiriama 1 mg ir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farmakokinetika ir farmakodinamika 2 tipo cukriniu diabetu sergančių vaikų ir paauglių, kurių amžius buvo nuo ≥ 10 metų iki &lt; 18 metų, organizmuose. Gauti farmakokinetikos ir farmakodinamikos duomenys atitiko suaugusiųjų organizmuose nustatytus duomenis.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dozė buvo pranašesnė už 1 mg, vertinant pagal DDP-4 slopinimą esant mažiausiai koncentracijai prieš kitą dozę (72 %, palyginti su 32 %, p = 0,0050) ir pagal kiekybiškai didesnį koreguoto vidutinio HbA1c</w:t>
      </w:r>
      <w:r>
        <w:rPr>
          <w:rFonts w:eastAsiaTheme="minorHAnsi"/>
          <w:color w:val="000000"/>
          <w:sz w:val="14"/>
          <w:szCs w:val="14"/>
          <w:lang w:eastAsia="en-US"/>
        </w:rPr>
        <w:t xml:space="preserve"> </w:t>
      </w:r>
      <w:r>
        <w:rPr>
          <w:rFonts w:eastAsiaTheme="minorHAnsi"/>
          <w:color w:val="000000"/>
          <w:sz w:val="22"/>
          <w:szCs w:val="22"/>
          <w:lang w:eastAsia="en-US"/>
        </w:rPr>
        <w:t>pokyčio nuo pradinės vertės sumažėjimą (-0,63 %, palyginti su -0,48 %, nereikšminga). Dėl riboto duomenų pobūdžio šiuos rezultatus reikia vertinti atsargiai.</w:t>
      </w:r>
    </w:p>
    <w:p w14:paraId="191DA40C" w14:textId="77777777" w:rsidR="003F7CCA" w:rsidRDefault="003F7CCA">
      <w:pPr>
        <w:autoSpaceDE w:val="0"/>
        <w:autoSpaceDN w:val="0"/>
        <w:adjustRightInd w:val="0"/>
        <w:rPr>
          <w:rFonts w:eastAsiaTheme="minorHAnsi"/>
          <w:color w:val="000000"/>
          <w:sz w:val="22"/>
          <w:szCs w:val="22"/>
          <w:lang w:eastAsia="en-US"/>
        </w:rPr>
      </w:pPr>
    </w:p>
    <w:p w14:paraId="212B13D6"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III fazės pediatrinio tyrimo metu buvo tiriama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farmakokinetika ir farmakodinamika (HbA1c pokytis nuo pradinio vertinimo) 2 tipo cukriniu diabetu sergantiems 10-17 metų vaikams ir paaugliams. Stebėtas ekspozicijos ir atsako santykis pacientams vaikams ir suaugusiesiems iš esmės buvo panašus, tačiau vaikams apskaičiuotas mažesnis vaistinio preparato poveikis. </w:t>
      </w:r>
      <w:proofErr w:type="spellStart"/>
      <w:r>
        <w:rPr>
          <w:rFonts w:eastAsiaTheme="minorHAnsi"/>
          <w:color w:val="000000"/>
          <w:sz w:val="22"/>
          <w:szCs w:val="22"/>
          <w:lang w:eastAsia="en-US"/>
        </w:rPr>
        <w:t>Linagliptiną</w:t>
      </w:r>
      <w:proofErr w:type="spellEnd"/>
      <w:r>
        <w:rPr>
          <w:rFonts w:eastAsiaTheme="minorHAnsi"/>
          <w:color w:val="000000"/>
          <w:sz w:val="22"/>
          <w:szCs w:val="22"/>
          <w:lang w:eastAsia="en-US"/>
        </w:rPr>
        <w:t xml:space="preserve"> vartojant per burną, susidarė ekspozicija, kuri įėjo į diapazoną, stebėtą suaugusiems pacientams. Stebėtas geometrinis mažiausių koncentracijų prieš kitą dozę vidurkis ir geometrinis koncentracijų vidurkis po suvartojimo praėjus 1,5 val. (maždaug atitinkantis </w:t>
      </w:r>
      <w:proofErr w:type="spellStart"/>
      <w:r>
        <w:rPr>
          <w:rFonts w:eastAsiaTheme="minorHAnsi"/>
          <w:color w:val="000000"/>
          <w:sz w:val="22"/>
          <w:szCs w:val="22"/>
          <w:lang w:eastAsia="en-US"/>
        </w:rPr>
        <w:t>tmax</w:t>
      </w:r>
      <w:proofErr w:type="spellEnd"/>
      <w:r>
        <w:rPr>
          <w:rFonts w:eastAsiaTheme="minorHAnsi"/>
          <w:color w:val="000000"/>
          <w:sz w:val="14"/>
          <w:szCs w:val="14"/>
          <w:lang w:eastAsia="en-US"/>
        </w:rPr>
        <w:t xml:space="preserve"> </w:t>
      </w:r>
      <w:r>
        <w:rPr>
          <w:rFonts w:eastAsiaTheme="minorHAnsi"/>
          <w:color w:val="000000"/>
          <w:sz w:val="22"/>
          <w:szCs w:val="22"/>
          <w:lang w:eastAsia="en-US"/>
        </w:rPr>
        <w:t xml:space="preserve">koncentraciją) tuo metu, kai apykaita </w:t>
      </w:r>
      <w:proofErr w:type="spellStart"/>
      <w:r>
        <w:rPr>
          <w:rFonts w:eastAsiaTheme="minorHAnsi"/>
          <w:color w:val="000000"/>
          <w:sz w:val="22"/>
          <w:szCs w:val="22"/>
          <w:lang w:eastAsia="en-US"/>
        </w:rPr>
        <w:t>pusiausvyrinė</w:t>
      </w:r>
      <w:proofErr w:type="spellEnd"/>
      <w:r>
        <w:rPr>
          <w:rFonts w:eastAsiaTheme="minorHAnsi"/>
          <w:color w:val="000000"/>
          <w:sz w:val="22"/>
          <w:szCs w:val="22"/>
          <w:lang w:eastAsia="en-US"/>
        </w:rPr>
        <w:t>, atitinkamai buvo 4,3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/l ir 12,6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/l. Atitinkamos koncentracijos kraujo plazmoje suaugusiems pacientams buvo 6,04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/l ir 15,1 </w:t>
      </w:r>
      <w:proofErr w:type="spellStart"/>
      <w:r>
        <w:rPr>
          <w:rFonts w:eastAsiaTheme="minorHAnsi"/>
          <w:color w:val="000000"/>
          <w:sz w:val="22"/>
          <w:szCs w:val="22"/>
          <w:lang w:eastAsia="en-US"/>
        </w:rPr>
        <w:t>nmol</w:t>
      </w:r>
      <w:proofErr w:type="spellEnd"/>
      <w:r>
        <w:rPr>
          <w:rFonts w:eastAsiaTheme="minorHAnsi"/>
          <w:color w:val="000000"/>
          <w:sz w:val="22"/>
          <w:szCs w:val="22"/>
          <w:lang w:eastAsia="en-US"/>
        </w:rPr>
        <w:t>/l.</w:t>
      </w:r>
    </w:p>
    <w:p w14:paraId="0CA4CA6B" w14:textId="77777777" w:rsidR="003F7CCA" w:rsidRDefault="003F7CCA">
      <w:pPr>
        <w:autoSpaceDE w:val="0"/>
        <w:autoSpaceDN w:val="0"/>
        <w:adjustRightInd w:val="0"/>
        <w:rPr>
          <w:rFonts w:eastAsiaTheme="minorHAnsi"/>
          <w:color w:val="000000"/>
          <w:sz w:val="22"/>
          <w:szCs w:val="22"/>
          <w:lang w:eastAsia="en-US"/>
        </w:rPr>
      </w:pPr>
    </w:p>
    <w:p w14:paraId="28F61DE6"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Rasė</w:t>
      </w:r>
    </w:p>
    <w:p w14:paraId="04E5CEC9"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Bendra turimų farmakokinetikos, įskaitant farmakokinetiką europidų, ispanų, afrikiečių ir azijiečių organizme, duomenų analizė rodo, kad rasė akivaizdaus poveikio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koncentracijai kraujo plazmoje nedaro. Be to, specialiais I fazės tyrimais buvo nustatyta, kad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farmakokinetika sveikų japonų, kinų ir europidų bei 2 tipo cukriniu diabetu sergančių </w:t>
      </w:r>
      <w:proofErr w:type="spellStart"/>
      <w:r>
        <w:rPr>
          <w:rFonts w:eastAsiaTheme="minorHAnsi"/>
          <w:color w:val="000000"/>
          <w:sz w:val="22"/>
          <w:szCs w:val="22"/>
          <w:lang w:eastAsia="en-US"/>
        </w:rPr>
        <w:t>afroamerikiečių</w:t>
      </w:r>
      <w:proofErr w:type="spellEnd"/>
      <w:r>
        <w:rPr>
          <w:rFonts w:eastAsiaTheme="minorHAnsi"/>
          <w:color w:val="000000"/>
          <w:sz w:val="22"/>
          <w:szCs w:val="22"/>
          <w:lang w:eastAsia="en-US"/>
        </w:rPr>
        <w:t xml:space="preserve"> organizme yra panaši.</w:t>
      </w:r>
    </w:p>
    <w:p w14:paraId="7F3A9A68" w14:textId="77777777" w:rsidR="003F7CCA" w:rsidRDefault="003F7CCA">
      <w:pPr>
        <w:autoSpaceDE w:val="0"/>
        <w:autoSpaceDN w:val="0"/>
        <w:adjustRightInd w:val="0"/>
        <w:rPr>
          <w:rFonts w:eastAsiaTheme="minorHAnsi"/>
          <w:color w:val="000000"/>
          <w:sz w:val="22"/>
          <w:szCs w:val="22"/>
          <w:lang w:eastAsia="en-US"/>
        </w:rPr>
      </w:pPr>
    </w:p>
    <w:p w14:paraId="06427A20" w14:textId="77777777" w:rsidR="003F7CCA" w:rsidRDefault="0080197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Metforminas</w:t>
      </w:r>
    </w:p>
    <w:p w14:paraId="3F53D84B"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Absorbcija</w:t>
      </w:r>
    </w:p>
    <w:p w14:paraId="0E9D97B5"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dozę išgėrus, laikas, per kurį koncentracija kraujo plazmoje tampa didžiausia (</w:t>
      </w:r>
      <w:proofErr w:type="spellStart"/>
      <w:r>
        <w:rPr>
          <w:rFonts w:eastAsiaTheme="minorHAnsi"/>
          <w:color w:val="000000"/>
          <w:sz w:val="22"/>
          <w:szCs w:val="22"/>
          <w:lang w:eastAsia="en-US"/>
        </w:rPr>
        <w:t>Tmax</w:t>
      </w:r>
      <w:proofErr w:type="spellEnd"/>
      <w:r>
        <w:rPr>
          <w:rFonts w:eastAsiaTheme="minorHAnsi"/>
          <w:color w:val="000000"/>
          <w:sz w:val="22"/>
          <w:szCs w:val="22"/>
          <w:lang w:eastAsia="en-US"/>
        </w:rPr>
        <w:t xml:space="preserve">), yra 2,5 val. Sveikų asmenų organizme 500 mg arba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tablečių dozės absoliutus biologinis prieinamumas yra maždaug 50-60 </w:t>
      </w:r>
      <w:r w:rsidRPr="00A6463E">
        <w:rPr>
          <w:sz w:val="22"/>
          <w:szCs w:val="22"/>
          <w:lang w:eastAsia="en-US"/>
        </w:rPr>
        <w:t>%</w:t>
      </w:r>
      <w:r>
        <w:rPr>
          <w:rFonts w:eastAsiaTheme="minorHAnsi"/>
          <w:color w:val="000000"/>
          <w:sz w:val="22"/>
          <w:szCs w:val="22"/>
          <w:lang w:eastAsia="en-US"/>
        </w:rPr>
        <w:t>. Per burną pavartotos dozės neabsorbuota frakcija, išsiskyrusi su išmatomis, buvo 20-30 </w:t>
      </w:r>
      <w:r w:rsidRPr="00A6463E">
        <w:rPr>
          <w:sz w:val="22"/>
          <w:szCs w:val="22"/>
          <w:lang w:eastAsia="en-US"/>
        </w:rPr>
        <w:t>%</w:t>
      </w:r>
      <w:r>
        <w:rPr>
          <w:rFonts w:eastAsiaTheme="minorHAnsi"/>
          <w:color w:val="000000"/>
          <w:sz w:val="22"/>
          <w:szCs w:val="22"/>
          <w:lang w:eastAsia="en-US"/>
        </w:rPr>
        <w:t>.</w:t>
      </w:r>
    </w:p>
    <w:p w14:paraId="4ED1A1CA" w14:textId="77777777" w:rsidR="003F7CCA" w:rsidRDefault="003F7CCA">
      <w:pPr>
        <w:autoSpaceDE w:val="0"/>
        <w:autoSpaceDN w:val="0"/>
        <w:adjustRightInd w:val="0"/>
        <w:rPr>
          <w:rFonts w:eastAsiaTheme="minorHAnsi"/>
          <w:color w:val="000000"/>
          <w:sz w:val="22"/>
          <w:szCs w:val="22"/>
          <w:lang w:eastAsia="en-US"/>
        </w:rPr>
      </w:pPr>
    </w:p>
    <w:p w14:paraId="5B38B492"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Per burną pavartoto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absorbcija yra įsotinamoji ir nevisiška. Manoma, kad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absorbcijos farmakokinetika yra netiesinė.</w:t>
      </w:r>
    </w:p>
    <w:p w14:paraId="29743E5A" w14:textId="77777777" w:rsidR="003F7CCA" w:rsidRDefault="003F7CCA">
      <w:pPr>
        <w:autoSpaceDE w:val="0"/>
        <w:autoSpaceDN w:val="0"/>
        <w:adjustRightInd w:val="0"/>
        <w:rPr>
          <w:rFonts w:eastAsiaTheme="minorHAnsi"/>
          <w:color w:val="000000"/>
          <w:sz w:val="22"/>
          <w:szCs w:val="22"/>
          <w:lang w:eastAsia="en-US"/>
        </w:rPr>
      </w:pPr>
    </w:p>
    <w:p w14:paraId="6B88B917" w14:textId="77777777" w:rsidR="003F7CCA" w:rsidRPr="00A6463E" w:rsidRDefault="0080197E">
      <w:pPr>
        <w:pStyle w:val="Default"/>
        <w:rPr>
          <w:rFonts w:eastAsiaTheme="minorHAnsi"/>
          <w:sz w:val="22"/>
          <w:szCs w:val="22"/>
          <w:lang w:val="lt-LT" w:eastAsia="en-US"/>
        </w:rPr>
      </w:pPr>
      <w:r w:rsidRPr="00A6463E">
        <w:rPr>
          <w:rFonts w:eastAsiaTheme="minorHAnsi"/>
          <w:sz w:val="22"/>
          <w:szCs w:val="22"/>
          <w:lang w:val="lt-LT" w:eastAsia="en-US"/>
        </w:rPr>
        <w:t xml:space="preserve">Rekomenduojamą </w:t>
      </w:r>
      <w:proofErr w:type="spellStart"/>
      <w:r w:rsidRPr="00A6463E">
        <w:rPr>
          <w:rFonts w:eastAsiaTheme="minorHAnsi"/>
          <w:sz w:val="22"/>
          <w:szCs w:val="22"/>
          <w:lang w:val="lt-LT" w:eastAsia="en-US"/>
        </w:rPr>
        <w:t>metformino</w:t>
      </w:r>
      <w:proofErr w:type="spellEnd"/>
      <w:r w:rsidRPr="00A6463E">
        <w:rPr>
          <w:rFonts w:eastAsiaTheme="minorHAnsi"/>
          <w:sz w:val="22"/>
          <w:szCs w:val="22"/>
          <w:lang w:val="lt-LT" w:eastAsia="en-US"/>
        </w:rPr>
        <w:t xml:space="preserve"> hidrochlorido dozę vartojant nustatyta tvarka, </w:t>
      </w:r>
      <w:proofErr w:type="spellStart"/>
      <w:r w:rsidRPr="00A6463E">
        <w:rPr>
          <w:rFonts w:eastAsiaTheme="minorHAnsi"/>
          <w:sz w:val="22"/>
          <w:szCs w:val="22"/>
          <w:lang w:val="lt-LT" w:eastAsia="en-US"/>
        </w:rPr>
        <w:t>pusiausvyrinė</w:t>
      </w:r>
      <w:proofErr w:type="spellEnd"/>
      <w:r w:rsidRPr="00A6463E">
        <w:rPr>
          <w:rFonts w:eastAsiaTheme="minorHAnsi"/>
          <w:sz w:val="22"/>
          <w:szCs w:val="22"/>
          <w:lang w:val="lt-LT" w:eastAsia="en-US"/>
        </w:rPr>
        <w:t xml:space="preserve"> koncentracija kraujo plazmoje nusistovi per 24-48 valandas ir paprastai būna mažesnė negu 1 </w:t>
      </w:r>
      <w:proofErr w:type="spellStart"/>
      <w:r w:rsidRPr="00A6463E">
        <w:rPr>
          <w:rFonts w:eastAsiaTheme="minorHAnsi"/>
          <w:sz w:val="22"/>
          <w:szCs w:val="22"/>
          <w:lang w:val="lt-LT" w:eastAsia="en-US"/>
        </w:rPr>
        <w:t>mikrogramas</w:t>
      </w:r>
      <w:proofErr w:type="spellEnd"/>
      <w:r w:rsidRPr="00A6463E">
        <w:rPr>
          <w:rFonts w:eastAsiaTheme="minorHAnsi"/>
          <w:sz w:val="22"/>
          <w:szCs w:val="22"/>
          <w:lang w:val="lt-LT" w:eastAsia="en-US"/>
        </w:rPr>
        <w:t xml:space="preserve">/ml. Kontroliuojamų klinikinių tyrimų metu didžiausia </w:t>
      </w:r>
      <w:proofErr w:type="spellStart"/>
      <w:r w:rsidRPr="00A6463E">
        <w:rPr>
          <w:rFonts w:eastAsiaTheme="minorHAnsi"/>
          <w:sz w:val="22"/>
          <w:szCs w:val="22"/>
          <w:lang w:val="lt-LT" w:eastAsia="en-US"/>
        </w:rPr>
        <w:t>metformino</w:t>
      </w:r>
      <w:proofErr w:type="spellEnd"/>
      <w:r w:rsidRPr="00A6463E">
        <w:rPr>
          <w:rFonts w:eastAsiaTheme="minorHAnsi"/>
          <w:sz w:val="22"/>
          <w:szCs w:val="22"/>
          <w:lang w:val="lt-LT" w:eastAsia="en-US"/>
        </w:rPr>
        <w:t xml:space="preserve"> hidrochlorido koncentracija kraujo plazmoje (</w:t>
      </w:r>
      <w:proofErr w:type="spellStart"/>
      <w:r w:rsidRPr="00A6463E">
        <w:rPr>
          <w:rFonts w:eastAsiaTheme="minorHAnsi"/>
          <w:sz w:val="22"/>
          <w:szCs w:val="22"/>
          <w:lang w:val="lt-LT" w:eastAsia="en-US"/>
        </w:rPr>
        <w:t>Cmax</w:t>
      </w:r>
      <w:proofErr w:type="spellEnd"/>
      <w:r w:rsidRPr="00A6463E">
        <w:rPr>
          <w:rFonts w:eastAsiaTheme="minorHAnsi"/>
          <w:sz w:val="22"/>
          <w:szCs w:val="22"/>
          <w:lang w:val="lt-LT" w:eastAsia="en-US"/>
        </w:rPr>
        <w:t>) nebuvo didesnė negu 5 </w:t>
      </w:r>
      <w:proofErr w:type="spellStart"/>
      <w:r w:rsidRPr="00A6463E">
        <w:rPr>
          <w:rFonts w:eastAsiaTheme="minorHAnsi"/>
          <w:sz w:val="22"/>
          <w:szCs w:val="22"/>
          <w:lang w:val="lt-LT" w:eastAsia="en-US"/>
        </w:rPr>
        <w:t>mikrogramai</w:t>
      </w:r>
      <w:proofErr w:type="spellEnd"/>
      <w:r w:rsidRPr="00A6463E">
        <w:rPr>
          <w:rFonts w:eastAsiaTheme="minorHAnsi"/>
          <w:sz w:val="22"/>
          <w:szCs w:val="22"/>
          <w:lang w:val="lt-LT" w:eastAsia="en-US"/>
        </w:rPr>
        <w:t>/ml, net didžiausios dozės vartojimo metu.</w:t>
      </w:r>
    </w:p>
    <w:p w14:paraId="7731A29C" w14:textId="77777777" w:rsidR="003F7CCA" w:rsidRPr="00A6463E" w:rsidRDefault="003F7CCA">
      <w:pPr>
        <w:pStyle w:val="Default"/>
        <w:rPr>
          <w:rFonts w:eastAsiaTheme="minorHAnsi"/>
          <w:sz w:val="22"/>
          <w:szCs w:val="22"/>
          <w:lang w:val="lt-LT" w:eastAsia="en-US"/>
        </w:rPr>
      </w:pPr>
    </w:p>
    <w:p w14:paraId="4638333B" w14:textId="12C7C11F" w:rsidR="003F7CCA" w:rsidRDefault="0080197E">
      <w:pPr>
        <w:pStyle w:val="Default"/>
        <w:rPr>
          <w:rFonts w:eastAsiaTheme="minorHAnsi"/>
          <w:sz w:val="22"/>
          <w:szCs w:val="22"/>
          <w:lang w:val="lt-LT" w:eastAsia="en-US"/>
        </w:rPr>
      </w:pPr>
      <w:r>
        <w:rPr>
          <w:rFonts w:eastAsiaTheme="minorHAnsi"/>
          <w:sz w:val="22"/>
          <w:szCs w:val="22"/>
          <w:lang w:val="lt-LT" w:eastAsia="en-US"/>
        </w:rPr>
        <w:t xml:space="preserve">Maistas mažina </w:t>
      </w:r>
      <w:proofErr w:type="spellStart"/>
      <w:r>
        <w:rPr>
          <w:rFonts w:eastAsiaTheme="minorHAnsi"/>
          <w:sz w:val="22"/>
          <w:szCs w:val="22"/>
          <w:lang w:val="lt-LT" w:eastAsia="en-US"/>
        </w:rPr>
        <w:t>metformino</w:t>
      </w:r>
      <w:proofErr w:type="spellEnd"/>
      <w:r>
        <w:rPr>
          <w:rFonts w:eastAsiaTheme="minorHAnsi"/>
          <w:sz w:val="22"/>
          <w:szCs w:val="22"/>
          <w:lang w:val="lt-LT" w:eastAsia="en-US"/>
        </w:rPr>
        <w:t xml:space="preserve"> hidrochlorido absorbcijos dydį ir šiek tiek ją uždelsia: </w:t>
      </w:r>
      <w:r w:rsidR="00990463">
        <w:rPr>
          <w:rFonts w:eastAsiaTheme="minorHAnsi"/>
          <w:sz w:val="22"/>
          <w:szCs w:val="22"/>
          <w:lang w:val="lt-LT" w:eastAsia="en-US"/>
        </w:rPr>
        <w:t xml:space="preserve">suvartojus </w:t>
      </w:r>
      <w:r>
        <w:rPr>
          <w:rFonts w:eastAsiaTheme="minorHAnsi"/>
          <w:sz w:val="22"/>
          <w:szCs w:val="22"/>
          <w:lang w:val="lt-LT" w:eastAsia="en-US"/>
        </w:rPr>
        <w:t>850 mg dozę, didžiausia koncentracija kraujo plazmoje būna 40 </w:t>
      </w:r>
      <w:r w:rsidRPr="00A6463E">
        <w:rPr>
          <w:rFonts w:eastAsia="Times New Roman"/>
          <w:color w:val="auto"/>
          <w:sz w:val="22"/>
          <w:szCs w:val="22"/>
          <w:lang w:val="lt-LT" w:eastAsia="en-US"/>
        </w:rPr>
        <w:t>%</w:t>
      </w:r>
      <w:r>
        <w:rPr>
          <w:rFonts w:eastAsiaTheme="minorHAnsi"/>
          <w:sz w:val="22"/>
          <w:szCs w:val="22"/>
          <w:lang w:val="lt-LT" w:eastAsia="en-US"/>
        </w:rPr>
        <w:t xml:space="preserve"> mažesnė, plotas po koncentracijos kraujo plazmoje priklausomai nuo laiko kreive (AUC) – 25 </w:t>
      </w:r>
      <w:r w:rsidRPr="00A6463E">
        <w:rPr>
          <w:rFonts w:eastAsia="Times New Roman"/>
          <w:color w:val="auto"/>
          <w:sz w:val="22"/>
          <w:szCs w:val="22"/>
          <w:lang w:val="lt-LT" w:eastAsia="en-US"/>
        </w:rPr>
        <w:t>%</w:t>
      </w:r>
      <w:r>
        <w:rPr>
          <w:rFonts w:eastAsiaTheme="minorHAnsi"/>
          <w:sz w:val="22"/>
          <w:szCs w:val="22"/>
          <w:lang w:val="lt-LT" w:eastAsia="en-US"/>
        </w:rPr>
        <w:t xml:space="preserve"> mažesnis ir 35 minutėmis pailgėja laikas, per kurį koncentracija kraujo plazmoje tampa didžiausia. Klinikinė šių pokyčių reikšmė nežinoma.</w:t>
      </w:r>
    </w:p>
    <w:p w14:paraId="7512424F" w14:textId="77777777" w:rsidR="003F7CCA" w:rsidRDefault="003F7CCA">
      <w:pPr>
        <w:pStyle w:val="Default"/>
        <w:rPr>
          <w:rFonts w:eastAsiaTheme="minorHAnsi"/>
          <w:sz w:val="22"/>
          <w:szCs w:val="22"/>
          <w:lang w:val="lt-LT" w:eastAsia="en-US"/>
        </w:rPr>
      </w:pPr>
    </w:p>
    <w:p w14:paraId="5886D5C5"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lastRenderedPageBreak/>
        <w:t>Pasiskirstymas</w:t>
      </w:r>
    </w:p>
    <w:p w14:paraId="47C3D72F"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Prie kraujo plazmos baltymų prisijungia nereikšmingas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kiekis. Dalis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patenka į eritrocitus. Didžiausia koncentracija kraujyje būna mažesnė už didžiausią koncentraciją kraujo plazmoje ir atsiranda maždaug tokiu pačiu laiku. Raudonosios kraujo ląstelės tikriausiai yra antras pasiskirstymo skyrius. Vidutinis pasiskirstymo tūris (</w:t>
      </w:r>
      <w:proofErr w:type="spellStart"/>
      <w:r>
        <w:rPr>
          <w:rFonts w:eastAsiaTheme="minorHAnsi"/>
          <w:color w:val="000000"/>
          <w:sz w:val="22"/>
          <w:szCs w:val="22"/>
          <w:lang w:eastAsia="en-US"/>
        </w:rPr>
        <w:t>Vd</w:t>
      </w:r>
      <w:proofErr w:type="spellEnd"/>
      <w:r>
        <w:rPr>
          <w:rFonts w:eastAsiaTheme="minorHAnsi"/>
          <w:color w:val="000000"/>
          <w:sz w:val="22"/>
          <w:szCs w:val="22"/>
          <w:lang w:eastAsia="en-US"/>
        </w:rPr>
        <w:t>) yra 63-276 l.</w:t>
      </w:r>
    </w:p>
    <w:p w14:paraId="3F230023" w14:textId="77777777" w:rsidR="003F7CCA" w:rsidRDefault="003F7CCA">
      <w:pPr>
        <w:autoSpaceDE w:val="0"/>
        <w:autoSpaceDN w:val="0"/>
        <w:adjustRightInd w:val="0"/>
        <w:rPr>
          <w:rFonts w:eastAsiaTheme="minorHAnsi"/>
          <w:color w:val="000000"/>
          <w:sz w:val="22"/>
          <w:szCs w:val="22"/>
          <w:lang w:eastAsia="en-US"/>
        </w:rPr>
      </w:pPr>
    </w:p>
    <w:p w14:paraId="3CC9254B"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i/>
          <w:iCs/>
          <w:color w:val="000000"/>
          <w:sz w:val="22"/>
          <w:szCs w:val="22"/>
          <w:lang w:eastAsia="en-US"/>
        </w:rPr>
        <w:t>Biotransformacija</w:t>
      </w:r>
      <w:proofErr w:type="spellEnd"/>
    </w:p>
    <w:p w14:paraId="0BA87B47"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Iš organizmo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hidrochloridas išsiskiria nepakitęs su šlapimu. Žmogaus organizme metabolitų nenustatyta.</w:t>
      </w:r>
    </w:p>
    <w:p w14:paraId="598DFBC7" w14:textId="77777777" w:rsidR="003F7CCA" w:rsidRDefault="003F7CCA">
      <w:pPr>
        <w:autoSpaceDE w:val="0"/>
        <w:autoSpaceDN w:val="0"/>
        <w:adjustRightInd w:val="0"/>
        <w:rPr>
          <w:rFonts w:eastAsiaTheme="minorHAnsi"/>
          <w:color w:val="000000"/>
          <w:sz w:val="22"/>
          <w:szCs w:val="22"/>
          <w:lang w:eastAsia="en-US"/>
        </w:rPr>
      </w:pPr>
    </w:p>
    <w:p w14:paraId="3700E8D8"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Eliminacija</w:t>
      </w:r>
    </w:p>
    <w:p w14:paraId="38F1815C"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klirensas inkstuose yra </w:t>
      </w:r>
      <w:r w:rsidRPr="00A6463E">
        <w:rPr>
          <w:sz w:val="22"/>
          <w:szCs w:val="22"/>
          <w:lang w:eastAsia="en-US"/>
        </w:rPr>
        <w:t>&gt; </w:t>
      </w:r>
      <w:r>
        <w:rPr>
          <w:rFonts w:eastAsiaTheme="minorHAnsi"/>
          <w:color w:val="000000"/>
          <w:sz w:val="22"/>
          <w:szCs w:val="22"/>
          <w:lang w:eastAsia="en-US"/>
        </w:rPr>
        <w:t xml:space="preserve">400 ml/min. Tai rodo, kad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hidrochloridas eliminuojamas </w:t>
      </w:r>
      <w:proofErr w:type="spellStart"/>
      <w:r>
        <w:rPr>
          <w:rFonts w:eastAsiaTheme="minorHAnsi"/>
          <w:color w:val="000000"/>
          <w:sz w:val="22"/>
          <w:szCs w:val="22"/>
          <w:lang w:eastAsia="en-US"/>
        </w:rPr>
        <w:t>glomerulų</w:t>
      </w:r>
      <w:proofErr w:type="spellEnd"/>
      <w:r>
        <w:rPr>
          <w:rFonts w:eastAsiaTheme="minorHAnsi"/>
          <w:color w:val="000000"/>
          <w:sz w:val="22"/>
          <w:szCs w:val="22"/>
          <w:lang w:eastAsia="en-US"/>
        </w:rPr>
        <w:t xml:space="preserve"> filtracijos ir sekrecijos į inkstų kanalėlius būdais. Per burną pavartotos dozės tariamosios galutinės pusinės eliminacijos laikas yra maždaug 6,5 val.</w:t>
      </w:r>
    </w:p>
    <w:p w14:paraId="23FC6690"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inkstų funkcija sutrikusi, inkstų klirensas mažėja proporcingai kreatinino klirensui, todėl pailgėja pusinės eliminacijos laikas ir dėl to padidėja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koncentracija kraujo plazmoje.</w:t>
      </w:r>
    </w:p>
    <w:p w14:paraId="24F7685F" w14:textId="77777777" w:rsidR="003F7CCA" w:rsidRDefault="003F7CCA">
      <w:pPr>
        <w:autoSpaceDE w:val="0"/>
        <w:autoSpaceDN w:val="0"/>
        <w:adjustRightInd w:val="0"/>
        <w:rPr>
          <w:rFonts w:eastAsiaTheme="minorHAnsi"/>
          <w:color w:val="000000"/>
          <w:sz w:val="22"/>
          <w:szCs w:val="22"/>
          <w:lang w:eastAsia="en-US"/>
        </w:rPr>
      </w:pPr>
    </w:p>
    <w:p w14:paraId="426BD7FB" w14:textId="77777777" w:rsidR="003F7CCA" w:rsidRDefault="0080197E">
      <w:pPr>
        <w:autoSpaceDE w:val="0"/>
        <w:autoSpaceDN w:val="0"/>
        <w:adjustRightInd w:val="0"/>
        <w:rPr>
          <w:rFonts w:eastAsiaTheme="minorHAnsi"/>
          <w:color w:val="000000"/>
          <w:sz w:val="22"/>
          <w:szCs w:val="22"/>
          <w:lang w:eastAsia="en-US"/>
        </w:rPr>
      </w:pPr>
      <w:r>
        <w:rPr>
          <w:rFonts w:eastAsiaTheme="minorHAnsi"/>
          <w:i/>
          <w:iCs/>
          <w:color w:val="000000"/>
          <w:sz w:val="22"/>
          <w:szCs w:val="22"/>
          <w:lang w:eastAsia="en-US"/>
        </w:rPr>
        <w:t>Vaikų populiacija</w:t>
      </w:r>
    </w:p>
    <w:p w14:paraId="3E499F5C"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Vienos dozės tyrimas. Vaikų ir paauglių organizme vienos 500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dozės farmakokinetika buvo panaši į nustatytą sveikų suaugusių žmonių organizme.</w:t>
      </w:r>
    </w:p>
    <w:p w14:paraId="29736AD5" w14:textId="77777777" w:rsidR="003F7CCA" w:rsidRDefault="003F7CCA">
      <w:pPr>
        <w:autoSpaceDE w:val="0"/>
        <w:autoSpaceDN w:val="0"/>
        <w:adjustRightInd w:val="0"/>
        <w:rPr>
          <w:rFonts w:eastAsiaTheme="minorHAnsi"/>
          <w:color w:val="000000"/>
          <w:sz w:val="22"/>
          <w:szCs w:val="22"/>
          <w:lang w:eastAsia="en-US"/>
        </w:rPr>
      </w:pPr>
    </w:p>
    <w:p w14:paraId="4BD6421F" w14:textId="77777777" w:rsidR="003F7CCA" w:rsidRDefault="0080197E">
      <w:pPr>
        <w:keepNext/>
        <w:tabs>
          <w:tab w:val="left" w:pos="567"/>
        </w:tabs>
        <w:outlineLvl w:val="3"/>
        <w:rPr>
          <w:sz w:val="22"/>
          <w:szCs w:val="22"/>
        </w:rPr>
      </w:pPr>
      <w:r>
        <w:rPr>
          <w:rFonts w:eastAsiaTheme="minorHAnsi"/>
          <w:color w:val="000000"/>
          <w:sz w:val="22"/>
          <w:szCs w:val="22"/>
          <w:lang w:eastAsia="en-US"/>
        </w:rPr>
        <w:t>Daugkartinių dozių tyrimas. Turimi duomenys yra tik vieno tyrimo. Vaikų ir paauglių, 7 paras kartotinai vartojusių 500 mg dozę 2 kartus per parą, didžiausia koncentracija kraujo plazmoje (</w:t>
      </w:r>
      <w:proofErr w:type="spellStart"/>
      <w:r>
        <w:rPr>
          <w:rFonts w:eastAsiaTheme="minorHAnsi"/>
          <w:color w:val="000000"/>
          <w:sz w:val="22"/>
          <w:szCs w:val="22"/>
          <w:lang w:eastAsia="en-US"/>
        </w:rPr>
        <w:t>Cmax</w:t>
      </w:r>
      <w:proofErr w:type="spellEnd"/>
      <w:r>
        <w:rPr>
          <w:rFonts w:eastAsiaTheme="minorHAnsi"/>
          <w:color w:val="000000"/>
          <w:sz w:val="22"/>
          <w:szCs w:val="22"/>
          <w:lang w:eastAsia="en-US"/>
        </w:rPr>
        <w:t>) ir sisteminė ekspozicija (AUC0-t) buvo mažesnės atitinkamai 33 </w:t>
      </w:r>
      <w:r w:rsidRPr="00A6463E">
        <w:rPr>
          <w:sz w:val="22"/>
          <w:szCs w:val="22"/>
          <w:lang w:eastAsia="en-US"/>
        </w:rPr>
        <w:t>%</w:t>
      </w:r>
      <w:r>
        <w:rPr>
          <w:rFonts w:eastAsiaTheme="minorHAnsi"/>
          <w:color w:val="000000"/>
          <w:sz w:val="22"/>
          <w:szCs w:val="22"/>
          <w:lang w:eastAsia="en-US"/>
        </w:rPr>
        <w:t xml:space="preserve"> ir 40 </w:t>
      </w:r>
      <w:r w:rsidRPr="00A6463E">
        <w:rPr>
          <w:sz w:val="22"/>
          <w:szCs w:val="22"/>
          <w:lang w:eastAsia="en-US"/>
        </w:rPr>
        <w:t>%</w:t>
      </w:r>
      <w:r>
        <w:rPr>
          <w:rFonts w:eastAsiaTheme="minorHAnsi"/>
          <w:color w:val="000000"/>
          <w:sz w:val="22"/>
          <w:szCs w:val="22"/>
          <w:lang w:eastAsia="en-US"/>
        </w:rPr>
        <w:t xml:space="preserve">, palyginti su nustatytomis cukriniu diabetu sergančių suaugusių žmonių, 14 parų kartotinai vartojusių 500 mg dozę 2 kartus per parą, organizme. Kadangi dozė yra nustatoma kiekvienam pacientui atskirai, atsižvelgiant į </w:t>
      </w:r>
      <w:proofErr w:type="spellStart"/>
      <w:r>
        <w:rPr>
          <w:rFonts w:eastAsiaTheme="minorHAnsi"/>
          <w:color w:val="000000"/>
          <w:sz w:val="22"/>
          <w:szCs w:val="22"/>
          <w:lang w:eastAsia="en-US"/>
        </w:rPr>
        <w:t>glikemijos</w:t>
      </w:r>
      <w:proofErr w:type="spellEnd"/>
      <w:r>
        <w:rPr>
          <w:rFonts w:eastAsiaTheme="minorHAnsi"/>
          <w:color w:val="000000"/>
          <w:sz w:val="22"/>
          <w:szCs w:val="22"/>
          <w:lang w:eastAsia="en-US"/>
        </w:rPr>
        <w:t xml:space="preserve"> kontrolę, šių duomenų klinikinė reikšmė yra ribota.</w:t>
      </w:r>
    </w:p>
    <w:p w14:paraId="75B389CF" w14:textId="77777777" w:rsidR="003F7CCA" w:rsidRDefault="003F7CCA">
      <w:pPr>
        <w:keepNext/>
        <w:tabs>
          <w:tab w:val="left" w:pos="567"/>
        </w:tabs>
        <w:outlineLvl w:val="3"/>
        <w:rPr>
          <w:rFonts w:eastAsiaTheme="minorHAnsi"/>
          <w:color w:val="000000"/>
          <w:sz w:val="22"/>
          <w:szCs w:val="22"/>
          <w:lang w:eastAsia="en-US"/>
        </w:rPr>
      </w:pPr>
    </w:p>
    <w:p w14:paraId="03BAAF48" w14:textId="77777777" w:rsidR="003F7CCA" w:rsidRDefault="0080197E">
      <w:pPr>
        <w:keepNext/>
        <w:tabs>
          <w:tab w:val="left" w:pos="567"/>
        </w:tabs>
        <w:outlineLvl w:val="3"/>
        <w:rPr>
          <w:b/>
          <w:bCs/>
          <w:snapToGrid w:val="0"/>
          <w:sz w:val="22"/>
          <w:szCs w:val="22"/>
          <w:lang w:eastAsia="x-none"/>
        </w:rPr>
      </w:pPr>
      <w:r>
        <w:rPr>
          <w:b/>
          <w:bCs/>
          <w:snapToGrid w:val="0"/>
          <w:sz w:val="22"/>
          <w:szCs w:val="22"/>
          <w:lang w:eastAsia="x-none"/>
        </w:rPr>
        <w:t>5.3</w:t>
      </w:r>
      <w:r>
        <w:rPr>
          <w:b/>
          <w:bCs/>
          <w:snapToGrid w:val="0"/>
          <w:sz w:val="22"/>
          <w:szCs w:val="22"/>
          <w:lang w:eastAsia="x-none"/>
        </w:rPr>
        <w:tab/>
      </w:r>
      <w:proofErr w:type="spellStart"/>
      <w:r>
        <w:rPr>
          <w:b/>
          <w:bCs/>
          <w:snapToGrid w:val="0"/>
          <w:sz w:val="22"/>
          <w:szCs w:val="22"/>
          <w:lang w:eastAsia="x-none"/>
        </w:rPr>
        <w:t>Ikiklinikinių</w:t>
      </w:r>
      <w:proofErr w:type="spellEnd"/>
      <w:r>
        <w:rPr>
          <w:b/>
          <w:bCs/>
          <w:snapToGrid w:val="0"/>
          <w:sz w:val="22"/>
          <w:szCs w:val="22"/>
          <w:lang w:eastAsia="x-none"/>
        </w:rPr>
        <w:t xml:space="preserve"> saugumo tyrimų duomenys</w:t>
      </w:r>
    </w:p>
    <w:p w14:paraId="2BE311FB" w14:textId="77777777" w:rsidR="003F7CCA" w:rsidRDefault="003F7CCA">
      <w:pPr>
        <w:rPr>
          <w:snapToGrid w:val="0"/>
          <w:sz w:val="22"/>
          <w:szCs w:val="22"/>
          <w:lang w:eastAsia="en-US"/>
        </w:rPr>
      </w:pPr>
    </w:p>
    <w:p w14:paraId="4135A632" w14:textId="77777777" w:rsidR="003F7CCA" w:rsidRDefault="0080197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Linagliptino</w:t>
      </w:r>
      <w:proofErr w:type="spellEnd"/>
      <w:r>
        <w:rPr>
          <w:rFonts w:eastAsiaTheme="minorHAnsi"/>
          <w:color w:val="000000"/>
          <w:sz w:val="22"/>
          <w:szCs w:val="22"/>
          <w:u w:val="single"/>
          <w:lang w:eastAsia="en-US"/>
        </w:rPr>
        <w:t xml:space="preserve"> ir </w:t>
      </w:r>
      <w:proofErr w:type="spellStart"/>
      <w:r>
        <w:rPr>
          <w:rFonts w:eastAsiaTheme="minorHAnsi"/>
          <w:color w:val="000000"/>
          <w:sz w:val="22"/>
          <w:szCs w:val="22"/>
          <w:u w:val="single"/>
          <w:lang w:eastAsia="en-US"/>
        </w:rPr>
        <w:t>metformino</w:t>
      </w:r>
      <w:proofErr w:type="spellEnd"/>
      <w:r>
        <w:rPr>
          <w:rFonts w:eastAsiaTheme="minorHAnsi"/>
          <w:color w:val="000000"/>
          <w:sz w:val="22"/>
          <w:szCs w:val="22"/>
          <w:u w:val="single"/>
          <w:lang w:eastAsia="en-US"/>
        </w:rPr>
        <w:t xml:space="preserve"> derinys</w:t>
      </w:r>
    </w:p>
    <w:p w14:paraId="4235A81A"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Kartu vartojamų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bendrasis toksinis poveikis vertintas iki 13 savaičių trukusiais tyrimais su žiurkėmis. Tarp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buvo stebėta tik vienintelė sąveika − kūno svorio prieaugio mažėjimas. Kitokio adityvaus toksinio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vartojamo kartu su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poveikio nepastebėta tuo atveju, kai ekspozicija (AUC) buvo atitinkamai iki 2 kartų ir 23 kartus didesnė už ekspoziciją žmogaus organizme.</w:t>
      </w:r>
    </w:p>
    <w:p w14:paraId="1F7EC26B" w14:textId="77777777" w:rsidR="003F7CCA" w:rsidRDefault="003F7CCA">
      <w:pPr>
        <w:autoSpaceDE w:val="0"/>
        <w:autoSpaceDN w:val="0"/>
        <w:adjustRightInd w:val="0"/>
        <w:rPr>
          <w:rFonts w:eastAsiaTheme="minorHAnsi"/>
          <w:color w:val="000000"/>
          <w:sz w:val="22"/>
          <w:szCs w:val="22"/>
          <w:lang w:eastAsia="en-US"/>
        </w:rPr>
      </w:pPr>
    </w:p>
    <w:p w14:paraId="5CF53599"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Poveikio embriono ir vaisiaus vystymuisi tyrimai, atlikti su vaikingomis žiurkėmis, nerodo </w:t>
      </w:r>
      <w:proofErr w:type="spellStart"/>
      <w:r>
        <w:rPr>
          <w:rFonts w:eastAsiaTheme="minorHAnsi"/>
          <w:color w:val="000000"/>
          <w:sz w:val="22"/>
          <w:szCs w:val="22"/>
          <w:lang w:eastAsia="en-US"/>
        </w:rPr>
        <w:t>teratogeninio</w:t>
      </w:r>
      <w:proofErr w:type="spellEnd"/>
      <w:r>
        <w:rPr>
          <w:rFonts w:eastAsiaTheme="minorHAnsi"/>
          <w:color w:val="000000"/>
          <w:sz w:val="22"/>
          <w:szCs w:val="22"/>
          <w:lang w:eastAsia="en-US"/>
        </w:rPr>
        <w:t xml:space="preserve"> poveikio, priklausomo nuo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vartojimo kartu su </w:t>
      </w:r>
      <w:proofErr w:type="spellStart"/>
      <w:r>
        <w:rPr>
          <w:rFonts w:eastAsiaTheme="minorHAnsi"/>
          <w:color w:val="000000"/>
          <w:sz w:val="22"/>
          <w:szCs w:val="22"/>
          <w:lang w:eastAsia="en-US"/>
        </w:rPr>
        <w:t>metforminu</w:t>
      </w:r>
      <w:proofErr w:type="spellEnd"/>
      <w:r>
        <w:rPr>
          <w:rFonts w:eastAsiaTheme="minorHAnsi"/>
          <w:color w:val="000000"/>
          <w:sz w:val="22"/>
          <w:szCs w:val="22"/>
          <w:lang w:eastAsia="en-US"/>
        </w:rPr>
        <w:t>, kai ekspozicija (AUC) yra atitinkamai iki 4 kartų ir 30 kartų didesnė už ekspoziciją žmogaus organizme.</w:t>
      </w:r>
    </w:p>
    <w:p w14:paraId="4616074C" w14:textId="77777777" w:rsidR="003F7CCA" w:rsidRDefault="003F7CCA">
      <w:pPr>
        <w:autoSpaceDE w:val="0"/>
        <w:autoSpaceDN w:val="0"/>
        <w:adjustRightInd w:val="0"/>
        <w:rPr>
          <w:rFonts w:eastAsiaTheme="minorHAnsi"/>
          <w:color w:val="000000"/>
          <w:sz w:val="22"/>
          <w:szCs w:val="22"/>
          <w:lang w:eastAsia="en-US"/>
        </w:rPr>
      </w:pPr>
    </w:p>
    <w:p w14:paraId="5622CAD8" w14:textId="77777777" w:rsidR="003F7CCA" w:rsidRDefault="0080197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u w:val="single"/>
          <w:lang w:eastAsia="en-US"/>
        </w:rPr>
        <w:t>Linagliptinas</w:t>
      </w:r>
      <w:proofErr w:type="spellEnd"/>
    </w:p>
    <w:p w14:paraId="0FCCB150" w14:textId="2B7B6BD0"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Pelėms ir žiurkėms daugkartinių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dozių, nuo kurių ekspozicija daugiau negu 300 kartų viršijo ekspoziciją žmogui, svarbiausi toksinio poveikio organai-taikiniai buvo kepenys, inkstai ir virškinimo traktas.</w:t>
      </w:r>
    </w:p>
    <w:p w14:paraId="3ABB12AB" w14:textId="77777777" w:rsidR="003F7CCA" w:rsidRDefault="0080197E">
      <w:pPr>
        <w:pStyle w:val="Default"/>
        <w:rPr>
          <w:rFonts w:eastAsiaTheme="minorHAnsi"/>
          <w:sz w:val="22"/>
          <w:szCs w:val="22"/>
          <w:lang w:val="lt-LT" w:eastAsia="en-US"/>
        </w:rPr>
      </w:pPr>
      <w:r w:rsidRPr="00A6463E">
        <w:rPr>
          <w:rFonts w:eastAsiaTheme="minorHAnsi"/>
          <w:sz w:val="22"/>
          <w:szCs w:val="22"/>
          <w:lang w:val="lt-LT" w:eastAsia="en-US"/>
        </w:rPr>
        <w:t xml:space="preserve">Žiurkių reprodukcijos organams, skydliaukei bei </w:t>
      </w:r>
      <w:proofErr w:type="spellStart"/>
      <w:r w:rsidRPr="00A6463E">
        <w:rPr>
          <w:rFonts w:eastAsiaTheme="minorHAnsi"/>
          <w:sz w:val="22"/>
          <w:szCs w:val="22"/>
          <w:lang w:val="lt-LT" w:eastAsia="en-US"/>
        </w:rPr>
        <w:t>limfoidiniams</w:t>
      </w:r>
      <w:proofErr w:type="spellEnd"/>
      <w:r w:rsidRPr="00A6463E">
        <w:rPr>
          <w:rFonts w:eastAsiaTheme="minorHAnsi"/>
          <w:sz w:val="22"/>
          <w:szCs w:val="22"/>
          <w:lang w:val="lt-LT" w:eastAsia="en-US"/>
        </w:rPr>
        <w:t xml:space="preserve"> organams poveikis pasireiškė tada, kai ekspozicija buvo 1 500 kartų didesnė už ekspoziciją žmogaus organizme. Šunims vidutinio dydžio dozės sukėlė stiprių tariamųjų alerginių reakcijų, sukėlusių širdies ir kraujagyslių pokyčių, kurie buvo laikomi specifiniais šunims. </w:t>
      </w:r>
      <w:proofErr w:type="spellStart"/>
      <w:r w:rsidRPr="00A6463E">
        <w:rPr>
          <w:rFonts w:eastAsiaTheme="minorHAnsi"/>
          <w:i/>
          <w:iCs/>
          <w:sz w:val="22"/>
          <w:szCs w:val="22"/>
          <w:lang w:val="lt-LT" w:eastAsia="en-US"/>
        </w:rPr>
        <w:t>Cynomolgus</w:t>
      </w:r>
      <w:proofErr w:type="spellEnd"/>
      <w:r w:rsidRPr="00A6463E">
        <w:rPr>
          <w:rFonts w:eastAsiaTheme="minorHAnsi"/>
          <w:i/>
          <w:iCs/>
          <w:sz w:val="22"/>
          <w:szCs w:val="22"/>
          <w:lang w:val="lt-LT" w:eastAsia="en-US"/>
        </w:rPr>
        <w:t xml:space="preserve"> </w:t>
      </w:r>
      <w:r w:rsidRPr="00A6463E">
        <w:rPr>
          <w:rFonts w:eastAsiaTheme="minorHAnsi"/>
          <w:sz w:val="22"/>
          <w:szCs w:val="22"/>
          <w:lang w:val="lt-LT" w:eastAsia="en-US"/>
        </w:rPr>
        <w:t xml:space="preserve">beždžionėms, kurių organizme ekspozicija buvo daugiau negu 450 kartų didesnė negu žmogaus, toksinio poveikio organai-taikiniai buvo kepenys, inkstai, skrandis, reprodukcijos organai, </w:t>
      </w:r>
      <w:proofErr w:type="spellStart"/>
      <w:r w:rsidRPr="00A6463E">
        <w:rPr>
          <w:rFonts w:eastAsiaTheme="minorHAnsi"/>
          <w:sz w:val="22"/>
          <w:szCs w:val="22"/>
          <w:lang w:val="lt-LT" w:eastAsia="en-US"/>
        </w:rPr>
        <w:t>užkrūčio</w:t>
      </w:r>
      <w:proofErr w:type="spellEnd"/>
      <w:r w:rsidRPr="00A6463E">
        <w:rPr>
          <w:rFonts w:eastAsiaTheme="minorHAnsi"/>
          <w:sz w:val="22"/>
          <w:szCs w:val="22"/>
          <w:lang w:val="lt-LT" w:eastAsia="en-US"/>
        </w:rPr>
        <w:t xml:space="preserve"> liauka, blužnis ir limfmazgiai. Kai ekspozicija buvo daugiau </w:t>
      </w:r>
      <w:r>
        <w:rPr>
          <w:rFonts w:eastAsiaTheme="minorHAnsi"/>
          <w:sz w:val="22"/>
          <w:szCs w:val="22"/>
          <w:lang w:val="lt-LT" w:eastAsia="en-US"/>
        </w:rPr>
        <w:t>negu 100 kartų didesnė už ekspoziciją žmogaus organizme, šioms beždžionėms svarbiausias poveikis buvo skrandžio dirginimas.</w:t>
      </w:r>
    </w:p>
    <w:p w14:paraId="35C80456" w14:textId="77777777" w:rsidR="003F7CCA" w:rsidRDefault="003F7CCA">
      <w:pPr>
        <w:pStyle w:val="Default"/>
        <w:rPr>
          <w:rFonts w:eastAsiaTheme="minorHAnsi"/>
          <w:sz w:val="22"/>
          <w:szCs w:val="22"/>
          <w:lang w:val="lt-LT" w:eastAsia="en-US"/>
        </w:rPr>
      </w:pPr>
    </w:p>
    <w:p w14:paraId="555B2564"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Linagliptinui</w:t>
      </w:r>
      <w:proofErr w:type="spellEnd"/>
      <w:r>
        <w:rPr>
          <w:rFonts w:eastAsiaTheme="minorHAnsi"/>
          <w:color w:val="000000"/>
          <w:sz w:val="22"/>
          <w:szCs w:val="22"/>
          <w:lang w:eastAsia="en-US"/>
        </w:rPr>
        <w:t xml:space="preserve"> ir svarbiausiam jo metabolitui </w:t>
      </w:r>
      <w:proofErr w:type="spellStart"/>
      <w:r>
        <w:rPr>
          <w:rFonts w:eastAsiaTheme="minorHAnsi"/>
          <w:color w:val="000000"/>
          <w:sz w:val="22"/>
          <w:szCs w:val="22"/>
          <w:lang w:eastAsia="en-US"/>
        </w:rPr>
        <w:t>genotoksinis</w:t>
      </w:r>
      <w:proofErr w:type="spellEnd"/>
      <w:r>
        <w:rPr>
          <w:rFonts w:eastAsiaTheme="minorHAnsi"/>
          <w:color w:val="000000"/>
          <w:sz w:val="22"/>
          <w:szCs w:val="22"/>
          <w:lang w:eastAsia="en-US"/>
        </w:rPr>
        <w:t xml:space="preserve"> aktyvumas nebūdingas.</w:t>
      </w:r>
    </w:p>
    <w:p w14:paraId="24B6587A"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Dvejų metų </w:t>
      </w:r>
      <w:proofErr w:type="spellStart"/>
      <w:r>
        <w:rPr>
          <w:rFonts w:eastAsiaTheme="minorHAnsi"/>
          <w:color w:val="000000"/>
          <w:sz w:val="22"/>
          <w:szCs w:val="22"/>
          <w:lang w:eastAsia="en-US"/>
        </w:rPr>
        <w:t>kancerogeniškumo</w:t>
      </w:r>
      <w:proofErr w:type="spellEnd"/>
      <w:r>
        <w:rPr>
          <w:rFonts w:eastAsiaTheme="minorHAnsi"/>
          <w:color w:val="000000"/>
          <w:sz w:val="22"/>
          <w:szCs w:val="22"/>
          <w:lang w:eastAsia="en-US"/>
        </w:rPr>
        <w:t xml:space="preserve"> tyrimų, atliktų su žiurkėmis ir pelėmis, metu per burną vartojamo vaistinio preparato kancerogeninio poveikio žiurkėms ar pelių patinams įrodymų negauta. Nustatytas </w:t>
      </w:r>
      <w:r>
        <w:rPr>
          <w:rFonts w:eastAsiaTheme="minorHAnsi"/>
          <w:color w:val="000000"/>
          <w:sz w:val="22"/>
          <w:szCs w:val="22"/>
          <w:lang w:eastAsia="en-US"/>
        </w:rPr>
        <w:lastRenderedPageBreak/>
        <w:t>reikšmingai didesnis piktybinės limfomos dažnis tik pelių patelėms nuo didžiausios tirtos dozės (</w:t>
      </w:r>
      <w:r w:rsidRPr="00A6463E">
        <w:rPr>
          <w:sz w:val="22"/>
          <w:szCs w:val="22"/>
          <w:lang w:eastAsia="en-US"/>
        </w:rPr>
        <w:t>&gt; </w:t>
      </w:r>
      <w:r>
        <w:rPr>
          <w:rFonts w:eastAsiaTheme="minorHAnsi"/>
          <w:color w:val="000000"/>
          <w:sz w:val="22"/>
          <w:szCs w:val="22"/>
          <w:lang w:eastAsia="en-US"/>
        </w:rPr>
        <w:t>200 kartų viršijančios ekspoziciją žmogaus organizme) žmogui reikšmingu nelaikomas (jis priklauso ne nuo gydymo, bet nuo to, kad pradinis dažnis yra labai nepastovus). Remiantis šiais tyrimais, nerimauti dėl kancerogeninio poveikio žmogui nereikia.</w:t>
      </w:r>
    </w:p>
    <w:p w14:paraId="026D106C" w14:textId="77777777" w:rsidR="003F7CCA" w:rsidRDefault="003F7CCA">
      <w:pPr>
        <w:autoSpaceDE w:val="0"/>
        <w:autoSpaceDN w:val="0"/>
        <w:adjustRightInd w:val="0"/>
        <w:rPr>
          <w:rFonts w:eastAsiaTheme="minorHAnsi"/>
          <w:color w:val="000000"/>
          <w:sz w:val="22"/>
          <w:szCs w:val="22"/>
          <w:lang w:eastAsia="en-US"/>
        </w:rPr>
      </w:pPr>
    </w:p>
    <w:p w14:paraId="2D1BB961"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Pastebimo neigiamo poveikio žiurkių vaisingumui, ankstyvam embriono vystymuisi ir </w:t>
      </w:r>
      <w:proofErr w:type="spellStart"/>
      <w:r>
        <w:rPr>
          <w:rFonts w:eastAsiaTheme="minorHAnsi"/>
          <w:color w:val="000000"/>
          <w:sz w:val="22"/>
          <w:szCs w:val="22"/>
          <w:lang w:eastAsia="en-US"/>
        </w:rPr>
        <w:t>teratogeninio</w:t>
      </w:r>
      <w:proofErr w:type="spellEnd"/>
      <w:r>
        <w:rPr>
          <w:rFonts w:eastAsiaTheme="minorHAnsi"/>
          <w:color w:val="000000"/>
          <w:sz w:val="22"/>
          <w:szCs w:val="22"/>
          <w:lang w:eastAsia="en-US"/>
        </w:rPr>
        <w:t xml:space="preserve"> poveikio nesukelianti dozė (NOAEL) buvo </w:t>
      </w:r>
      <w:r w:rsidRPr="00A6463E">
        <w:rPr>
          <w:sz w:val="22"/>
          <w:szCs w:val="22"/>
          <w:lang w:eastAsia="en-US"/>
        </w:rPr>
        <w:t>&gt; </w:t>
      </w:r>
      <w:r>
        <w:rPr>
          <w:rFonts w:eastAsiaTheme="minorHAnsi"/>
          <w:color w:val="000000"/>
          <w:sz w:val="22"/>
          <w:szCs w:val="22"/>
          <w:lang w:eastAsia="en-US"/>
        </w:rPr>
        <w:t xml:space="preserve">900 kartų didesnė už ekspoziciją žmogaus organizme. Toksinio poveikio vaikingoms žiurkėms, jų embrionui, vaisiui ir jaunikliams NOAEL buvo 49 kartus didesnė už ekspoziciją žmogaus organizme. Triušiams, kurių organizme ekspozicija buvo </w:t>
      </w:r>
      <w:r w:rsidRPr="00A6463E">
        <w:rPr>
          <w:sz w:val="22"/>
          <w:szCs w:val="22"/>
          <w:lang w:eastAsia="en-US"/>
        </w:rPr>
        <w:t>&gt; </w:t>
      </w:r>
      <w:r>
        <w:rPr>
          <w:rFonts w:eastAsiaTheme="minorHAnsi"/>
          <w:color w:val="000000"/>
          <w:sz w:val="22"/>
          <w:szCs w:val="22"/>
          <w:lang w:eastAsia="en-US"/>
        </w:rPr>
        <w:t xml:space="preserve">1 000 kartų didesnė už žmogaus organizme, </w:t>
      </w:r>
      <w:proofErr w:type="spellStart"/>
      <w:r>
        <w:rPr>
          <w:rFonts w:eastAsiaTheme="minorHAnsi"/>
          <w:color w:val="000000"/>
          <w:sz w:val="22"/>
          <w:szCs w:val="22"/>
          <w:lang w:eastAsia="en-US"/>
        </w:rPr>
        <w:t>teratogeninis</w:t>
      </w:r>
      <w:proofErr w:type="spellEnd"/>
      <w:r>
        <w:rPr>
          <w:rFonts w:eastAsiaTheme="minorHAnsi"/>
          <w:color w:val="000000"/>
          <w:sz w:val="22"/>
          <w:szCs w:val="22"/>
          <w:lang w:eastAsia="en-US"/>
        </w:rPr>
        <w:t xml:space="preserve"> poveikis nepasireiškė. Toksinio poveikio triušių embrionui ir vaisiui NOAEL buvo 78 kartus, vaikingoms triušių patelėms − 2,1 karto didesnė už ekspoziciją žmogaus organizme. Taigi manoma, jog terapinė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ekspozicija poveikio žmogaus reprodukcijai neturėtų daryti.</w:t>
      </w:r>
    </w:p>
    <w:p w14:paraId="1BA39649" w14:textId="77777777" w:rsidR="003F7CCA" w:rsidRDefault="003F7CCA">
      <w:pPr>
        <w:autoSpaceDE w:val="0"/>
        <w:autoSpaceDN w:val="0"/>
        <w:adjustRightInd w:val="0"/>
        <w:rPr>
          <w:rFonts w:eastAsiaTheme="minorHAnsi"/>
          <w:color w:val="000000"/>
          <w:sz w:val="22"/>
          <w:szCs w:val="22"/>
          <w:lang w:eastAsia="en-US"/>
        </w:rPr>
      </w:pPr>
    </w:p>
    <w:p w14:paraId="6DC9230B" w14:textId="77777777" w:rsidR="003F7CCA" w:rsidRDefault="0080197E">
      <w:pPr>
        <w:autoSpaceDE w:val="0"/>
        <w:autoSpaceDN w:val="0"/>
        <w:adjustRightInd w:val="0"/>
        <w:rPr>
          <w:rFonts w:eastAsiaTheme="minorHAnsi"/>
          <w:color w:val="000000"/>
          <w:sz w:val="22"/>
          <w:szCs w:val="22"/>
          <w:u w:val="single"/>
          <w:lang w:eastAsia="en-US"/>
        </w:rPr>
      </w:pPr>
      <w:r>
        <w:rPr>
          <w:rFonts w:eastAsiaTheme="minorHAnsi"/>
          <w:color w:val="000000"/>
          <w:sz w:val="22"/>
          <w:szCs w:val="22"/>
          <w:u w:val="single"/>
          <w:lang w:eastAsia="en-US"/>
        </w:rPr>
        <w:t>Metforminas</w:t>
      </w:r>
    </w:p>
    <w:p w14:paraId="5852437F" w14:textId="77777777" w:rsidR="003F7CCA" w:rsidRDefault="0080197E">
      <w:pPr>
        <w:rPr>
          <w:rFonts w:eastAsiaTheme="minorHAnsi"/>
          <w:color w:val="000000"/>
          <w:sz w:val="22"/>
          <w:szCs w:val="22"/>
          <w:lang w:eastAsia="en-US"/>
        </w:rPr>
      </w:pPr>
      <w:r>
        <w:rPr>
          <w:rFonts w:eastAsiaTheme="minorHAnsi"/>
          <w:color w:val="000000"/>
          <w:sz w:val="22"/>
          <w:szCs w:val="22"/>
          <w:lang w:eastAsia="en-US"/>
        </w:rPr>
        <w:t xml:space="preserve">Įprastų farmakologinio saugumo, kartotinių dozių toksiškumo, </w:t>
      </w:r>
      <w:proofErr w:type="spellStart"/>
      <w:r>
        <w:rPr>
          <w:rFonts w:eastAsiaTheme="minorHAnsi"/>
          <w:color w:val="000000"/>
          <w:sz w:val="22"/>
          <w:szCs w:val="22"/>
          <w:lang w:eastAsia="en-US"/>
        </w:rPr>
        <w:t>genotoksiškumo</w:t>
      </w:r>
      <w:proofErr w:type="spellEnd"/>
      <w:r>
        <w:rPr>
          <w:rFonts w:eastAsiaTheme="minorHAnsi"/>
          <w:color w:val="000000"/>
          <w:sz w:val="22"/>
          <w:szCs w:val="22"/>
          <w:lang w:eastAsia="en-US"/>
        </w:rPr>
        <w:t xml:space="preserve">, galimo </w:t>
      </w:r>
      <w:proofErr w:type="spellStart"/>
      <w:r>
        <w:rPr>
          <w:rFonts w:eastAsiaTheme="minorHAnsi"/>
          <w:color w:val="000000"/>
          <w:sz w:val="22"/>
          <w:szCs w:val="22"/>
          <w:lang w:eastAsia="en-US"/>
        </w:rPr>
        <w:t>kancerogeniškumo</w:t>
      </w:r>
      <w:proofErr w:type="spellEnd"/>
      <w:r>
        <w:rPr>
          <w:rFonts w:eastAsiaTheme="minorHAnsi"/>
          <w:color w:val="000000"/>
          <w:sz w:val="22"/>
          <w:szCs w:val="22"/>
          <w:lang w:eastAsia="en-US"/>
        </w:rPr>
        <w:t xml:space="preserve">, toksinio poveikio reprodukcijai ir vystymuisi </w:t>
      </w:r>
      <w:proofErr w:type="spellStart"/>
      <w:r>
        <w:rPr>
          <w:rFonts w:eastAsiaTheme="minorHAnsi"/>
          <w:color w:val="000000"/>
          <w:sz w:val="22"/>
          <w:szCs w:val="22"/>
          <w:lang w:eastAsia="en-US"/>
        </w:rPr>
        <w:t>ikiklinikinių</w:t>
      </w:r>
      <w:proofErr w:type="spellEnd"/>
      <w:r>
        <w:rPr>
          <w:rFonts w:eastAsiaTheme="minorHAnsi"/>
          <w:color w:val="000000"/>
          <w:sz w:val="22"/>
          <w:szCs w:val="22"/>
          <w:lang w:eastAsia="en-US"/>
        </w:rPr>
        <w:t xml:space="preserve"> tyrimų duomenys specifinio pavojaus žmogui nerodo.</w:t>
      </w:r>
    </w:p>
    <w:p w14:paraId="66F44B8E" w14:textId="77777777" w:rsidR="003F7CCA" w:rsidRDefault="003F7CCA">
      <w:pPr>
        <w:rPr>
          <w:rFonts w:eastAsiaTheme="minorHAnsi"/>
          <w:color w:val="000000"/>
          <w:sz w:val="22"/>
          <w:szCs w:val="22"/>
          <w:lang w:eastAsia="en-US"/>
        </w:rPr>
      </w:pPr>
    </w:p>
    <w:p w14:paraId="4503806B" w14:textId="77777777" w:rsidR="003F7CCA" w:rsidRDefault="003F7CCA">
      <w:pPr>
        <w:rPr>
          <w:rFonts w:eastAsia="Calibri"/>
          <w:lang w:eastAsia="en-US"/>
        </w:rPr>
      </w:pPr>
    </w:p>
    <w:p w14:paraId="3262700C" w14:textId="77777777" w:rsidR="003F7CCA" w:rsidRDefault="0080197E">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05715AC6" w14:textId="77777777" w:rsidR="003F7CCA" w:rsidRDefault="003F7CCA">
      <w:pPr>
        <w:widowControl w:val="0"/>
        <w:rPr>
          <w:snapToGrid w:val="0"/>
          <w:sz w:val="22"/>
          <w:szCs w:val="22"/>
          <w:lang w:eastAsia="en-US"/>
        </w:rPr>
      </w:pPr>
    </w:p>
    <w:p w14:paraId="68B40C4F" w14:textId="77777777" w:rsidR="003F7CCA" w:rsidRDefault="0080197E">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5E491D3F" w14:textId="77777777" w:rsidR="003F7CCA" w:rsidRDefault="003F7CCA">
      <w:pPr>
        <w:widowControl w:val="0"/>
        <w:rPr>
          <w:snapToGrid w:val="0"/>
          <w:sz w:val="22"/>
          <w:szCs w:val="22"/>
          <w:lang w:eastAsia="en-US"/>
        </w:rPr>
      </w:pPr>
    </w:p>
    <w:p w14:paraId="35F3DEF7" w14:textId="77777777" w:rsidR="003F7CCA" w:rsidRDefault="0080197E">
      <w:pPr>
        <w:widowControl w:val="0"/>
        <w:rPr>
          <w:sz w:val="22"/>
          <w:szCs w:val="22"/>
          <w:u w:val="single"/>
          <w:lang w:eastAsia="en-US"/>
        </w:rPr>
      </w:pPr>
      <w:bookmarkStart w:id="7" w:name="_Hlk200456107"/>
      <w:r>
        <w:rPr>
          <w:sz w:val="22"/>
          <w:szCs w:val="22"/>
          <w:u w:val="single"/>
          <w:lang w:eastAsia="en-US"/>
        </w:rPr>
        <w:t>Tabletės šerdis</w:t>
      </w:r>
    </w:p>
    <w:p w14:paraId="67BD84D7" w14:textId="77777777" w:rsidR="003F7CCA" w:rsidRDefault="0080197E">
      <w:pPr>
        <w:widowControl w:val="0"/>
        <w:rPr>
          <w:sz w:val="22"/>
          <w:szCs w:val="22"/>
          <w:lang w:eastAsia="en-US"/>
        </w:rPr>
      </w:pPr>
      <w:bookmarkStart w:id="8" w:name="_Hlk190774534"/>
      <w:bookmarkStart w:id="9" w:name="_Hlk198627583"/>
      <w:bookmarkStart w:id="10" w:name="_Hlk223009894"/>
      <w:proofErr w:type="spellStart"/>
      <w:r>
        <w:rPr>
          <w:sz w:val="22"/>
          <w:szCs w:val="22"/>
          <w:lang w:eastAsia="en-US"/>
        </w:rPr>
        <w:t>Kopovidonas</w:t>
      </w:r>
      <w:proofErr w:type="spellEnd"/>
    </w:p>
    <w:p w14:paraId="6C9E2783" w14:textId="77777777" w:rsidR="003F7CCA" w:rsidRDefault="0080197E">
      <w:pPr>
        <w:widowControl w:val="0"/>
        <w:rPr>
          <w:sz w:val="22"/>
          <w:szCs w:val="22"/>
          <w:lang w:eastAsia="en-US"/>
        </w:rPr>
      </w:pPr>
      <w:proofErr w:type="spellStart"/>
      <w:r>
        <w:rPr>
          <w:sz w:val="22"/>
          <w:szCs w:val="22"/>
          <w:lang w:eastAsia="en-US"/>
        </w:rPr>
        <w:t>Mikrokristalinė</w:t>
      </w:r>
      <w:proofErr w:type="spellEnd"/>
      <w:r>
        <w:rPr>
          <w:sz w:val="22"/>
          <w:szCs w:val="22"/>
          <w:lang w:eastAsia="en-US"/>
        </w:rPr>
        <w:t xml:space="preserve"> celiuliozė (E460)</w:t>
      </w:r>
    </w:p>
    <w:bookmarkEnd w:id="8"/>
    <w:bookmarkEnd w:id="9"/>
    <w:p w14:paraId="4AA9E167" w14:textId="77777777" w:rsidR="00E26338" w:rsidRDefault="00E26338" w:rsidP="00E26338">
      <w:pPr>
        <w:widowControl w:val="0"/>
        <w:rPr>
          <w:sz w:val="22"/>
          <w:szCs w:val="22"/>
          <w:lang w:eastAsia="en-US"/>
        </w:rPr>
      </w:pPr>
      <w:proofErr w:type="spellStart"/>
      <w:r>
        <w:rPr>
          <w:sz w:val="22"/>
          <w:szCs w:val="22"/>
          <w:lang w:eastAsia="en-US"/>
        </w:rPr>
        <w:t>Kroskarmeliozės</w:t>
      </w:r>
      <w:proofErr w:type="spellEnd"/>
      <w:r>
        <w:rPr>
          <w:sz w:val="22"/>
          <w:szCs w:val="22"/>
          <w:lang w:eastAsia="en-US"/>
        </w:rPr>
        <w:t xml:space="preserve"> natrio druska</w:t>
      </w:r>
    </w:p>
    <w:p w14:paraId="0A5EACA7" w14:textId="77777777" w:rsidR="003F7CCA" w:rsidRDefault="0080197E">
      <w:pPr>
        <w:widowControl w:val="0"/>
        <w:rPr>
          <w:sz w:val="22"/>
          <w:szCs w:val="22"/>
          <w:lang w:eastAsia="en-US"/>
        </w:rPr>
      </w:pPr>
      <w:r>
        <w:rPr>
          <w:sz w:val="22"/>
          <w:szCs w:val="22"/>
          <w:lang w:eastAsia="en-US"/>
        </w:rPr>
        <w:t>Bevandenis koloidinis silicio dioksidas</w:t>
      </w:r>
    </w:p>
    <w:p w14:paraId="6DF083E8" w14:textId="77777777" w:rsidR="003F7CCA" w:rsidRDefault="0080197E">
      <w:pPr>
        <w:widowControl w:val="0"/>
        <w:rPr>
          <w:sz w:val="22"/>
          <w:szCs w:val="22"/>
          <w:lang w:eastAsia="en-US"/>
        </w:rPr>
      </w:pPr>
      <w:r>
        <w:rPr>
          <w:sz w:val="22"/>
          <w:szCs w:val="22"/>
          <w:lang w:eastAsia="en-US"/>
        </w:rPr>
        <w:t xml:space="preserve">Magnio </w:t>
      </w:r>
      <w:proofErr w:type="spellStart"/>
      <w:r>
        <w:rPr>
          <w:sz w:val="22"/>
          <w:szCs w:val="22"/>
          <w:lang w:eastAsia="en-US"/>
        </w:rPr>
        <w:t>stearatas</w:t>
      </w:r>
      <w:proofErr w:type="spellEnd"/>
    </w:p>
    <w:p w14:paraId="3F014082" w14:textId="77777777" w:rsidR="003F7CCA" w:rsidRDefault="003F7CCA">
      <w:pPr>
        <w:widowControl w:val="0"/>
        <w:rPr>
          <w:sz w:val="22"/>
          <w:szCs w:val="22"/>
          <w:highlight w:val="yellow"/>
          <w:u w:val="single"/>
          <w:lang w:eastAsia="en-US"/>
        </w:rPr>
      </w:pPr>
    </w:p>
    <w:p w14:paraId="2E14A45A" w14:textId="77777777" w:rsidR="003F7CCA" w:rsidRDefault="0080197E">
      <w:pPr>
        <w:widowControl w:val="0"/>
        <w:rPr>
          <w:sz w:val="22"/>
          <w:szCs w:val="22"/>
          <w:u w:val="single"/>
          <w:lang w:eastAsia="en-US"/>
        </w:rPr>
      </w:pPr>
      <w:r>
        <w:rPr>
          <w:sz w:val="22"/>
          <w:szCs w:val="22"/>
          <w:u w:val="single"/>
          <w:lang w:eastAsia="en-US"/>
        </w:rPr>
        <w:t>Tabletės plėvelė</w:t>
      </w:r>
    </w:p>
    <w:p w14:paraId="68F1E477" w14:textId="3A2D2D18" w:rsidR="003F7CCA" w:rsidRDefault="0080197E">
      <w:pPr>
        <w:widowControl w:val="0"/>
        <w:rPr>
          <w:sz w:val="22"/>
          <w:szCs w:val="22"/>
          <w:lang w:eastAsia="en-US"/>
        </w:rPr>
      </w:pPr>
      <w:r>
        <w:rPr>
          <w:sz w:val="22"/>
          <w:szCs w:val="22"/>
          <w:lang w:eastAsia="en-US"/>
        </w:rPr>
        <w:t>Polivinilo alkoholis (E1203)</w:t>
      </w:r>
    </w:p>
    <w:p w14:paraId="22D685EB" w14:textId="77777777" w:rsidR="003F7CCA" w:rsidRDefault="0080197E">
      <w:pPr>
        <w:widowControl w:val="0"/>
        <w:rPr>
          <w:sz w:val="22"/>
          <w:szCs w:val="22"/>
          <w:lang w:eastAsia="en-US"/>
        </w:rPr>
      </w:pPr>
      <w:r>
        <w:rPr>
          <w:sz w:val="22"/>
          <w:szCs w:val="22"/>
          <w:lang w:eastAsia="en-US"/>
        </w:rPr>
        <w:t>Kalcio karbonatas (E170)</w:t>
      </w:r>
    </w:p>
    <w:p w14:paraId="1ADC564D" w14:textId="77777777" w:rsidR="003F7CCA" w:rsidRDefault="0080197E">
      <w:pPr>
        <w:widowControl w:val="0"/>
        <w:rPr>
          <w:sz w:val="22"/>
          <w:szCs w:val="22"/>
          <w:lang w:eastAsia="en-US"/>
        </w:rPr>
      </w:pPr>
      <w:r>
        <w:rPr>
          <w:sz w:val="22"/>
          <w:szCs w:val="22"/>
          <w:lang w:eastAsia="en-US"/>
        </w:rPr>
        <w:t>Makrogolis 3350 (E1521)</w:t>
      </w:r>
    </w:p>
    <w:p w14:paraId="11E777DB" w14:textId="77777777" w:rsidR="003F7CCA" w:rsidRDefault="0080197E">
      <w:pPr>
        <w:widowControl w:val="0"/>
        <w:rPr>
          <w:sz w:val="22"/>
          <w:szCs w:val="22"/>
          <w:lang w:eastAsia="en-US"/>
        </w:rPr>
      </w:pPr>
      <w:r>
        <w:rPr>
          <w:sz w:val="22"/>
          <w:szCs w:val="22"/>
          <w:lang w:eastAsia="en-US"/>
        </w:rPr>
        <w:t>Talkas (E553b)</w:t>
      </w:r>
    </w:p>
    <w:p w14:paraId="77EDC2A7" w14:textId="77777777" w:rsidR="003F7CCA" w:rsidRDefault="0080197E">
      <w:pPr>
        <w:widowControl w:val="0"/>
        <w:rPr>
          <w:sz w:val="22"/>
          <w:szCs w:val="22"/>
          <w:lang w:eastAsia="en-US"/>
        </w:rPr>
      </w:pPr>
      <w:r>
        <w:rPr>
          <w:sz w:val="22"/>
          <w:szCs w:val="22"/>
          <w:lang w:eastAsia="en-US"/>
        </w:rPr>
        <w:t>Raudonasis geležies oksidas (E172)</w:t>
      </w:r>
      <w:bookmarkEnd w:id="7"/>
    </w:p>
    <w:bookmarkEnd w:id="10"/>
    <w:p w14:paraId="77518669" w14:textId="77777777" w:rsidR="003F7CCA" w:rsidRDefault="003F7CCA">
      <w:pPr>
        <w:widowControl w:val="0"/>
        <w:rPr>
          <w:sz w:val="22"/>
          <w:szCs w:val="22"/>
          <w:lang w:eastAsia="en-US"/>
        </w:rPr>
      </w:pPr>
    </w:p>
    <w:p w14:paraId="0D9E7331" w14:textId="77777777" w:rsidR="003F7CCA" w:rsidRDefault="0080197E">
      <w:pPr>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12B5DAD2" w14:textId="77777777" w:rsidR="003F7CCA" w:rsidRDefault="003F7CCA">
      <w:pPr>
        <w:widowControl w:val="0"/>
        <w:rPr>
          <w:snapToGrid w:val="0"/>
          <w:sz w:val="22"/>
          <w:szCs w:val="22"/>
          <w:lang w:eastAsia="en-US"/>
        </w:rPr>
      </w:pPr>
    </w:p>
    <w:p w14:paraId="659870B8" w14:textId="77777777" w:rsidR="003F7CCA" w:rsidRDefault="0080197E">
      <w:pPr>
        <w:widowControl w:val="0"/>
        <w:rPr>
          <w:snapToGrid w:val="0"/>
          <w:sz w:val="22"/>
          <w:szCs w:val="22"/>
          <w:lang w:eastAsia="en-US"/>
        </w:rPr>
      </w:pPr>
      <w:r>
        <w:rPr>
          <w:snapToGrid w:val="0"/>
          <w:sz w:val="22"/>
          <w:szCs w:val="22"/>
          <w:lang w:eastAsia="en-US"/>
        </w:rPr>
        <w:t>Duomenys nebūtini.</w:t>
      </w:r>
    </w:p>
    <w:p w14:paraId="24293928" w14:textId="77777777" w:rsidR="003F7CCA" w:rsidRDefault="003F7CCA">
      <w:pPr>
        <w:widowControl w:val="0"/>
        <w:rPr>
          <w:snapToGrid w:val="0"/>
          <w:sz w:val="22"/>
          <w:szCs w:val="22"/>
          <w:lang w:eastAsia="en-US"/>
        </w:rPr>
      </w:pPr>
    </w:p>
    <w:p w14:paraId="5C82861A" w14:textId="77777777" w:rsidR="003F7CCA" w:rsidRDefault="0080197E">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165F73BB" w14:textId="77777777" w:rsidR="003F7CCA" w:rsidRDefault="003F7CCA">
      <w:pPr>
        <w:widowControl w:val="0"/>
        <w:rPr>
          <w:snapToGrid w:val="0"/>
          <w:sz w:val="22"/>
          <w:szCs w:val="22"/>
          <w:lang w:eastAsia="en-US"/>
        </w:rPr>
      </w:pPr>
    </w:p>
    <w:p w14:paraId="66E79011" w14:textId="77777777" w:rsidR="003F7CCA" w:rsidRDefault="0080197E">
      <w:pPr>
        <w:widowControl w:val="0"/>
        <w:rPr>
          <w:snapToGrid w:val="0"/>
          <w:sz w:val="22"/>
          <w:szCs w:val="22"/>
          <w:lang w:eastAsia="en-US"/>
        </w:rPr>
      </w:pPr>
      <w:r>
        <w:rPr>
          <w:snapToGrid w:val="0"/>
          <w:sz w:val="22"/>
          <w:szCs w:val="22"/>
          <w:lang w:eastAsia="en-US"/>
        </w:rPr>
        <w:t>2 metai</w:t>
      </w:r>
    </w:p>
    <w:p w14:paraId="5C8ED2C9" w14:textId="77777777" w:rsidR="003F7CCA" w:rsidRDefault="003F7CCA">
      <w:pPr>
        <w:widowControl w:val="0"/>
        <w:rPr>
          <w:snapToGrid w:val="0"/>
          <w:sz w:val="22"/>
          <w:szCs w:val="22"/>
          <w:lang w:eastAsia="en-US"/>
        </w:rPr>
      </w:pPr>
    </w:p>
    <w:p w14:paraId="6E395776" w14:textId="77777777" w:rsidR="003F7CCA" w:rsidRDefault="0080197E">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28DD4008" w14:textId="77777777" w:rsidR="003F7CCA" w:rsidRDefault="003F7CCA">
      <w:pPr>
        <w:widowControl w:val="0"/>
        <w:rPr>
          <w:snapToGrid w:val="0"/>
          <w:sz w:val="22"/>
          <w:szCs w:val="22"/>
          <w:lang w:eastAsia="en-US"/>
        </w:rPr>
      </w:pPr>
    </w:p>
    <w:p w14:paraId="4AEE379D" w14:textId="77777777" w:rsidR="003F7CCA" w:rsidRDefault="0080197E">
      <w:pPr>
        <w:spacing w:line="259" w:lineRule="auto"/>
        <w:rPr>
          <w:rFonts w:eastAsia="Calibri"/>
          <w:sz w:val="22"/>
          <w:szCs w:val="22"/>
          <w:lang w:eastAsia="en-US"/>
        </w:rPr>
      </w:pPr>
      <w:r>
        <w:rPr>
          <w:rFonts w:eastAsia="Calibri"/>
          <w:sz w:val="22"/>
          <w:szCs w:val="22"/>
          <w:lang w:eastAsia="en-US"/>
        </w:rPr>
        <w:t>Laikyti gamintojo pakuotėje, kad vaistinis preparatas būtų apsaugotas nuo šviesos.</w:t>
      </w:r>
    </w:p>
    <w:p w14:paraId="2FD87188" w14:textId="77777777" w:rsidR="003F7CCA" w:rsidRDefault="0080197E">
      <w:pPr>
        <w:tabs>
          <w:tab w:val="left" w:pos="567"/>
        </w:tabs>
        <w:spacing w:line="260" w:lineRule="exact"/>
        <w:rPr>
          <w:rFonts w:eastAsia="Calibri"/>
          <w:sz w:val="22"/>
          <w:szCs w:val="22"/>
          <w:lang w:eastAsia="en-US"/>
        </w:rPr>
      </w:pPr>
      <w:r>
        <w:rPr>
          <w:snapToGrid w:val="0"/>
          <w:sz w:val="22"/>
          <w:szCs w:val="20"/>
          <w:lang w:eastAsia="en-US"/>
        </w:rPr>
        <w:t>Šio vaistinio preparato laikymui specialių temperatūros sąlygų nereikalaujama.</w:t>
      </w:r>
    </w:p>
    <w:p w14:paraId="1D882CAD" w14:textId="77777777" w:rsidR="003F7CCA" w:rsidRDefault="003F7CCA">
      <w:pPr>
        <w:widowControl w:val="0"/>
        <w:rPr>
          <w:snapToGrid w:val="0"/>
          <w:sz w:val="22"/>
          <w:szCs w:val="22"/>
          <w:lang w:eastAsia="en-US"/>
        </w:rPr>
      </w:pPr>
    </w:p>
    <w:p w14:paraId="0C269A27" w14:textId="77777777" w:rsidR="003F7CCA" w:rsidRDefault="0080197E">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3FF49193" w14:textId="77777777" w:rsidR="003F7CCA" w:rsidRDefault="003F7CCA">
      <w:pPr>
        <w:widowControl w:val="0"/>
        <w:rPr>
          <w:snapToGrid w:val="0"/>
          <w:sz w:val="22"/>
          <w:szCs w:val="22"/>
          <w:lang w:eastAsia="en-US"/>
        </w:rPr>
      </w:pPr>
    </w:p>
    <w:p w14:paraId="24819237" w14:textId="666612AA" w:rsidR="003F7CCA" w:rsidRDefault="0080197E">
      <w:pPr>
        <w:widowControl w:val="0"/>
        <w:rPr>
          <w:sz w:val="22"/>
          <w:szCs w:val="22"/>
          <w:lang w:eastAsia="sl-SI"/>
        </w:rPr>
      </w:pPr>
      <w:bookmarkStart w:id="11" w:name="_Hlk190775593"/>
      <w:r>
        <w:rPr>
          <w:snapToGrid w:val="0"/>
          <w:sz w:val="22"/>
          <w:szCs w:val="22"/>
          <w:lang w:eastAsia="en-US"/>
        </w:rPr>
        <w:t>Lizdinė</w:t>
      </w:r>
      <w:r w:rsidR="006D6D3F">
        <w:rPr>
          <w:snapToGrid w:val="0"/>
          <w:sz w:val="22"/>
          <w:szCs w:val="22"/>
          <w:lang w:eastAsia="en-US"/>
        </w:rPr>
        <w:t>s</w:t>
      </w:r>
      <w:r>
        <w:rPr>
          <w:snapToGrid w:val="0"/>
          <w:sz w:val="22"/>
          <w:szCs w:val="22"/>
          <w:lang w:eastAsia="en-US"/>
        </w:rPr>
        <w:t xml:space="preserve"> plokštelė</w:t>
      </w:r>
      <w:r w:rsidR="006D6D3F">
        <w:rPr>
          <w:snapToGrid w:val="0"/>
          <w:sz w:val="22"/>
          <w:szCs w:val="22"/>
          <w:lang w:eastAsia="en-US"/>
        </w:rPr>
        <w:t>s</w:t>
      </w:r>
      <w:r>
        <w:rPr>
          <w:snapToGrid w:val="0"/>
          <w:sz w:val="22"/>
          <w:szCs w:val="22"/>
          <w:lang w:eastAsia="en-US"/>
        </w:rPr>
        <w:t xml:space="preserve"> (</w:t>
      </w:r>
      <w:r w:rsidR="004B430F">
        <w:rPr>
          <w:snapToGrid w:val="0"/>
          <w:sz w:val="22"/>
          <w:szCs w:val="22"/>
          <w:lang w:eastAsia="en-US"/>
        </w:rPr>
        <w:t xml:space="preserve">balto </w:t>
      </w:r>
      <w:r w:rsidRPr="00A6463E">
        <w:rPr>
          <w:sz w:val="22"/>
          <w:szCs w:val="22"/>
          <w:lang w:eastAsia="en-US"/>
        </w:rPr>
        <w:t>PVC/PVDC/PVC</w:t>
      </w:r>
      <w:r>
        <w:rPr>
          <w:snapToGrid w:val="0"/>
          <w:sz w:val="22"/>
          <w:szCs w:val="22"/>
          <w:lang w:eastAsia="en-US"/>
        </w:rPr>
        <w:t>//aliuminio)</w:t>
      </w:r>
      <w:r w:rsidR="006D6D3F">
        <w:rPr>
          <w:snapToGrid w:val="0"/>
          <w:sz w:val="22"/>
          <w:szCs w:val="22"/>
          <w:lang w:eastAsia="en-US"/>
        </w:rPr>
        <w:t xml:space="preserve"> kart</w:t>
      </w:r>
      <w:r w:rsidR="0026295E">
        <w:rPr>
          <w:snapToGrid w:val="0"/>
          <w:sz w:val="22"/>
          <w:szCs w:val="22"/>
          <w:lang w:eastAsia="en-US"/>
        </w:rPr>
        <w:t>o</w:t>
      </w:r>
      <w:r w:rsidR="006D6D3F">
        <w:rPr>
          <w:snapToGrid w:val="0"/>
          <w:sz w:val="22"/>
          <w:szCs w:val="22"/>
          <w:lang w:eastAsia="en-US"/>
        </w:rPr>
        <w:t>no</w:t>
      </w:r>
      <w:r w:rsidR="0026295E">
        <w:rPr>
          <w:snapToGrid w:val="0"/>
          <w:sz w:val="22"/>
          <w:szCs w:val="22"/>
          <w:lang w:eastAsia="en-US"/>
        </w:rPr>
        <w:t xml:space="preserve"> dėžutėje, kurioje yra</w:t>
      </w:r>
      <w:r>
        <w:rPr>
          <w:sz w:val="22"/>
          <w:szCs w:val="22"/>
          <w:lang w:eastAsia="sl-SI"/>
        </w:rPr>
        <w:t xml:space="preserve"> </w:t>
      </w:r>
      <w:r w:rsidRPr="00A6463E">
        <w:rPr>
          <w:sz w:val="22"/>
          <w:szCs w:val="22"/>
          <w:lang w:eastAsia="en-US"/>
        </w:rPr>
        <w:t>10, 14, 28, 30, 56, 60, 84, 90, 98, 100, 112, 120</w:t>
      </w:r>
      <w:r>
        <w:rPr>
          <w:noProof/>
          <w:sz w:val="22"/>
          <w:szCs w:val="22"/>
          <w:lang w:eastAsia="sl-SI"/>
        </w:rPr>
        <w:t xml:space="preserve"> plėvele dengtų tablečių arba sudėtinėse pakuotėse, kuriose yra 120 (2 pakuotės po 60), 180 (2 pakuotės po 90), 180 (3 pakuotės po 60), 196 (2 pakuotės po 98) ir 200 (2 </w:t>
      </w:r>
      <w:r>
        <w:rPr>
          <w:noProof/>
          <w:sz w:val="22"/>
          <w:szCs w:val="22"/>
          <w:lang w:eastAsia="sl-SI"/>
        </w:rPr>
        <w:lastRenderedPageBreak/>
        <w:t>pakuotės po 100) plėvele dengtų tablečių.</w:t>
      </w:r>
    </w:p>
    <w:bookmarkEnd w:id="11"/>
    <w:p w14:paraId="19D30B58" w14:textId="77777777" w:rsidR="003F7CCA" w:rsidRDefault="003F7CCA">
      <w:pPr>
        <w:widowControl w:val="0"/>
        <w:rPr>
          <w:snapToGrid w:val="0"/>
          <w:sz w:val="22"/>
          <w:szCs w:val="22"/>
          <w:lang w:eastAsia="en-US"/>
        </w:rPr>
      </w:pPr>
    </w:p>
    <w:p w14:paraId="5066EDC2" w14:textId="77777777" w:rsidR="003F7CCA" w:rsidRDefault="0080197E">
      <w:pPr>
        <w:widowControl w:val="0"/>
        <w:rPr>
          <w:snapToGrid w:val="0"/>
          <w:sz w:val="22"/>
          <w:szCs w:val="22"/>
          <w:lang w:eastAsia="en-US"/>
        </w:rPr>
      </w:pPr>
      <w:r>
        <w:rPr>
          <w:snapToGrid w:val="0"/>
          <w:sz w:val="22"/>
          <w:szCs w:val="22"/>
          <w:lang w:eastAsia="en-US"/>
        </w:rPr>
        <w:t>Gali būti tiekiamos ne visų dydžių pakuotės.</w:t>
      </w:r>
    </w:p>
    <w:p w14:paraId="17BC0D8F" w14:textId="77777777" w:rsidR="003F7CCA" w:rsidRDefault="003F7CCA">
      <w:pPr>
        <w:widowControl w:val="0"/>
        <w:rPr>
          <w:snapToGrid w:val="0"/>
          <w:sz w:val="22"/>
          <w:szCs w:val="22"/>
          <w:lang w:eastAsia="en-US"/>
        </w:rPr>
      </w:pPr>
    </w:p>
    <w:p w14:paraId="2460F7E0" w14:textId="77777777" w:rsidR="003F7CCA" w:rsidRDefault="0080197E">
      <w:pPr>
        <w:widowControl w:val="0"/>
        <w:tabs>
          <w:tab w:val="left" w:pos="567"/>
        </w:tabs>
        <w:jc w:val="both"/>
        <w:outlineLvl w:val="3"/>
        <w:rPr>
          <w:b/>
          <w:bCs/>
          <w:snapToGrid w:val="0"/>
          <w:sz w:val="22"/>
          <w:szCs w:val="22"/>
          <w:lang w:eastAsia="lt-LT"/>
        </w:rPr>
      </w:pPr>
      <w:bookmarkStart w:id="12" w:name="OLE_LINK1"/>
      <w:r>
        <w:rPr>
          <w:b/>
          <w:bCs/>
          <w:snapToGrid w:val="0"/>
          <w:sz w:val="22"/>
          <w:szCs w:val="22"/>
          <w:lang w:eastAsia="lt-LT"/>
        </w:rPr>
        <w:t>6.6</w:t>
      </w:r>
      <w:r>
        <w:rPr>
          <w:b/>
          <w:bCs/>
          <w:snapToGrid w:val="0"/>
          <w:sz w:val="22"/>
          <w:szCs w:val="22"/>
          <w:lang w:eastAsia="lt-LT"/>
        </w:rPr>
        <w:tab/>
        <w:t>Specialūs reikalavimai atliekoms tvarkyti</w:t>
      </w:r>
    </w:p>
    <w:bookmarkEnd w:id="12"/>
    <w:p w14:paraId="37120672" w14:textId="77777777" w:rsidR="003F7CCA" w:rsidRDefault="003F7CCA">
      <w:pPr>
        <w:widowControl w:val="0"/>
        <w:rPr>
          <w:snapToGrid w:val="0"/>
          <w:sz w:val="22"/>
          <w:szCs w:val="22"/>
          <w:lang w:eastAsia="en-US"/>
        </w:rPr>
      </w:pPr>
    </w:p>
    <w:p w14:paraId="498E147C" w14:textId="77777777" w:rsidR="003F7CCA" w:rsidRDefault="0080197E">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6AB4C76A" w14:textId="77777777" w:rsidR="003F7CCA" w:rsidRDefault="003F7CCA">
      <w:pPr>
        <w:widowControl w:val="0"/>
        <w:rPr>
          <w:snapToGrid w:val="0"/>
          <w:sz w:val="22"/>
          <w:szCs w:val="22"/>
          <w:lang w:eastAsia="en-US"/>
        </w:rPr>
      </w:pPr>
    </w:p>
    <w:p w14:paraId="34531CB4" w14:textId="77777777" w:rsidR="003F7CCA" w:rsidRDefault="003F7CCA">
      <w:pPr>
        <w:widowControl w:val="0"/>
        <w:rPr>
          <w:snapToGrid w:val="0"/>
          <w:sz w:val="22"/>
          <w:szCs w:val="22"/>
          <w:lang w:eastAsia="en-US"/>
        </w:rPr>
      </w:pPr>
    </w:p>
    <w:p w14:paraId="7380EE25" w14:textId="77777777" w:rsidR="003F7CCA" w:rsidRDefault="0080197E">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343CE998" w14:textId="77777777" w:rsidR="003F7CCA" w:rsidRDefault="003F7CCA">
      <w:pPr>
        <w:widowControl w:val="0"/>
        <w:rPr>
          <w:snapToGrid w:val="0"/>
          <w:sz w:val="22"/>
          <w:szCs w:val="22"/>
          <w:lang w:eastAsia="en-US"/>
        </w:rPr>
      </w:pPr>
    </w:p>
    <w:p w14:paraId="1FDA3247" w14:textId="77777777" w:rsidR="003F7CCA" w:rsidRDefault="0080197E">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10C7A144" w14:textId="77777777" w:rsidR="003F7CCA" w:rsidRDefault="0080197E">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55826E84" w14:textId="77777777" w:rsidR="003F7CCA" w:rsidRDefault="0080197E">
      <w:pPr>
        <w:widowControl w:val="0"/>
        <w:rPr>
          <w:sz w:val="22"/>
          <w:szCs w:val="22"/>
          <w:lang w:eastAsia="sl-SI"/>
        </w:rPr>
      </w:pPr>
      <w:r>
        <w:rPr>
          <w:sz w:val="22"/>
          <w:szCs w:val="22"/>
          <w:lang w:eastAsia="sl-SI"/>
        </w:rPr>
        <w:t>8501 Novo mesto</w:t>
      </w:r>
    </w:p>
    <w:p w14:paraId="07D69C5E" w14:textId="77777777" w:rsidR="003F7CCA" w:rsidRDefault="0080197E">
      <w:pPr>
        <w:widowControl w:val="0"/>
        <w:rPr>
          <w:sz w:val="22"/>
          <w:szCs w:val="22"/>
          <w:lang w:eastAsia="sl-SI"/>
        </w:rPr>
      </w:pPr>
      <w:r>
        <w:rPr>
          <w:sz w:val="22"/>
          <w:szCs w:val="22"/>
          <w:lang w:eastAsia="sl-SI"/>
        </w:rPr>
        <w:t>Slovėnija</w:t>
      </w:r>
    </w:p>
    <w:p w14:paraId="4F397087" w14:textId="77777777" w:rsidR="003F7CCA" w:rsidRDefault="003F7CCA">
      <w:pPr>
        <w:widowControl w:val="0"/>
        <w:rPr>
          <w:sz w:val="22"/>
          <w:szCs w:val="22"/>
          <w:lang w:eastAsia="sl-SI"/>
        </w:rPr>
      </w:pPr>
    </w:p>
    <w:p w14:paraId="699ED597" w14:textId="77777777" w:rsidR="003F7CCA" w:rsidRDefault="003F7CCA">
      <w:pPr>
        <w:widowControl w:val="0"/>
        <w:rPr>
          <w:snapToGrid w:val="0"/>
          <w:sz w:val="22"/>
          <w:szCs w:val="22"/>
          <w:lang w:eastAsia="en-US"/>
        </w:rPr>
      </w:pPr>
    </w:p>
    <w:p w14:paraId="0D74E6F0" w14:textId="77777777" w:rsidR="003F7CCA" w:rsidRDefault="0080197E">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58CC39F0" w14:textId="77777777" w:rsidR="003F7CCA" w:rsidRDefault="003F7CCA">
      <w:pPr>
        <w:widowControl w:val="0"/>
        <w:tabs>
          <w:tab w:val="left" w:pos="567"/>
        </w:tabs>
        <w:outlineLvl w:val="2"/>
        <w:rPr>
          <w:b/>
          <w:bCs/>
          <w:snapToGrid w:val="0"/>
          <w:sz w:val="22"/>
          <w:szCs w:val="22"/>
          <w:lang w:eastAsia="lt-LT"/>
        </w:rPr>
      </w:pPr>
    </w:p>
    <w:tbl>
      <w:tblPr>
        <w:tblStyle w:val="Lentelstinklelis"/>
        <w:tblW w:w="0" w:type="auto"/>
        <w:tblLook w:val="04A0" w:firstRow="1" w:lastRow="0" w:firstColumn="1" w:lastColumn="0" w:noHBand="0" w:noVBand="1"/>
      </w:tblPr>
      <w:tblGrid>
        <w:gridCol w:w="4532"/>
        <w:gridCol w:w="4532"/>
      </w:tblGrid>
      <w:tr w:rsidR="00C26C35" w14:paraId="482D5E13" w14:textId="77777777" w:rsidTr="00C26C35">
        <w:tc>
          <w:tcPr>
            <w:tcW w:w="4532" w:type="dxa"/>
          </w:tcPr>
          <w:p w14:paraId="6D19F64C" w14:textId="77777777" w:rsidR="00C26C35" w:rsidRPr="00C26C35" w:rsidRDefault="00C26C35">
            <w:pPr>
              <w:widowControl w:val="0"/>
              <w:tabs>
                <w:tab w:val="left" w:pos="567"/>
              </w:tabs>
              <w:outlineLvl w:val="2"/>
              <w:rPr>
                <w:rFonts w:eastAsia="Calibri"/>
                <w:sz w:val="22"/>
                <w:szCs w:val="22"/>
                <w:u w:val="single"/>
              </w:rPr>
            </w:pPr>
            <w:r w:rsidRPr="00C26C35">
              <w:rPr>
                <w:rFonts w:eastAsia="Calibri"/>
                <w:sz w:val="22"/>
                <w:szCs w:val="22"/>
                <w:u w:val="single"/>
              </w:rPr>
              <w:t>2,5 mg/ 850 mg</w:t>
            </w:r>
          </w:p>
          <w:p w14:paraId="2C09F0E0"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LT/1/26/6032/001 – N10</w:t>
            </w:r>
          </w:p>
          <w:p w14:paraId="146A88A3"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LT/1/26/6032/002 – N14</w:t>
            </w:r>
          </w:p>
          <w:p w14:paraId="56087EB9"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LT/1/26/6032/003 – N28</w:t>
            </w:r>
          </w:p>
          <w:p w14:paraId="1EF2712D"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LT/1/26/6032/004 – N30</w:t>
            </w:r>
          </w:p>
          <w:p w14:paraId="55EC8963"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LT/1/26/6032/005 – N56</w:t>
            </w:r>
          </w:p>
          <w:p w14:paraId="6E5F8416"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LT/1/26/6032/006 – N60</w:t>
            </w:r>
          </w:p>
          <w:p w14:paraId="615B3A20"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LT/1/26/6032/007 – N84</w:t>
            </w:r>
          </w:p>
          <w:p w14:paraId="03D1BA77"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LT/1/26/6032/008 – N90</w:t>
            </w:r>
          </w:p>
          <w:p w14:paraId="1FEB1CBB"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LT/1/26/6032/009 – N98</w:t>
            </w:r>
          </w:p>
          <w:p w14:paraId="19B9FFF0" w14:textId="77777777" w:rsidR="00C26C35" w:rsidRPr="00C26C35" w:rsidRDefault="00C26C35" w:rsidP="00C26C35">
            <w:pPr>
              <w:widowControl w:val="0"/>
              <w:tabs>
                <w:tab w:val="left" w:pos="567"/>
              </w:tabs>
              <w:outlineLvl w:val="2"/>
              <w:rPr>
                <w:snapToGrid w:val="0"/>
                <w:sz w:val="22"/>
                <w:szCs w:val="22"/>
                <w:lang w:eastAsia="lt-LT"/>
              </w:rPr>
            </w:pPr>
            <w:proofErr w:type="gramStart"/>
            <w:r w:rsidRPr="00C26C35">
              <w:rPr>
                <w:snapToGrid w:val="0"/>
                <w:sz w:val="22"/>
                <w:szCs w:val="22"/>
                <w:lang w:eastAsia="lt-LT"/>
              </w:rPr>
              <w:t>LT/1/26/6032/010 – N100</w:t>
            </w:r>
            <w:proofErr w:type="gramEnd"/>
          </w:p>
          <w:p w14:paraId="0F9C510A"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LT/1/26/6032/011 – N112</w:t>
            </w:r>
          </w:p>
          <w:p w14:paraId="7ADD9E9B"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LT/1/26/6032/012 – N120</w:t>
            </w:r>
          </w:p>
          <w:p w14:paraId="231AA66F"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LT/1/26/6032/013 – N120 (2x60)</w:t>
            </w:r>
          </w:p>
          <w:p w14:paraId="506FA932"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LT/1/26/6032/014 – N180 (2x90)</w:t>
            </w:r>
          </w:p>
          <w:p w14:paraId="66BAB7D5"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LT/1/26/6032/015 – N180 (3x60)</w:t>
            </w:r>
          </w:p>
          <w:p w14:paraId="242B49F6"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LT/1/26/6032/016 – N196 (2x98)</w:t>
            </w:r>
          </w:p>
          <w:p w14:paraId="782ED772" w14:textId="2BC12534" w:rsidR="00C26C35" w:rsidRPr="00C26C35" w:rsidRDefault="00C26C35" w:rsidP="00C26C35">
            <w:pPr>
              <w:widowControl w:val="0"/>
              <w:tabs>
                <w:tab w:val="left" w:pos="567"/>
              </w:tabs>
              <w:outlineLvl w:val="2"/>
              <w:rPr>
                <w:b/>
                <w:bCs/>
                <w:snapToGrid w:val="0"/>
                <w:sz w:val="22"/>
                <w:szCs w:val="22"/>
                <w:lang w:eastAsia="lt-LT"/>
              </w:rPr>
            </w:pPr>
            <w:r w:rsidRPr="00C26C35">
              <w:rPr>
                <w:snapToGrid w:val="0"/>
                <w:sz w:val="22"/>
                <w:szCs w:val="22"/>
                <w:lang w:eastAsia="lt-LT"/>
              </w:rPr>
              <w:t>LT/1/26/6032/017 – N200 (2x100)</w:t>
            </w:r>
          </w:p>
        </w:tc>
        <w:tc>
          <w:tcPr>
            <w:tcW w:w="4532" w:type="dxa"/>
          </w:tcPr>
          <w:p w14:paraId="1D6593D1" w14:textId="77777777" w:rsidR="00C26C35" w:rsidRPr="00C26C35" w:rsidRDefault="00C26C35">
            <w:pPr>
              <w:widowControl w:val="0"/>
              <w:tabs>
                <w:tab w:val="left" w:pos="567"/>
              </w:tabs>
              <w:outlineLvl w:val="2"/>
              <w:rPr>
                <w:rFonts w:eastAsia="Calibri"/>
                <w:sz w:val="22"/>
                <w:szCs w:val="22"/>
                <w:u w:val="single"/>
              </w:rPr>
            </w:pPr>
            <w:r w:rsidRPr="00C26C35">
              <w:rPr>
                <w:rFonts w:eastAsia="Calibri"/>
                <w:sz w:val="22"/>
                <w:szCs w:val="22"/>
                <w:u w:val="single"/>
              </w:rPr>
              <w:t xml:space="preserve">2,5 mg/ </w:t>
            </w:r>
            <w:r w:rsidRPr="00C26C35">
              <w:rPr>
                <w:rFonts w:eastAsia="Calibri"/>
                <w:sz w:val="22"/>
                <w:szCs w:val="22"/>
                <w:u w:val="single"/>
              </w:rPr>
              <w:t>100</w:t>
            </w:r>
            <w:r w:rsidRPr="00C26C35">
              <w:rPr>
                <w:rFonts w:eastAsia="Calibri"/>
                <w:sz w:val="22"/>
                <w:szCs w:val="22"/>
                <w:u w:val="single"/>
              </w:rPr>
              <w:t>0 mg</w:t>
            </w:r>
          </w:p>
          <w:p w14:paraId="05C7944F"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LT/1/26/6033/001 – N10</w:t>
            </w:r>
          </w:p>
          <w:p w14:paraId="54915D9C"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LT/1/26/6033/002 – N14</w:t>
            </w:r>
          </w:p>
          <w:p w14:paraId="67C10B60"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LT/1/26/6033/003 – N28</w:t>
            </w:r>
          </w:p>
          <w:p w14:paraId="73DE5CAE"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LT/1/26/6033/004 – N30</w:t>
            </w:r>
          </w:p>
          <w:p w14:paraId="34967440"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LT/1/26/6033/005 – N56</w:t>
            </w:r>
          </w:p>
          <w:p w14:paraId="0AF68A9A"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LT/1/26/6033/006 – N60</w:t>
            </w:r>
          </w:p>
          <w:p w14:paraId="2F2FF722"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LT/1/26/6033/007 – N84</w:t>
            </w:r>
          </w:p>
          <w:p w14:paraId="5E28AE3D"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LT/1/26/6033/008 – N90</w:t>
            </w:r>
          </w:p>
          <w:p w14:paraId="59B140A9"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LT/1/26/6033/009 – N98</w:t>
            </w:r>
          </w:p>
          <w:p w14:paraId="000A7FD2"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LT/1/26/6033/010 – N100</w:t>
            </w:r>
          </w:p>
          <w:p w14:paraId="2DD64866"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LT/1/26/6033/011 – N112</w:t>
            </w:r>
          </w:p>
          <w:p w14:paraId="10A431DF"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LT/1/26/6033/012 – N120</w:t>
            </w:r>
          </w:p>
          <w:p w14:paraId="0619FDB3"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LT/1/26/6033/013 – N120 (2x60)</w:t>
            </w:r>
          </w:p>
          <w:p w14:paraId="2E266CA8"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LT/1/26/6033/014 – N180 (2x90)</w:t>
            </w:r>
          </w:p>
          <w:p w14:paraId="13233E74"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LT/1/26/6033/015 – N180 (3x60)</w:t>
            </w:r>
          </w:p>
          <w:p w14:paraId="4A1F9E50" w14:textId="77777777" w:rsidR="00C26C35" w:rsidRPr="00C26C35" w:rsidRDefault="00C26C35" w:rsidP="00C26C35">
            <w:pPr>
              <w:widowControl w:val="0"/>
              <w:tabs>
                <w:tab w:val="left" w:pos="567"/>
              </w:tabs>
              <w:outlineLvl w:val="2"/>
              <w:rPr>
                <w:snapToGrid w:val="0"/>
                <w:sz w:val="22"/>
                <w:szCs w:val="22"/>
                <w:lang w:eastAsia="lt-LT"/>
              </w:rPr>
            </w:pPr>
            <w:r w:rsidRPr="00C26C35">
              <w:rPr>
                <w:snapToGrid w:val="0"/>
                <w:sz w:val="22"/>
                <w:szCs w:val="22"/>
                <w:lang w:eastAsia="lt-LT"/>
              </w:rPr>
              <w:t>LT/1/26/6033/016 – N196 (2x98)</w:t>
            </w:r>
          </w:p>
          <w:p w14:paraId="380C3A82" w14:textId="3A09496A" w:rsidR="00C26C35" w:rsidRPr="00C26C35" w:rsidRDefault="00C26C35" w:rsidP="00C26C35">
            <w:pPr>
              <w:widowControl w:val="0"/>
              <w:tabs>
                <w:tab w:val="left" w:pos="567"/>
              </w:tabs>
              <w:outlineLvl w:val="2"/>
              <w:rPr>
                <w:b/>
                <w:bCs/>
                <w:snapToGrid w:val="0"/>
                <w:sz w:val="22"/>
                <w:szCs w:val="22"/>
                <w:lang w:eastAsia="lt-LT"/>
              </w:rPr>
            </w:pPr>
            <w:r w:rsidRPr="00C26C35">
              <w:rPr>
                <w:snapToGrid w:val="0"/>
                <w:sz w:val="22"/>
                <w:szCs w:val="22"/>
                <w:lang w:eastAsia="lt-LT"/>
              </w:rPr>
              <w:t>LT/1/26/6033/017 – N200 (2x100)</w:t>
            </w:r>
          </w:p>
        </w:tc>
      </w:tr>
    </w:tbl>
    <w:p w14:paraId="2DD7813C" w14:textId="77777777" w:rsidR="003F7CCA" w:rsidRDefault="003F7CCA">
      <w:pPr>
        <w:widowControl w:val="0"/>
        <w:tabs>
          <w:tab w:val="left" w:pos="567"/>
        </w:tabs>
        <w:outlineLvl w:val="2"/>
        <w:rPr>
          <w:b/>
          <w:bCs/>
          <w:snapToGrid w:val="0"/>
          <w:sz w:val="22"/>
          <w:szCs w:val="22"/>
          <w:lang w:eastAsia="lt-LT"/>
        </w:rPr>
      </w:pPr>
    </w:p>
    <w:p w14:paraId="3F85947E" w14:textId="77777777" w:rsidR="003F7CCA" w:rsidRDefault="003F7CCA">
      <w:pPr>
        <w:widowControl w:val="0"/>
        <w:rPr>
          <w:sz w:val="22"/>
          <w:szCs w:val="22"/>
          <w:lang w:eastAsia="en-US"/>
        </w:rPr>
      </w:pPr>
    </w:p>
    <w:p w14:paraId="029E7A5F" w14:textId="77777777" w:rsidR="003F7CCA" w:rsidRDefault="0080197E">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14C944C3" w14:textId="77777777" w:rsidR="003F7CCA" w:rsidRDefault="003F7CCA">
      <w:pPr>
        <w:widowControl w:val="0"/>
        <w:rPr>
          <w:snapToGrid w:val="0"/>
          <w:sz w:val="22"/>
          <w:szCs w:val="22"/>
          <w:lang w:eastAsia="en-US"/>
        </w:rPr>
      </w:pPr>
    </w:p>
    <w:p w14:paraId="085FB3CE" w14:textId="4325E1F0" w:rsidR="003F7CCA" w:rsidRDefault="0080197E">
      <w:pPr>
        <w:widowControl w:val="0"/>
        <w:rPr>
          <w:snapToGrid w:val="0"/>
          <w:sz w:val="22"/>
          <w:szCs w:val="22"/>
          <w:lang w:eastAsia="en-US"/>
        </w:rPr>
      </w:pPr>
      <w:r>
        <w:rPr>
          <w:snapToGrid w:val="0"/>
          <w:sz w:val="22"/>
          <w:szCs w:val="22"/>
          <w:lang w:eastAsia="en-US"/>
        </w:rPr>
        <w:t>Registravimo data</w:t>
      </w:r>
      <w:r w:rsidR="00C26C35">
        <w:rPr>
          <w:snapToGrid w:val="0"/>
          <w:sz w:val="22"/>
          <w:szCs w:val="22"/>
          <w:lang w:eastAsia="en-US"/>
        </w:rPr>
        <w:t xml:space="preserve"> 2026 m. gegužės 20 d.</w:t>
      </w:r>
    </w:p>
    <w:p w14:paraId="5A818A79" w14:textId="77777777" w:rsidR="003F7CCA" w:rsidRDefault="003F7CCA">
      <w:pPr>
        <w:rPr>
          <w:snapToGrid w:val="0"/>
          <w:sz w:val="22"/>
          <w:szCs w:val="22"/>
          <w:lang w:eastAsia="en-US"/>
        </w:rPr>
      </w:pPr>
    </w:p>
    <w:p w14:paraId="36AA3D57" w14:textId="77777777" w:rsidR="003F7CCA" w:rsidRDefault="003F7CCA">
      <w:pPr>
        <w:widowControl w:val="0"/>
        <w:rPr>
          <w:snapToGrid w:val="0"/>
          <w:sz w:val="22"/>
          <w:szCs w:val="22"/>
          <w:lang w:eastAsia="en-US"/>
        </w:rPr>
      </w:pPr>
    </w:p>
    <w:p w14:paraId="3C001656" w14:textId="77777777" w:rsidR="003F7CCA" w:rsidRDefault="0080197E">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6A65B203" w14:textId="77777777" w:rsidR="003F7CCA" w:rsidRDefault="003F7CCA">
      <w:pPr>
        <w:widowControl w:val="0"/>
        <w:rPr>
          <w:snapToGrid w:val="0"/>
          <w:sz w:val="22"/>
          <w:szCs w:val="22"/>
          <w:lang w:eastAsia="en-US"/>
        </w:rPr>
      </w:pPr>
    </w:p>
    <w:p w14:paraId="38190715" w14:textId="6B34094A" w:rsidR="00631D92" w:rsidRDefault="00C26C35">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2026 m. gegužės 20 d.</w:t>
      </w:r>
    </w:p>
    <w:p w14:paraId="27ABE11D" w14:textId="77777777" w:rsidR="00631D92" w:rsidRDefault="00631D92">
      <w:pPr>
        <w:widowControl w:val="0"/>
        <w:tabs>
          <w:tab w:val="left" w:pos="5954"/>
          <w:tab w:val="left" w:pos="6237"/>
          <w:tab w:val="left" w:pos="6663"/>
          <w:tab w:val="left" w:pos="6946"/>
        </w:tabs>
        <w:rPr>
          <w:rFonts w:eastAsia="SimSun"/>
          <w:sz w:val="22"/>
          <w:szCs w:val="22"/>
          <w:lang w:eastAsia="en-US"/>
        </w:rPr>
      </w:pPr>
    </w:p>
    <w:p w14:paraId="375A1677" w14:textId="77777777" w:rsidR="00631D92" w:rsidRDefault="00631D92">
      <w:pPr>
        <w:widowControl w:val="0"/>
        <w:tabs>
          <w:tab w:val="left" w:pos="5954"/>
          <w:tab w:val="left" w:pos="6237"/>
          <w:tab w:val="left" w:pos="6663"/>
          <w:tab w:val="left" w:pos="6946"/>
        </w:tabs>
        <w:rPr>
          <w:rFonts w:eastAsia="SimSun"/>
          <w:sz w:val="22"/>
          <w:szCs w:val="22"/>
          <w:lang w:eastAsia="en-US"/>
        </w:rPr>
      </w:pPr>
    </w:p>
    <w:p w14:paraId="5A6B15F3" w14:textId="71AA8FC3" w:rsidR="003F7CCA" w:rsidRDefault="0080197E">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5935E497" w14:textId="77777777" w:rsidR="003F7CCA" w:rsidRDefault="0080197E">
      <w:pPr>
        <w:widowControl w:val="0"/>
        <w:tabs>
          <w:tab w:val="left" w:pos="4962"/>
        </w:tabs>
        <w:rPr>
          <w:rFonts w:eastAsia="SimSun"/>
          <w:sz w:val="22"/>
          <w:szCs w:val="22"/>
          <w:lang w:eastAsia="en-US"/>
        </w:rPr>
      </w:pPr>
      <w:r>
        <w:rPr>
          <w:rFonts w:eastAsia="SimSun"/>
          <w:sz w:val="22"/>
          <w:szCs w:val="22"/>
          <w:lang w:eastAsia="en-US"/>
        </w:rPr>
        <w:br w:type="page"/>
      </w:r>
    </w:p>
    <w:p w14:paraId="038F627B" w14:textId="77777777" w:rsidR="003F7CCA" w:rsidRDefault="003F7CCA">
      <w:pPr>
        <w:rPr>
          <w:rFonts w:eastAsia="Calibri"/>
          <w:sz w:val="22"/>
          <w:szCs w:val="22"/>
          <w:lang w:eastAsia="en-US"/>
        </w:rPr>
      </w:pPr>
    </w:p>
    <w:p w14:paraId="2EC1B232" w14:textId="77777777" w:rsidR="003F7CCA" w:rsidRDefault="003F7CCA">
      <w:pPr>
        <w:spacing w:line="259" w:lineRule="auto"/>
        <w:jc w:val="center"/>
        <w:rPr>
          <w:rFonts w:eastAsia="Calibri"/>
          <w:b/>
          <w:sz w:val="22"/>
          <w:szCs w:val="22"/>
          <w:lang w:eastAsia="en-US"/>
        </w:rPr>
      </w:pPr>
    </w:p>
    <w:p w14:paraId="57DDF3C4" w14:textId="77777777" w:rsidR="003F7CCA" w:rsidRDefault="003F7CCA">
      <w:pPr>
        <w:spacing w:line="259" w:lineRule="auto"/>
        <w:jc w:val="center"/>
        <w:rPr>
          <w:rFonts w:eastAsia="Calibri"/>
          <w:b/>
          <w:sz w:val="22"/>
          <w:szCs w:val="22"/>
          <w:lang w:eastAsia="en-US"/>
        </w:rPr>
      </w:pPr>
    </w:p>
    <w:p w14:paraId="78DD8A9B" w14:textId="77777777" w:rsidR="003F7CCA" w:rsidRDefault="003F7CCA">
      <w:pPr>
        <w:spacing w:line="259" w:lineRule="auto"/>
        <w:jc w:val="center"/>
        <w:rPr>
          <w:rFonts w:eastAsia="Calibri"/>
          <w:b/>
          <w:sz w:val="22"/>
          <w:szCs w:val="22"/>
          <w:lang w:eastAsia="en-US"/>
        </w:rPr>
      </w:pPr>
    </w:p>
    <w:p w14:paraId="661B456E" w14:textId="77777777" w:rsidR="003F7CCA" w:rsidRDefault="003F7CCA">
      <w:pPr>
        <w:spacing w:line="259" w:lineRule="auto"/>
        <w:jc w:val="center"/>
        <w:rPr>
          <w:rFonts w:eastAsia="Calibri"/>
          <w:b/>
          <w:sz w:val="22"/>
          <w:szCs w:val="22"/>
          <w:lang w:eastAsia="en-US"/>
        </w:rPr>
      </w:pPr>
    </w:p>
    <w:p w14:paraId="3F43872B" w14:textId="77777777" w:rsidR="003F7CCA" w:rsidRDefault="003F7CCA">
      <w:pPr>
        <w:spacing w:line="259" w:lineRule="auto"/>
        <w:jc w:val="center"/>
        <w:rPr>
          <w:rFonts w:eastAsia="Calibri"/>
          <w:b/>
          <w:sz w:val="22"/>
          <w:szCs w:val="22"/>
          <w:lang w:eastAsia="en-US"/>
        </w:rPr>
      </w:pPr>
    </w:p>
    <w:p w14:paraId="1CA56047" w14:textId="77777777" w:rsidR="003F7CCA" w:rsidRDefault="003F7CCA">
      <w:pPr>
        <w:spacing w:line="259" w:lineRule="auto"/>
        <w:jc w:val="center"/>
        <w:rPr>
          <w:rFonts w:eastAsia="Calibri"/>
          <w:b/>
          <w:sz w:val="22"/>
          <w:szCs w:val="22"/>
          <w:lang w:eastAsia="en-US"/>
        </w:rPr>
      </w:pPr>
    </w:p>
    <w:p w14:paraId="0F6B4D9A" w14:textId="77777777" w:rsidR="003F7CCA" w:rsidRDefault="003F7CCA">
      <w:pPr>
        <w:spacing w:line="259" w:lineRule="auto"/>
        <w:jc w:val="center"/>
        <w:rPr>
          <w:rFonts w:eastAsia="Calibri"/>
          <w:b/>
          <w:sz w:val="22"/>
          <w:szCs w:val="22"/>
          <w:lang w:eastAsia="en-US"/>
        </w:rPr>
      </w:pPr>
    </w:p>
    <w:p w14:paraId="228CBD34" w14:textId="77777777" w:rsidR="003F7CCA" w:rsidRDefault="003F7CCA">
      <w:pPr>
        <w:spacing w:line="259" w:lineRule="auto"/>
        <w:jc w:val="center"/>
        <w:rPr>
          <w:rFonts w:eastAsia="Calibri"/>
          <w:b/>
          <w:sz w:val="22"/>
          <w:szCs w:val="22"/>
          <w:lang w:eastAsia="en-US"/>
        </w:rPr>
      </w:pPr>
    </w:p>
    <w:p w14:paraId="0C432679" w14:textId="77777777" w:rsidR="003F7CCA" w:rsidRDefault="003F7CCA">
      <w:pPr>
        <w:spacing w:line="259" w:lineRule="auto"/>
        <w:jc w:val="center"/>
        <w:rPr>
          <w:rFonts w:eastAsia="Calibri"/>
          <w:b/>
          <w:sz w:val="22"/>
          <w:szCs w:val="22"/>
          <w:lang w:eastAsia="en-US"/>
        </w:rPr>
      </w:pPr>
    </w:p>
    <w:p w14:paraId="07279460" w14:textId="77777777" w:rsidR="003F7CCA" w:rsidRDefault="003F7CCA">
      <w:pPr>
        <w:spacing w:line="259" w:lineRule="auto"/>
        <w:jc w:val="center"/>
        <w:rPr>
          <w:rFonts w:eastAsia="Calibri"/>
          <w:b/>
          <w:sz w:val="22"/>
          <w:szCs w:val="22"/>
          <w:lang w:eastAsia="en-US"/>
        </w:rPr>
      </w:pPr>
    </w:p>
    <w:p w14:paraId="1473E4FE" w14:textId="77777777" w:rsidR="003F7CCA" w:rsidRDefault="003F7CCA">
      <w:pPr>
        <w:spacing w:line="259" w:lineRule="auto"/>
        <w:jc w:val="center"/>
        <w:rPr>
          <w:rFonts w:eastAsia="Calibri"/>
          <w:b/>
          <w:sz w:val="22"/>
          <w:szCs w:val="22"/>
          <w:lang w:eastAsia="en-US"/>
        </w:rPr>
      </w:pPr>
    </w:p>
    <w:p w14:paraId="3D24AE01" w14:textId="77777777" w:rsidR="003F7CCA" w:rsidRDefault="003F7CCA">
      <w:pPr>
        <w:spacing w:line="259" w:lineRule="auto"/>
        <w:jc w:val="center"/>
        <w:rPr>
          <w:rFonts w:eastAsia="Calibri"/>
          <w:b/>
          <w:sz w:val="22"/>
          <w:szCs w:val="22"/>
          <w:lang w:eastAsia="en-US"/>
        </w:rPr>
      </w:pPr>
    </w:p>
    <w:p w14:paraId="43342C03" w14:textId="77777777" w:rsidR="003F7CCA" w:rsidRDefault="003F7CCA">
      <w:pPr>
        <w:spacing w:line="259" w:lineRule="auto"/>
        <w:jc w:val="center"/>
        <w:rPr>
          <w:rFonts w:eastAsia="Calibri"/>
          <w:b/>
          <w:sz w:val="22"/>
          <w:szCs w:val="22"/>
          <w:lang w:eastAsia="en-US"/>
        </w:rPr>
      </w:pPr>
    </w:p>
    <w:p w14:paraId="43894C27" w14:textId="77777777" w:rsidR="003F7CCA" w:rsidRDefault="003F7CCA">
      <w:pPr>
        <w:spacing w:line="259" w:lineRule="auto"/>
        <w:jc w:val="center"/>
        <w:rPr>
          <w:rFonts w:eastAsia="Calibri"/>
          <w:b/>
          <w:sz w:val="22"/>
          <w:szCs w:val="22"/>
          <w:lang w:eastAsia="en-US"/>
        </w:rPr>
      </w:pPr>
    </w:p>
    <w:p w14:paraId="053B3E93" w14:textId="77777777" w:rsidR="003F7CCA" w:rsidRDefault="003F7CCA">
      <w:pPr>
        <w:spacing w:line="259" w:lineRule="auto"/>
        <w:jc w:val="center"/>
        <w:rPr>
          <w:rFonts w:eastAsia="Calibri"/>
          <w:b/>
          <w:sz w:val="22"/>
          <w:szCs w:val="22"/>
          <w:lang w:eastAsia="en-US"/>
        </w:rPr>
      </w:pPr>
    </w:p>
    <w:p w14:paraId="4CDC4F0A" w14:textId="77777777" w:rsidR="003F7CCA" w:rsidRDefault="003F7CCA">
      <w:pPr>
        <w:spacing w:line="259" w:lineRule="auto"/>
        <w:jc w:val="center"/>
        <w:rPr>
          <w:rFonts w:eastAsia="Calibri"/>
          <w:b/>
          <w:sz w:val="22"/>
          <w:szCs w:val="22"/>
          <w:lang w:eastAsia="en-US"/>
        </w:rPr>
      </w:pPr>
    </w:p>
    <w:p w14:paraId="3AD110F8" w14:textId="77777777" w:rsidR="003F7CCA" w:rsidRDefault="003F7CCA">
      <w:pPr>
        <w:spacing w:line="259" w:lineRule="auto"/>
        <w:jc w:val="center"/>
        <w:rPr>
          <w:rFonts w:eastAsia="Calibri"/>
          <w:b/>
          <w:sz w:val="22"/>
          <w:szCs w:val="22"/>
          <w:lang w:eastAsia="en-US"/>
        </w:rPr>
      </w:pPr>
    </w:p>
    <w:p w14:paraId="0184C7E0" w14:textId="77777777" w:rsidR="003F7CCA" w:rsidRDefault="003F7CCA">
      <w:pPr>
        <w:spacing w:line="259" w:lineRule="auto"/>
        <w:jc w:val="center"/>
        <w:rPr>
          <w:rFonts w:eastAsia="Calibri"/>
          <w:b/>
          <w:sz w:val="22"/>
          <w:szCs w:val="22"/>
          <w:lang w:eastAsia="en-US"/>
        </w:rPr>
      </w:pPr>
    </w:p>
    <w:p w14:paraId="5DF47E51" w14:textId="77777777" w:rsidR="003F7CCA" w:rsidRDefault="003F7CCA">
      <w:pPr>
        <w:spacing w:line="259" w:lineRule="auto"/>
        <w:jc w:val="center"/>
        <w:rPr>
          <w:rFonts w:eastAsia="Calibri"/>
          <w:b/>
          <w:sz w:val="22"/>
          <w:szCs w:val="22"/>
          <w:lang w:eastAsia="en-US"/>
        </w:rPr>
      </w:pPr>
    </w:p>
    <w:p w14:paraId="079ECE22" w14:textId="77777777" w:rsidR="003F7CCA" w:rsidRDefault="003F7CCA">
      <w:pPr>
        <w:spacing w:line="259" w:lineRule="auto"/>
        <w:jc w:val="center"/>
        <w:rPr>
          <w:rFonts w:eastAsia="Calibri"/>
          <w:b/>
          <w:sz w:val="22"/>
          <w:szCs w:val="22"/>
          <w:lang w:eastAsia="en-US"/>
        </w:rPr>
      </w:pPr>
    </w:p>
    <w:p w14:paraId="7256B216" w14:textId="77777777" w:rsidR="003F7CCA" w:rsidRDefault="003F7CCA">
      <w:pPr>
        <w:spacing w:line="259" w:lineRule="auto"/>
        <w:jc w:val="center"/>
        <w:rPr>
          <w:rFonts w:eastAsia="Calibri"/>
          <w:b/>
          <w:sz w:val="22"/>
          <w:szCs w:val="22"/>
          <w:lang w:eastAsia="en-US"/>
        </w:rPr>
      </w:pPr>
    </w:p>
    <w:p w14:paraId="02FAD7A1" w14:textId="77777777" w:rsidR="003F7CCA" w:rsidRDefault="003F7CCA">
      <w:pPr>
        <w:spacing w:line="259" w:lineRule="auto"/>
        <w:jc w:val="center"/>
        <w:rPr>
          <w:rFonts w:eastAsia="Calibri"/>
          <w:b/>
          <w:sz w:val="22"/>
          <w:szCs w:val="22"/>
          <w:lang w:eastAsia="en-US"/>
        </w:rPr>
      </w:pPr>
    </w:p>
    <w:p w14:paraId="5DBAE09D" w14:textId="77777777" w:rsidR="003F7CCA" w:rsidRDefault="0080197E">
      <w:pPr>
        <w:spacing w:line="259" w:lineRule="auto"/>
        <w:jc w:val="center"/>
        <w:rPr>
          <w:rFonts w:eastAsia="Calibri"/>
          <w:b/>
          <w:sz w:val="22"/>
          <w:szCs w:val="22"/>
          <w:lang w:eastAsia="en-US"/>
        </w:rPr>
      </w:pPr>
      <w:r>
        <w:rPr>
          <w:rFonts w:eastAsia="Calibri"/>
          <w:b/>
          <w:sz w:val="22"/>
          <w:szCs w:val="22"/>
          <w:lang w:eastAsia="en-US"/>
        </w:rPr>
        <w:t>II PRIEDAS</w:t>
      </w:r>
    </w:p>
    <w:p w14:paraId="6547C8D1" w14:textId="77777777" w:rsidR="003F7CCA" w:rsidRDefault="003F7CCA">
      <w:pPr>
        <w:spacing w:line="259" w:lineRule="auto"/>
        <w:ind w:hanging="567"/>
        <w:jc w:val="center"/>
        <w:rPr>
          <w:rFonts w:eastAsia="Calibri"/>
          <w:sz w:val="22"/>
          <w:szCs w:val="22"/>
          <w:lang w:eastAsia="en-US"/>
        </w:rPr>
      </w:pPr>
    </w:p>
    <w:p w14:paraId="0DEFD557" w14:textId="77777777" w:rsidR="003F7CCA" w:rsidRDefault="0080197E">
      <w:pPr>
        <w:spacing w:line="259" w:lineRule="auto"/>
        <w:jc w:val="center"/>
        <w:rPr>
          <w:rFonts w:eastAsia="Calibri"/>
          <w:i/>
          <w:sz w:val="22"/>
          <w:szCs w:val="22"/>
          <w:lang w:eastAsia="en-US"/>
        </w:rPr>
      </w:pPr>
      <w:r>
        <w:rPr>
          <w:rFonts w:eastAsia="Calibri"/>
          <w:b/>
          <w:sz w:val="22"/>
          <w:szCs w:val="22"/>
          <w:lang w:eastAsia="en-US"/>
        </w:rPr>
        <w:t>REGISTRACIJOS SĄLYGOS</w:t>
      </w:r>
    </w:p>
    <w:p w14:paraId="44D83529" w14:textId="77777777" w:rsidR="003F7CCA" w:rsidRDefault="003F7CCA">
      <w:pPr>
        <w:spacing w:line="259" w:lineRule="auto"/>
        <w:rPr>
          <w:rFonts w:eastAsia="Calibri"/>
          <w:sz w:val="22"/>
          <w:szCs w:val="22"/>
          <w:lang w:eastAsia="en-US"/>
        </w:rPr>
      </w:pPr>
    </w:p>
    <w:p w14:paraId="357C3578" w14:textId="77777777" w:rsidR="003F7CCA" w:rsidRDefault="0080197E">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791C12AF" w14:textId="77777777" w:rsidR="003F7CCA" w:rsidRDefault="003F7CCA">
      <w:pPr>
        <w:tabs>
          <w:tab w:val="left" w:pos="1701"/>
        </w:tabs>
        <w:spacing w:line="259" w:lineRule="auto"/>
        <w:ind w:left="1701" w:hanging="567"/>
        <w:rPr>
          <w:rFonts w:eastAsia="Calibri"/>
          <w:noProof/>
          <w:sz w:val="22"/>
          <w:szCs w:val="22"/>
          <w:lang w:eastAsia="en-US"/>
        </w:rPr>
      </w:pPr>
    </w:p>
    <w:p w14:paraId="4505B876" w14:textId="77777777" w:rsidR="003F7CCA" w:rsidRDefault="0080197E">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07826E7F" w14:textId="77777777" w:rsidR="003F7CCA" w:rsidRDefault="0080197E">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31D5B9A2" w14:textId="77777777" w:rsidR="003F7CCA" w:rsidRDefault="003F7CCA">
      <w:pPr>
        <w:spacing w:line="259" w:lineRule="auto"/>
        <w:rPr>
          <w:rFonts w:eastAsia="Calibri"/>
          <w:sz w:val="22"/>
          <w:szCs w:val="22"/>
          <w:lang w:eastAsia="en-US"/>
        </w:rPr>
      </w:pPr>
    </w:p>
    <w:p w14:paraId="6F3F37DE" w14:textId="77777777" w:rsidR="003F7CCA" w:rsidRDefault="0080197E">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674F2C71" w14:textId="77777777" w:rsidR="003F7CCA" w:rsidRDefault="003F7CCA">
      <w:pPr>
        <w:spacing w:line="259" w:lineRule="auto"/>
        <w:rPr>
          <w:rFonts w:eastAsia="Calibri"/>
          <w:sz w:val="22"/>
          <w:szCs w:val="22"/>
          <w:lang w:eastAsia="en-US"/>
        </w:rPr>
      </w:pPr>
    </w:p>
    <w:p w14:paraId="6368E15C" w14:textId="77777777" w:rsidR="003F7CCA" w:rsidRDefault="0080197E">
      <w:pPr>
        <w:widowControl w:val="0"/>
        <w:rPr>
          <w:b/>
          <w:sz w:val="22"/>
          <w:szCs w:val="22"/>
          <w:lang w:eastAsia="sl-SI"/>
        </w:rPr>
      </w:pPr>
      <w:bookmarkStart w:id="13"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99A7F5B" w14:textId="77777777" w:rsidR="003F7CCA" w:rsidRDefault="0080197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4714A657" w14:textId="77777777" w:rsidR="003F7CCA" w:rsidRDefault="0080197E">
      <w:pPr>
        <w:widowControl w:val="0"/>
        <w:rPr>
          <w:b/>
          <w:sz w:val="22"/>
          <w:szCs w:val="22"/>
          <w:lang w:eastAsia="sl-SI"/>
        </w:rPr>
      </w:pPr>
      <w:r>
        <w:rPr>
          <w:sz w:val="22"/>
          <w:szCs w:val="22"/>
          <w:lang w:eastAsia="sl-SI"/>
        </w:rPr>
        <w:t>8501 Novo mesto</w:t>
      </w:r>
    </w:p>
    <w:p w14:paraId="7E3E411A" w14:textId="77777777" w:rsidR="003F7CCA" w:rsidRDefault="0080197E">
      <w:pPr>
        <w:widowControl w:val="0"/>
        <w:rPr>
          <w:b/>
          <w:sz w:val="22"/>
          <w:szCs w:val="22"/>
          <w:lang w:eastAsia="sl-SI"/>
        </w:rPr>
      </w:pPr>
      <w:r>
        <w:rPr>
          <w:sz w:val="22"/>
          <w:szCs w:val="22"/>
          <w:lang w:eastAsia="sl-SI"/>
        </w:rPr>
        <w:t>Slovėnija</w:t>
      </w:r>
    </w:p>
    <w:bookmarkEnd w:id="13"/>
    <w:p w14:paraId="3554790F" w14:textId="77777777" w:rsidR="003F7CCA" w:rsidRDefault="003F7CCA">
      <w:pPr>
        <w:spacing w:line="259" w:lineRule="auto"/>
        <w:rPr>
          <w:rFonts w:eastAsia="Calibri"/>
          <w:sz w:val="22"/>
          <w:szCs w:val="22"/>
          <w:lang w:eastAsia="en-US"/>
        </w:rPr>
      </w:pPr>
    </w:p>
    <w:p w14:paraId="25D5C8C8" w14:textId="77777777" w:rsidR="003F7CCA" w:rsidRDefault="003F7CCA">
      <w:pPr>
        <w:spacing w:line="259" w:lineRule="auto"/>
        <w:rPr>
          <w:rFonts w:eastAsia="Calibri"/>
          <w:sz w:val="22"/>
          <w:szCs w:val="22"/>
          <w:lang w:eastAsia="en-US"/>
        </w:rPr>
      </w:pPr>
    </w:p>
    <w:p w14:paraId="15846332" w14:textId="77777777" w:rsidR="003F7CCA" w:rsidRDefault="0080197E">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12DE3408" w14:textId="77777777" w:rsidR="003F7CCA" w:rsidRDefault="003F7CCA">
      <w:pPr>
        <w:spacing w:line="259" w:lineRule="auto"/>
        <w:rPr>
          <w:rFonts w:eastAsia="Calibri"/>
          <w:sz w:val="22"/>
          <w:szCs w:val="22"/>
          <w:lang w:eastAsia="en-US"/>
        </w:rPr>
      </w:pPr>
    </w:p>
    <w:p w14:paraId="717ED997" w14:textId="77777777" w:rsidR="003F7CCA" w:rsidRDefault="0080197E">
      <w:pPr>
        <w:spacing w:line="259" w:lineRule="auto"/>
        <w:rPr>
          <w:rFonts w:eastAsia="Calibri"/>
          <w:sz w:val="22"/>
          <w:szCs w:val="22"/>
          <w:lang w:eastAsia="en-US"/>
        </w:rPr>
      </w:pPr>
      <w:r>
        <w:rPr>
          <w:rFonts w:eastAsia="Calibri"/>
          <w:sz w:val="22"/>
          <w:szCs w:val="22"/>
          <w:lang w:eastAsia="en-US"/>
        </w:rPr>
        <w:t>Receptinis vaistinis preparatas.</w:t>
      </w:r>
    </w:p>
    <w:p w14:paraId="2A6E6906" w14:textId="77777777" w:rsidR="003F7CCA" w:rsidRDefault="0080197E">
      <w:pPr>
        <w:spacing w:line="259" w:lineRule="auto"/>
        <w:rPr>
          <w:rFonts w:eastAsia="Calibri"/>
          <w:sz w:val="22"/>
          <w:szCs w:val="22"/>
          <w:lang w:eastAsia="en-US"/>
        </w:rPr>
      </w:pPr>
      <w:r>
        <w:rPr>
          <w:rFonts w:eastAsia="Calibri"/>
          <w:b/>
          <w:sz w:val="22"/>
          <w:szCs w:val="22"/>
          <w:lang w:eastAsia="en-US"/>
        </w:rPr>
        <w:br w:type="page"/>
      </w:r>
    </w:p>
    <w:p w14:paraId="68BFC5B2" w14:textId="77777777" w:rsidR="003F7CCA" w:rsidRDefault="003F7CCA">
      <w:pPr>
        <w:spacing w:line="259" w:lineRule="auto"/>
        <w:rPr>
          <w:rFonts w:eastAsia="Calibri"/>
          <w:sz w:val="22"/>
          <w:szCs w:val="22"/>
          <w:lang w:eastAsia="en-US"/>
        </w:rPr>
      </w:pPr>
    </w:p>
    <w:p w14:paraId="2010388C" w14:textId="77777777" w:rsidR="003F7CCA" w:rsidRDefault="003F7CCA">
      <w:pPr>
        <w:spacing w:line="259" w:lineRule="auto"/>
        <w:rPr>
          <w:rFonts w:eastAsia="Calibri"/>
          <w:sz w:val="22"/>
          <w:szCs w:val="22"/>
          <w:lang w:eastAsia="en-US"/>
        </w:rPr>
      </w:pPr>
    </w:p>
    <w:p w14:paraId="29562881" w14:textId="77777777" w:rsidR="003F7CCA" w:rsidRDefault="003F7CCA">
      <w:pPr>
        <w:spacing w:line="259" w:lineRule="auto"/>
        <w:rPr>
          <w:rFonts w:eastAsia="Calibri"/>
          <w:sz w:val="22"/>
          <w:szCs w:val="22"/>
          <w:lang w:eastAsia="en-US"/>
        </w:rPr>
      </w:pPr>
    </w:p>
    <w:p w14:paraId="695CA7F0" w14:textId="77777777" w:rsidR="003F7CCA" w:rsidRDefault="003F7CCA">
      <w:pPr>
        <w:spacing w:line="259" w:lineRule="auto"/>
        <w:rPr>
          <w:rFonts w:eastAsia="Calibri"/>
          <w:sz w:val="22"/>
          <w:szCs w:val="22"/>
          <w:lang w:eastAsia="en-US"/>
        </w:rPr>
      </w:pPr>
    </w:p>
    <w:p w14:paraId="22A3A28B" w14:textId="77777777" w:rsidR="003F7CCA" w:rsidRDefault="003F7CCA">
      <w:pPr>
        <w:spacing w:line="259" w:lineRule="auto"/>
        <w:rPr>
          <w:rFonts w:eastAsia="Calibri"/>
          <w:sz w:val="22"/>
          <w:szCs w:val="22"/>
          <w:lang w:eastAsia="en-US"/>
        </w:rPr>
      </w:pPr>
    </w:p>
    <w:p w14:paraId="7A9F67BD" w14:textId="77777777" w:rsidR="003F7CCA" w:rsidRDefault="003F7CCA">
      <w:pPr>
        <w:spacing w:line="259" w:lineRule="auto"/>
        <w:rPr>
          <w:rFonts w:eastAsia="Calibri"/>
          <w:sz w:val="22"/>
          <w:szCs w:val="22"/>
          <w:lang w:eastAsia="en-US"/>
        </w:rPr>
      </w:pPr>
    </w:p>
    <w:p w14:paraId="505BB52C" w14:textId="77777777" w:rsidR="003F7CCA" w:rsidRDefault="003F7CCA">
      <w:pPr>
        <w:spacing w:line="259" w:lineRule="auto"/>
        <w:rPr>
          <w:rFonts w:eastAsia="Calibri"/>
          <w:sz w:val="22"/>
          <w:szCs w:val="22"/>
          <w:lang w:eastAsia="en-US"/>
        </w:rPr>
      </w:pPr>
    </w:p>
    <w:p w14:paraId="69422808" w14:textId="77777777" w:rsidR="003F7CCA" w:rsidRDefault="003F7CCA">
      <w:pPr>
        <w:spacing w:line="259" w:lineRule="auto"/>
        <w:rPr>
          <w:rFonts w:eastAsia="Calibri"/>
          <w:sz w:val="22"/>
          <w:szCs w:val="22"/>
          <w:lang w:eastAsia="en-US"/>
        </w:rPr>
      </w:pPr>
    </w:p>
    <w:p w14:paraId="2A06ACF3" w14:textId="77777777" w:rsidR="003F7CCA" w:rsidRDefault="003F7CCA">
      <w:pPr>
        <w:spacing w:line="259" w:lineRule="auto"/>
        <w:rPr>
          <w:rFonts w:eastAsia="Calibri"/>
          <w:sz w:val="22"/>
          <w:szCs w:val="22"/>
          <w:lang w:eastAsia="en-US"/>
        </w:rPr>
      </w:pPr>
    </w:p>
    <w:p w14:paraId="5D25AB49" w14:textId="77777777" w:rsidR="003F7CCA" w:rsidRDefault="003F7CCA">
      <w:pPr>
        <w:spacing w:line="259" w:lineRule="auto"/>
        <w:rPr>
          <w:rFonts w:eastAsia="Calibri"/>
          <w:sz w:val="22"/>
          <w:szCs w:val="22"/>
          <w:lang w:eastAsia="en-US"/>
        </w:rPr>
      </w:pPr>
    </w:p>
    <w:p w14:paraId="0928F487" w14:textId="77777777" w:rsidR="003F7CCA" w:rsidRDefault="003F7CCA">
      <w:pPr>
        <w:spacing w:line="259" w:lineRule="auto"/>
        <w:rPr>
          <w:rFonts w:eastAsia="Calibri"/>
          <w:sz w:val="22"/>
          <w:szCs w:val="22"/>
          <w:lang w:eastAsia="en-US"/>
        </w:rPr>
      </w:pPr>
    </w:p>
    <w:p w14:paraId="03398CD4" w14:textId="77777777" w:rsidR="003F7CCA" w:rsidRDefault="003F7CCA">
      <w:pPr>
        <w:spacing w:line="259" w:lineRule="auto"/>
        <w:rPr>
          <w:rFonts w:eastAsia="Calibri"/>
          <w:sz w:val="22"/>
          <w:szCs w:val="22"/>
          <w:lang w:eastAsia="en-US"/>
        </w:rPr>
      </w:pPr>
    </w:p>
    <w:p w14:paraId="51DC53D1" w14:textId="77777777" w:rsidR="003F7CCA" w:rsidRDefault="003F7CCA">
      <w:pPr>
        <w:spacing w:line="259" w:lineRule="auto"/>
        <w:rPr>
          <w:rFonts w:eastAsia="Calibri"/>
          <w:sz w:val="22"/>
          <w:szCs w:val="22"/>
          <w:lang w:eastAsia="en-US"/>
        </w:rPr>
      </w:pPr>
    </w:p>
    <w:p w14:paraId="0C88589D" w14:textId="77777777" w:rsidR="003F7CCA" w:rsidRDefault="003F7CCA">
      <w:pPr>
        <w:spacing w:line="259" w:lineRule="auto"/>
        <w:rPr>
          <w:rFonts w:eastAsia="Calibri"/>
          <w:sz w:val="22"/>
          <w:szCs w:val="22"/>
          <w:lang w:eastAsia="en-US"/>
        </w:rPr>
      </w:pPr>
    </w:p>
    <w:p w14:paraId="65BC47CA" w14:textId="77777777" w:rsidR="003F7CCA" w:rsidRDefault="003F7CCA">
      <w:pPr>
        <w:spacing w:line="259" w:lineRule="auto"/>
        <w:rPr>
          <w:rFonts w:eastAsia="Calibri"/>
          <w:sz w:val="22"/>
          <w:szCs w:val="22"/>
          <w:lang w:eastAsia="en-US"/>
        </w:rPr>
      </w:pPr>
    </w:p>
    <w:p w14:paraId="031AF88A" w14:textId="77777777" w:rsidR="003F7CCA" w:rsidRDefault="003F7CCA">
      <w:pPr>
        <w:spacing w:line="259" w:lineRule="auto"/>
        <w:rPr>
          <w:rFonts w:eastAsia="Calibri"/>
          <w:sz w:val="22"/>
          <w:szCs w:val="22"/>
          <w:lang w:eastAsia="en-US"/>
        </w:rPr>
      </w:pPr>
    </w:p>
    <w:p w14:paraId="3CBD65AE" w14:textId="77777777" w:rsidR="003F7CCA" w:rsidRDefault="003F7CCA">
      <w:pPr>
        <w:spacing w:line="259" w:lineRule="auto"/>
        <w:outlineLvl w:val="0"/>
        <w:rPr>
          <w:rFonts w:eastAsia="Calibri"/>
          <w:b/>
          <w:sz w:val="22"/>
          <w:szCs w:val="22"/>
          <w:lang w:eastAsia="en-US"/>
        </w:rPr>
      </w:pPr>
    </w:p>
    <w:p w14:paraId="48F289BF" w14:textId="77777777" w:rsidR="003F7CCA" w:rsidRDefault="003F7CCA">
      <w:pPr>
        <w:spacing w:line="259" w:lineRule="auto"/>
        <w:outlineLvl w:val="0"/>
        <w:rPr>
          <w:rFonts w:eastAsia="Calibri"/>
          <w:b/>
          <w:sz w:val="22"/>
          <w:szCs w:val="22"/>
          <w:lang w:eastAsia="en-US"/>
        </w:rPr>
      </w:pPr>
    </w:p>
    <w:p w14:paraId="1B9B4473" w14:textId="77777777" w:rsidR="003F7CCA" w:rsidRDefault="003F7CCA">
      <w:pPr>
        <w:spacing w:line="259" w:lineRule="auto"/>
        <w:outlineLvl w:val="0"/>
        <w:rPr>
          <w:rFonts w:eastAsia="Calibri"/>
          <w:b/>
          <w:sz w:val="22"/>
          <w:szCs w:val="22"/>
          <w:lang w:eastAsia="en-US"/>
        </w:rPr>
      </w:pPr>
    </w:p>
    <w:p w14:paraId="2E9D9E02" w14:textId="77777777" w:rsidR="003F7CCA" w:rsidRDefault="003F7CCA">
      <w:pPr>
        <w:spacing w:line="259" w:lineRule="auto"/>
        <w:outlineLvl w:val="0"/>
        <w:rPr>
          <w:rFonts w:eastAsia="Calibri"/>
          <w:b/>
          <w:sz w:val="22"/>
          <w:szCs w:val="22"/>
          <w:lang w:eastAsia="en-US"/>
        </w:rPr>
      </w:pPr>
    </w:p>
    <w:p w14:paraId="6FC38F56" w14:textId="77777777" w:rsidR="003F7CCA" w:rsidRDefault="003F7CCA">
      <w:pPr>
        <w:spacing w:line="259" w:lineRule="auto"/>
        <w:outlineLvl w:val="0"/>
        <w:rPr>
          <w:rFonts w:eastAsia="Calibri"/>
          <w:b/>
          <w:sz w:val="22"/>
          <w:szCs w:val="22"/>
          <w:lang w:eastAsia="en-US"/>
        </w:rPr>
      </w:pPr>
    </w:p>
    <w:p w14:paraId="3C5EC390" w14:textId="77777777" w:rsidR="003F7CCA" w:rsidRDefault="003F7CCA">
      <w:pPr>
        <w:spacing w:line="259" w:lineRule="auto"/>
        <w:outlineLvl w:val="0"/>
        <w:rPr>
          <w:rFonts w:eastAsia="Calibri"/>
          <w:b/>
          <w:sz w:val="22"/>
          <w:szCs w:val="22"/>
          <w:lang w:eastAsia="en-US"/>
        </w:rPr>
      </w:pPr>
    </w:p>
    <w:p w14:paraId="1A8145C1" w14:textId="77777777" w:rsidR="003F7CCA" w:rsidRDefault="003F7CCA">
      <w:pPr>
        <w:keepNext/>
        <w:tabs>
          <w:tab w:val="left" w:pos="567"/>
        </w:tabs>
        <w:jc w:val="center"/>
        <w:outlineLvl w:val="1"/>
        <w:rPr>
          <w:b/>
          <w:bCs/>
          <w:iCs/>
          <w:snapToGrid w:val="0"/>
          <w:sz w:val="22"/>
          <w:szCs w:val="22"/>
          <w:lang w:eastAsia="x-none"/>
        </w:rPr>
      </w:pPr>
    </w:p>
    <w:p w14:paraId="6C5DB9CE" w14:textId="77777777" w:rsidR="003F7CCA" w:rsidRDefault="0080197E">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62ADF29E" w14:textId="77777777" w:rsidR="003F7CCA" w:rsidRDefault="003F7CCA">
      <w:pPr>
        <w:spacing w:line="259" w:lineRule="auto"/>
        <w:rPr>
          <w:rFonts w:eastAsia="Calibri"/>
          <w:sz w:val="22"/>
          <w:szCs w:val="22"/>
          <w:lang w:eastAsia="en-US"/>
        </w:rPr>
      </w:pPr>
    </w:p>
    <w:p w14:paraId="46418F0F" w14:textId="77777777" w:rsidR="003F7CCA" w:rsidRDefault="0080197E">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5C1A0F5C" w14:textId="77777777" w:rsidR="003F7CCA" w:rsidRDefault="0080197E">
      <w:pPr>
        <w:spacing w:line="259" w:lineRule="auto"/>
        <w:rPr>
          <w:rFonts w:eastAsia="Calibri"/>
          <w:sz w:val="22"/>
          <w:szCs w:val="22"/>
          <w:lang w:eastAsia="en-US"/>
        </w:rPr>
      </w:pPr>
      <w:r>
        <w:rPr>
          <w:rFonts w:eastAsia="Calibri"/>
          <w:sz w:val="22"/>
          <w:szCs w:val="22"/>
          <w:lang w:eastAsia="en-US"/>
        </w:rPr>
        <w:br w:type="page"/>
      </w:r>
    </w:p>
    <w:p w14:paraId="6ECC1F40" w14:textId="77777777" w:rsidR="003F7CCA" w:rsidRDefault="003F7CCA">
      <w:pPr>
        <w:spacing w:line="259" w:lineRule="auto"/>
        <w:rPr>
          <w:rFonts w:eastAsia="Calibri"/>
          <w:sz w:val="22"/>
          <w:szCs w:val="22"/>
          <w:lang w:eastAsia="en-US"/>
        </w:rPr>
      </w:pPr>
    </w:p>
    <w:p w14:paraId="27D7CA7F" w14:textId="77777777" w:rsidR="003F7CCA" w:rsidRDefault="003F7CCA">
      <w:pPr>
        <w:spacing w:line="259" w:lineRule="auto"/>
        <w:rPr>
          <w:rFonts w:eastAsia="Calibri"/>
          <w:sz w:val="22"/>
          <w:szCs w:val="22"/>
          <w:lang w:eastAsia="en-US"/>
        </w:rPr>
      </w:pPr>
    </w:p>
    <w:p w14:paraId="1C802183" w14:textId="77777777" w:rsidR="003F7CCA" w:rsidRDefault="003F7CCA">
      <w:pPr>
        <w:spacing w:line="259" w:lineRule="auto"/>
        <w:rPr>
          <w:rFonts w:eastAsia="Calibri"/>
          <w:sz w:val="22"/>
          <w:szCs w:val="22"/>
          <w:lang w:eastAsia="en-US"/>
        </w:rPr>
      </w:pPr>
    </w:p>
    <w:p w14:paraId="7A925AFB" w14:textId="77777777" w:rsidR="003F7CCA" w:rsidRDefault="003F7CCA">
      <w:pPr>
        <w:spacing w:line="259" w:lineRule="auto"/>
        <w:rPr>
          <w:rFonts w:eastAsia="Calibri"/>
          <w:sz w:val="22"/>
          <w:szCs w:val="22"/>
          <w:lang w:eastAsia="en-US"/>
        </w:rPr>
      </w:pPr>
    </w:p>
    <w:p w14:paraId="5BB93875" w14:textId="77777777" w:rsidR="003F7CCA" w:rsidRDefault="003F7CCA">
      <w:pPr>
        <w:spacing w:line="259" w:lineRule="auto"/>
        <w:rPr>
          <w:rFonts w:eastAsia="Calibri"/>
          <w:sz w:val="22"/>
          <w:szCs w:val="22"/>
          <w:lang w:eastAsia="en-US"/>
        </w:rPr>
      </w:pPr>
    </w:p>
    <w:p w14:paraId="6BB7C248" w14:textId="77777777" w:rsidR="003F7CCA" w:rsidRDefault="003F7CCA">
      <w:pPr>
        <w:spacing w:line="259" w:lineRule="auto"/>
        <w:rPr>
          <w:rFonts w:eastAsia="Calibri"/>
          <w:sz w:val="22"/>
          <w:szCs w:val="22"/>
          <w:lang w:eastAsia="en-US"/>
        </w:rPr>
      </w:pPr>
    </w:p>
    <w:p w14:paraId="03A545F0" w14:textId="77777777" w:rsidR="003F7CCA" w:rsidRDefault="003F7CCA">
      <w:pPr>
        <w:spacing w:line="259" w:lineRule="auto"/>
        <w:rPr>
          <w:rFonts w:eastAsia="Calibri"/>
          <w:sz w:val="22"/>
          <w:szCs w:val="22"/>
          <w:lang w:eastAsia="en-US"/>
        </w:rPr>
      </w:pPr>
    </w:p>
    <w:p w14:paraId="7678AC60" w14:textId="77777777" w:rsidR="003F7CCA" w:rsidRDefault="003F7CCA">
      <w:pPr>
        <w:spacing w:line="259" w:lineRule="auto"/>
        <w:rPr>
          <w:rFonts w:eastAsia="Calibri"/>
          <w:sz w:val="22"/>
          <w:szCs w:val="22"/>
          <w:lang w:eastAsia="en-US"/>
        </w:rPr>
      </w:pPr>
    </w:p>
    <w:p w14:paraId="0E79D4D1" w14:textId="77777777" w:rsidR="003F7CCA" w:rsidRDefault="003F7CCA">
      <w:pPr>
        <w:spacing w:line="259" w:lineRule="auto"/>
        <w:rPr>
          <w:rFonts w:eastAsia="Calibri"/>
          <w:sz w:val="22"/>
          <w:szCs w:val="22"/>
          <w:lang w:eastAsia="en-US"/>
        </w:rPr>
      </w:pPr>
    </w:p>
    <w:p w14:paraId="72E605CD" w14:textId="77777777" w:rsidR="003F7CCA" w:rsidRDefault="003F7CCA">
      <w:pPr>
        <w:spacing w:line="259" w:lineRule="auto"/>
        <w:rPr>
          <w:rFonts w:eastAsia="Calibri"/>
          <w:sz w:val="22"/>
          <w:szCs w:val="22"/>
          <w:lang w:eastAsia="en-US"/>
        </w:rPr>
      </w:pPr>
    </w:p>
    <w:p w14:paraId="7D798C4B" w14:textId="77777777" w:rsidR="003F7CCA" w:rsidRDefault="003F7CCA">
      <w:pPr>
        <w:spacing w:line="259" w:lineRule="auto"/>
        <w:rPr>
          <w:rFonts w:eastAsia="Calibri"/>
          <w:sz w:val="22"/>
          <w:szCs w:val="22"/>
          <w:lang w:eastAsia="en-US"/>
        </w:rPr>
      </w:pPr>
    </w:p>
    <w:p w14:paraId="3B081F25" w14:textId="77777777" w:rsidR="003F7CCA" w:rsidRDefault="003F7CCA">
      <w:pPr>
        <w:spacing w:line="259" w:lineRule="auto"/>
        <w:rPr>
          <w:rFonts w:eastAsia="Calibri"/>
          <w:sz w:val="22"/>
          <w:szCs w:val="22"/>
          <w:lang w:eastAsia="en-US"/>
        </w:rPr>
      </w:pPr>
    </w:p>
    <w:p w14:paraId="419F98B2" w14:textId="77777777" w:rsidR="003F7CCA" w:rsidRDefault="003F7CCA">
      <w:pPr>
        <w:spacing w:line="259" w:lineRule="auto"/>
        <w:rPr>
          <w:rFonts w:eastAsia="Calibri"/>
          <w:sz w:val="22"/>
          <w:szCs w:val="22"/>
          <w:lang w:eastAsia="en-US"/>
        </w:rPr>
      </w:pPr>
    </w:p>
    <w:p w14:paraId="22B1BEBB" w14:textId="77777777" w:rsidR="003F7CCA" w:rsidRDefault="003F7CCA">
      <w:pPr>
        <w:spacing w:line="259" w:lineRule="auto"/>
        <w:rPr>
          <w:rFonts w:eastAsia="Calibri"/>
          <w:sz w:val="22"/>
          <w:szCs w:val="22"/>
          <w:lang w:eastAsia="en-US"/>
        </w:rPr>
      </w:pPr>
    </w:p>
    <w:p w14:paraId="17EECC26" w14:textId="77777777" w:rsidR="003F7CCA" w:rsidRDefault="003F7CCA">
      <w:pPr>
        <w:spacing w:line="259" w:lineRule="auto"/>
        <w:rPr>
          <w:rFonts w:eastAsia="Calibri"/>
          <w:sz w:val="22"/>
          <w:szCs w:val="22"/>
          <w:lang w:eastAsia="en-US"/>
        </w:rPr>
      </w:pPr>
    </w:p>
    <w:p w14:paraId="3F1A9AD5" w14:textId="77777777" w:rsidR="003F7CCA" w:rsidRDefault="003F7CCA">
      <w:pPr>
        <w:spacing w:line="259" w:lineRule="auto"/>
        <w:rPr>
          <w:rFonts w:eastAsia="Calibri"/>
          <w:sz w:val="22"/>
          <w:szCs w:val="22"/>
          <w:lang w:eastAsia="en-US"/>
        </w:rPr>
      </w:pPr>
    </w:p>
    <w:p w14:paraId="7AB2ACBA" w14:textId="77777777" w:rsidR="003F7CCA" w:rsidRDefault="003F7CCA">
      <w:pPr>
        <w:spacing w:line="259" w:lineRule="auto"/>
        <w:rPr>
          <w:rFonts w:eastAsia="Calibri"/>
          <w:sz w:val="22"/>
          <w:szCs w:val="22"/>
          <w:lang w:eastAsia="en-US"/>
        </w:rPr>
      </w:pPr>
    </w:p>
    <w:p w14:paraId="3399431F" w14:textId="77777777" w:rsidR="003F7CCA" w:rsidRDefault="003F7CCA">
      <w:pPr>
        <w:spacing w:line="259" w:lineRule="auto"/>
        <w:rPr>
          <w:rFonts w:eastAsia="Calibri"/>
          <w:sz w:val="22"/>
          <w:szCs w:val="22"/>
          <w:lang w:eastAsia="en-US"/>
        </w:rPr>
      </w:pPr>
    </w:p>
    <w:p w14:paraId="19B0D74D" w14:textId="77777777" w:rsidR="003F7CCA" w:rsidRDefault="003F7CCA">
      <w:pPr>
        <w:spacing w:line="259" w:lineRule="auto"/>
        <w:rPr>
          <w:rFonts w:eastAsia="Calibri"/>
          <w:sz w:val="22"/>
          <w:szCs w:val="22"/>
          <w:lang w:eastAsia="en-US"/>
        </w:rPr>
      </w:pPr>
    </w:p>
    <w:p w14:paraId="3040730D" w14:textId="77777777" w:rsidR="003F7CCA" w:rsidRDefault="003F7CCA">
      <w:pPr>
        <w:spacing w:line="259" w:lineRule="auto"/>
        <w:rPr>
          <w:rFonts w:eastAsia="Calibri"/>
          <w:sz w:val="22"/>
          <w:szCs w:val="22"/>
          <w:lang w:eastAsia="en-US"/>
        </w:rPr>
      </w:pPr>
    </w:p>
    <w:p w14:paraId="338A778A" w14:textId="77777777" w:rsidR="003F7CCA" w:rsidRDefault="003F7CCA">
      <w:pPr>
        <w:spacing w:line="259" w:lineRule="auto"/>
        <w:rPr>
          <w:rFonts w:eastAsia="Calibri"/>
          <w:sz w:val="22"/>
          <w:szCs w:val="22"/>
          <w:lang w:eastAsia="en-US"/>
        </w:rPr>
      </w:pPr>
    </w:p>
    <w:p w14:paraId="6218BD5A" w14:textId="77777777" w:rsidR="003F7CCA" w:rsidRDefault="003F7CCA">
      <w:pPr>
        <w:spacing w:line="259" w:lineRule="auto"/>
        <w:rPr>
          <w:rFonts w:eastAsia="Calibri"/>
          <w:sz w:val="22"/>
          <w:szCs w:val="22"/>
          <w:lang w:eastAsia="en-US"/>
        </w:rPr>
      </w:pPr>
    </w:p>
    <w:p w14:paraId="6A2505D3" w14:textId="77777777" w:rsidR="003F7CCA" w:rsidRDefault="003F7CCA">
      <w:pPr>
        <w:keepNext/>
        <w:tabs>
          <w:tab w:val="left" w:pos="567"/>
        </w:tabs>
        <w:jc w:val="center"/>
        <w:outlineLvl w:val="1"/>
        <w:rPr>
          <w:b/>
          <w:bCs/>
          <w:iCs/>
          <w:snapToGrid w:val="0"/>
          <w:sz w:val="22"/>
          <w:szCs w:val="22"/>
          <w:lang w:eastAsia="x-none"/>
        </w:rPr>
      </w:pPr>
    </w:p>
    <w:p w14:paraId="295D7194" w14:textId="77777777" w:rsidR="003F7CCA" w:rsidRDefault="0080197E">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00DB1343" w14:textId="77777777" w:rsidR="003F7CCA" w:rsidRDefault="0080197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bookmarkStart w:id="14" w:name="_Hlk223009402"/>
      <w:r>
        <w:rPr>
          <w:rFonts w:eastAsia="Calibri"/>
          <w:b/>
          <w:noProof/>
          <w:sz w:val="22"/>
          <w:szCs w:val="22"/>
          <w:lang w:eastAsia="en-US"/>
        </w:rPr>
        <w:lastRenderedPageBreak/>
        <w:t>INFORMACIJA ANT IŠORINĖS PAKUOTĖS</w:t>
      </w:r>
    </w:p>
    <w:p w14:paraId="6F7E924E" w14:textId="77777777" w:rsidR="003F7CCA" w:rsidRDefault="003F7CCA">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65BFB78A" w14:textId="722FBCB1" w:rsidR="003F7CCA" w:rsidRDefault="0080197E">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noProof/>
          <w:sz w:val="22"/>
          <w:lang w:eastAsia="en-US"/>
        </w:rPr>
        <w:t>DĖŽUTĖ LIZDINĖMS PLOKŠTELĖMS</w:t>
      </w:r>
    </w:p>
    <w:p w14:paraId="06F12298" w14:textId="77777777" w:rsidR="003F7CCA" w:rsidRDefault="003F7CCA">
      <w:pPr>
        <w:rPr>
          <w:rFonts w:eastAsia="Calibri"/>
          <w:sz w:val="22"/>
          <w:szCs w:val="22"/>
          <w:lang w:eastAsia="en-US"/>
        </w:rPr>
      </w:pPr>
    </w:p>
    <w:p w14:paraId="6BC8E58D" w14:textId="77777777" w:rsidR="003F7CCA" w:rsidRDefault="003F7CCA">
      <w:pPr>
        <w:rPr>
          <w:rFonts w:eastAsia="Calibri"/>
          <w:sz w:val="22"/>
          <w:szCs w:val="22"/>
          <w:lang w:eastAsia="en-US"/>
        </w:rPr>
      </w:pPr>
    </w:p>
    <w:p w14:paraId="151B453E"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523C081B" w14:textId="77777777" w:rsidR="003F7CCA" w:rsidRDefault="003F7CCA">
      <w:pPr>
        <w:rPr>
          <w:rFonts w:eastAsia="Calibri"/>
          <w:sz w:val="22"/>
          <w:szCs w:val="22"/>
          <w:lang w:eastAsia="en-US"/>
        </w:rPr>
      </w:pPr>
    </w:p>
    <w:p w14:paraId="640FD091"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 plėvele dengtos tabletės</w:t>
      </w:r>
    </w:p>
    <w:p w14:paraId="4DC145EF" w14:textId="77777777" w:rsidR="003F7CCA" w:rsidRDefault="0080197E">
      <w:pPr>
        <w:rPr>
          <w:sz w:val="22"/>
          <w:szCs w:val="22"/>
        </w:rPr>
      </w:pPr>
      <w:proofErr w:type="spellStart"/>
      <w:r>
        <w:rPr>
          <w:rFonts w:eastAsiaTheme="minorHAnsi"/>
          <w:color w:val="000000"/>
          <w:sz w:val="22"/>
          <w:szCs w:val="22"/>
          <w:highlight w:val="lightGray"/>
          <w:lang w:eastAsia="en-US"/>
        </w:rPr>
        <w:t>Lymerexo</w:t>
      </w:r>
      <w:proofErr w:type="spellEnd"/>
      <w:r>
        <w:rPr>
          <w:rFonts w:eastAsiaTheme="minorHAnsi"/>
          <w:color w:val="000000"/>
          <w:sz w:val="22"/>
          <w:szCs w:val="22"/>
          <w:highlight w:val="lightGray"/>
          <w:lang w:eastAsia="en-US"/>
        </w:rPr>
        <w:t xml:space="preserve"> 2,5 mg/1 000 mg plėvele dengtos tabletės</w:t>
      </w:r>
    </w:p>
    <w:p w14:paraId="0AA4B3F3" w14:textId="77777777" w:rsidR="003F7CCA" w:rsidRDefault="003F7CCA">
      <w:pPr>
        <w:rPr>
          <w:i/>
          <w:iCs/>
          <w:sz w:val="22"/>
          <w:szCs w:val="22"/>
        </w:rPr>
      </w:pPr>
    </w:p>
    <w:p w14:paraId="6B9827BF" w14:textId="77777777" w:rsidR="003F7CCA" w:rsidRDefault="0080197E">
      <w:pPr>
        <w:rPr>
          <w:sz w:val="22"/>
          <w:szCs w:val="22"/>
        </w:rPr>
      </w:pPr>
      <w:proofErr w:type="spellStart"/>
      <w:r>
        <w:rPr>
          <w:sz w:val="22"/>
          <w:szCs w:val="22"/>
        </w:rPr>
        <w:t>linagliptinas</w:t>
      </w:r>
      <w:proofErr w:type="spellEnd"/>
      <w:r>
        <w:rPr>
          <w:sz w:val="22"/>
          <w:szCs w:val="22"/>
        </w:rPr>
        <w:t>/</w:t>
      </w:r>
      <w:proofErr w:type="spellStart"/>
      <w:r>
        <w:rPr>
          <w:sz w:val="22"/>
          <w:szCs w:val="22"/>
        </w:rPr>
        <w:t>metformino</w:t>
      </w:r>
      <w:proofErr w:type="spellEnd"/>
      <w:r>
        <w:rPr>
          <w:sz w:val="22"/>
          <w:szCs w:val="22"/>
        </w:rPr>
        <w:t xml:space="preserve"> hidrochloridas</w:t>
      </w:r>
    </w:p>
    <w:p w14:paraId="4739CC9D" w14:textId="77777777" w:rsidR="003F7CCA" w:rsidRDefault="003F7CCA">
      <w:pPr>
        <w:rPr>
          <w:rFonts w:eastAsia="Calibri"/>
          <w:sz w:val="22"/>
          <w:szCs w:val="22"/>
          <w:lang w:eastAsia="en-US"/>
        </w:rPr>
      </w:pPr>
    </w:p>
    <w:p w14:paraId="0F6B7130" w14:textId="77777777" w:rsidR="003F7CCA" w:rsidRDefault="003F7CCA">
      <w:pPr>
        <w:rPr>
          <w:rFonts w:eastAsia="Calibri"/>
          <w:sz w:val="22"/>
          <w:szCs w:val="22"/>
          <w:lang w:eastAsia="en-US"/>
        </w:rPr>
      </w:pPr>
    </w:p>
    <w:p w14:paraId="27E20339"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24A271CF" w14:textId="77777777" w:rsidR="003F7CCA" w:rsidRDefault="003F7CCA">
      <w:pPr>
        <w:rPr>
          <w:rFonts w:eastAsia="Calibri"/>
          <w:sz w:val="22"/>
          <w:szCs w:val="22"/>
          <w:lang w:eastAsia="en-US"/>
        </w:rPr>
      </w:pPr>
    </w:p>
    <w:p w14:paraId="06F4CC59" w14:textId="300C0D12"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Kiekvienoje </w:t>
      </w:r>
      <w:r w:rsidR="00722B10">
        <w:rPr>
          <w:rFonts w:eastAsiaTheme="minorHAnsi"/>
          <w:color w:val="000000"/>
          <w:sz w:val="22"/>
          <w:szCs w:val="22"/>
          <w:lang w:eastAsia="en-US"/>
        </w:rPr>
        <w:t xml:space="preserve">plėvele dengtoje </w:t>
      </w:r>
      <w:r>
        <w:rPr>
          <w:rFonts w:eastAsiaTheme="minorHAnsi"/>
          <w:color w:val="000000"/>
          <w:sz w:val="22"/>
          <w:szCs w:val="22"/>
          <w:lang w:eastAsia="en-US"/>
        </w:rPr>
        <w:t xml:space="preserve">tabletėje yra 2,5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78502402" w14:textId="6F7876BA"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highlight w:val="lightGray"/>
          <w:lang w:eastAsia="en-US"/>
        </w:rPr>
        <w:t xml:space="preserve">Kiekvienoje </w:t>
      </w:r>
      <w:r w:rsidR="00722B10">
        <w:rPr>
          <w:rFonts w:eastAsiaTheme="minorHAnsi"/>
          <w:color w:val="000000"/>
          <w:sz w:val="22"/>
          <w:szCs w:val="22"/>
          <w:highlight w:val="lightGray"/>
          <w:lang w:eastAsia="en-US"/>
        </w:rPr>
        <w:t xml:space="preserve">plėvele dengtoje </w:t>
      </w:r>
      <w:r>
        <w:rPr>
          <w:rFonts w:eastAsiaTheme="minorHAnsi"/>
          <w:color w:val="000000"/>
          <w:sz w:val="22"/>
          <w:szCs w:val="22"/>
          <w:highlight w:val="lightGray"/>
          <w:lang w:eastAsia="en-US"/>
        </w:rPr>
        <w:t xml:space="preserve">tabletėje yra 2,5 mg </w:t>
      </w:r>
      <w:proofErr w:type="spellStart"/>
      <w:r>
        <w:rPr>
          <w:rFonts w:eastAsiaTheme="minorHAnsi"/>
          <w:color w:val="000000"/>
          <w:sz w:val="22"/>
          <w:szCs w:val="22"/>
          <w:highlight w:val="lightGray"/>
          <w:lang w:eastAsia="en-US"/>
        </w:rPr>
        <w:t>linagliptino</w:t>
      </w:r>
      <w:proofErr w:type="spellEnd"/>
      <w:r>
        <w:rPr>
          <w:rFonts w:eastAsiaTheme="minorHAnsi"/>
          <w:color w:val="000000"/>
          <w:sz w:val="22"/>
          <w:szCs w:val="22"/>
          <w:highlight w:val="lightGray"/>
          <w:lang w:eastAsia="en-US"/>
        </w:rPr>
        <w:t xml:space="preserve">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35824AFA" w14:textId="77777777" w:rsidR="003F7CCA" w:rsidRDefault="003F7CCA">
      <w:pPr>
        <w:rPr>
          <w:rFonts w:eastAsia="Calibri"/>
          <w:sz w:val="22"/>
          <w:szCs w:val="22"/>
          <w:lang w:eastAsia="en-US"/>
        </w:rPr>
      </w:pPr>
    </w:p>
    <w:p w14:paraId="6283222C" w14:textId="77777777" w:rsidR="003F7CCA" w:rsidRDefault="003F7CCA">
      <w:pPr>
        <w:rPr>
          <w:rFonts w:eastAsia="Calibri"/>
          <w:sz w:val="22"/>
          <w:szCs w:val="22"/>
          <w:lang w:eastAsia="en-US"/>
        </w:rPr>
      </w:pPr>
    </w:p>
    <w:p w14:paraId="5BC2EB84"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5FD2189E" w14:textId="77777777" w:rsidR="003F7CCA" w:rsidRDefault="003F7CCA">
      <w:pPr>
        <w:rPr>
          <w:rFonts w:eastAsia="Calibri"/>
          <w:sz w:val="22"/>
          <w:szCs w:val="22"/>
          <w:lang w:eastAsia="en-US"/>
        </w:rPr>
      </w:pPr>
    </w:p>
    <w:p w14:paraId="2639947E" w14:textId="77777777" w:rsidR="003F7CCA" w:rsidRDefault="003F7CCA">
      <w:pPr>
        <w:rPr>
          <w:rFonts w:eastAsia="Calibri"/>
          <w:sz w:val="22"/>
          <w:szCs w:val="22"/>
          <w:lang w:eastAsia="en-US"/>
        </w:rPr>
      </w:pPr>
    </w:p>
    <w:p w14:paraId="0A02780C"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1BC428C5" w14:textId="77777777" w:rsidR="003F7CCA" w:rsidRDefault="003F7CCA">
      <w:pPr>
        <w:rPr>
          <w:rFonts w:eastAsia="Calibri"/>
          <w:sz w:val="22"/>
          <w:szCs w:val="22"/>
          <w:lang w:eastAsia="en-US"/>
        </w:rPr>
      </w:pPr>
    </w:p>
    <w:p w14:paraId="4F5CE130" w14:textId="77777777" w:rsidR="003F7CCA" w:rsidRDefault="0080197E">
      <w:pPr>
        <w:rPr>
          <w:rFonts w:eastAsia="Calibri"/>
          <w:sz w:val="22"/>
          <w:szCs w:val="22"/>
          <w:lang w:eastAsia="en-US"/>
        </w:rPr>
      </w:pPr>
      <w:r>
        <w:rPr>
          <w:rFonts w:eastAsia="Calibri"/>
          <w:sz w:val="22"/>
          <w:szCs w:val="22"/>
          <w:highlight w:val="lightGray"/>
          <w:lang w:eastAsia="en-US"/>
        </w:rPr>
        <w:t>plėvele dengta tabletė</w:t>
      </w:r>
    </w:p>
    <w:p w14:paraId="3937BD30" w14:textId="77777777" w:rsidR="003F7CCA" w:rsidRDefault="003F7CCA">
      <w:pPr>
        <w:rPr>
          <w:rFonts w:eastAsia="Calibri"/>
          <w:sz w:val="22"/>
          <w:szCs w:val="22"/>
          <w:lang w:eastAsia="en-US"/>
        </w:rPr>
      </w:pPr>
    </w:p>
    <w:p w14:paraId="2A61B09B" w14:textId="77777777" w:rsidR="003F7CCA" w:rsidRDefault="0080197E">
      <w:pPr>
        <w:rPr>
          <w:rFonts w:eastAsia="Calibri"/>
          <w:sz w:val="22"/>
          <w:szCs w:val="22"/>
          <w:lang w:eastAsia="en-US"/>
        </w:rPr>
      </w:pPr>
      <w:r>
        <w:rPr>
          <w:rFonts w:eastAsia="Calibri"/>
          <w:sz w:val="22"/>
          <w:szCs w:val="22"/>
          <w:lang w:eastAsia="en-US"/>
        </w:rPr>
        <w:t>10 plėvele dengtų tablečių</w:t>
      </w:r>
    </w:p>
    <w:p w14:paraId="00C0FFCE" w14:textId="77777777" w:rsidR="003F7CCA" w:rsidRDefault="0080197E">
      <w:pPr>
        <w:rPr>
          <w:rFonts w:eastAsia="Calibri"/>
          <w:sz w:val="22"/>
          <w:szCs w:val="22"/>
          <w:highlight w:val="lightGray"/>
          <w:lang w:eastAsia="en-US"/>
        </w:rPr>
      </w:pPr>
      <w:bookmarkStart w:id="15" w:name="_Hlk190770775"/>
      <w:r>
        <w:rPr>
          <w:rFonts w:eastAsia="Calibri"/>
          <w:sz w:val="22"/>
          <w:szCs w:val="22"/>
          <w:highlight w:val="lightGray"/>
          <w:lang w:eastAsia="en-US"/>
        </w:rPr>
        <w:t>14 plėvele dengtų tablečių</w:t>
      </w:r>
    </w:p>
    <w:p w14:paraId="07223EFB" w14:textId="77777777" w:rsidR="003F7CCA" w:rsidRDefault="0080197E">
      <w:pPr>
        <w:rPr>
          <w:rFonts w:eastAsia="Calibri"/>
          <w:sz w:val="22"/>
          <w:szCs w:val="22"/>
          <w:highlight w:val="lightGray"/>
          <w:lang w:eastAsia="en-US"/>
        </w:rPr>
      </w:pPr>
      <w:r>
        <w:rPr>
          <w:rFonts w:eastAsia="Calibri"/>
          <w:sz w:val="22"/>
          <w:szCs w:val="22"/>
          <w:highlight w:val="lightGray"/>
          <w:lang w:eastAsia="en-US"/>
        </w:rPr>
        <w:t>28 plėvele dengtos tabletės</w:t>
      </w:r>
    </w:p>
    <w:bookmarkEnd w:id="15"/>
    <w:p w14:paraId="47D6DF0D" w14:textId="77777777" w:rsidR="003F7CCA" w:rsidRDefault="0080197E">
      <w:pPr>
        <w:rPr>
          <w:rFonts w:eastAsia="Calibri"/>
          <w:sz w:val="22"/>
          <w:szCs w:val="22"/>
          <w:highlight w:val="lightGray"/>
          <w:lang w:eastAsia="en-US"/>
        </w:rPr>
      </w:pPr>
      <w:r>
        <w:rPr>
          <w:rFonts w:eastAsia="Calibri"/>
          <w:sz w:val="22"/>
          <w:szCs w:val="22"/>
          <w:highlight w:val="lightGray"/>
          <w:lang w:eastAsia="en-US"/>
        </w:rPr>
        <w:t>30 plėvele dengtų tablečių</w:t>
      </w:r>
    </w:p>
    <w:p w14:paraId="1937E016" w14:textId="77777777" w:rsidR="003F7CCA" w:rsidRDefault="0080197E">
      <w:pPr>
        <w:rPr>
          <w:rFonts w:eastAsia="Calibri"/>
          <w:sz w:val="22"/>
          <w:szCs w:val="22"/>
          <w:highlight w:val="lightGray"/>
          <w:lang w:eastAsia="en-US"/>
        </w:rPr>
      </w:pPr>
      <w:r>
        <w:rPr>
          <w:rFonts w:eastAsia="Calibri"/>
          <w:sz w:val="22"/>
          <w:szCs w:val="22"/>
          <w:highlight w:val="lightGray"/>
          <w:lang w:eastAsia="en-US"/>
        </w:rPr>
        <w:t>56 plėvele dengtos tabletės</w:t>
      </w:r>
    </w:p>
    <w:p w14:paraId="0F9C6C6F" w14:textId="77777777" w:rsidR="003F7CCA" w:rsidRDefault="0080197E">
      <w:pPr>
        <w:rPr>
          <w:rFonts w:eastAsia="Calibri"/>
          <w:sz w:val="22"/>
          <w:szCs w:val="22"/>
          <w:highlight w:val="lightGray"/>
          <w:lang w:eastAsia="en-US"/>
        </w:rPr>
      </w:pPr>
      <w:r>
        <w:rPr>
          <w:rFonts w:eastAsia="Calibri"/>
          <w:sz w:val="22"/>
          <w:szCs w:val="22"/>
          <w:highlight w:val="lightGray"/>
          <w:lang w:eastAsia="en-US"/>
        </w:rPr>
        <w:t>60 plėvele dengtų tablečių</w:t>
      </w:r>
    </w:p>
    <w:p w14:paraId="7EF899E4" w14:textId="77777777" w:rsidR="003F7CCA" w:rsidRDefault="0080197E">
      <w:pPr>
        <w:rPr>
          <w:rFonts w:eastAsia="Calibri"/>
          <w:sz w:val="22"/>
          <w:szCs w:val="22"/>
          <w:highlight w:val="lightGray"/>
          <w:lang w:eastAsia="en-US"/>
        </w:rPr>
      </w:pPr>
      <w:r>
        <w:rPr>
          <w:rFonts w:eastAsia="Calibri"/>
          <w:sz w:val="22"/>
          <w:szCs w:val="22"/>
          <w:highlight w:val="lightGray"/>
          <w:lang w:eastAsia="en-US"/>
        </w:rPr>
        <w:t>84 plėvele dengtos tabletės</w:t>
      </w:r>
    </w:p>
    <w:p w14:paraId="2234A92E" w14:textId="77777777" w:rsidR="003F7CCA" w:rsidRDefault="0080197E">
      <w:pPr>
        <w:rPr>
          <w:rFonts w:eastAsia="Calibri"/>
          <w:sz w:val="22"/>
          <w:szCs w:val="22"/>
          <w:highlight w:val="lightGray"/>
          <w:lang w:eastAsia="en-US"/>
        </w:rPr>
      </w:pPr>
      <w:r>
        <w:rPr>
          <w:rFonts w:eastAsia="Calibri"/>
          <w:sz w:val="22"/>
          <w:szCs w:val="22"/>
          <w:highlight w:val="lightGray"/>
          <w:lang w:eastAsia="en-US"/>
        </w:rPr>
        <w:t>90 plėvele dengtų tablečių</w:t>
      </w:r>
    </w:p>
    <w:p w14:paraId="594B0C2C" w14:textId="77777777" w:rsidR="003F7CCA" w:rsidRDefault="0080197E">
      <w:pPr>
        <w:rPr>
          <w:rFonts w:eastAsia="Calibri"/>
          <w:sz w:val="22"/>
          <w:szCs w:val="22"/>
          <w:highlight w:val="lightGray"/>
          <w:lang w:eastAsia="en-US"/>
        </w:rPr>
      </w:pPr>
      <w:r>
        <w:rPr>
          <w:rFonts w:eastAsia="Calibri"/>
          <w:sz w:val="22"/>
          <w:szCs w:val="22"/>
          <w:highlight w:val="lightGray"/>
          <w:lang w:eastAsia="en-US"/>
        </w:rPr>
        <w:t>98 plėvele dengtos tabletės</w:t>
      </w:r>
    </w:p>
    <w:p w14:paraId="2F1ED23F" w14:textId="77777777" w:rsidR="003F7CCA" w:rsidRDefault="0080197E">
      <w:pPr>
        <w:rPr>
          <w:rFonts w:eastAsia="Calibri"/>
          <w:sz w:val="22"/>
          <w:szCs w:val="22"/>
          <w:lang w:eastAsia="en-US"/>
        </w:rPr>
      </w:pPr>
      <w:r>
        <w:rPr>
          <w:rFonts w:eastAsia="Calibri"/>
          <w:sz w:val="22"/>
          <w:szCs w:val="22"/>
          <w:highlight w:val="lightGray"/>
          <w:lang w:eastAsia="en-US"/>
        </w:rPr>
        <w:t>100 plėvele dengtų tablečių</w:t>
      </w:r>
    </w:p>
    <w:p w14:paraId="4C7481B2" w14:textId="77777777" w:rsidR="003F7CCA" w:rsidRDefault="0080197E">
      <w:pPr>
        <w:rPr>
          <w:rFonts w:eastAsia="Calibri"/>
          <w:sz w:val="22"/>
          <w:szCs w:val="22"/>
          <w:lang w:eastAsia="en-US"/>
        </w:rPr>
      </w:pPr>
      <w:r>
        <w:rPr>
          <w:rFonts w:eastAsia="Calibri"/>
          <w:sz w:val="22"/>
          <w:szCs w:val="22"/>
          <w:highlight w:val="lightGray"/>
          <w:lang w:eastAsia="en-US"/>
        </w:rPr>
        <w:t>112 plėvele dengtų tablečių</w:t>
      </w:r>
    </w:p>
    <w:p w14:paraId="2CA05618" w14:textId="77777777" w:rsidR="003F7CCA" w:rsidRDefault="0080197E">
      <w:pPr>
        <w:rPr>
          <w:rFonts w:eastAsia="Calibri"/>
          <w:sz w:val="22"/>
          <w:szCs w:val="22"/>
          <w:lang w:eastAsia="en-US"/>
        </w:rPr>
      </w:pPr>
      <w:r>
        <w:rPr>
          <w:rFonts w:eastAsia="Calibri"/>
          <w:sz w:val="22"/>
          <w:szCs w:val="22"/>
          <w:highlight w:val="lightGray"/>
          <w:lang w:eastAsia="en-US"/>
        </w:rPr>
        <w:t>120 plėvele dengtų tablečių</w:t>
      </w:r>
    </w:p>
    <w:p w14:paraId="1E1394B0" w14:textId="77777777" w:rsidR="003F7CCA" w:rsidRDefault="003F7CCA">
      <w:pPr>
        <w:rPr>
          <w:rFonts w:eastAsia="Calibri"/>
          <w:sz w:val="22"/>
          <w:szCs w:val="22"/>
          <w:lang w:eastAsia="en-US"/>
        </w:rPr>
      </w:pPr>
    </w:p>
    <w:p w14:paraId="703BDFBA" w14:textId="77777777" w:rsidR="003F7CCA" w:rsidRDefault="003F7CCA">
      <w:pPr>
        <w:rPr>
          <w:rFonts w:eastAsia="Calibri"/>
          <w:sz w:val="22"/>
          <w:szCs w:val="22"/>
          <w:lang w:eastAsia="en-US"/>
        </w:rPr>
      </w:pPr>
    </w:p>
    <w:p w14:paraId="4402E0D3"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3D77DB0A" w14:textId="77777777" w:rsidR="003F7CCA" w:rsidRDefault="003F7CCA">
      <w:pPr>
        <w:rPr>
          <w:rFonts w:eastAsia="Calibri"/>
          <w:sz w:val="16"/>
          <w:szCs w:val="16"/>
          <w:lang w:eastAsia="en-US"/>
        </w:rPr>
      </w:pPr>
    </w:p>
    <w:p w14:paraId="3A1AE70D" w14:textId="77777777" w:rsidR="003F7CCA" w:rsidRDefault="0080197E">
      <w:pPr>
        <w:rPr>
          <w:rFonts w:eastAsia="Calibri"/>
          <w:sz w:val="22"/>
          <w:szCs w:val="22"/>
          <w:lang w:eastAsia="en-US"/>
        </w:rPr>
      </w:pPr>
      <w:r>
        <w:rPr>
          <w:rFonts w:eastAsia="Calibri"/>
          <w:noProof/>
          <w:sz w:val="22"/>
          <w:szCs w:val="22"/>
          <w:lang w:eastAsia="en-US"/>
        </w:rPr>
        <w:t>Prieš vartojimą perskaitykite pakuotės lapelį.</w:t>
      </w:r>
    </w:p>
    <w:p w14:paraId="351E9E16" w14:textId="77777777" w:rsidR="003F7CCA" w:rsidRDefault="003F7CCA">
      <w:pPr>
        <w:rPr>
          <w:rFonts w:eastAsia="Calibri"/>
          <w:i/>
          <w:iCs/>
          <w:sz w:val="22"/>
          <w:szCs w:val="22"/>
          <w:highlight w:val="darkGray"/>
          <w:lang w:eastAsia="en-US"/>
        </w:rPr>
      </w:pPr>
    </w:p>
    <w:p w14:paraId="72A38CF4" w14:textId="77777777" w:rsidR="003F7CCA" w:rsidRDefault="0080197E">
      <w:pPr>
        <w:rPr>
          <w:rFonts w:eastAsia="Calibri"/>
          <w:sz w:val="22"/>
          <w:szCs w:val="22"/>
          <w:lang w:eastAsia="en-US"/>
        </w:rPr>
      </w:pPr>
      <w:r>
        <w:rPr>
          <w:rFonts w:eastAsia="Calibri"/>
          <w:sz w:val="22"/>
          <w:szCs w:val="22"/>
          <w:lang w:eastAsia="en-US"/>
        </w:rPr>
        <w:t>Vartoti per burną.</w:t>
      </w:r>
    </w:p>
    <w:p w14:paraId="07635A1D" w14:textId="77777777" w:rsidR="003F7CCA" w:rsidRDefault="003F7CCA">
      <w:pPr>
        <w:rPr>
          <w:rFonts w:eastAsia="Calibri"/>
          <w:sz w:val="22"/>
          <w:szCs w:val="22"/>
          <w:lang w:eastAsia="en-US"/>
        </w:rPr>
      </w:pPr>
    </w:p>
    <w:p w14:paraId="0984CC8D" w14:textId="77777777" w:rsidR="003F7CCA" w:rsidRDefault="003F7CCA">
      <w:pPr>
        <w:rPr>
          <w:rFonts w:eastAsia="Calibri"/>
          <w:sz w:val="22"/>
          <w:szCs w:val="22"/>
          <w:lang w:eastAsia="en-US"/>
        </w:rPr>
      </w:pPr>
    </w:p>
    <w:p w14:paraId="46A7F1AC"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33EF3305" w14:textId="77777777" w:rsidR="003F7CCA" w:rsidRDefault="003F7CCA">
      <w:pPr>
        <w:rPr>
          <w:rFonts w:eastAsia="Calibri"/>
          <w:sz w:val="22"/>
          <w:szCs w:val="22"/>
          <w:lang w:eastAsia="en-US"/>
        </w:rPr>
      </w:pPr>
    </w:p>
    <w:p w14:paraId="7A8510FE" w14:textId="77777777" w:rsidR="003F7CCA" w:rsidRDefault="0080197E">
      <w:pPr>
        <w:rPr>
          <w:rFonts w:eastAsia="Calibri"/>
          <w:sz w:val="22"/>
          <w:szCs w:val="22"/>
          <w:lang w:eastAsia="en-US"/>
        </w:rPr>
      </w:pPr>
      <w:r>
        <w:rPr>
          <w:rFonts w:eastAsia="Calibri"/>
          <w:noProof/>
          <w:sz w:val="22"/>
          <w:szCs w:val="22"/>
          <w:lang w:eastAsia="en-US"/>
        </w:rPr>
        <w:t>Laikyti vaikams nepastebimoje ir nepasiekiamoje vietoje.</w:t>
      </w:r>
    </w:p>
    <w:p w14:paraId="5DE9D9BB" w14:textId="77777777" w:rsidR="003F7CCA" w:rsidRDefault="003F7CCA">
      <w:pPr>
        <w:rPr>
          <w:rFonts w:eastAsia="Calibri"/>
          <w:sz w:val="22"/>
          <w:szCs w:val="22"/>
          <w:lang w:eastAsia="en-US"/>
        </w:rPr>
      </w:pPr>
    </w:p>
    <w:p w14:paraId="6F52C5B4" w14:textId="77777777" w:rsidR="003F7CCA" w:rsidRDefault="003F7CCA">
      <w:pPr>
        <w:rPr>
          <w:rFonts w:eastAsia="Calibri"/>
          <w:sz w:val="22"/>
          <w:szCs w:val="22"/>
          <w:lang w:eastAsia="en-US"/>
        </w:rPr>
      </w:pPr>
    </w:p>
    <w:p w14:paraId="5577845F"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651E259F" w14:textId="77777777" w:rsidR="003F7CCA" w:rsidRDefault="003F7CCA">
      <w:pPr>
        <w:rPr>
          <w:rFonts w:eastAsia="Calibri"/>
          <w:sz w:val="22"/>
          <w:szCs w:val="22"/>
          <w:lang w:eastAsia="en-US"/>
        </w:rPr>
      </w:pPr>
    </w:p>
    <w:p w14:paraId="2F53AFBE" w14:textId="77777777" w:rsidR="003F7CCA" w:rsidRPr="00C26C35" w:rsidRDefault="003F7CCA">
      <w:pPr>
        <w:rPr>
          <w:rFonts w:eastAsia="Calibri"/>
          <w:sz w:val="16"/>
          <w:szCs w:val="16"/>
          <w:lang w:eastAsia="en-US"/>
        </w:rPr>
      </w:pPr>
    </w:p>
    <w:p w14:paraId="3889C92A"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18F7327E" w14:textId="77777777" w:rsidR="003F7CCA" w:rsidRDefault="003F7CCA">
      <w:pPr>
        <w:rPr>
          <w:rFonts w:eastAsia="Calibri"/>
          <w:sz w:val="22"/>
          <w:szCs w:val="22"/>
          <w:lang w:eastAsia="en-US"/>
        </w:rPr>
      </w:pPr>
    </w:p>
    <w:p w14:paraId="5E58C445" w14:textId="77777777" w:rsidR="003F7CCA" w:rsidRDefault="0080197E">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0E6E6343" w14:textId="77777777" w:rsidR="003F7CCA" w:rsidRDefault="003F7CCA">
      <w:pPr>
        <w:rPr>
          <w:rFonts w:eastAsia="Calibri"/>
          <w:sz w:val="22"/>
          <w:szCs w:val="22"/>
          <w:lang w:eastAsia="en-US"/>
        </w:rPr>
      </w:pPr>
    </w:p>
    <w:p w14:paraId="3BE2ACCD" w14:textId="77777777" w:rsidR="003F7CCA" w:rsidRDefault="003F7CCA">
      <w:pPr>
        <w:rPr>
          <w:rFonts w:eastAsia="Calibri"/>
          <w:sz w:val="22"/>
          <w:szCs w:val="22"/>
          <w:lang w:eastAsia="en-US"/>
        </w:rPr>
      </w:pPr>
    </w:p>
    <w:p w14:paraId="020BF571"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1FD38FAC" w14:textId="77777777" w:rsidR="003F7CCA" w:rsidRDefault="003F7CCA">
      <w:pPr>
        <w:rPr>
          <w:rFonts w:eastAsia="Calibri"/>
          <w:sz w:val="22"/>
          <w:szCs w:val="22"/>
          <w:lang w:eastAsia="en-US"/>
        </w:rPr>
      </w:pPr>
    </w:p>
    <w:p w14:paraId="123B85FE" w14:textId="77777777" w:rsidR="003F7CCA" w:rsidRDefault="0080197E">
      <w:pPr>
        <w:rPr>
          <w:rFonts w:eastAsia="Calibri"/>
          <w:sz w:val="22"/>
          <w:szCs w:val="22"/>
          <w:lang w:eastAsia="en-US"/>
        </w:rPr>
      </w:pPr>
      <w:r>
        <w:rPr>
          <w:rFonts w:eastAsia="Calibri"/>
          <w:sz w:val="22"/>
          <w:szCs w:val="22"/>
          <w:lang w:eastAsia="en-US"/>
        </w:rPr>
        <w:t>Laikyti gamintojo pakuotėje, kad vaistas būtų apsaugotas nuo šviesos.</w:t>
      </w:r>
    </w:p>
    <w:p w14:paraId="109016DA" w14:textId="77777777" w:rsidR="003F7CCA" w:rsidRDefault="003F7CCA">
      <w:pPr>
        <w:rPr>
          <w:rFonts w:eastAsia="Calibri"/>
          <w:sz w:val="22"/>
          <w:szCs w:val="22"/>
          <w:lang w:eastAsia="en-US"/>
        </w:rPr>
      </w:pPr>
    </w:p>
    <w:p w14:paraId="02C957CE" w14:textId="77777777" w:rsidR="003F7CCA" w:rsidRDefault="003F7CCA">
      <w:pPr>
        <w:rPr>
          <w:rFonts w:eastAsia="Calibri"/>
          <w:sz w:val="22"/>
          <w:szCs w:val="22"/>
          <w:lang w:eastAsia="en-US"/>
        </w:rPr>
      </w:pPr>
    </w:p>
    <w:p w14:paraId="013A2C91"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2FCC6908" w14:textId="77777777" w:rsidR="003F7CCA" w:rsidRDefault="003F7CCA">
      <w:pPr>
        <w:rPr>
          <w:rFonts w:eastAsia="Calibri"/>
          <w:sz w:val="22"/>
          <w:szCs w:val="22"/>
          <w:lang w:eastAsia="en-US"/>
        </w:rPr>
      </w:pPr>
    </w:p>
    <w:p w14:paraId="4FE624C7" w14:textId="77777777" w:rsidR="003F7CCA" w:rsidRPr="00C26C35" w:rsidRDefault="003F7CCA">
      <w:pPr>
        <w:rPr>
          <w:rFonts w:eastAsia="Calibri"/>
          <w:sz w:val="16"/>
          <w:szCs w:val="16"/>
          <w:lang w:eastAsia="en-US"/>
        </w:rPr>
      </w:pPr>
    </w:p>
    <w:p w14:paraId="4B1DBAED"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4E98E2F9" w14:textId="77777777" w:rsidR="003F7CCA" w:rsidRDefault="003F7CCA">
      <w:pPr>
        <w:rPr>
          <w:rFonts w:eastAsia="Calibri"/>
          <w:sz w:val="22"/>
          <w:szCs w:val="22"/>
          <w:lang w:eastAsia="en-US"/>
        </w:rPr>
      </w:pPr>
    </w:p>
    <w:p w14:paraId="5A48523B" w14:textId="77777777" w:rsidR="003F7CCA" w:rsidRDefault="0080197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2387913B" w14:textId="77777777" w:rsidR="003F7CCA" w:rsidRDefault="0080197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22DB3836" w14:textId="77777777" w:rsidR="003F7CCA" w:rsidRDefault="0080197E">
      <w:pPr>
        <w:widowControl w:val="0"/>
        <w:rPr>
          <w:b/>
          <w:sz w:val="22"/>
          <w:szCs w:val="22"/>
          <w:lang w:eastAsia="sl-SI"/>
        </w:rPr>
      </w:pPr>
      <w:r>
        <w:rPr>
          <w:sz w:val="22"/>
          <w:szCs w:val="22"/>
          <w:lang w:eastAsia="sl-SI"/>
        </w:rPr>
        <w:t>8501 Novo mesto</w:t>
      </w:r>
    </w:p>
    <w:p w14:paraId="4F0836CC" w14:textId="77777777" w:rsidR="003F7CCA" w:rsidRDefault="0080197E">
      <w:pPr>
        <w:widowControl w:val="0"/>
        <w:rPr>
          <w:b/>
          <w:sz w:val="22"/>
          <w:szCs w:val="22"/>
          <w:lang w:eastAsia="sl-SI"/>
        </w:rPr>
      </w:pPr>
      <w:r>
        <w:rPr>
          <w:sz w:val="22"/>
          <w:szCs w:val="22"/>
          <w:lang w:eastAsia="sl-SI"/>
        </w:rPr>
        <w:t>Slovėnija</w:t>
      </w:r>
    </w:p>
    <w:p w14:paraId="092B1F62" w14:textId="77777777" w:rsidR="003F7CCA" w:rsidRDefault="003F7CCA">
      <w:pPr>
        <w:rPr>
          <w:rFonts w:eastAsia="Calibri"/>
          <w:sz w:val="22"/>
          <w:szCs w:val="22"/>
          <w:lang w:eastAsia="en-US"/>
        </w:rPr>
      </w:pPr>
    </w:p>
    <w:p w14:paraId="565F9BF6" w14:textId="77777777" w:rsidR="003F7CCA" w:rsidRDefault="003F7CCA">
      <w:pPr>
        <w:rPr>
          <w:rFonts w:eastAsia="Calibri"/>
          <w:sz w:val="22"/>
          <w:szCs w:val="22"/>
          <w:lang w:eastAsia="en-US"/>
        </w:rPr>
      </w:pPr>
    </w:p>
    <w:p w14:paraId="2CEF1066"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6A54DF56" w14:textId="77777777" w:rsidR="003F7CCA" w:rsidRDefault="003F7CCA">
      <w:pPr>
        <w:rPr>
          <w:rFonts w:eastAsia="Calibri"/>
          <w:sz w:val="22"/>
          <w:szCs w:val="22"/>
          <w:lang w:eastAsia="en-US"/>
        </w:rPr>
      </w:pPr>
    </w:p>
    <w:p w14:paraId="6581BB16" w14:textId="77777777" w:rsidR="00C26C35" w:rsidRPr="00C26C35" w:rsidRDefault="00C26C35" w:rsidP="00C26C35">
      <w:pPr>
        <w:autoSpaceDE w:val="0"/>
        <w:autoSpaceDN w:val="0"/>
        <w:adjustRightInd w:val="0"/>
        <w:rPr>
          <w:rFonts w:eastAsia="Calibri"/>
          <w:iCs/>
          <w:sz w:val="22"/>
          <w:szCs w:val="22"/>
          <w:u w:val="single"/>
          <w:lang w:eastAsia="en-US"/>
        </w:rPr>
      </w:pPr>
      <w:r w:rsidRPr="00C26C35">
        <w:rPr>
          <w:rFonts w:eastAsia="Calibri"/>
          <w:iCs/>
          <w:sz w:val="22"/>
          <w:szCs w:val="22"/>
          <w:highlight w:val="lightGray"/>
          <w:u w:val="single"/>
          <w:lang w:eastAsia="en-US"/>
        </w:rPr>
        <w:t>2,5 mg/ 850 mg</w:t>
      </w:r>
    </w:p>
    <w:p w14:paraId="3CF317C1"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lang w:eastAsia="en-US"/>
        </w:rPr>
        <w:t xml:space="preserve">LT/1/26/6032/001 </w:t>
      </w:r>
      <w:r w:rsidRPr="00C26C35">
        <w:rPr>
          <w:rFonts w:eastAsia="Calibri"/>
          <w:iCs/>
          <w:sz w:val="22"/>
          <w:szCs w:val="22"/>
          <w:highlight w:val="lightGray"/>
          <w:lang w:eastAsia="en-US"/>
        </w:rPr>
        <w:t>– N10</w:t>
      </w:r>
    </w:p>
    <w:p w14:paraId="54E31C02"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LT/1/26/6032/002 – N14</w:t>
      </w:r>
    </w:p>
    <w:p w14:paraId="27B64ADA"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LT/1/26/6032/003 – N28</w:t>
      </w:r>
    </w:p>
    <w:p w14:paraId="176243AC"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LT/1/26/6032/004 – N30</w:t>
      </w:r>
    </w:p>
    <w:p w14:paraId="2FCAD2FC"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LT/1/26/6032/005 – N56</w:t>
      </w:r>
    </w:p>
    <w:p w14:paraId="130CDB8D"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LT/1/26/6032/006 – N60</w:t>
      </w:r>
    </w:p>
    <w:p w14:paraId="6F4F6711"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LT/1/26/6032/007 – N84</w:t>
      </w:r>
    </w:p>
    <w:p w14:paraId="5431F5E1"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LT/1/26/6032/008 – N90</w:t>
      </w:r>
    </w:p>
    <w:p w14:paraId="1BB29893"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LT/1/26/6032/009 – N98</w:t>
      </w:r>
    </w:p>
    <w:p w14:paraId="2D93FF18"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LT/1/26/6032/010 – N100</w:t>
      </w:r>
    </w:p>
    <w:p w14:paraId="21ADFE55"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LT/1/26/6032/011 – N112</w:t>
      </w:r>
    </w:p>
    <w:p w14:paraId="2B02C8B7"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LT/1/26/6032/012 – N120</w:t>
      </w:r>
    </w:p>
    <w:p w14:paraId="48371AEA" w14:textId="77777777" w:rsidR="00C26C35" w:rsidRPr="00C26C35" w:rsidRDefault="00C26C35" w:rsidP="00C26C35">
      <w:pPr>
        <w:autoSpaceDE w:val="0"/>
        <w:autoSpaceDN w:val="0"/>
        <w:adjustRightInd w:val="0"/>
        <w:rPr>
          <w:rFonts w:eastAsia="Calibri"/>
          <w:iCs/>
          <w:sz w:val="16"/>
          <w:szCs w:val="16"/>
          <w:highlight w:val="lightGray"/>
          <w:lang w:eastAsia="en-US"/>
        </w:rPr>
      </w:pPr>
    </w:p>
    <w:p w14:paraId="03848334" w14:textId="4A84156F" w:rsidR="00C26C35" w:rsidRPr="00C26C35" w:rsidRDefault="00C26C35" w:rsidP="00C26C35">
      <w:pPr>
        <w:autoSpaceDE w:val="0"/>
        <w:autoSpaceDN w:val="0"/>
        <w:adjustRightInd w:val="0"/>
        <w:rPr>
          <w:rFonts w:eastAsia="Calibri"/>
          <w:iCs/>
          <w:sz w:val="22"/>
          <w:szCs w:val="22"/>
          <w:highlight w:val="lightGray"/>
          <w:u w:val="single"/>
          <w:lang w:eastAsia="en-US"/>
        </w:rPr>
      </w:pPr>
      <w:r w:rsidRPr="00C26C35">
        <w:rPr>
          <w:rFonts w:eastAsia="Calibri"/>
          <w:iCs/>
          <w:sz w:val="22"/>
          <w:szCs w:val="22"/>
          <w:highlight w:val="lightGray"/>
          <w:u w:val="single"/>
          <w:lang w:eastAsia="en-US"/>
        </w:rPr>
        <w:t>2,5 mg/ 1000 mg</w:t>
      </w:r>
    </w:p>
    <w:p w14:paraId="0DAA16DE"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LT/1/26/6033/001 – N10</w:t>
      </w:r>
    </w:p>
    <w:p w14:paraId="513C063C"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LT/1/26/6033/002 – N14</w:t>
      </w:r>
    </w:p>
    <w:p w14:paraId="06C7FF7F"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LT/1/26/6033/003 – N28</w:t>
      </w:r>
    </w:p>
    <w:p w14:paraId="41A15A7E"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LT/1/26/6033/004 – N30</w:t>
      </w:r>
    </w:p>
    <w:p w14:paraId="661965D1"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LT/1/26/6033/005 – N56</w:t>
      </w:r>
    </w:p>
    <w:p w14:paraId="7763FF27"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LT/1/26/6033/006 – N60</w:t>
      </w:r>
    </w:p>
    <w:p w14:paraId="52408183"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LT/1/26/6033/007 – N84</w:t>
      </w:r>
    </w:p>
    <w:p w14:paraId="0FB572A8"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LT/1/26/6033/008 – N90</w:t>
      </w:r>
    </w:p>
    <w:p w14:paraId="3EFC585E"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LT/1/26/6033/009 – N98</w:t>
      </w:r>
    </w:p>
    <w:p w14:paraId="71D6F6F8"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LT/1/26/6033/010 – N100</w:t>
      </w:r>
    </w:p>
    <w:p w14:paraId="5ECD8CB7"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LT/1/26/6033/011 – N112</w:t>
      </w:r>
    </w:p>
    <w:p w14:paraId="0E9C35CE"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LT/1/26/6033/012 – N120</w:t>
      </w:r>
    </w:p>
    <w:p w14:paraId="4241EC24" w14:textId="77777777" w:rsidR="00C26C35" w:rsidRPr="00C26C35" w:rsidRDefault="00C26C35" w:rsidP="00C26C35">
      <w:pPr>
        <w:autoSpaceDE w:val="0"/>
        <w:autoSpaceDN w:val="0"/>
        <w:adjustRightInd w:val="0"/>
        <w:rPr>
          <w:rFonts w:eastAsia="Calibri"/>
          <w:iCs/>
          <w:sz w:val="16"/>
          <w:szCs w:val="16"/>
          <w:lang w:eastAsia="en-US"/>
        </w:rPr>
      </w:pPr>
    </w:p>
    <w:p w14:paraId="4DEB5E36" w14:textId="77777777" w:rsidR="003F7CCA" w:rsidRDefault="003F7CCA">
      <w:pPr>
        <w:rPr>
          <w:rFonts w:eastAsia="Calibri"/>
          <w:sz w:val="22"/>
          <w:szCs w:val="22"/>
          <w:lang w:eastAsia="en-US"/>
        </w:rPr>
      </w:pPr>
    </w:p>
    <w:p w14:paraId="598A1D26"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228D2B59" w14:textId="77777777" w:rsidR="003F7CCA" w:rsidRPr="00C26C35" w:rsidRDefault="003F7CCA">
      <w:pPr>
        <w:rPr>
          <w:rFonts w:eastAsia="Calibri"/>
          <w:sz w:val="16"/>
          <w:szCs w:val="16"/>
          <w:lang w:eastAsia="en-US"/>
        </w:rPr>
      </w:pPr>
    </w:p>
    <w:p w14:paraId="1CC4C86E" w14:textId="77777777" w:rsidR="003F7CCA" w:rsidRDefault="0080197E">
      <w:pPr>
        <w:rPr>
          <w:rFonts w:eastAsia="Calibri"/>
          <w:sz w:val="22"/>
          <w:szCs w:val="22"/>
          <w:lang w:eastAsia="en-US"/>
        </w:rPr>
      </w:pPr>
      <w:r>
        <w:rPr>
          <w:rFonts w:eastAsia="Calibri"/>
          <w:sz w:val="22"/>
          <w:szCs w:val="22"/>
          <w:lang w:eastAsia="en-US"/>
        </w:rPr>
        <w:t>Lot</w:t>
      </w:r>
    </w:p>
    <w:p w14:paraId="4449E84C" w14:textId="77777777" w:rsidR="003F7CCA" w:rsidRDefault="003F7CCA">
      <w:pPr>
        <w:rPr>
          <w:rFonts w:eastAsia="Calibri"/>
          <w:sz w:val="22"/>
          <w:szCs w:val="22"/>
          <w:lang w:eastAsia="en-US"/>
        </w:rPr>
      </w:pPr>
    </w:p>
    <w:p w14:paraId="62617842" w14:textId="77777777" w:rsidR="003F7CCA" w:rsidRDefault="003F7CCA">
      <w:pPr>
        <w:rPr>
          <w:rFonts w:eastAsia="Calibri"/>
          <w:sz w:val="22"/>
          <w:szCs w:val="22"/>
          <w:lang w:eastAsia="en-US"/>
        </w:rPr>
      </w:pPr>
    </w:p>
    <w:p w14:paraId="504F7536"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13506E6A" w14:textId="77777777" w:rsidR="003F7CCA" w:rsidRDefault="003F7CCA">
      <w:pPr>
        <w:rPr>
          <w:rFonts w:eastAsia="Calibri"/>
          <w:sz w:val="22"/>
          <w:szCs w:val="22"/>
          <w:lang w:eastAsia="en-US"/>
        </w:rPr>
      </w:pPr>
    </w:p>
    <w:p w14:paraId="0FA88B2A" w14:textId="77777777" w:rsidR="003F7CCA" w:rsidRDefault="0080197E">
      <w:pPr>
        <w:rPr>
          <w:rFonts w:eastAsia="Calibri"/>
          <w:sz w:val="22"/>
          <w:szCs w:val="22"/>
          <w:lang w:eastAsia="en-US"/>
        </w:rPr>
      </w:pPr>
      <w:r>
        <w:rPr>
          <w:rFonts w:eastAsia="Calibri"/>
          <w:sz w:val="22"/>
          <w:szCs w:val="22"/>
          <w:lang w:eastAsia="en-US"/>
        </w:rPr>
        <w:t>Receptinis vaistas</w:t>
      </w:r>
    </w:p>
    <w:p w14:paraId="4FEF75A4" w14:textId="77777777" w:rsidR="003F7CCA" w:rsidRDefault="003F7CCA">
      <w:pPr>
        <w:rPr>
          <w:rFonts w:eastAsia="Calibri"/>
          <w:sz w:val="22"/>
          <w:szCs w:val="22"/>
          <w:lang w:eastAsia="en-US"/>
        </w:rPr>
      </w:pPr>
    </w:p>
    <w:p w14:paraId="3080F4F0" w14:textId="77777777" w:rsidR="003F7CCA" w:rsidRDefault="003F7CCA">
      <w:pPr>
        <w:rPr>
          <w:rFonts w:eastAsia="Calibri"/>
          <w:sz w:val="22"/>
          <w:szCs w:val="22"/>
          <w:lang w:eastAsia="en-US"/>
        </w:rPr>
      </w:pPr>
    </w:p>
    <w:p w14:paraId="5E41654A"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0DD7BA60" w14:textId="77777777" w:rsidR="003F7CCA" w:rsidRDefault="003F7CCA">
      <w:pPr>
        <w:rPr>
          <w:rFonts w:eastAsia="Calibri"/>
          <w:sz w:val="22"/>
          <w:szCs w:val="22"/>
          <w:lang w:eastAsia="en-US"/>
        </w:rPr>
      </w:pPr>
    </w:p>
    <w:p w14:paraId="2815BD55" w14:textId="77777777" w:rsidR="003F7CCA" w:rsidRDefault="003F7CCA">
      <w:pPr>
        <w:rPr>
          <w:rFonts w:eastAsia="Calibri"/>
          <w:sz w:val="22"/>
          <w:szCs w:val="22"/>
          <w:lang w:eastAsia="en-US"/>
        </w:rPr>
      </w:pPr>
    </w:p>
    <w:p w14:paraId="650D3227"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4649FEEC" w14:textId="77777777" w:rsidR="003F7CCA" w:rsidRDefault="003F7CCA">
      <w:pPr>
        <w:rPr>
          <w:rFonts w:eastAsia="Calibri"/>
          <w:sz w:val="22"/>
          <w:szCs w:val="22"/>
          <w:lang w:eastAsia="en-US"/>
        </w:rPr>
      </w:pPr>
    </w:p>
    <w:p w14:paraId="1FC58E23"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w:t>
      </w:r>
    </w:p>
    <w:p w14:paraId="78EA857D" w14:textId="77777777" w:rsidR="003F7CCA" w:rsidRDefault="0080197E">
      <w:pPr>
        <w:rPr>
          <w:sz w:val="22"/>
          <w:szCs w:val="22"/>
        </w:rPr>
      </w:pPr>
      <w:proofErr w:type="spellStart"/>
      <w:r>
        <w:rPr>
          <w:rFonts w:eastAsiaTheme="minorHAnsi"/>
          <w:color w:val="000000"/>
          <w:sz w:val="22"/>
          <w:szCs w:val="22"/>
          <w:highlight w:val="lightGray"/>
          <w:lang w:eastAsia="en-US"/>
        </w:rPr>
        <w:t>Lymerexo</w:t>
      </w:r>
      <w:proofErr w:type="spellEnd"/>
      <w:r>
        <w:rPr>
          <w:rFonts w:eastAsiaTheme="minorHAnsi"/>
          <w:color w:val="000000"/>
          <w:sz w:val="22"/>
          <w:szCs w:val="22"/>
          <w:highlight w:val="lightGray"/>
          <w:lang w:eastAsia="en-US"/>
        </w:rPr>
        <w:t xml:space="preserve"> 2,5 mg/1 000 mg</w:t>
      </w:r>
    </w:p>
    <w:p w14:paraId="58101621" w14:textId="77777777" w:rsidR="003F7CCA" w:rsidRDefault="003F7CCA">
      <w:pPr>
        <w:rPr>
          <w:rFonts w:eastAsia="Calibri"/>
          <w:iCs/>
          <w:sz w:val="22"/>
          <w:szCs w:val="22"/>
          <w:lang w:eastAsia="en-US"/>
        </w:rPr>
      </w:pPr>
    </w:p>
    <w:p w14:paraId="7C2DC46E" w14:textId="77777777" w:rsidR="003F7CCA" w:rsidRDefault="003F7CCA">
      <w:pPr>
        <w:rPr>
          <w:rFonts w:eastAsia="Calibri"/>
          <w:iCs/>
          <w:sz w:val="22"/>
          <w:szCs w:val="22"/>
          <w:lang w:eastAsia="en-US"/>
        </w:rPr>
      </w:pPr>
    </w:p>
    <w:p w14:paraId="02D5A501"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5927C059" w14:textId="77777777" w:rsidR="003F7CCA" w:rsidRDefault="003F7CCA">
      <w:pPr>
        <w:rPr>
          <w:rFonts w:eastAsia="Calibri"/>
          <w:sz w:val="22"/>
          <w:szCs w:val="22"/>
          <w:lang w:eastAsia="en-US"/>
        </w:rPr>
      </w:pPr>
    </w:p>
    <w:p w14:paraId="650AFDE2" w14:textId="77777777" w:rsidR="003F7CCA" w:rsidRDefault="0080197E">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71BAB8FD" w14:textId="77777777" w:rsidR="003F7CCA" w:rsidRDefault="003F7CCA">
      <w:pPr>
        <w:rPr>
          <w:rFonts w:eastAsia="Calibri"/>
          <w:iCs/>
          <w:sz w:val="22"/>
          <w:szCs w:val="22"/>
          <w:lang w:eastAsia="en-US"/>
        </w:rPr>
      </w:pPr>
    </w:p>
    <w:p w14:paraId="2357C5B6" w14:textId="77777777" w:rsidR="003F7CCA" w:rsidRDefault="003F7CCA">
      <w:pPr>
        <w:rPr>
          <w:rFonts w:eastAsia="Calibri"/>
          <w:iCs/>
          <w:sz w:val="22"/>
          <w:szCs w:val="22"/>
          <w:lang w:eastAsia="en-US"/>
        </w:rPr>
      </w:pPr>
    </w:p>
    <w:p w14:paraId="79489E12"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71E51943" w14:textId="77777777" w:rsidR="003F7CCA" w:rsidRDefault="003F7CCA">
      <w:pPr>
        <w:rPr>
          <w:rFonts w:eastAsia="Calibri"/>
          <w:sz w:val="22"/>
          <w:szCs w:val="22"/>
          <w:lang w:eastAsia="en-US"/>
        </w:rPr>
      </w:pPr>
    </w:p>
    <w:p w14:paraId="7D0721F0" w14:textId="77777777" w:rsidR="003F7CCA" w:rsidRDefault="0080197E">
      <w:pPr>
        <w:rPr>
          <w:rFonts w:eastAsia="Calibri"/>
          <w:sz w:val="22"/>
          <w:szCs w:val="22"/>
          <w:lang w:eastAsia="en-US"/>
        </w:rPr>
      </w:pPr>
      <w:r>
        <w:rPr>
          <w:rFonts w:eastAsia="Calibri"/>
          <w:sz w:val="22"/>
          <w:szCs w:val="22"/>
          <w:lang w:eastAsia="en-US"/>
        </w:rPr>
        <w:t>PC</w:t>
      </w:r>
    </w:p>
    <w:p w14:paraId="15ADE51B" w14:textId="77777777" w:rsidR="003F7CCA" w:rsidRDefault="0080197E">
      <w:pPr>
        <w:rPr>
          <w:rFonts w:eastAsia="Calibri"/>
          <w:sz w:val="22"/>
          <w:szCs w:val="22"/>
          <w:lang w:eastAsia="en-US"/>
        </w:rPr>
      </w:pPr>
      <w:r>
        <w:rPr>
          <w:rFonts w:eastAsia="Calibri"/>
          <w:sz w:val="22"/>
          <w:szCs w:val="22"/>
          <w:lang w:eastAsia="en-US"/>
        </w:rPr>
        <w:t>SN</w:t>
      </w:r>
    </w:p>
    <w:p w14:paraId="4B3B0C75" w14:textId="77777777" w:rsidR="003F7CCA" w:rsidRDefault="0080197E">
      <w:pPr>
        <w:rPr>
          <w:rFonts w:eastAsia="Calibri"/>
          <w:sz w:val="22"/>
          <w:szCs w:val="22"/>
          <w:lang w:eastAsia="en-US"/>
        </w:rPr>
      </w:pPr>
      <w:r>
        <w:rPr>
          <w:rFonts w:eastAsia="Calibri"/>
          <w:sz w:val="22"/>
          <w:szCs w:val="22"/>
          <w:highlight w:val="lightGray"/>
          <w:lang w:eastAsia="en-US"/>
        </w:rPr>
        <w:t>NN</w:t>
      </w:r>
    </w:p>
    <w:p w14:paraId="3359C191" w14:textId="77777777" w:rsidR="003F7CCA" w:rsidRDefault="003F7CCA">
      <w:pPr>
        <w:rPr>
          <w:rFonts w:eastAsia="Calibri"/>
          <w:sz w:val="22"/>
          <w:szCs w:val="22"/>
          <w:lang w:eastAsia="en-US"/>
        </w:rPr>
      </w:pPr>
    </w:p>
    <w:p w14:paraId="1563A215" w14:textId="77777777" w:rsidR="003F7CCA" w:rsidRDefault="0080197E">
      <w:pPr>
        <w:rPr>
          <w:rFonts w:eastAsia="Calibri"/>
          <w:sz w:val="22"/>
          <w:szCs w:val="22"/>
          <w:lang w:eastAsia="en-US"/>
        </w:rPr>
      </w:pPr>
      <w:r>
        <w:rPr>
          <w:rFonts w:eastAsia="Calibri"/>
          <w:sz w:val="22"/>
          <w:szCs w:val="22"/>
          <w:lang w:eastAsia="en-US"/>
        </w:rPr>
        <w:br w:type="page"/>
      </w:r>
    </w:p>
    <w:bookmarkEnd w:id="14"/>
    <w:p w14:paraId="2A4DC145" w14:textId="77777777" w:rsidR="003F7CCA" w:rsidRDefault="0080197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INFORMACIJA ANT IŠORINĖS PAKUOTĖS</w:t>
      </w:r>
    </w:p>
    <w:p w14:paraId="03FC2C0B" w14:textId="77777777" w:rsidR="003F7CCA" w:rsidRDefault="003F7CCA">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7C324968" w14:textId="12C25528" w:rsidR="003F7CCA" w:rsidRDefault="0080197E">
      <w:pPr>
        <w:pBdr>
          <w:top w:val="single" w:sz="4" w:space="1" w:color="auto"/>
          <w:left w:val="single" w:sz="4" w:space="4" w:color="auto"/>
          <w:bottom w:val="single" w:sz="4" w:space="1" w:color="auto"/>
          <w:right w:val="single" w:sz="4" w:space="4" w:color="auto"/>
        </w:pBdr>
        <w:rPr>
          <w:bCs/>
          <w:noProof/>
          <w:sz w:val="22"/>
          <w:lang w:eastAsia="en-US"/>
        </w:rPr>
      </w:pPr>
      <w:r>
        <w:rPr>
          <w:b/>
          <w:noProof/>
          <w:sz w:val="22"/>
          <w:lang w:eastAsia="en-US"/>
        </w:rPr>
        <w:t>LIZDINIŲ PLOKŠTELIŲ SUDĖTIN</w:t>
      </w:r>
      <w:r w:rsidR="00D65949">
        <w:rPr>
          <w:b/>
          <w:noProof/>
          <w:sz w:val="22"/>
          <w:lang w:eastAsia="en-US"/>
        </w:rPr>
        <w:t>I</w:t>
      </w:r>
      <w:r>
        <w:rPr>
          <w:b/>
          <w:noProof/>
          <w:sz w:val="22"/>
          <w:lang w:eastAsia="en-US"/>
        </w:rPr>
        <w:t>Ų PAKUOČIŲ IŠORINĖ DĖŽUTĖ</w:t>
      </w:r>
    </w:p>
    <w:p w14:paraId="30370974" w14:textId="77777777" w:rsidR="003F7CCA" w:rsidRDefault="003F7CCA">
      <w:pPr>
        <w:rPr>
          <w:rFonts w:eastAsia="Calibri"/>
          <w:sz w:val="22"/>
          <w:szCs w:val="22"/>
          <w:lang w:eastAsia="en-US"/>
        </w:rPr>
      </w:pPr>
    </w:p>
    <w:p w14:paraId="4A72658E" w14:textId="77777777" w:rsidR="003F7CCA" w:rsidRDefault="003F7CCA">
      <w:pPr>
        <w:rPr>
          <w:rFonts w:eastAsia="Calibri"/>
          <w:sz w:val="22"/>
          <w:szCs w:val="22"/>
          <w:lang w:eastAsia="en-US"/>
        </w:rPr>
      </w:pPr>
    </w:p>
    <w:p w14:paraId="21AEDE31"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4C8EBCF7" w14:textId="77777777" w:rsidR="003F7CCA" w:rsidRDefault="003F7CCA">
      <w:pPr>
        <w:rPr>
          <w:rFonts w:eastAsia="Calibri"/>
          <w:sz w:val="22"/>
          <w:szCs w:val="22"/>
          <w:lang w:eastAsia="en-US"/>
        </w:rPr>
      </w:pPr>
    </w:p>
    <w:p w14:paraId="1AF42E4B" w14:textId="77777777" w:rsidR="003F7CCA" w:rsidRDefault="0080197E">
      <w:pPr>
        <w:autoSpaceDE w:val="0"/>
        <w:autoSpaceDN w:val="0"/>
        <w:adjustRightInd w:val="0"/>
        <w:rPr>
          <w:rFonts w:eastAsiaTheme="minorHAnsi"/>
          <w:color w:val="000000"/>
          <w:sz w:val="22"/>
          <w:szCs w:val="22"/>
          <w:lang w:eastAsia="en-US"/>
        </w:rPr>
      </w:pPr>
      <w:bookmarkStart w:id="16" w:name="_Hlk222833083"/>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 plėvele dengtos tabletės</w:t>
      </w:r>
    </w:p>
    <w:p w14:paraId="24A0AF91" w14:textId="77777777" w:rsidR="003F7CCA" w:rsidRDefault="0080197E">
      <w:pPr>
        <w:rPr>
          <w:sz w:val="22"/>
          <w:szCs w:val="22"/>
        </w:rPr>
      </w:pPr>
      <w:proofErr w:type="spellStart"/>
      <w:r>
        <w:rPr>
          <w:rFonts w:eastAsiaTheme="minorHAnsi"/>
          <w:color w:val="000000"/>
          <w:sz w:val="22"/>
          <w:szCs w:val="22"/>
          <w:highlight w:val="lightGray"/>
          <w:lang w:eastAsia="en-US"/>
        </w:rPr>
        <w:t>Lymerexo</w:t>
      </w:r>
      <w:proofErr w:type="spellEnd"/>
      <w:r>
        <w:rPr>
          <w:rFonts w:eastAsiaTheme="minorHAnsi"/>
          <w:color w:val="000000"/>
          <w:sz w:val="22"/>
          <w:szCs w:val="22"/>
          <w:highlight w:val="lightGray"/>
          <w:lang w:eastAsia="en-US"/>
        </w:rPr>
        <w:t xml:space="preserve"> 2,5 mg/1 000 mg plėvele dengtos tabletės</w:t>
      </w:r>
    </w:p>
    <w:p w14:paraId="437C099E" w14:textId="77777777" w:rsidR="003F7CCA" w:rsidRDefault="003F7CCA">
      <w:pPr>
        <w:rPr>
          <w:i/>
          <w:iCs/>
          <w:sz w:val="22"/>
          <w:szCs w:val="22"/>
        </w:rPr>
      </w:pPr>
    </w:p>
    <w:bookmarkEnd w:id="16"/>
    <w:p w14:paraId="0889D83B" w14:textId="77777777" w:rsidR="003F7CCA" w:rsidRDefault="0080197E">
      <w:pPr>
        <w:rPr>
          <w:sz w:val="22"/>
          <w:szCs w:val="22"/>
        </w:rPr>
      </w:pPr>
      <w:proofErr w:type="spellStart"/>
      <w:r>
        <w:rPr>
          <w:sz w:val="22"/>
          <w:szCs w:val="22"/>
        </w:rPr>
        <w:t>linagliptinas</w:t>
      </w:r>
      <w:proofErr w:type="spellEnd"/>
      <w:r>
        <w:rPr>
          <w:sz w:val="22"/>
          <w:szCs w:val="22"/>
        </w:rPr>
        <w:t>/</w:t>
      </w:r>
      <w:proofErr w:type="spellStart"/>
      <w:r>
        <w:rPr>
          <w:sz w:val="22"/>
          <w:szCs w:val="22"/>
        </w:rPr>
        <w:t>metformino</w:t>
      </w:r>
      <w:proofErr w:type="spellEnd"/>
      <w:r>
        <w:rPr>
          <w:sz w:val="22"/>
          <w:szCs w:val="22"/>
        </w:rPr>
        <w:t xml:space="preserve"> hidrochloridas</w:t>
      </w:r>
    </w:p>
    <w:p w14:paraId="2B38FD24" w14:textId="77777777" w:rsidR="003F7CCA" w:rsidRDefault="003F7CCA">
      <w:pPr>
        <w:rPr>
          <w:rFonts w:eastAsia="Calibri"/>
          <w:sz w:val="22"/>
          <w:szCs w:val="22"/>
          <w:lang w:eastAsia="en-US"/>
        </w:rPr>
      </w:pPr>
    </w:p>
    <w:p w14:paraId="44542046" w14:textId="77777777" w:rsidR="003F7CCA" w:rsidRDefault="003F7CCA">
      <w:pPr>
        <w:rPr>
          <w:rFonts w:eastAsia="Calibri"/>
          <w:sz w:val="22"/>
          <w:szCs w:val="22"/>
          <w:lang w:eastAsia="en-US"/>
        </w:rPr>
      </w:pPr>
    </w:p>
    <w:p w14:paraId="6A67013B"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0CA7328B" w14:textId="77777777" w:rsidR="003F7CCA" w:rsidRDefault="003F7CCA">
      <w:pPr>
        <w:rPr>
          <w:rFonts w:eastAsia="Calibri"/>
          <w:sz w:val="22"/>
          <w:szCs w:val="22"/>
          <w:lang w:eastAsia="en-US"/>
        </w:rPr>
      </w:pPr>
    </w:p>
    <w:p w14:paraId="054AA683" w14:textId="55AC13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Kiekvienoje </w:t>
      </w:r>
      <w:r w:rsidR="00F94125">
        <w:rPr>
          <w:rFonts w:eastAsiaTheme="minorHAnsi"/>
          <w:color w:val="000000"/>
          <w:sz w:val="22"/>
          <w:szCs w:val="22"/>
          <w:lang w:eastAsia="en-US"/>
        </w:rPr>
        <w:t xml:space="preserve">plėvele dengtoje </w:t>
      </w:r>
      <w:r>
        <w:rPr>
          <w:rFonts w:eastAsiaTheme="minorHAnsi"/>
          <w:color w:val="000000"/>
          <w:sz w:val="22"/>
          <w:szCs w:val="22"/>
          <w:lang w:eastAsia="en-US"/>
        </w:rPr>
        <w:t xml:space="preserve">tabletėje yra 2,5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1BE2A2EB" w14:textId="7404B192"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highlight w:val="lightGray"/>
          <w:lang w:eastAsia="en-US"/>
        </w:rPr>
        <w:t xml:space="preserve">Kiekvienoje </w:t>
      </w:r>
      <w:r w:rsidR="00F94125">
        <w:rPr>
          <w:rFonts w:eastAsiaTheme="minorHAnsi"/>
          <w:color w:val="000000"/>
          <w:sz w:val="22"/>
          <w:szCs w:val="22"/>
          <w:highlight w:val="lightGray"/>
          <w:lang w:eastAsia="en-US"/>
        </w:rPr>
        <w:t xml:space="preserve">plėvele dengtoje </w:t>
      </w:r>
      <w:r>
        <w:rPr>
          <w:rFonts w:eastAsiaTheme="minorHAnsi"/>
          <w:color w:val="000000"/>
          <w:sz w:val="22"/>
          <w:szCs w:val="22"/>
          <w:highlight w:val="lightGray"/>
          <w:lang w:eastAsia="en-US"/>
        </w:rPr>
        <w:t xml:space="preserve">tabletėje yra 2,5 mg </w:t>
      </w:r>
      <w:proofErr w:type="spellStart"/>
      <w:r>
        <w:rPr>
          <w:rFonts w:eastAsiaTheme="minorHAnsi"/>
          <w:color w:val="000000"/>
          <w:sz w:val="22"/>
          <w:szCs w:val="22"/>
          <w:highlight w:val="lightGray"/>
          <w:lang w:eastAsia="en-US"/>
        </w:rPr>
        <w:t>linagliptino</w:t>
      </w:r>
      <w:proofErr w:type="spellEnd"/>
      <w:r>
        <w:rPr>
          <w:rFonts w:eastAsiaTheme="minorHAnsi"/>
          <w:color w:val="000000"/>
          <w:sz w:val="22"/>
          <w:szCs w:val="22"/>
          <w:highlight w:val="lightGray"/>
          <w:lang w:eastAsia="en-US"/>
        </w:rPr>
        <w:t xml:space="preserve">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6090D51B" w14:textId="77777777" w:rsidR="003F7CCA" w:rsidRDefault="003F7CCA">
      <w:pPr>
        <w:rPr>
          <w:rFonts w:eastAsia="Calibri"/>
          <w:sz w:val="22"/>
          <w:szCs w:val="22"/>
          <w:lang w:eastAsia="en-US"/>
        </w:rPr>
      </w:pPr>
    </w:p>
    <w:p w14:paraId="2F4C4E71" w14:textId="77777777" w:rsidR="003F7CCA" w:rsidRDefault="003F7CCA">
      <w:pPr>
        <w:rPr>
          <w:rFonts w:eastAsia="Calibri"/>
          <w:sz w:val="22"/>
          <w:szCs w:val="22"/>
          <w:lang w:eastAsia="en-US"/>
        </w:rPr>
      </w:pPr>
    </w:p>
    <w:p w14:paraId="1D6A1287"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095597D8" w14:textId="77777777" w:rsidR="003F7CCA" w:rsidRDefault="003F7CCA">
      <w:pPr>
        <w:rPr>
          <w:rFonts w:eastAsia="Calibri"/>
          <w:sz w:val="22"/>
          <w:szCs w:val="22"/>
          <w:lang w:eastAsia="en-US"/>
        </w:rPr>
      </w:pPr>
    </w:p>
    <w:p w14:paraId="571E4499" w14:textId="77777777" w:rsidR="003F7CCA" w:rsidRDefault="003F7CCA">
      <w:pPr>
        <w:rPr>
          <w:rFonts w:eastAsia="Calibri"/>
          <w:sz w:val="22"/>
          <w:szCs w:val="22"/>
          <w:lang w:eastAsia="en-US"/>
        </w:rPr>
      </w:pPr>
    </w:p>
    <w:p w14:paraId="3F3A72F4"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4058DE85" w14:textId="77777777" w:rsidR="003F7CCA" w:rsidRDefault="003F7CCA">
      <w:pPr>
        <w:rPr>
          <w:rFonts w:eastAsia="Calibri"/>
          <w:sz w:val="22"/>
          <w:szCs w:val="22"/>
          <w:lang w:eastAsia="en-US"/>
        </w:rPr>
      </w:pPr>
    </w:p>
    <w:p w14:paraId="2C5D7307" w14:textId="77777777" w:rsidR="003F7CCA" w:rsidRDefault="0080197E">
      <w:pPr>
        <w:rPr>
          <w:rFonts w:eastAsia="Calibri"/>
          <w:sz w:val="22"/>
          <w:szCs w:val="22"/>
          <w:lang w:eastAsia="en-US"/>
        </w:rPr>
      </w:pPr>
      <w:r>
        <w:rPr>
          <w:rFonts w:eastAsia="Calibri"/>
          <w:sz w:val="22"/>
          <w:szCs w:val="22"/>
          <w:highlight w:val="lightGray"/>
          <w:lang w:eastAsia="en-US"/>
        </w:rPr>
        <w:t>plėvele dengta tabletė</w:t>
      </w:r>
    </w:p>
    <w:p w14:paraId="18129DCD" w14:textId="77777777" w:rsidR="003F7CCA" w:rsidRDefault="003F7CCA">
      <w:pPr>
        <w:rPr>
          <w:rFonts w:eastAsia="Calibri"/>
          <w:sz w:val="22"/>
          <w:szCs w:val="22"/>
          <w:lang w:eastAsia="en-US"/>
        </w:rPr>
      </w:pPr>
    </w:p>
    <w:p w14:paraId="1D3C752D" w14:textId="77777777" w:rsidR="003F7CCA" w:rsidRDefault="0080197E">
      <w:pPr>
        <w:rPr>
          <w:rFonts w:eastAsia="Calibri"/>
          <w:sz w:val="22"/>
          <w:szCs w:val="22"/>
          <w:lang w:eastAsia="en-US"/>
        </w:rPr>
      </w:pPr>
      <w:r>
        <w:rPr>
          <w:sz w:val="22"/>
          <w:lang w:eastAsia="en-US"/>
        </w:rPr>
        <w:t xml:space="preserve">Sudėtinė pakuotė: 120 </w:t>
      </w:r>
      <w:r>
        <w:rPr>
          <w:rFonts w:eastAsia="Calibri"/>
          <w:sz w:val="22"/>
          <w:szCs w:val="22"/>
          <w:lang w:eastAsia="en-US"/>
        </w:rPr>
        <w:t>(2 pakuotės po 60) plėvele dengtų tablečių</w:t>
      </w:r>
    </w:p>
    <w:p w14:paraId="3367FF90" w14:textId="77777777" w:rsidR="003F7CCA" w:rsidRDefault="0080197E">
      <w:pPr>
        <w:rPr>
          <w:rFonts w:eastAsia="Calibri"/>
          <w:sz w:val="22"/>
          <w:szCs w:val="22"/>
          <w:highlight w:val="lightGray"/>
          <w:lang w:eastAsia="en-US"/>
        </w:rPr>
      </w:pPr>
      <w:r>
        <w:rPr>
          <w:sz w:val="22"/>
          <w:highlight w:val="lightGray"/>
          <w:lang w:eastAsia="en-US"/>
        </w:rPr>
        <w:t xml:space="preserve">Sudėtinė pakuotė: 180 </w:t>
      </w:r>
      <w:r>
        <w:rPr>
          <w:rFonts w:eastAsia="Calibri"/>
          <w:sz w:val="22"/>
          <w:szCs w:val="22"/>
          <w:highlight w:val="lightGray"/>
          <w:lang w:eastAsia="en-US"/>
        </w:rPr>
        <w:t>(2 pakuotės po 90) plėvele dengtų tablečių</w:t>
      </w:r>
    </w:p>
    <w:p w14:paraId="37C40457" w14:textId="77777777" w:rsidR="003F7CCA" w:rsidRDefault="0080197E">
      <w:pPr>
        <w:rPr>
          <w:rFonts w:eastAsia="Calibri"/>
          <w:sz w:val="22"/>
          <w:szCs w:val="22"/>
          <w:highlight w:val="lightGray"/>
          <w:lang w:eastAsia="en-US"/>
        </w:rPr>
      </w:pPr>
      <w:r>
        <w:rPr>
          <w:sz w:val="22"/>
          <w:highlight w:val="lightGray"/>
          <w:lang w:eastAsia="en-US"/>
        </w:rPr>
        <w:t xml:space="preserve">Sudėtinė pakuotė: 180 </w:t>
      </w:r>
      <w:r>
        <w:rPr>
          <w:rFonts w:eastAsia="Calibri"/>
          <w:sz w:val="22"/>
          <w:szCs w:val="22"/>
          <w:highlight w:val="lightGray"/>
          <w:lang w:eastAsia="en-US"/>
        </w:rPr>
        <w:t>(3 pakuotės po 60) plėvele dengtų tablečių</w:t>
      </w:r>
    </w:p>
    <w:p w14:paraId="75E74CF4" w14:textId="7FF9CCC8" w:rsidR="003F7CCA" w:rsidRDefault="0080197E">
      <w:pPr>
        <w:rPr>
          <w:rFonts w:eastAsia="Calibri"/>
          <w:sz w:val="22"/>
          <w:szCs w:val="22"/>
          <w:highlight w:val="lightGray"/>
          <w:lang w:eastAsia="en-US"/>
        </w:rPr>
      </w:pPr>
      <w:r>
        <w:rPr>
          <w:sz w:val="22"/>
          <w:highlight w:val="lightGray"/>
          <w:lang w:eastAsia="en-US"/>
        </w:rPr>
        <w:t xml:space="preserve">Sudėtinė pakuotė: 196 </w:t>
      </w:r>
      <w:r>
        <w:rPr>
          <w:rFonts w:eastAsia="Calibri"/>
          <w:sz w:val="22"/>
          <w:szCs w:val="22"/>
          <w:highlight w:val="lightGray"/>
          <w:lang w:eastAsia="en-US"/>
        </w:rPr>
        <w:t>(2 pakuotės po 98) plėvele dengt</w:t>
      </w:r>
      <w:r w:rsidR="00AA353F">
        <w:rPr>
          <w:rFonts w:eastAsia="Calibri"/>
          <w:sz w:val="22"/>
          <w:szCs w:val="22"/>
          <w:highlight w:val="lightGray"/>
          <w:lang w:eastAsia="en-US"/>
        </w:rPr>
        <w:t>os</w:t>
      </w:r>
      <w:r>
        <w:rPr>
          <w:rFonts w:eastAsia="Calibri"/>
          <w:sz w:val="22"/>
          <w:szCs w:val="22"/>
          <w:highlight w:val="lightGray"/>
          <w:lang w:eastAsia="en-US"/>
        </w:rPr>
        <w:t xml:space="preserve"> table</w:t>
      </w:r>
      <w:r w:rsidR="00AA353F">
        <w:rPr>
          <w:rFonts w:eastAsia="Calibri"/>
          <w:sz w:val="22"/>
          <w:szCs w:val="22"/>
          <w:highlight w:val="lightGray"/>
          <w:lang w:eastAsia="en-US"/>
        </w:rPr>
        <w:t>tės</w:t>
      </w:r>
    </w:p>
    <w:p w14:paraId="45801431" w14:textId="77777777" w:rsidR="003F7CCA" w:rsidRDefault="0080197E">
      <w:pPr>
        <w:rPr>
          <w:rFonts w:eastAsia="Calibri"/>
          <w:sz w:val="22"/>
          <w:szCs w:val="22"/>
          <w:lang w:eastAsia="en-US"/>
        </w:rPr>
      </w:pPr>
      <w:r>
        <w:rPr>
          <w:sz w:val="22"/>
          <w:highlight w:val="lightGray"/>
          <w:lang w:eastAsia="en-US"/>
        </w:rPr>
        <w:t xml:space="preserve">Sudėtinė pakuotė: 200 </w:t>
      </w:r>
      <w:r>
        <w:rPr>
          <w:rFonts w:eastAsia="Calibri"/>
          <w:sz w:val="22"/>
          <w:szCs w:val="22"/>
          <w:highlight w:val="lightGray"/>
          <w:lang w:eastAsia="en-US"/>
        </w:rPr>
        <w:t>(2 pakuotės po 100) plėvele dengtų tablečių</w:t>
      </w:r>
    </w:p>
    <w:p w14:paraId="5D9376D6" w14:textId="77777777" w:rsidR="003F7CCA" w:rsidRDefault="003F7CCA">
      <w:pPr>
        <w:rPr>
          <w:rFonts w:eastAsia="Calibri"/>
          <w:sz w:val="22"/>
          <w:szCs w:val="22"/>
          <w:lang w:eastAsia="en-US"/>
        </w:rPr>
      </w:pPr>
    </w:p>
    <w:p w14:paraId="7D42E42D" w14:textId="77777777" w:rsidR="003F7CCA" w:rsidRDefault="003F7CCA">
      <w:pPr>
        <w:rPr>
          <w:rFonts w:eastAsia="Calibri"/>
          <w:sz w:val="22"/>
          <w:szCs w:val="22"/>
          <w:lang w:eastAsia="en-US"/>
        </w:rPr>
      </w:pPr>
    </w:p>
    <w:p w14:paraId="0A389CE5"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38E7AB20" w14:textId="77777777" w:rsidR="003F7CCA" w:rsidRDefault="003F7CCA">
      <w:pPr>
        <w:rPr>
          <w:rFonts w:eastAsia="Calibri"/>
          <w:sz w:val="16"/>
          <w:szCs w:val="16"/>
          <w:lang w:eastAsia="en-US"/>
        </w:rPr>
      </w:pPr>
    </w:p>
    <w:p w14:paraId="2A9CAB5D" w14:textId="77777777" w:rsidR="003F7CCA" w:rsidRDefault="0080197E">
      <w:pPr>
        <w:rPr>
          <w:rFonts w:eastAsia="Calibri"/>
          <w:sz w:val="22"/>
          <w:szCs w:val="22"/>
          <w:lang w:eastAsia="en-US"/>
        </w:rPr>
      </w:pPr>
      <w:r>
        <w:rPr>
          <w:rFonts w:eastAsia="Calibri"/>
          <w:noProof/>
          <w:sz w:val="22"/>
          <w:szCs w:val="22"/>
          <w:lang w:eastAsia="en-US"/>
        </w:rPr>
        <w:t>Prieš vartojimą perskaitykite pakuotės lapelį.</w:t>
      </w:r>
    </w:p>
    <w:p w14:paraId="5766E63A" w14:textId="77777777" w:rsidR="003F7CCA" w:rsidRDefault="003F7CCA">
      <w:pPr>
        <w:rPr>
          <w:rFonts w:eastAsia="Calibri"/>
          <w:i/>
          <w:iCs/>
          <w:sz w:val="22"/>
          <w:szCs w:val="22"/>
          <w:highlight w:val="darkGray"/>
          <w:lang w:eastAsia="en-US"/>
        </w:rPr>
      </w:pPr>
    </w:p>
    <w:p w14:paraId="219B17F0" w14:textId="77777777" w:rsidR="003F7CCA" w:rsidRDefault="0080197E">
      <w:pPr>
        <w:rPr>
          <w:rFonts w:eastAsia="Calibri"/>
          <w:sz w:val="22"/>
          <w:szCs w:val="22"/>
          <w:lang w:eastAsia="en-US"/>
        </w:rPr>
      </w:pPr>
      <w:r>
        <w:rPr>
          <w:rFonts w:eastAsia="Calibri"/>
          <w:sz w:val="22"/>
          <w:szCs w:val="22"/>
          <w:lang w:eastAsia="en-US"/>
        </w:rPr>
        <w:t>Vartoti per burną.</w:t>
      </w:r>
    </w:p>
    <w:p w14:paraId="55F215FF" w14:textId="77777777" w:rsidR="003F7CCA" w:rsidRDefault="003F7CCA">
      <w:pPr>
        <w:rPr>
          <w:rFonts w:eastAsia="Calibri"/>
          <w:sz w:val="22"/>
          <w:szCs w:val="22"/>
          <w:lang w:eastAsia="en-US"/>
        </w:rPr>
      </w:pPr>
    </w:p>
    <w:p w14:paraId="4342C03D" w14:textId="77777777" w:rsidR="003F7CCA" w:rsidRDefault="003F7CCA">
      <w:pPr>
        <w:rPr>
          <w:rFonts w:eastAsia="Calibri"/>
          <w:sz w:val="22"/>
          <w:szCs w:val="22"/>
          <w:lang w:eastAsia="en-US"/>
        </w:rPr>
      </w:pPr>
    </w:p>
    <w:p w14:paraId="72D5AD83"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0A6E7421" w14:textId="77777777" w:rsidR="003F7CCA" w:rsidRDefault="003F7CCA">
      <w:pPr>
        <w:rPr>
          <w:rFonts w:eastAsia="Calibri"/>
          <w:sz w:val="22"/>
          <w:szCs w:val="22"/>
          <w:lang w:eastAsia="en-US"/>
        </w:rPr>
      </w:pPr>
    </w:p>
    <w:p w14:paraId="4A69BB14" w14:textId="77777777" w:rsidR="003F7CCA" w:rsidRDefault="0080197E">
      <w:pPr>
        <w:rPr>
          <w:rFonts w:eastAsia="Calibri"/>
          <w:sz w:val="22"/>
          <w:szCs w:val="22"/>
          <w:lang w:eastAsia="en-US"/>
        </w:rPr>
      </w:pPr>
      <w:r>
        <w:rPr>
          <w:rFonts w:eastAsia="Calibri"/>
          <w:noProof/>
          <w:sz w:val="22"/>
          <w:szCs w:val="22"/>
          <w:lang w:eastAsia="en-US"/>
        </w:rPr>
        <w:t>Laikyti vaikams nepastebimoje ir nepasiekiamoje vietoje.</w:t>
      </w:r>
    </w:p>
    <w:p w14:paraId="553AC4BB" w14:textId="77777777" w:rsidR="003F7CCA" w:rsidRDefault="003F7CCA">
      <w:pPr>
        <w:rPr>
          <w:rFonts w:eastAsia="Calibri"/>
          <w:sz w:val="22"/>
          <w:szCs w:val="22"/>
          <w:lang w:eastAsia="en-US"/>
        </w:rPr>
      </w:pPr>
    </w:p>
    <w:p w14:paraId="4A9A2B4D" w14:textId="77777777" w:rsidR="003F7CCA" w:rsidRDefault="003F7CCA">
      <w:pPr>
        <w:rPr>
          <w:rFonts w:eastAsia="Calibri"/>
          <w:sz w:val="22"/>
          <w:szCs w:val="22"/>
          <w:lang w:eastAsia="en-US"/>
        </w:rPr>
      </w:pPr>
    </w:p>
    <w:p w14:paraId="177BFBFF"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0A7F2302" w14:textId="77777777" w:rsidR="003F7CCA" w:rsidRDefault="003F7CCA">
      <w:pPr>
        <w:rPr>
          <w:rFonts w:eastAsia="Calibri"/>
          <w:sz w:val="22"/>
          <w:szCs w:val="22"/>
          <w:lang w:eastAsia="en-US"/>
        </w:rPr>
      </w:pPr>
    </w:p>
    <w:p w14:paraId="131B4737" w14:textId="77777777" w:rsidR="003F7CCA" w:rsidRDefault="003F7CCA">
      <w:pPr>
        <w:rPr>
          <w:rFonts w:eastAsia="Calibri"/>
          <w:sz w:val="22"/>
          <w:szCs w:val="22"/>
          <w:lang w:eastAsia="en-US"/>
        </w:rPr>
      </w:pPr>
    </w:p>
    <w:p w14:paraId="1887BBEF"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2A418715" w14:textId="77777777" w:rsidR="003F7CCA" w:rsidRDefault="003F7CCA">
      <w:pPr>
        <w:rPr>
          <w:rFonts w:eastAsia="Calibri"/>
          <w:sz w:val="22"/>
          <w:szCs w:val="22"/>
          <w:lang w:eastAsia="en-US"/>
        </w:rPr>
      </w:pPr>
    </w:p>
    <w:p w14:paraId="2EE80081" w14:textId="77777777" w:rsidR="003F7CCA" w:rsidRDefault="0080197E">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15682078" w14:textId="77777777" w:rsidR="003F7CCA" w:rsidRDefault="003F7CCA">
      <w:pPr>
        <w:rPr>
          <w:rFonts w:eastAsia="Calibri"/>
          <w:sz w:val="22"/>
          <w:szCs w:val="22"/>
          <w:lang w:eastAsia="en-US"/>
        </w:rPr>
      </w:pPr>
    </w:p>
    <w:p w14:paraId="56B259A2" w14:textId="77777777" w:rsidR="003F7CCA" w:rsidRDefault="003F7CCA">
      <w:pPr>
        <w:rPr>
          <w:rFonts w:eastAsia="Calibri"/>
          <w:sz w:val="22"/>
          <w:szCs w:val="22"/>
          <w:lang w:eastAsia="en-US"/>
        </w:rPr>
      </w:pPr>
    </w:p>
    <w:p w14:paraId="132584FB" w14:textId="77777777" w:rsidR="003F7CCA" w:rsidRDefault="0080197E" w:rsidP="00A6463E">
      <w:pPr>
        <w:keepNext/>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lastRenderedPageBreak/>
        <w:t>9.</w:t>
      </w:r>
      <w:r>
        <w:rPr>
          <w:rFonts w:eastAsia="Calibri"/>
          <w:b/>
          <w:sz w:val="22"/>
          <w:szCs w:val="22"/>
          <w:lang w:eastAsia="en-US"/>
        </w:rPr>
        <w:tab/>
      </w:r>
      <w:r>
        <w:rPr>
          <w:rFonts w:eastAsia="Calibri"/>
          <w:b/>
          <w:noProof/>
          <w:sz w:val="22"/>
          <w:szCs w:val="22"/>
          <w:lang w:eastAsia="en-US"/>
        </w:rPr>
        <w:t>SPECIALIOS LAIKYMO SĄLYGOS</w:t>
      </w:r>
    </w:p>
    <w:p w14:paraId="216B3E98" w14:textId="77777777" w:rsidR="003F7CCA" w:rsidRDefault="003F7CCA" w:rsidP="00A6463E">
      <w:pPr>
        <w:keepNext/>
        <w:rPr>
          <w:rFonts w:eastAsia="Calibri"/>
          <w:sz w:val="22"/>
          <w:szCs w:val="22"/>
          <w:lang w:eastAsia="en-US"/>
        </w:rPr>
      </w:pPr>
    </w:p>
    <w:p w14:paraId="2A4D038B" w14:textId="77777777" w:rsidR="003F7CCA" w:rsidRDefault="0080197E" w:rsidP="00A6463E">
      <w:pPr>
        <w:keepNext/>
        <w:rPr>
          <w:rFonts w:eastAsia="Calibri"/>
          <w:sz w:val="22"/>
          <w:szCs w:val="22"/>
          <w:lang w:eastAsia="en-US"/>
        </w:rPr>
      </w:pPr>
      <w:r>
        <w:rPr>
          <w:rFonts w:eastAsia="Calibri"/>
          <w:sz w:val="22"/>
          <w:szCs w:val="22"/>
          <w:lang w:eastAsia="en-US"/>
        </w:rPr>
        <w:t>Laikyti gamintojo pakuotėje, kad vaistas būtų apsaugotas nuo šviesos.</w:t>
      </w:r>
    </w:p>
    <w:p w14:paraId="678DB96B" w14:textId="77777777" w:rsidR="003F7CCA" w:rsidRPr="009A2FFD" w:rsidRDefault="003F7CCA">
      <w:pPr>
        <w:rPr>
          <w:rFonts w:eastAsia="Calibri"/>
          <w:sz w:val="16"/>
          <w:szCs w:val="16"/>
          <w:lang w:eastAsia="en-US"/>
        </w:rPr>
      </w:pPr>
    </w:p>
    <w:p w14:paraId="430F3A7A" w14:textId="77777777" w:rsidR="003F7CCA" w:rsidRDefault="003F7CCA">
      <w:pPr>
        <w:rPr>
          <w:rFonts w:eastAsia="Calibri"/>
          <w:sz w:val="22"/>
          <w:szCs w:val="22"/>
          <w:lang w:eastAsia="en-US"/>
        </w:rPr>
      </w:pPr>
    </w:p>
    <w:p w14:paraId="3A4336C8"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3F99760A" w14:textId="77777777" w:rsidR="003F7CCA" w:rsidRDefault="003F7CCA">
      <w:pPr>
        <w:rPr>
          <w:rFonts w:eastAsia="Calibri"/>
          <w:sz w:val="22"/>
          <w:szCs w:val="22"/>
          <w:lang w:eastAsia="en-US"/>
        </w:rPr>
      </w:pPr>
    </w:p>
    <w:p w14:paraId="7D52403C" w14:textId="77777777" w:rsidR="003F7CCA" w:rsidRDefault="003F7CCA">
      <w:pPr>
        <w:rPr>
          <w:rFonts w:eastAsia="Calibri"/>
          <w:sz w:val="22"/>
          <w:szCs w:val="22"/>
          <w:lang w:eastAsia="en-US"/>
        </w:rPr>
      </w:pPr>
    </w:p>
    <w:p w14:paraId="57773F7F"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14CBD52A" w14:textId="77777777" w:rsidR="003F7CCA" w:rsidRDefault="003F7CCA">
      <w:pPr>
        <w:rPr>
          <w:rFonts w:eastAsia="Calibri"/>
          <w:sz w:val="22"/>
          <w:szCs w:val="22"/>
          <w:lang w:eastAsia="en-US"/>
        </w:rPr>
      </w:pPr>
    </w:p>
    <w:p w14:paraId="6ABD608E" w14:textId="77777777" w:rsidR="003F7CCA" w:rsidRDefault="0080197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7E2E1F8B" w14:textId="77777777" w:rsidR="003F7CCA" w:rsidRDefault="0080197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4A7D1048" w14:textId="77777777" w:rsidR="003F7CCA" w:rsidRDefault="0080197E">
      <w:pPr>
        <w:widowControl w:val="0"/>
        <w:rPr>
          <w:b/>
          <w:sz w:val="22"/>
          <w:szCs w:val="22"/>
          <w:lang w:eastAsia="sl-SI"/>
        </w:rPr>
      </w:pPr>
      <w:r>
        <w:rPr>
          <w:sz w:val="22"/>
          <w:szCs w:val="22"/>
          <w:lang w:eastAsia="sl-SI"/>
        </w:rPr>
        <w:t>8501 Novo mesto</w:t>
      </w:r>
    </w:p>
    <w:p w14:paraId="3AE66C81" w14:textId="77777777" w:rsidR="003F7CCA" w:rsidRDefault="0080197E">
      <w:pPr>
        <w:widowControl w:val="0"/>
        <w:rPr>
          <w:b/>
          <w:sz w:val="22"/>
          <w:szCs w:val="22"/>
          <w:lang w:eastAsia="sl-SI"/>
        </w:rPr>
      </w:pPr>
      <w:r>
        <w:rPr>
          <w:sz w:val="22"/>
          <w:szCs w:val="22"/>
          <w:lang w:eastAsia="sl-SI"/>
        </w:rPr>
        <w:t>Slovėnija</w:t>
      </w:r>
    </w:p>
    <w:p w14:paraId="34DD5C3E" w14:textId="77777777" w:rsidR="003F7CCA" w:rsidRDefault="003F7CCA">
      <w:pPr>
        <w:rPr>
          <w:rFonts w:eastAsia="Calibri"/>
          <w:sz w:val="22"/>
          <w:szCs w:val="22"/>
          <w:lang w:eastAsia="en-US"/>
        </w:rPr>
      </w:pPr>
    </w:p>
    <w:p w14:paraId="2B288606" w14:textId="77777777" w:rsidR="003F7CCA" w:rsidRDefault="003F7CCA">
      <w:pPr>
        <w:rPr>
          <w:rFonts w:eastAsia="Calibri"/>
          <w:sz w:val="22"/>
          <w:szCs w:val="22"/>
          <w:lang w:eastAsia="en-US"/>
        </w:rPr>
      </w:pPr>
    </w:p>
    <w:p w14:paraId="4CAA634E"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3FB079FB" w14:textId="77777777" w:rsidR="003F7CCA" w:rsidRDefault="003F7CCA">
      <w:pPr>
        <w:rPr>
          <w:rFonts w:eastAsia="Calibri"/>
          <w:sz w:val="22"/>
          <w:szCs w:val="22"/>
          <w:lang w:eastAsia="en-US"/>
        </w:rPr>
      </w:pPr>
    </w:p>
    <w:p w14:paraId="76A5DCC5" w14:textId="5413664E" w:rsidR="00C26C35" w:rsidRDefault="00C26C35" w:rsidP="00C26C35">
      <w:pPr>
        <w:autoSpaceDE w:val="0"/>
        <w:autoSpaceDN w:val="0"/>
        <w:adjustRightInd w:val="0"/>
        <w:rPr>
          <w:rFonts w:eastAsia="Calibri"/>
          <w:iCs/>
          <w:sz w:val="22"/>
          <w:szCs w:val="22"/>
          <w:lang w:eastAsia="en-US"/>
        </w:rPr>
      </w:pPr>
      <w:r w:rsidRPr="00C26C35">
        <w:rPr>
          <w:rFonts w:eastAsia="Calibri"/>
          <w:iCs/>
          <w:sz w:val="22"/>
          <w:szCs w:val="22"/>
          <w:highlight w:val="lightGray"/>
          <w:u w:val="single"/>
          <w:lang w:eastAsia="en-US"/>
        </w:rPr>
        <w:t>2,5 mg/ 850 mg</w:t>
      </w:r>
    </w:p>
    <w:p w14:paraId="06383E9C" w14:textId="46D1B8A8"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lang w:eastAsia="en-US"/>
        </w:rPr>
        <w:t xml:space="preserve">LT/1/26/6032/013 </w:t>
      </w:r>
      <w:r w:rsidRPr="00C26C35">
        <w:rPr>
          <w:rFonts w:eastAsia="Calibri"/>
          <w:iCs/>
          <w:sz w:val="22"/>
          <w:szCs w:val="22"/>
          <w:highlight w:val="lightGray"/>
          <w:lang w:eastAsia="en-US"/>
        </w:rPr>
        <w:t>– N120 (2x60)</w:t>
      </w:r>
    </w:p>
    <w:p w14:paraId="36C6A17E"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LT/1/26/6032/014 – N180 (2x90)</w:t>
      </w:r>
    </w:p>
    <w:p w14:paraId="7D2E28CD"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LT/1/26/6032/015 – N180 (3x60)</w:t>
      </w:r>
    </w:p>
    <w:p w14:paraId="6EE02BFE"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LT/1/26/6032/016 – N196 (2x98)</w:t>
      </w:r>
    </w:p>
    <w:p w14:paraId="7044796F" w14:textId="2904A24A" w:rsidR="003F7CCA" w:rsidRDefault="00C26C35" w:rsidP="00C26C35">
      <w:pPr>
        <w:autoSpaceDE w:val="0"/>
        <w:autoSpaceDN w:val="0"/>
        <w:adjustRightInd w:val="0"/>
        <w:rPr>
          <w:rFonts w:eastAsia="Calibri"/>
          <w:iCs/>
          <w:sz w:val="22"/>
          <w:szCs w:val="22"/>
          <w:lang w:eastAsia="en-US"/>
        </w:rPr>
      </w:pPr>
      <w:r w:rsidRPr="00C26C35">
        <w:rPr>
          <w:rFonts w:eastAsia="Calibri"/>
          <w:iCs/>
          <w:sz w:val="22"/>
          <w:szCs w:val="22"/>
          <w:highlight w:val="lightGray"/>
          <w:lang w:eastAsia="en-US"/>
        </w:rPr>
        <w:t>LT/1/26/6032/017 – N200 (2x100</w:t>
      </w:r>
    </w:p>
    <w:p w14:paraId="794ECA49" w14:textId="77777777" w:rsidR="00C26C35" w:rsidRDefault="00C26C35" w:rsidP="00C26C35">
      <w:pPr>
        <w:autoSpaceDE w:val="0"/>
        <w:autoSpaceDN w:val="0"/>
        <w:adjustRightInd w:val="0"/>
        <w:rPr>
          <w:rFonts w:eastAsia="Calibri"/>
          <w:iCs/>
          <w:sz w:val="22"/>
          <w:szCs w:val="22"/>
          <w:highlight w:val="lightGray"/>
          <w:u w:val="single"/>
          <w:lang w:eastAsia="en-US"/>
        </w:rPr>
      </w:pPr>
    </w:p>
    <w:p w14:paraId="0702C806" w14:textId="4F07CCF6" w:rsidR="00C26C35" w:rsidRDefault="00C26C35" w:rsidP="00C26C35">
      <w:pPr>
        <w:autoSpaceDE w:val="0"/>
        <w:autoSpaceDN w:val="0"/>
        <w:adjustRightInd w:val="0"/>
        <w:rPr>
          <w:rFonts w:eastAsia="Calibri"/>
          <w:iCs/>
          <w:sz w:val="22"/>
          <w:szCs w:val="22"/>
          <w:u w:val="single"/>
          <w:lang w:eastAsia="en-US"/>
        </w:rPr>
      </w:pPr>
      <w:r w:rsidRPr="00C26C35">
        <w:rPr>
          <w:rFonts w:eastAsia="Calibri"/>
          <w:iCs/>
          <w:sz w:val="22"/>
          <w:szCs w:val="22"/>
          <w:highlight w:val="lightGray"/>
          <w:u w:val="single"/>
          <w:lang w:eastAsia="en-US"/>
        </w:rPr>
        <w:t>2,5 mg/</w:t>
      </w:r>
      <w:r>
        <w:rPr>
          <w:rFonts w:eastAsia="Calibri"/>
          <w:iCs/>
          <w:sz w:val="22"/>
          <w:szCs w:val="22"/>
          <w:highlight w:val="lightGray"/>
          <w:u w:val="single"/>
          <w:lang w:eastAsia="en-US"/>
        </w:rPr>
        <w:t>100</w:t>
      </w:r>
      <w:r w:rsidRPr="00C26C35">
        <w:rPr>
          <w:rFonts w:eastAsia="Calibri"/>
          <w:iCs/>
          <w:sz w:val="22"/>
          <w:szCs w:val="22"/>
          <w:highlight w:val="lightGray"/>
          <w:u w:val="single"/>
          <w:lang w:eastAsia="en-US"/>
        </w:rPr>
        <w:t>0 mg</w:t>
      </w:r>
    </w:p>
    <w:p w14:paraId="1C1BD14A"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LT/1/26/6033/013 – N120 (2x60)</w:t>
      </w:r>
    </w:p>
    <w:p w14:paraId="7238CB49"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LT/1/26/6033/014 – N180 (2x90)</w:t>
      </w:r>
    </w:p>
    <w:p w14:paraId="07DBB3B2"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LT/1/26/6033/015 – N180 (3x60)</w:t>
      </w:r>
    </w:p>
    <w:p w14:paraId="12897707" w14:textId="77777777" w:rsidR="00C26C35" w:rsidRPr="00C26C35" w:rsidRDefault="00C26C35" w:rsidP="00C26C35">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LT/1/26/6033/016 – N196 (2x98)</w:t>
      </w:r>
    </w:p>
    <w:p w14:paraId="3EA80655" w14:textId="77777777" w:rsidR="00C26C35" w:rsidRDefault="00C26C35" w:rsidP="00C26C35">
      <w:pPr>
        <w:autoSpaceDE w:val="0"/>
        <w:autoSpaceDN w:val="0"/>
        <w:adjustRightInd w:val="0"/>
        <w:rPr>
          <w:rFonts w:eastAsia="Calibri"/>
          <w:iCs/>
          <w:sz w:val="22"/>
          <w:szCs w:val="22"/>
          <w:lang w:eastAsia="en-US"/>
        </w:rPr>
      </w:pPr>
      <w:r w:rsidRPr="00C26C35">
        <w:rPr>
          <w:rFonts w:eastAsia="Calibri"/>
          <w:iCs/>
          <w:sz w:val="22"/>
          <w:szCs w:val="22"/>
          <w:highlight w:val="lightGray"/>
          <w:lang w:eastAsia="en-US"/>
        </w:rPr>
        <w:t>LT/1/26/6033/017 – N200 (2x100)</w:t>
      </w:r>
    </w:p>
    <w:p w14:paraId="7DAF78C6" w14:textId="77777777" w:rsidR="00C26C35" w:rsidRPr="009A2FFD" w:rsidRDefault="00C26C35" w:rsidP="00C26C35">
      <w:pPr>
        <w:autoSpaceDE w:val="0"/>
        <w:autoSpaceDN w:val="0"/>
        <w:adjustRightInd w:val="0"/>
        <w:rPr>
          <w:rFonts w:eastAsia="Calibri"/>
          <w:iCs/>
          <w:sz w:val="16"/>
          <w:szCs w:val="16"/>
          <w:lang w:eastAsia="en-US"/>
        </w:rPr>
      </w:pPr>
    </w:p>
    <w:p w14:paraId="0DF37CB5" w14:textId="77777777" w:rsidR="003F7CCA" w:rsidRDefault="003F7CCA">
      <w:pPr>
        <w:rPr>
          <w:rFonts w:eastAsia="Calibri"/>
          <w:sz w:val="22"/>
          <w:szCs w:val="22"/>
          <w:lang w:eastAsia="en-US"/>
        </w:rPr>
      </w:pPr>
    </w:p>
    <w:p w14:paraId="5103D616"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1B38FBE3" w14:textId="77777777" w:rsidR="003F7CCA" w:rsidRDefault="003F7CCA">
      <w:pPr>
        <w:rPr>
          <w:rFonts w:eastAsia="Calibri"/>
          <w:sz w:val="22"/>
          <w:szCs w:val="22"/>
          <w:lang w:eastAsia="en-US"/>
        </w:rPr>
      </w:pPr>
    </w:p>
    <w:p w14:paraId="7423EA89" w14:textId="77777777" w:rsidR="003F7CCA" w:rsidRDefault="0080197E">
      <w:pPr>
        <w:rPr>
          <w:rFonts w:eastAsia="Calibri"/>
          <w:sz w:val="22"/>
          <w:szCs w:val="22"/>
          <w:lang w:eastAsia="en-US"/>
        </w:rPr>
      </w:pPr>
      <w:r>
        <w:rPr>
          <w:rFonts w:eastAsia="Calibri"/>
          <w:sz w:val="22"/>
          <w:szCs w:val="22"/>
          <w:lang w:eastAsia="en-US"/>
        </w:rPr>
        <w:t>Lot</w:t>
      </w:r>
    </w:p>
    <w:p w14:paraId="20E97704" w14:textId="77777777" w:rsidR="003F7CCA" w:rsidRDefault="003F7CCA">
      <w:pPr>
        <w:rPr>
          <w:rFonts w:eastAsia="Calibri"/>
          <w:sz w:val="22"/>
          <w:szCs w:val="22"/>
          <w:lang w:eastAsia="en-US"/>
        </w:rPr>
      </w:pPr>
    </w:p>
    <w:p w14:paraId="3787A800" w14:textId="77777777" w:rsidR="003F7CCA" w:rsidRDefault="003F7CCA">
      <w:pPr>
        <w:rPr>
          <w:rFonts w:eastAsia="Calibri"/>
          <w:sz w:val="22"/>
          <w:szCs w:val="22"/>
          <w:lang w:eastAsia="en-US"/>
        </w:rPr>
      </w:pPr>
    </w:p>
    <w:p w14:paraId="6A44CFC7"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6CE405F1" w14:textId="77777777" w:rsidR="003F7CCA" w:rsidRDefault="003F7CCA">
      <w:pPr>
        <w:rPr>
          <w:rFonts w:eastAsia="Calibri"/>
          <w:sz w:val="22"/>
          <w:szCs w:val="22"/>
          <w:lang w:eastAsia="en-US"/>
        </w:rPr>
      </w:pPr>
    </w:p>
    <w:p w14:paraId="02C4EA09" w14:textId="77777777" w:rsidR="003F7CCA" w:rsidRDefault="0080197E">
      <w:pPr>
        <w:rPr>
          <w:rFonts w:eastAsia="Calibri"/>
          <w:sz w:val="22"/>
          <w:szCs w:val="22"/>
          <w:lang w:eastAsia="en-US"/>
        </w:rPr>
      </w:pPr>
      <w:r>
        <w:rPr>
          <w:rFonts w:eastAsia="Calibri"/>
          <w:sz w:val="22"/>
          <w:szCs w:val="22"/>
          <w:lang w:eastAsia="en-US"/>
        </w:rPr>
        <w:t>Receptinis vaistas</w:t>
      </w:r>
    </w:p>
    <w:p w14:paraId="57531BEE" w14:textId="77777777" w:rsidR="003F7CCA" w:rsidRPr="009A2FFD" w:rsidRDefault="003F7CCA">
      <w:pPr>
        <w:rPr>
          <w:rFonts w:eastAsia="Calibri"/>
          <w:sz w:val="16"/>
          <w:szCs w:val="16"/>
          <w:lang w:eastAsia="en-US"/>
        </w:rPr>
      </w:pPr>
    </w:p>
    <w:p w14:paraId="2A63704D" w14:textId="77777777" w:rsidR="003F7CCA" w:rsidRDefault="003F7CCA">
      <w:pPr>
        <w:rPr>
          <w:rFonts w:eastAsia="Calibri"/>
          <w:sz w:val="22"/>
          <w:szCs w:val="22"/>
          <w:lang w:eastAsia="en-US"/>
        </w:rPr>
      </w:pPr>
    </w:p>
    <w:p w14:paraId="43D80799"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51A85950" w14:textId="77777777" w:rsidR="003F7CCA" w:rsidRPr="009A2FFD" w:rsidRDefault="003F7CCA">
      <w:pPr>
        <w:rPr>
          <w:rFonts w:eastAsia="Calibri"/>
          <w:sz w:val="16"/>
          <w:szCs w:val="16"/>
          <w:lang w:eastAsia="en-US"/>
        </w:rPr>
      </w:pPr>
    </w:p>
    <w:p w14:paraId="42773F02" w14:textId="77777777" w:rsidR="003F7CCA" w:rsidRDefault="003F7CCA">
      <w:pPr>
        <w:rPr>
          <w:rFonts w:eastAsia="Calibri"/>
          <w:sz w:val="22"/>
          <w:szCs w:val="22"/>
          <w:lang w:eastAsia="en-US"/>
        </w:rPr>
      </w:pPr>
    </w:p>
    <w:p w14:paraId="73B90D9C"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1D4C0A5E" w14:textId="77777777" w:rsidR="003F7CCA" w:rsidRDefault="003F7CCA">
      <w:pPr>
        <w:rPr>
          <w:rFonts w:eastAsia="Calibri"/>
          <w:sz w:val="22"/>
          <w:szCs w:val="22"/>
          <w:lang w:eastAsia="en-US"/>
        </w:rPr>
      </w:pPr>
    </w:p>
    <w:p w14:paraId="093672D2"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w:t>
      </w:r>
    </w:p>
    <w:p w14:paraId="08DF9E63" w14:textId="77777777" w:rsidR="003F7CCA" w:rsidRDefault="0080197E">
      <w:pPr>
        <w:rPr>
          <w:sz w:val="22"/>
          <w:szCs w:val="22"/>
        </w:rPr>
      </w:pPr>
      <w:proofErr w:type="spellStart"/>
      <w:r>
        <w:rPr>
          <w:rFonts w:eastAsiaTheme="minorHAnsi"/>
          <w:color w:val="000000"/>
          <w:sz w:val="22"/>
          <w:szCs w:val="22"/>
          <w:highlight w:val="lightGray"/>
          <w:lang w:eastAsia="en-US"/>
        </w:rPr>
        <w:t>Lymerexo</w:t>
      </w:r>
      <w:proofErr w:type="spellEnd"/>
      <w:r>
        <w:rPr>
          <w:rFonts w:eastAsiaTheme="minorHAnsi"/>
          <w:color w:val="000000"/>
          <w:sz w:val="22"/>
          <w:szCs w:val="22"/>
          <w:highlight w:val="lightGray"/>
          <w:lang w:eastAsia="en-US"/>
        </w:rPr>
        <w:t xml:space="preserve"> 2,5 mg/1 000 mg</w:t>
      </w:r>
    </w:p>
    <w:p w14:paraId="05CBE302" w14:textId="77777777" w:rsidR="003F7CCA" w:rsidRDefault="003F7CCA">
      <w:pPr>
        <w:rPr>
          <w:rFonts w:eastAsia="Calibri"/>
          <w:iCs/>
          <w:sz w:val="22"/>
          <w:szCs w:val="22"/>
          <w:lang w:eastAsia="en-US"/>
        </w:rPr>
      </w:pPr>
    </w:p>
    <w:p w14:paraId="79D06930" w14:textId="77777777" w:rsidR="003F7CCA" w:rsidRDefault="003F7CCA">
      <w:pPr>
        <w:rPr>
          <w:rFonts w:eastAsia="Calibri"/>
          <w:iCs/>
          <w:sz w:val="22"/>
          <w:szCs w:val="22"/>
          <w:lang w:eastAsia="en-US"/>
        </w:rPr>
      </w:pPr>
    </w:p>
    <w:p w14:paraId="4B604FBF"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48E02F39" w14:textId="77777777" w:rsidR="003F7CCA" w:rsidRDefault="003F7CCA">
      <w:pPr>
        <w:rPr>
          <w:rFonts w:eastAsia="Calibri"/>
          <w:sz w:val="22"/>
          <w:szCs w:val="22"/>
          <w:lang w:eastAsia="en-US"/>
        </w:rPr>
      </w:pPr>
    </w:p>
    <w:p w14:paraId="5B807991" w14:textId="77777777" w:rsidR="003F7CCA" w:rsidRDefault="0080197E">
      <w:pPr>
        <w:rPr>
          <w:noProof/>
          <w:sz w:val="22"/>
          <w:szCs w:val="22"/>
          <w:shd w:val="clear" w:color="auto" w:fill="CCCCCC"/>
          <w:lang w:eastAsia="en-US"/>
        </w:rPr>
      </w:pPr>
      <w:r>
        <w:rPr>
          <w:noProof/>
          <w:sz w:val="22"/>
          <w:highlight w:val="lightGray"/>
          <w:lang w:eastAsia="en-US"/>
        </w:rPr>
        <w:t>2D brūkšninis kodas su nurodytu unikaliu identifikatoriumi.</w:t>
      </w:r>
    </w:p>
    <w:p w14:paraId="6AC4A40A" w14:textId="77777777" w:rsidR="003F7CCA" w:rsidRPr="009A2FFD" w:rsidRDefault="003F7CCA">
      <w:pPr>
        <w:rPr>
          <w:rFonts w:eastAsia="Calibri"/>
          <w:iCs/>
          <w:sz w:val="16"/>
          <w:szCs w:val="16"/>
          <w:lang w:eastAsia="en-US"/>
        </w:rPr>
      </w:pPr>
    </w:p>
    <w:p w14:paraId="14D5F0D9" w14:textId="77777777" w:rsidR="003F7CCA" w:rsidRDefault="003F7CCA">
      <w:pPr>
        <w:rPr>
          <w:rFonts w:eastAsia="Calibri"/>
          <w:iCs/>
          <w:sz w:val="22"/>
          <w:szCs w:val="22"/>
          <w:lang w:eastAsia="en-US"/>
        </w:rPr>
      </w:pPr>
    </w:p>
    <w:p w14:paraId="6E8566CF"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0EC5F2F6" w14:textId="77777777" w:rsidR="003F7CCA" w:rsidRDefault="003F7CCA">
      <w:pPr>
        <w:rPr>
          <w:rFonts w:eastAsia="Calibri"/>
          <w:sz w:val="22"/>
          <w:szCs w:val="22"/>
          <w:lang w:eastAsia="en-US"/>
        </w:rPr>
      </w:pPr>
    </w:p>
    <w:p w14:paraId="5B06803D" w14:textId="77777777" w:rsidR="003F7CCA" w:rsidRPr="00A6463E" w:rsidRDefault="0080197E">
      <w:pPr>
        <w:widowControl w:val="0"/>
        <w:tabs>
          <w:tab w:val="left" w:pos="567"/>
        </w:tabs>
        <w:spacing w:line="260" w:lineRule="exact"/>
        <w:rPr>
          <w:color w:val="000000"/>
          <w:sz w:val="22"/>
          <w:szCs w:val="22"/>
          <w:lang w:eastAsia="en-US"/>
        </w:rPr>
      </w:pPr>
      <w:r w:rsidRPr="00A6463E">
        <w:rPr>
          <w:color w:val="000000"/>
          <w:sz w:val="22"/>
          <w:szCs w:val="22"/>
          <w:lang w:eastAsia="en-US"/>
        </w:rPr>
        <w:t>PC</w:t>
      </w:r>
    </w:p>
    <w:p w14:paraId="237278D5" w14:textId="77777777" w:rsidR="003F7CCA" w:rsidRPr="00A6463E" w:rsidRDefault="0080197E">
      <w:pPr>
        <w:widowControl w:val="0"/>
        <w:tabs>
          <w:tab w:val="left" w:pos="567"/>
        </w:tabs>
        <w:spacing w:line="260" w:lineRule="exact"/>
        <w:rPr>
          <w:color w:val="000000"/>
          <w:sz w:val="22"/>
          <w:szCs w:val="22"/>
          <w:lang w:eastAsia="en-US"/>
        </w:rPr>
      </w:pPr>
      <w:r w:rsidRPr="00A6463E">
        <w:rPr>
          <w:color w:val="000000"/>
          <w:sz w:val="22"/>
          <w:szCs w:val="22"/>
          <w:lang w:eastAsia="en-US"/>
        </w:rPr>
        <w:t>SN</w:t>
      </w:r>
    </w:p>
    <w:p w14:paraId="79924098" w14:textId="77777777" w:rsidR="003F7CCA" w:rsidRPr="00A6463E" w:rsidRDefault="0080197E">
      <w:pPr>
        <w:widowControl w:val="0"/>
        <w:tabs>
          <w:tab w:val="left" w:pos="567"/>
        </w:tabs>
        <w:spacing w:line="260" w:lineRule="exact"/>
        <w:rPr>
          <w:color w:val="000000"/>
          <w:sz w:val="22"/>
          <w:szCs w:val="22"/>
          <w:lang w:eastAsia="en-US"/>
        </w:rPr>
      </w:pPr>
      <w:r w:rsidRPr="00A6463E">
        <w:rPr>
          <w:color w:val="000000"/>
          <w:sz w:val="22"/>
          <w:szCs w:val="22"/>
          <w:highlight w:val="lightGray"/>
          <w:lang w:eastAsia="en-US"/>
        </w:rPr>
        <w:t>NN</w:t>
      </w:r>
    </w:p>
    <w:p w14:paraId="7AC4F06A" w14:textId="77777777" w:rsidR="003F7CCA" w:rsidRDefault="003F7CCA">
      <w:pPr>
        <w:rPr>
          <w:rFonts w:eastAsia="Calibri"/>
          <w:sz w:val="22"/>
          <w:szCs w:val="22"/>
          <w:lang w:eastAsia="en-US"/>
        </w:rPr>
      </w:pPr>
    </w:p>
    <w:p w14:paraId="7048139B" w14:textId="77777777" w:rsidR="003F7CCA" w:rsidRDefault="0080197E">
      <w:pPr>
        <w:rPr>
          <w:rFonts w:eastAsia="Calibri"/>
          <w:sz w:val="22"/>
          <w:szCs w:val="22"/>
          <w:lang w:eastAsia="en-US"/>
        </w:rPr>
      </w:pPr>
      <w:r>
        <w:rPr>
          <w:rFonts w:eastAsia="Calibri"/>
          <w:sz w:val="22"/>
          <w:szCs w:val="22"/>
          <w:lang w:eastAsia="en-US"/>
        </w:rPr>
        <w:br w:type="page"/>
      </w:r>
    </w:p>
    <w:p w14:paraId="18252051" w14:textId="77777777" w:rsidR="003F7CCA" w:rsidRDefault="0080197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INFORMACIJA ANT IŠORINĖS PAKUOTĖS</w:t>
      </w:r>
    </w:p>
    <w:p w14:paraId="63557267" w14:textId="77777777" w:rsidR="003F7CCA" w:rsidRDefault="003F7CCA">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6012D559" w14:textId="6A87DEF2" w:rsidR="003F7CCA" w:rsidRDefault="0080197E">
      <w:pPr>
        <w:pBdr>
          <w:top w:val="single" w:sz="4" w:space="1" w:color="auto"/>
          <w:left w:val="single" w:sz="4" w:space="4" w:color="auto"/>
          <w:bottom w:val="single" w:sz="4" w:space="1" w:color="auto"/>
          <w:right w:val="single" w:sz="4" w:space="4" w:color="auto"/>
        </w:pBdr>
        <w:tabs>
          <w:tab w:val="left" w:pos="567"/>
        </w:tabs>
        <w:spacing w:line="260" w:lineRule="exact"/>
        <w:rPr>
          <w:b/>
          <w:noProof/>
          <w:sz w:val="22"/>
          <w:lang w:eastAsia="en-US"/>
        </w:rPr>
      </w:pPr>
      <w:r>
        <w:rPr>
          <w:b/>
          <w:noProof/>
          <w:sz w:val="22"/>
          <w:lang w:eastAsia="en-US"/>
        </w:rPr>
        <w:t>LIZDINIŲ PLOKŠTELIŲ SUDĖTIN</w:t>
      </w:r>
      <w:r w:rsidR="004E7043">
        <w:rPr>
          <w:b/>
          <w:noProof/>
          <w:sz w:val="22"/>
          <w:lang w:eastAsia="en-US"/>
        </w:rPr>
        <w:t>I</w:t>
      </w:r>
      <w:r>
        <w:rPr>
          <w:b/>
          <w:noProof/>
          <w:sz w:val="22"/>
          <w:lang w:eastAsia="en-US"/>
        </w:rPr>
        <w:t>Ų PAKUOČIŲ VIDINĖ DĖŽUTĖ</w:t>
      </w:r>
    </w:p>
    <w:p w14:paraId="4D8FA1CE" w14:textId="77777777" w:rsidR="003F7CCA" w:rsidRDefault="003F7CCA">
      <w:pPr>
        <w:rPr>
          <w:rFonts w:eastAsia="Calibri"/>
          <w:sz w:val="22"/>
          <w:szCs w:val="22"/>
          <w:lang w:eastAsia="en-US"/>
        </w:rPr>
      </w:pPr>
    </w:p>
    <w:p w14:paraId="1A3F39F3" w14:textId="77777777" w:rsidR="003F7CCA" w:rsidRDefault="003F7CCA">
      <w:pPr>
        <w:rPr>
          <w:rFonts w:eastAsia="Calibri"/>
          <w:sz w:val="22"/>
          <w:szCs w:val="22"/>
          <w:lang w:eastAsia="en-US"/>
        </w:rPr>
      </w:pPr>
    </w:p>
    <w:p w14:paraId="069ED827"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16D6FE7A" w14:textId="77777777" w:rsidR="003F7CCA" w:rsidRDefault="003F7CCA">
      <w:pPr>
        <w:rPr>
          <w:rFonts w:eastAsia="Calibri"/>
          <w:sz w:val="22"/>
          <w:szCs w:val="22"/>
          <w:lang w:eastAsia="en-US"/>
        </w:rPr>
      </w:pPr>
    </w:p>
    <w:p w14:paraId="50ED4B89"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 plėvele dengtos tabletės</w:t>
      </w:r>
    </w:p>
    <w:p w14:paraId="3A77AFF8" w14:textId="77777777" w:rsidR="003F7CCA" w:rsidRDefault="0080197E">
      <w:pPr>
        <w:rPr>
          <w:sz w:val="22"/>
          <w:szCs w:val="22"/>
        </w:rPr>
      </w:pPr>
      <w:proofErr w:type="spellStart"/>
      <w:r>
        <w:rPr>
          <w:rFonts w:eastAsiaTheme="minorHAnsi"/>
          <w:color w:val="000000"/>
          <w:sz w:val="22"/>
          <w:szCs w:val="22"/>
          <w:highlight w:val="lightGray"/>
          <w:lang w:eastAsia="en-US"/>
        </w:rPr>
        <w:t>Lymerexo</w:t>
      </w:r>
      <w:proofErr w:type="spellEnd"/>
      <w:r>
        <w:rPr>
          <w:rFonts w:eastAsiaTheme="minorHAnsi"/>
          <w:color w:val="000000"/>
          <w:sz w:val="22"/>
          <w:szCs w:val="22"/>
          <w:highlight w:val="lightGray"/>
          <w:lang w:eastAsia="en-US"/>
        </w:rPr>
        <w:t xml:space="preserve"> 2,5 mg/1 000 mg plėvele dengtos tabletės</w:t>
      </w:r>
    </w:p>
    <w:p w14:paraId="1CA697D6" w14:textId="77777777" w:rsidR="003F7CCA" w:rsidRDefault="003F7CCA">
      <w:pPr>
        <w:rPr>
          <w:i/>
          <w:iCs/>
          <w:sz w:val="22"/>
          <w:szCs w:val="22"/>
        </w:rPr>
      </w:pPr>
    </w:p>
    <w:p w14:paraId="3E1B9EF2" w14:textId="77777777" w:rsidR="003F7CCA" w:rsidRDefault="0080197E">
      <w:pPr>
        <w:rPr>
          <w:sz w:val="22"/>
          <w:szCs w:val="22"/>
        </w:rPr>
      </w:pPr>
      <w:proofErr w:type="spellStart"/>
      <w:r>
        <w:rPr>
          <w:sz w:val="22"/>
          <w:szCs w:val="22"/>
        </w:rPr>
        <w:t>linagliptinas</w:t>
      </w:r>
      <w:proofErr w:type="spellEnd"/>
      <w:r>
        <w:rPr>
          <w:sz w:val="22"/>
          <w:szCs w:val="22"/>
        </w:rPr>
        <w:t>/</w:t>
      </w:r>
      <w:proofErr w:type="spellStart"/>
      <w:r>
        <w:rPr>
          <w:sz w:val="22"/>
          <w:szCs w:val="22"/>
        </w:rPr>
        <w:t>metformino</w:t>
      </w:r>
      <w:proofErr w:type="spellEnd"/>
      <w:r>
        <w:rPr>
          <w:sz w:val="22"/>
          <w:szCs w:val="22"/>
        </w:rPr>
        <w:t xml:space="preserve"> hidrochloridas</w:t>
      </w:r>
    </w:p>
    <w:p w14:paraId="44AD7837" w14:textId="77777777" w:rsidR="003F7CCA" w:rsidRDefault="003F7CCA">
      <w:pPr>
        <w:rPr>
          <w:rFonts w:eastAsia="Calibri"/>
          <w:sz w:val="22"/>
          <w:szCs w:val="22"/>
          <w:lang w:eastAsia="en-US"/>
        </w:rPr>
      </w:pPr>
    </w:p>
    <w:p w14:paraId="4DE9A8B3" w14:textId="77777777" w:rsidR="003F7CCA" w:rsidRDefault="003F7CCA">
      <w:pPr>
        <w:rPr>
          <w:rFonts w:eastAsia="Calibri"/>
          <w:sz w:val="22"/>
          <w:szCs w:val="22"/>
          <w:lang w:eastAsia="en-US"/>
        </w:rPr>
      </w:pPr>
    </w:p>
    <w:p w14:paraId="17F9C940"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64AA5724" w14:textId="77777777" w:rsidR="003F7CCA" w:rsidRDefault="003F7CCA">
      <w:pPr>
        <w:rPr>
          <w:rFonts w:eastAsia="Calibri"/>
          <w:sz w:val="22"/>
          <w:szCs w:val="22"/>
          <w:lang w:eastAsia="en-US"/>
        </w:rPr>
      </w:pPr>
    </w:p>
    <w:p w14:paraId="75DDF770" w14:textId="66B1E225"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Kiekvienoje </w:t>
      </w:r>
      <w:r w:rsidR="00DE5908">
        <w:rPr>
          <w:rFonts w:eastAsiaTheme="minorHAnsi"/>
          <w:color w:val="000000"/>
          <w:sz w:val="22"/>
          <w:szCs w:val="22"/>
          <w:lang w:eastAsia="en-US"/>
        </w:rPr>
        <w:t xml:space="preserve">plėvele dengtoje </w:t>
      </w:r>
      <w:r>
        <w:rPr>
          <w:rFonts w:eastAsiaTheme="minorHAnsi"/>
          <w:color w:val="000000"/>
          <w:sz w:val="22"/>
          <w:szCs w:val="22"/>
          <w:lang w:eastAsia="en-US"/>
        </w:rPr>
        <w:t xml:space="preserve">tabletėje yra 2,5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5F6A6B16" w14:textId="43C31C78"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highlight w:val="lightGray"/>
          <w:lang w:eastAsia="en-US"/>
        </w:rPr>
        <w:t>Kiekvienoje</w:t>
      </w:r>
      <w:r w:rsidR="00DE5908">
        <w:rPr>
          <w:rFonts w:eastAsiaTheme="minorHAnsi"/>
          <w:color w:val="000000"/>
          <w:sz w:val="22"/>
          <w:szCs w:val="22"/>
          <w:highlight w:val="lightGray"/>
          <w:lang w:eastAsia="en-US"/>
        </w:rPr>
        <w:t xml:space="preserve"> plėvele dengtoje</w:t>
      </w:r>
      <w:r>
        <w:rPr>
          <w:rFonts w:eastAsiaTheme="minorHAnsi"/>
          <w:color w:val="000000"/>
          <w:sz w:val="22"/>
          <w:szCs w:val="22"/>
          <w:highlight w:val="lightGray"/>
          <w:lang w:eastAsia="en-US"/>
        </w:rPr>
        <w:t xml:space="preserve"> tabletėje yra 2,5 mg </w:t>
      </w:r>
      <w:proofErr w:type="spellStart"/>
      <w:r>
        <w:rPr>
          <w:rFonts w:eastAsiaTheme="minorHAnsi"/>
          <w:color w:val="000000"/>
          <w:sz w:val="22"/>
          <w:szCs w:val="22"/>
          <w:highlight w:val="lightGray"/>
          <w:lang w:eastAsia="en-US"/>
        </w:rPr>
        <w:t>linagliptino</w:t>
      </w:r>
      <w:proofErr w:type="spellEnd"/>
      <w:r>
        <w:rPr>
          <w:rFonts w:eastAsiaTheme="minorHAnsi"/>
          <w:color w:val="000000"/>
          <w:sz w:val="22"/>
          <w:szCs w:val="22"/>
          <w:highlight w:val="lightGray"/>
          <w:lang w:eastAsia="en-US"/>
        </w:rPr>
        <w:t xml:space="preserve"> ir 1 000 mg </w:t>
      </w:r>
      <w:proofErr w:type="spellStart"/>
      <w:r>
        <w:rPr>
          <w:rFonts w:eastAsiaTheme="minorHAnsi"/>
          <w:color w:val="000000"/>
          <w:sz w:val="22"/>
          <w:szCs w:val="22"/>
          <w:highlight w:val="lightGray"/>
          <w:lang w:eastAsia="en-US"/>
        </w:rPr>
        <w:t>metformino</w:t>
      </w:r>
      <w:proofErr w:type="spellEnd"/>
      <w:r>
        <w:rPr>
          <w:rFonts w:eastAsiaTheme="minorHAnsi"/>
          <w:color w:val="000000"/>
          <w:sz w:val="22"/>
          <w:szCs w:val="22"/>
          <w:highlight w:val="lightGray"/>
          <w:lang w:eastAsia="en-US"/>
        </w:rPr>
        <w:t xml:space="preserve"> hidrochlorido.</w:t>
      </w:r>
    </w:p>
    <w:p w14:paraId="109B1E4F" w14:textId="77777777" w:rsidR="003F7CCA" w:rsidRDefault="003F7CCA">
      <w:pPr>
        <w:rPr>
          <w:rFonts w:eastAsia="Calibri"/>
          <w:sz w:val="22"/>
          <w:szCs w:val="22"/>
          <w:lang w:eastAsia="en-US"/>
        </w:rPr>
      </w:pPr>
    </w:p>
    <w:p w14:paraId="29E68515" w14:textId="77777777" w:rsidR="003F7CCA" w:rsidRDefault="003F7CCA">
      <w:pPr>
        <w:rPr>
          <w:rFonts w:eastAsia="Calibri"/>
          <w:sz w:val="22"/>
          <w:szCs w:val="22"/>
          <w:lang w:eastAsia="en-US"/>
        </w:rPr>
      </w:pPr>
    </w:p>
    <w:p w14:paraId="0B8C3BF1"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1DE440B4" w14:textId="77777777" w:rsidR="003F7CCA" w:rsidRDefault="003F7CCA">
      <w:pPr>
        <w:rPr>
          <w:rFonts w:eastAsia="Calibri"/>
          <w:sz w:val="22"/>
          <w:szCs w:val="22"/>
          <w:lang w:eastAsia="en-US"/>
        </w:rPr>
      </w:pPr>
    </w:p>
    <w:p w14:paraId="1A02B663" w14:textId="77777777" w:rsidR="003F7CCA" w:rsidRDefault="003F7CCA">
      <w:pPr>
        <w:rPr>
          <w:rFonts w:eastAsia="Calibri"/>
          <w:sz w:val="22"/>
          <w:szCs w:val="22"/>
          <w:lang w:eastAsia="en-US"/>
        </w:rPr>
      </w:pPr>
    </w:p>
    <w:p w14:paraId="751BC58F"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4576F7BC" w14:textId="77777777" w:rsidR="003F7CCA" w:rsidRDefault="003F7CCA">
      <w:pPr>
        <w:rPr>
          <w:rFonts w:eastAsia="Calibri"/>
          <w:sz w:val="22"/>
          <w:szCs w:val="22"/>
          <w:lang w:eastAsia="en-US"/>
        </w:rPr>
      </w:pPr>
    </w:p>
    <w:p w14:paraId="000AB9A6" w14:textId="77777777" w:rsidR="003F7CCA" w:rsidRDefault="0080197E">
      <w:pPr>
        <w:rPr>
          <w:rFonts w:eastAsia="Calibri"/>
          <w:sz w:val="22"/>
          <w:szCs w:val="22"/>
          <w:lang w:eastAsia="en-US"/>
        </w:rPr>
      </w:pPr>
      <w:r>
        <w:rPr>
          <w:rFonts w:eastAsia="Calibri"/>
          <w:sz w:val="22"/>
          <w:szCs w:val="22"/>
          <w:highlight w:val="lightGray"/>
          <w:lang w:eastAsia="en-US"/>
        </w:rPr>
        <w:t>plėvele dengta tabletė</w:t>
      </w:r>
    </w:p>
    <w:p w14:paraId="3680BA52" w14:textId="77777777" w:rsidR="003F7CCA" w:rsidRDefault="003F7CCA">
      <w:pPr>
        <w:rPr>
          <w:rFonts w:eastAsia="Calibri"/>
          <w:sz w:val="22"/>
          <w:szCs w:val="22"/>
          <w:lang w:eastAsia="en-US"/>
        </w:rPr>
      </w:pPr>
    </w:p>
    <w:p w14:paraId="0378AB4B" w14:textId="77777777" w:rsidR="003F7CCA" w:rsidRDefault="0080197E">
      <w:pPr>
        <w:rPr>
          <w:rFonts w:eastAsia="Calibri"/>
          <w:sz w:val="22"/>
          <w:szCs w:val="22"/>
          <w:lang w:eastAsia="en-US"/>
        </w:rPr>
      </w:pPr>
      <w:r>
        <w:rPr>
          <w:rFonts w:eastAsia="Calibri"/>
          <w:sz w:val="22"/>
          <w:szCs w:val="22"/>
          <w:lang w:eastAsia="en-US"/>
        </w:rPr>
        <w:t>60 plėvele dengtų tablečių</w:t>
      </w:r>
    </w:p>
    <w:p w14:paraId="475012A5" w14:textId="77777777" w:rsidR="003F7CCA" w:rsidRDefault="0080197E">
      <w:pPr>
        <w:rPr>
          <w:rFonts w:eastAsia="Calibri"/>
          <w:sz w:val="22"/>
          <w:szCs w:val="22"/>
          <w:highlight w:val="lightGray"/>
          <w:lang w:eastAsia="en-US"/>
        </w:rPr>
      </w:pPr>
      <w:r>
        <w:rPr>
          <w:rFonts w:eastAsia="Calibri"/>
          <w:sz w:val="22"/>
          <w:szCs w:val="22"/>
          <w:highlight w:val="lightGray"/>
          <w:lang w:eastAsia="en-US"/>
        </w:rPr>
        <w:t>90 plėvele dengtų tablečių</w:t>
      </w:r>
    </w:p>
    <w:p w14:paraId="65E818D5" w14:textId="77777777" w:rsidR="003F7CCA" w:rsidRDefault="0080197E">
      <w:pPr>
        <w:rPr>
          <w:rFonts w:eastAsia="Calibri"/>
          <w:sz w:val="22"/>
          <w:szCs w:val="22"/>
          <w:highlight w:val="lightGray"/>
          <w:lang w:eastAsia="en-US"/>
        </w:rPr>
      </w:pPr>
      <w:r>
        <w:rPr>
          <w:rFonts w:eastAsia="Calibri"/>
          <w:sz w:val="22"/>
          <w:szCs w:val="22"/>
          <w:highlight w:val="lightGray"/>
          <w:lang w:eastAsia="en-US"/>
        </w:rPr>
        <w:t>98 plėvele dengtos tabletės</w:t>
      </w:r>
    </w:p>
    <w:p w14:paraId="140D9BDE" w14:textId="77777777" w:rsidR="003F7CCA" w:rsidRDefault="0080197E">
      <w:pPr>
        <w:rPr>
          <w:rFonts w:eastAsia="Calibri"/>
          <w:sz w:val="22"/>
          <w:szCs w:val="22"/>
          <w:lang w:eastAsia="en-US"/>
        </w:rPr>
      </w:pPr>
      <w:r>
        <w:rPr>
          <w:rFonts w:eastAsia="Calibri"/>
          <w:sz w:val="22"/>
          <w:szCs w:val="22"/>
          <w:highlight w:val="lightGray"/>
          <w:lang w:eastAsia="en-US"/>
        </w:rPr>
        <w:t>100 plėvele dengtų tablečių</w:t>
      </w:r>
    </w:p>
    <w:p w14:paraId="69214A1E" w14:textId="77777777" w:rsidR="003F7CCA" w:rsidRDefault="0080197E">
      <w:pPr>
        <w:spacing w:line="300" w:lineRule="atLeast"/>
        <w:rPr>
          <w:sz w:val="22"/>
          <w:szCs w:val="22"/>
          <w:lang w:eastAsia="lt-LT"/>
        </w:rPr>
      </w:pPr>
      <w:r>
        <w:rPr>
          <w:sz w:val="22"/>
          <w:szCs w:val="22"/>
        </w:rPr>
        <w:t>Sudėtinės pakuotės dalis – parduoti atskirai draudžiama.</w:t>
      </w:r>
    </w:p>
    <w:p w14:paraId="3D256320" w14:textId="77777777" w:rsidR="003F7CCA" w:rsidRDefault="003F7CCA">
      <w:pPr>
        <w:rPr>
          <w:rFonts w:eastAsia="Calibri"/>
          <w:sz w:val="22"/>
          <w:szCs w:val="22"/>
          <w:lang w:eastAsia="en-US"/>
        </w:rPr>
      </w:pPr>
    </w:p>
    <w:p w14:paraId="5E5890A0" w14:textId="77777777" w:rsidR="003F7CCA" w:rsidRDefault="003F7CCA">
      <w:pPr>
        <w:rPr>
          <w:rFonts w:eastAsia="Calibri"/>
          <w:sz w:val="22"/>
          <w:szCs w:val="22"/>
          <w:lang w:eastAsia="en-US"/>
        </w:rPr>
      </w:pPr>
    </w:p>
    <w:p w14:paraId="06B12757"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553EE695" w14:textId="77777777" w:rsidR="003F7CCA" w:rsidRDefault="003F7CCA">
      <w:pPr>
        <w:rPr>
          <w:rFonts w:eastAsia="Calibri"/>
          <w:sz w:val="16"/>
          <w:szCs w:val="16"/>
          <w:lang w:eastAsia="en-US"/>
        </w:rPr>
      </w:pPr>
    </w:p>
    <w:p w14:paraId="6920C1E3" w14:textId="77777777" w:rsidR="003F7CCA" w:rsidRDefault="0080197E">
      <w:pPr>
        <w:rPr>
          <w:rFonts w:eastAsia="Calibri"/>
          <w:sz w:val="22"/>
          <w:szCs w:val="22"/>
          <w:lang w:eastAsia="en-US"/>
        </w:rPr>
      </w:pPr>
      <w:r>
        <w:rPr>
          <w:rFonts w:eastAsia="Calibri"/>
          <w:noProof/>
          <w:sz w:val="22"/>
          <w:szCs w:val="22"/>
          <w:lang w:eastAsia="en-US"/>
        </w:rPr>
        <w:t>Prieš vartojimą perskaitykite pakuotės lapelį.</w:t>
      </w:r>
    </w:p>
    <w:p w14:paraId="28BB008D" w14:textId="77777777" w:rsidR="003F7CCA" w:rsidRDefault="003F7CCA">
      <w:pPr>
        <w:rPr>
          <w:rFonts w:eastAsia="Calibri"/>
          <w:i/>
          <w:iCs/>
          <w:sz w:val="22"/>
          <w:szCs w:val="22"/>
          <w:highlight w:val="darkGray"/>
          <w:lang w:eastAsia="en-US"/>
        </w:rPr>
      </w:pPr>
    </w:p>
    <w:p w14:paraId="2910E7F5" w14:textId="77777777" w:rsidR="003F7CCA" w:rsidRDefault="0080197E">
      <w:pPr>
        <w:rPr>
          <w:rFonts w:eastAsia="Calibri"/>
          <w:sz w:val="22"/>
          <w:szCs w:val="22"/>
          <w:lang w:eastAsia="en-US"/>
        </w:rPr>
      </w:pPr>
      <w:r>
        <w:rPr>
          <w:rFonts w:eastAsia="Calibri"/>
          <w:sz w:val="22"/>
          <w:szCs w:val="22"/>
          <w:lang w:eastAsia="en-US"/>
        </w:rPr>
        <w:t>Vartoti per burną.</w:t>
      </w:r>
    </w:p>
    <w:p w14:paraId="089F6777" w14:textId="77777777" w:rsidR="003F7CCA" w:rsidRDefault="003F7CCA">
      <w:pPr>
        <w:rPr>
          <w:rFonts w:eastAsia="Calibri"/>
          <w:sz w:val="22"/>
          <w:szCs w:val="22"/>
          <w:lang w:eastAsia="en-US"/>
        </w:rPr>
      </w:pPr>
    </w:p>
    <w:p w14:paraId="66510251" w14:textId="77777777" w:rsidR="003F7CCA" w:rsidRDefault="003F7CCA">
      <w:pPr>
        <w:rPr>
          <w:rFonts w:eastAsia="Calibri"/>
          <w:sz w:val="22"/>
          <w:szCs w:val="22"/>
          <w:lang w:eastAsia="en-US"/>
        </w:rPr>
      </w:pPr>
    </w:p>
    <w:p w14:paraId="4CD2BF35"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4BFE2FAB" w14:textId="77777777" w:rsidR="003F7CCA" w:rsidRDefault="003F7CCA">
      <w:pPr>
        <w:rPr>
          <w:rFonts w:eastAsia="Calibri"/>
          <w:sz w:val="22"/>
          <w:szCs w:val="22"/>
          <w:lang w:eastAsia="en-US"/>
        </w:rPr>
      </w:pPr>
    </w:p>
    <w:p w14:paraId="71777DAC" w14:textId="77777777" w:rsidR="003F7CCA" w:rsidRDefault="0080197E">
      <w:pPr>
        <w:rPr>
          <w:rFonts w:eastAsia="Calibri"/>
          <w:sz w:val="22"/>
          <w:szCs w:val="22"/>
          <w:lang w:eastAsia="en-US"/>
        </w:rPr>
      </w:pPr>
      <w:r>
        <w:rPr>
          <w:rFonts w:eastAsia="Calibri"/>
          <w:noProof/>
          <w:sz w:val="22"/>
          <w:szCs w:val="22"/>
          <w:lang w:eastAsia="en-US"/>
        </w:rPr>
        <w:t>Laikyti vaikams nepastebimoje ir nepasiekiamoje vietoje.</w:t>
      </w:r>
    </w:p>
    <w:p w14:paraId="101D256D" w14:textId="77777777" w:rsidR="003F7CCA" w:rsidRDefault="003F7CCA">
      <w:pPr>
        <w:rPr>
          <w:rFonts w:eastAsia="Calibri"/>
          <w:sz w:val="22"/>
          <w:szCs w:val="22"/>
          <w:lang w:eastAsia="en-US"/>
        </w:rPr>
      </w:pPr>
    </w:p>
    <w:p w14:paraId="4931767A" w14:textId="77777777" w:rsidR="003F7CCA" w:rsidRDefault="003F7CCA">
      <w:pPr>
        <w:rPr>
          <w:rFonts w:eastAsia="Calibri"/>
          <w:sz w:val="22"/>
          <w:szCs w:val="22"/>
          <w:lang w:eastAsia="en-US"/>
        </w:rPr>
      </w:pPr>
    </w:p>
    <w:p w14:paraId="099B02C9"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1AC6920B" w14:textId="77777777" w:rsidR="003F7CCA" w:rsidRDefault="003F7CCA">
      <w:pPr>
        <w:rPr>
          <w:rFonts w:eastAsia="Calibri"/>
          <w:sz w:val="22"/>
          <w:szCs w:val="22"/>
          <w:lang w:eastAsia="en-US"/>
        </w:rPr>
      </w:pPr>
    </w:p>
    <w:p w14:paraId="1F8E3B80" w14:textId="77777777" w:rsidR="003F7CCA" w:rsidRDefault="003F7CCA">
      <w:pPr>
        <w:rPr>
          <w:rFonts w:eastAsia="Calibri"/>
          <w:sz w:val="22"/>
          <w:szCs w:val="22"/>
          <w:lang w:eastAsia="en-US"/>
        </w:rPr>
      </w:pPr>
    </w:p>
    <w:p w14:paraId="2E8D6116"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00D25CB1" w14:textId="77777777" w:rsidR="003F7CCA" w:rsidRDefault="003F7CCA">
      <w:pPr>
        <w:rPr>
          <w:rFonts w:eastAsia="Calibri"/>
          <w:sz w:val="22"/>
          <w:szCs w:val="22"/>
          <w:lang w:eastAsia="en-US"/>
        </w:rPr>
      </w:pPr>
    </w:p>
    <w:p w14:paraId="213AA1A8" w14:textId="77777777" w:rsidR="003F7CCA" w:rsidRDefault="0080197E">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61587C14" w14:textId="77777777" w:rsidR="003F7CCA" w:rsidRDefault="003F7CCA">
      <w:pPr>
        <w:rPr>
          <w:rFonts w:eastAsia="Calibri"/>
          <w:sz w:val="22"/>
          <w:szCs w:val="22"/>
          <w:lang w:eastAsia="en-US"/>
        </w:rPr>
      </w:pPr>
    </w:p>
    <w:p w14:paraId="1A9CECA3" w14:textId="77777777" w:rsidR="003F7CCA" w:rsidRDefault="003F7CCA">
      <w:pPr>
        <w:rPr>
          <w:rFonts w:eastAsia="Calibri"/>
          <w:sz w:val="22"/>
          <w:szCs w:val="22"/>
          <w:lang w:eastAsia="en-US"/>
        </w:rPr>
      </w:pPr>
    </w:p>
    <w:p w14:paraId="112EF173" w14:textId="77777777" w:rsidR="003F7CCA" w:rsidRDefault="0080197E" w:rsidP="00A6463E">
      <w:pPr>
        <w:keepNext/>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lastRenderedPageBreak/>
        <w:t>9.</w:t>
      </w:r>
      <w:r>
        <w:rPr>
          <w:rFonts w:eastAsia="Calibri"/>
          <w:b/>
          <w:sz w:val="22"/>
          <w:szCs w:val="22"/>
          <w:lang w:eastAsia="en-US"/>
        </w:rPr>
        <w:tab/>
      </w:r>
      <w:r>
        <w:rPr>
          <w:rFonts w:eastAsia="Calibri"/>
          <w:b/>
          <w:noProof/>
          <w:sz w:val="22"/>
          <w:szCs w:val="22"/>
          <w:lang w:eastAsia="en-US"/>
        </w:rPr>
        <w:t>SPECIALIOS LAIKYMO SĄLYGOS</w:t>
      </w:r>
    </w:p>
    <w:p w14:paraId="50F18026" w14:textId="77777777" w:rsidR="003F7CCA" w:rsidRDefault="003F7CCA" w:rsidP="00A6463E">
      <w:pPr>
        <w:keepNext/>
        <w:rPr>
          <w:rFonts w:eastAsia="Calibri"/>
          <w:sz w:val="22"/>
          <w:szCs w:val="22"/>
          <w:lang w:eastAsia="en-US"/>
        </w:rPr>
      </w:pPr>
    </w:p>
    <w:p w14:paraId="5BCE148F" w14:textId="77777777" w:rsidR="003F7CCA" w:rsidRDefault="0080197E" w:rsidP="00A6463E">
      <w:pPr>
        <w:keepNext/>
        <w:rPr>
          <w:rFonts w:eastAsia="Calibri"/>
          <w:sz w:val="22"/>
          <w:szCs w:val="22"/>
          <w:lang w:eastAsia="en-US"/>
        </w:rPr>
      </w:pPr>
      <w:r>
        <w:rPr>
          <w:rFonts w:eastAsia="Calibri"/>
          <w:sz w:val="22"/>
          <w:szCs w:val="22"/>
          <w:lang w:eastAsia="en-US"/>
        </w:rPr>
        <w:t>Laikyti gamintojo pakuotėje, kad vaistas būtų apsaugotas nuo šviesos.</w:t>
      </w:r>
    </w:p>
    <w:p w14:paraId="0BF79B3A" w14:textId="77777777" w:rsidR="003F7CCA" w:rsidRDefault="003F7CCA">
      <w:pPr>
        <w:rPr>
          <w:rFonts w:eastAsia="Calibri"/>
          <w:sz w:val="22"/>
          <w:szCs w:val="22"/>
          <w:lang w:eastAsia="en-US"/>
        </w:rPr>
      </w:pPr>
    </w:p>
    <w:p w14:paraId="350ABB6A" w14:textId="77777777" w:rsidR="003F7CCA" w:rsidRDefault="003F7CCA">
      <w:pPr>
        <w:rPr>
          <w:rFonts w:eastAsia="Calibri"/>
          <w:sz w:val="22"/>
          <w:szCs w:val="22"/>
          <w:lang w:eastAsia="en-US"/>
        </w:rPr>
      </w:pPr>
    </w:p>
    <w:p w14:paraId="77C4A5F3"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4E1F5051" w14:textId="77777777" w:rsidR="003F7CCA" w:rsidRDefault="003F7CCA">
      <w:pPr>
        <w:rPr>
          <w:rFonts w:eastAsia="Calibri"/>
          <w:sz w:val="22"/>
          <w:szCs w:val="22"/>
          <w:lang w:eastAsia="en-US"/>
        </w:rPr>
      </w:pPr>
    </w:p>
    <w:p w14:paraId="225902C7" w14:textId="77777777" w:rsidR="003F7CCA" w:rsidRDefault="003F7CCA">
      <w:pPr>
        <w:rPr>
          <w:rFonts w:eastAsia="Calibri"/>
          <w:sz w:val="22"/>
          <w:szCs w:val="22"/>
          <w:lang w:eastAsia="en-US"/>
        </w:rPr>
      </w:pPr>
    </w:p>
    <w:p w14:paraId="4BCC4D7B"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77C54292" w14:textId="77777777" w:rsidR="003F7CCA" w:rsidRDefault="003F7CCA">
      <w:pPr>
        <w:rPr>
          <w:rFonts w:eastAsia="Calibri"/>
          <w:sz w:val="22"/>
          <w:szCs w:val="22"/>
          <w:lang w:eastAsia="en-US"/>
        </w:rPr>
      </w:pPr>
    </w:p>
    <w:p w14:paraId="6597C18A" w14:textId="77777777" w:rsidR="003F7CCA" w:rsidRDefault="0080197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09E8B78F" w14:textId="77777777" w:rsidR="003F7CCA" w:rsidRDefault="0080197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3FD6960E" w14:textId="77777777" w:rsidR="003F7CCA" w:rsidRDefault="0080197E">
      <w:pPr>
        <w:widowControl w:val="0"/>
        <w:rPr>
          <w:b/>
          <w:sz w:val="22"/>
          <w:szCs w:val="22"/>
          <w:lang w:eastAsia="sl-SI"/>
        </w:rPr>
      </w:pPr>
      <w:r>
        <w:rPr>
          <w:sz w:val="22"/>
          <w:szCs w:val="22"/>
          <w:lang w:eastAsia="sl-SI"/>
        </w:rPr>
        <w:t>8501 Novo mesto</w:t>
      </w:r>
    </w:p>
    <w:p w14:paraId="26477E44" w14:textId="77777777" w:rsidR="003F7CCA" w:rsidRDefault="0080197E">
      <w:pPr>
        <w:widowControl w:val="0"/>
        <w:rPr>
          <w:b/>
          <w:sz w:val="22"/>
          <w:szCs w:val="22"/>
          <w:lang w:eastAsia="sl-SI"/>
        </w:rPr>
      </w:pPr>
      <w:r>
        <w:rPr>
          <w:sz w:val="22"/>
          <w:szCs w:val="22"/>
          <w:lang w:eastAsia="sl-SI"/>
        </w:rPr>
        <w:t>Slovėnija</w:t>
      </w:r>
    </w:p>
    <w:p w14:paraId="1FC3AEC0" w14:textId="77777777" w:rsidR="003F7CCA" w:rsidRDefault="003F7CCA">
      <w:pPr>
        <w:rPr>
          <w:rFonts w:eastAsia="Calibri"/>
          <w:sz w:val="22"/>
          <w:szCs w:val="22"/>
          <w:lang w:eastAsia="en-US"/>
        </w:rPr>
      </w:pPr>
    </w:p>
    <w:p w14:paraId="3113D07F" w14:textId="77777777" w:rsidR="003F7CCA" w:rsidRDefault="003F7CCA">
      <w:pPr>
        <w:rPr>
          <w:rFonts w:eastAsia="Calibri"/>
          <w:sz w:val="22"/>
          <w:szCs w:val="22"/>
          <w:lang w:eastAsia="en-US"/>
        </w:rPr>
      </w:pPr>
    </w:p>
    <w:p w14:paraId="60325C52"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070C9ADF" w14:textId="77777777" w:rsidR="003F7CCA" w:rsidRDefault="003F7CCA">
      <w:pPr>
        <w:rPr>
          <w:rFonts w:eastAsia="Calibri"/>
          <w:sz w:val="22"/>
          <w:szCs w:val="22"/>
          <w:lang w:eastAsia="en-US"/>
        </w:rPr>
      </w:pPr>
    </w:p>
    <w:p w14:paraId="5AD3AEE1" w14:textId="77777777" w:rsidR="009A2FFD" w:rsidRDefault="009A2FFD" w:rsidP="009A2FFD">
      <w:pPr>
        <w:autoSpaceDE w:val="0"/>
        <w:autoSpaceDN w:val="0"/>
        <w:adjustRightInd w:val="0"/>
        <w:rPr>
          <w:rFonts w:eastAsia="Calibri"/>
          <w:iCs/>
          <w:sz w:val="22"/>
          <w:szCs w:val="22"/>
          <w:lang w:eastAsia="en-US"/>
        </w:rPr>
      </w:pPr>
      <w:r w:rsidRPr="00C26C35">
        <w:rPr>
          <w:rFonts w:eastAsia="Calibri"/>
          <w:iCs/>
          <w:sz w:val="22"/>
          <w:szCs w:val="22"/>
          <w:highlight w:val="lightGray"/>
          <w:u w:val="single"/>
          <w:lang w:eastAsia="en-US"/>
        </w:rPr>
        <w:t>2,5 mg/ 850 mg</w:t>
      </w:r>
    </w:p>
    <w:p w14:paraId="05E8C961" w14:textId="77777777" w:rsidR="009A2FFD" w:rsidRPr="00C26C35" w:rsidRDefault="009A2FFD" w:rsidP="009A2FFD">
      <w:pPr>
        <w:autoSpaceDE w:val="0"/>
        <w:autoSpaceDN w:val="0"/>
        <w:adjustRightInd w:val="0"/>
        <w:rPr>
          <w:rFonts w:eastAsia="Calibri"/>
          <w:iCs/>
          <w:sz w:val="22"/>
          <w:szCs w:val="22"/>
          <w:highlight w:val="lightGray"/>
          <w:lang w:eastAsia="en-US"/>
        </w:rPr>
      </w:pPr>
      <w:r w:rsidRPr="009A2FFD">
        <w:rPr>
          <w:rFonts w:eastAsia="Calibri"/>
          <w:iCs/>
          <w:sz w:val="22"/>
          <w:szCs w:val="22"/>
          <w:highlight w:val="lightGray"/>
          <w:lang w:eastAsia="en-US"/>
        </w:rPr>
        <w:t xml:space="preserve">LT/1/26/6032/013 – N120 </w:t>
      </w:r>
      <w:r w:rsidRPr="00C26C35">
        <w:rPr>
          <w:rFonts w:eastAsia="Calibri"/>
          <w:iCs/>
          <w:sz w:val="22"/>
          <w:szCs w:val="22"/>
          <w:highlight w:val="lightGray"/>
          <w:lang w:eastAsia="en-US"/>
        </w:rPr>
        <w:t>(2x60)</w:t>
      </w:r>
    </w:p>
    <w:p w14:paraId="4E824755" w14:textId="77777777" w:rsidR="009A2FFD" w:rsidRPr="00C26C35" w:rsidRDefault="009A2FFD" w:rsidP="009A2FFD">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LT/1/26/6032/014 – N180 (2x90)</w:t>
      </w:r>
    </w:p>
    <w:p w14:paraId="76F77173" w14:textId="77777777" w:rsidR="009A2FFD" w:rsidRPr="00C26C35" w:rsidRDefault="009A2FFD" w:rsidP="009A2FFD">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LT/1/26/6032/015 – N180 (3x60)</w:t>
      </w:r>
    </w:p>
    <w:p w14:paraId="0DC8465C" w14:textId="77777777" w:rsidR="009A2FFD" w:rsidRPr="00C26C35" w:rsidRDefault="009A2FFD" w:rsidP="009A2FFD">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LT/1/26/6032/016 – N196 (2x98)</w:t>
      </w:r>
    </w:p>
    <w:p w14:paraId="573FFB61" w14:textId="77777777" w:rsidR="009A2FFD" w:rsidRDefault="009A2FFD" w:rsidP="009A2FFD">
      <w:pPr>
        <w:autoSpaceDE w:val="0"/>
        <w:autoSpaceDN w:val="0"/>
        <w:adjustRightInd w:val="0"/>
        <w:rPr>
          <w:rFonts w:eastAsia="Calibri"/>
          <w:iCs/>
          <w:sz w:val="22"/>
          <w:szCs w:val="22"/>
          <w:lang w:eastAsia="en-US"/>
        </w:rPr>
      </w:pPr>
      <w:r w:rsidRPr="00C26C35">
        <w:rPr>
          <w:rFonts w:eastAsia="Calibri"/>
          <w:iCs/>
          <w:sz w:val="22"/>
          <w:szCs w:val="22"/>
          <w:highlight w:val="lightGray"/>
          <w:lang w:eastAsia="en-US"/>
        </w:rPr>
        <w:t>LT/1/26/6032/017 – N200 (2x100</w:t>
      </w:r>
    </w:p>
    <w:p w14:paraId="4C9BAEC6" w14:textId="77777777" w:rsidR="009A2FFD" w:rsidRDefault="009A2FFD" w:rsidP="009A2FFD">
      <w:pPr>
        <w:autoSpaceDE w:val="0"/>
        <w:autoSpaceDN w:val="0"/>
        <w:adjustRightInd w:val="0"/>
        <w:rPr>
          <w:rFonts w:eastAsia="Calibri"/>
          <w:iCs/>
          <w:sz w:val="22"/>
          <w:szCs w:val="22"/>
          <w:highlight w:val="lightGray"/>
          <w:u w:val="single"/>
          <w:lang w:eastAsia="en-US"/>
        </w:rPr>
      </w:pPr>
    </w:p>
    <w:p w14:paraId="0B8CC969" w14:textId="77777777" w:rsidR="009A2FFD" w:rsidRDefault="009A2FFD" w:rsidP="009A2FFD">
      <w:pPr>
        <w:autoSpaceDE w:val="0"/>
        <w:autoSpaceDN w:val="0"/>
        <w:adjustRightInd w:val="0"/>
        <w:rPr>
          <w:rFonts w:eastAsia="Calibri"/>
          <w:iCs/>
          <w:sz w:val="22"/>
          <w:szCs w:val="22"/>
          <w:u w:val="single"/>
          <w:lang w:eastAsia="en-US"/>
        </w:rPr>
      </w:pPr>
      <w:r w:rsidRPr="00C26C35">
        <w:rPr>
          <w:rFonts w:eastAsia="Calibri"/>
          <w:iCs/>
          <w:sz w:val="22"/>
          <w:szCs w:val="22"/>
          <w:highlight w:val="lightGray"/>
          <w:u w:val="single"/>
          <w:lang w:eastAsia="en-US"/>
        </w:rPr>
        <w:t>2,5 mg/</w:t>
      </w:r>
      <w:r>
        <w:rPr>
          <w:rFonts w:eastAsia="Calibri"/>
          <w:iCs/>
          <w:sz w:val="22"/>
          <w:szCs w:val="22"/>
          <w:highlight w:val="lightGray"/>
          <w:u w:val="single"/>
          <w:lang w:eastAsia="en-US"/>
        </w:rPr>
        <w:t>100</w:t>
      </w:r>
      <w:r w:rsidRPr="00C26C35">
        <w:rPr>
          <w:rFonts w:eastAsia="Calibri"/>
          <w:iCs/>
          <w:sz w:val="22"/>
          <w:szCs w:val="22"/>
          <w:highlight w:val="lightGray"/>
          <w:u w:val="single"/>
          <w:lang w:eastAsia="en-US"/>
        </w:rPr>
        <w:t>0 mg</w:t>
      </w:r>
    </w:p>
    <w:p w14:paraId="33176EB4" w14:textId="77777777" w:rsidR="009A2FFD" w:rsidRPr="00C26C35" w:rsidRDefault="009A2FFD" w:rsidP="009A2FFD">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LT/1/26/6033/013 – N120 (2x60)</w:t>
      </w:r>
    </w:p>
    <w:p w14:paraId="24FEB3A7" w14:textId="77777777" w:rsidR="009A2FFD" w:rsidRPr="00C26C35" w:rsidRDefault="009A2FFD" w:rsidP="009A2FFD">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LT/1/26/6033/014 – N180 (2x90)</w:t>
      </w:r>
    </w:p>
    <w:p w14:paraId="5A3ED35A" w14:textId="77777777" w:rsidR="009A2FFD" w:rsidRPr="00C26C35" w:rsidRDefault="009A2FFD" w:rsidP="009A2FFD">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LT/1/26/6033/015 – N180 (3x60)</w:t>
      </w:r>
    </w:p>
    <w:p w14:paraId="373EFAB0" w14:textId="77777777" w:rsidR="009A2FFD" w:rsidRPr="00C26C35" w:rsidRDefault="009A2FFD" w:rsidP="009A2FFD">
      <w:pPr>
        <w:autoSpaceDE w:val="0"/>
        <w:autoSpaceDN w:val="0"/>
        <w:adjustRightInd w:val="0"/>
        <w:rPr>
          <w:rFonts w:eastAsia="Calibri"/>
          <w:iCs/>
          <w:sz w:val="22"/>
          <w:szCs w:val="22"/>
          <w:highlight w:val="lightGray"/>
          <w:lang w:eastAsia="en-US"/>
        </w:rPr>
      </w:pPr>
      <w:r w:rsidRPr="00C26C35">
        <w:rPr>
          <w:rFonts w:eastAsia="Calibri"/>
          <w:iCs/>
          <w:sz w:val="22"/>
          <w:szCs w:val="22"/>
          <w:highlight w:val="lightGray"/>
          <w:lang w:eastAsia="en-US"/>
        </w:rPr>
        <w:t>LT/1/26/6033/016 – N196 (2x98)</w:t>
      </w:r>
    </w:p>
    <w:p w14:paraId="0624075C" w14:textId="77777777" w:rsidR="009A2FFD" w:rsidRDefault="009A2FFD" w:rsidP="009A2FFD">
      <w:pPr>
        <w:autoSpaceDE w:val="0"/>
        <w:autoSpaceDN w:val="0"/>
        <w:adjustRightInd w:val="0"/>
        <w:rPr>
          <w:rFonts w:eastAsia="Calibri"/>
          <w:iCs/>
          <w:sz w:val="22"/>
          <w:szCs w:val="22"/>
          <w:lang w:eastAsia="en-US"/>
        </w:rPr>
      </w:pPr>
      <w:r w:rsidRPr="00C26C35">
        <w:rPr>
          <w:rFonts w:eastAsia="Calibri"/>
          <w:iCs/>
          <w:sz w:val="22"/>
          <w:szCs w:val="22"/>
          <w:highlight w:val="lightGray"/>
          <w:lang w:eastAsia="en-US"/>
        </w:rPr>
        <w:t>LT/1/26/6033/017 – N200 (2x100)</w:t>
      </w:r>
    </w:p>
    <w:p w14:paraId="099E11C4" w14:textId="77777777" w:rsidR="003F7CCA" w:rsidRDefault="003F7CCA">
      <w:pPr>
        <w:autoSpaceDE w:val="0"/>
        <w:autoSpaceDN w:val="0"/>
        <w:adjustRightInd w:val="0"/>
        <w:rPr>
          <w:rFonts w:eastAsia="Calibri"/>
          <w:iCs/>
          <w:sz w:val="22"/>
          <w:szCs w:val="22"/>
          <w:lang w:eastAsia="en-US"/>
        </w:rPr>
      </w:pPr>
    </w:p>
    <w:p w14:paraId="101C3AE3" w14:textId="77777777" w:rsidR="003F7CCA" w:rsidRDefault="003F7CCA">
      <w:pPr>
        <w:rPr>
          <w:rFonts w:eastAsia="Calibri"/>
          <w:sz w:val="22"/>
          <w:szCs w:val="22"/>
          <w:lang w:eastAsia="en-US"/>
        </w:rPr>
      </w:pPr>
    </w:p>
    <w:p w14:paraId="260BD029"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2E3D897D" w14:textId="77777777" w:rsidR="003F7CCA" w:rsidRDefault="003F7CCA">
      <w:pPr>
        <w:rPr>
          <w:rFonts w:eastAsia="Calibri"/>
          <w:sz w:val="22"/>
          <w:szCs w:val="22"/>
          <w:lang w:eastAsia="en-US"/>
        </w:rPr>
      </w:pPr>
    </w:p>
    <w:p w14:paraId="09D05D06" w14:textId="77777777" w:rsidR="003F7CCA" w:rsidRDefault="0080197E">
      <w:pPr>
        <w:rPr>
          <w:rFonts w:eastAsia="Calibri"/>
          <w:sz w:val="22"/>
          <w:szCs w:val="22"/>
          <w:lang w:eastAsia="en-US"/>
        </w:rPr>
      </w:pPr>
      <w:r>
        <w:rPr>
          <w:rFonts w:eastAsia="Calibri"/>
          <w:sz w:val="22"/>
          <w:szCs w:val="22"/>
          <w:lang w:eastAsia="en-US"/>
        </w:rPr>
        <w:t>Lot</w:t>
      </w:r>
    </w:p>
    <w:p w14:paraId="198D7624" w14:textId="77777777" w:rsidR="003F7CCA" w:rsidRDefault="003F7CCA">
      <w:pPr>
        <w:rPr>
          <w:rFonts w:eastAsia="Calibri"/>
          <w:sz w:val="22"/>
          <w:szCs w:val="22"/>
          <w:lang w:eastAsia="en-US"/>
        </w:rPr>
      </w:pPr>
    </w:p>
    <w:p w14:paraId="62F9F714" w14:textId="77777777" w:rsidR="003F7CCA" w:rsidRDefault="003F7CCA">
      <w:pPr>
        <w:rPr>
          <w:rFonts w:eastAsia="Calibri"/>
          <w:sz w:val="22"/>
          <w:szCs w:val="22"/>
          <w:lang w:eastAsia="en-US"/>
        </w:rPr>
      </w:pPr>
    </w:p>
    <w:p w14:paraId="2A88965B"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54FCDD9A" w14:textId="77777777" w:rsidR="003F7CCA" w:rsidRDefault="003F7CCA">
      <w:pPr>
        <w:rPr>
          <w:rFonts w:eastAsia="Calibri"/>
          <w:sz w:val="22"/>
          <w:szCs w:val="22"/>
          <w:lang w:eastAsia="en-US"/>
        </w:rPr>
      </w:pPr>
    </w:p>
    <w:p w14:paraId="03CE2DCC" w14:textId="77777777" w:rsidR="003F7CCA" w:rsidRDefault="0080197E">
      <w:pPr>
        <w:rPr>
          <w:rFonts w:eastAsia="Calibri"/>
          <w:sz w:val="22"/>
          <w:szCs w:val="22"/>
          <w:lang w:eastAsia="en-US"/>
        </w:rPr>
      </w:pPr>
      <w:r>
        <w:rPr>
          <w:rFonts w:eastAsia="Calibri"/>
          <w:sz w:val="22"/>
          <w:szCs w:val="22"/>
          <w:lang w:eastAsia="en-US"/>
        </w:rPr>
        <w:t>Receptinis vaistas</w:t>
      </w:r>
    </w:p>
    <w:p w14:paraId="17BF9E37" w14:textId="77777777" w:rsidR="003F7CCA" w:rsidRDefault="003F7CCA">
      <w:pPr>
        <w:rPr>
          <w:rFonts w:eastAsia="Calibri"/>
          <w:sz w:val="22"/>
          <w:szCs w:val="22"/>
          <w:lang w:eastAsia="en-US"/>
        </w:rPr>
      </w:pPr>
    </w:p>
    <w:p w14:paraId="2D2552D0" w14:textId="77777777" w:rsidR="003F7CCA" w:rsidRDefault="003F7CCA">
      <w:pPr>
        <w:rPr>
          <w:rFonts w:eastAsia="Calibri"/>
          <w:sz w:val="22"/>
          <w:szCs w:val="22"/>
          <w:lang w:eastAsia="en-US"/>
        </w:rPr>
      </w:pPr>
    </w:p>
    <w:p w14:paraId="0BE6BD33"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2DF4F384" w14:textId="77777777" w:rsidR="003F7CCA" w:rsidRDefault="003F7CCA">
      <w:pPr>
        <w:rPr>
          <w:rFonts w:eastAsia="Calibri"/>
          <w:sz w:val="22"/>
          <w:szCs w:val="22"/>
          <w:lang w:eastAsia="en-US"/>
        </w:rPr>
      </w:pPr>
    </w:p>
    <w:p w14:paraId="292EEC51" w14:textId="77777777" w:rsidR="003F7CCA" w:rsidRDefault="003F7CCA">
      <w:pPr>
        <w:rPr>
          <w:rFonts w:eastAsia="Calibri"/>
          <w:sz w:val="22"/>
          <w:szCs w:val="22"/>
          <w:lang w:eastAsia="en-US"/>
        </w:rPr>
      </w:pPr>
    </w:p>
    <w:p w14:paraId="082C9F58"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32E9A41F" w14:textId="77777777" w:rsidR="003F7CCA" w:rsidRDefault="003F7CCA">
      <w:pPr>
        <w:rPr>
          <w:rFonts w:eastAsia="Calibri"/>
          <w:sz w:val="22"/>
          <w:szCs w:val="22"/>
          <w:lang w:eastAsia="en-US"/>
        </w:rPr>
      </w:pPr>
    </w:p>
    <w:p w14:paraId="484A1918"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w:t>
      </w:r>
    </w:p>
    <w:p w14:paraId="5DB193C5" w14:textId="77777777" w:rsidR="003F7CCA" w:rsidRDefault="0080197E">
      <w:pPr>
        <w:rPr>
          <w:sz w:val="22"/>
          <w:szCs w:val="22"/>
        </w:rPr>
      </w:pPr>
      <w:proofErr w:type="spellStart"/>
      <w:r>
        <w:rPr>
          <w:rFonts w:eastAsiaTheme="minorHAnsi"/>
          <w:color w:val="000000"/>
          <w:sz w:val="22"/>
          <w:szCs w:val="22"/>
          <w:highlight w:val="lightGray"/>
          <w:lang w:eastAsia="en-US"/>
        </w:rPr>
        <w:t>Lymerexo</w:t>
      </w:r>
      <w:proofErr w:type="spellEnd"/>
      <w:r>
        <w:rPr>
          <w:rFonts w:eastAsiaTheme="minorHAnsi"/>
          <w:color w:val="000000"/>
          <w:sz w:val="22"/>
          <w:szCs w:val="22"/>
          <w:highlight w:val="lightGray"/>
          <w:lang w:eastAsia="en-US"/>
        </w:rPr>
        <w:t xml:space="preserve"> 2,5 mg/1 000 mg</w:t>
      </w:r>
    </w:p>
    <w:p w14:paraId="007ED58C" w14:textId="77777777" w:rsidR="003F7CCA" w:rsidRDefault="003F7CCA">
      <w:pPr>
        <w:rPr>
          <w:rFonts w:eastAsia="Calibri"/>
          <w:iCs/>
          <w:sz w:val="22"/>
          <w:szCs w:val="22"/>
          <w:lang w:eastAsia="en-US"/>
        </w:rPr>
      </w:pPr>
    </w:p>
    <w:p w14:paraId="1CD2FB55" w14:textId="77777777" w:rsidR="003F7CCA" w:rsidRDefault="003F7CCA">
      <w:pPr>
        <w:rPr>
          <w:rFonts w:eastAsia="Calibri"/>
          <w:iCs/>
          <w:sz w:val="22"/>
          <w:szCs w:val="22"/>
          <w:lang w:eastAsia="en-US"/>
        </w:rPr>
      </w:pPr>
    </w:p>
    <w:p w14:paraId="6500AA71"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6597B017" w14:textId="77777777" w:rsidR="003F7CCA" w:rsidRDefault="003F7CCA">
      <w:pPr>
        <w:rPr>
          <w:rFonts w:eastAsia="Calibri"/>
          <w:sz w:val="22"/>
          <w:szCs w:val="22"/>
          <w:lang w:eastAsia="en-US"/>
        </w:rPr>
      </w:pPr>
    </w:p>
    <w:p w14:paraId="6F05DCAA" w14:textId="77777777" w:rsidR="003F7CCA" w:rsidRDefault="003F7CCA">
      <w:pPr>
        <w:rPr>
          <w:rFonts w:eastAsia="Calibri"/>
          <w:iCs/>
          <w:sz w:val="22"/>
          <w:szCs w:val="22"/>
          <w:lang w:eastAsia="en-US"/>
        </w:rPr>
      </w:pPr>
    </w:p>
    <w:p w14:paraId="4EEF69C8"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51B9F998" w14:textId="77777777" w:rsidR="003F7CCA" w:rsidRDefault="003F7CCA">
      <w:pPr>
        <w:rPr>
          <w:rFonts w:eastAsia="Calibri"/>
          <w:sz w:val="22"/>
          <w:szCs w:val="22"/>
          <w:lang w:eastAsia="en-US"/>
        </w:rPr>
      </w:pPr>
    </w:p>
    <w:p w14:paraId="66A9112F" w14:textId="77777777" w:rsidR="003F7CCA" w:rsidRDefault="003F7CCA">
      <w:pPr>
        <w:rPr>
          <w:rFonts w:eastAsia="Calibri"/>
          <w:sz w:val="22"/>
          <w:szCs w:val="22"/>
          <w:lang w:eastAsia="en-US"/>
        </w:rPr>
      </w:pPr>
    </w:p>
    <w:p w14:paraId="7F053786" w14:textId="77777777" w:rsidR="003F7CCA" w:rsidRDefault="0080197E">
      <w:pPr>
        <w:rPr>
          <w:rFonts w:eastAsia="Calibri"/>
          <w:sz w:val="22"/>
          <w:szCs w:val="22"/>
          <w:lang w:eastAsia="en-US"/>
        </w:rPr>
      </w:pPr>
      <w:r>
        <w:rPr>
          <w:rFonts w:eastAsia="Calibri"/>
          <w:sz w:val="22"/>
          <w:szCs w:val="22"/>
          <w:lang w:eastAsia="en-US"/>
        </w:rPr>
        <w:br w:type="page"/>
      </w:r>
    </w:p>
    <w:p w14:paraId="06300EC3" w14:textId="77777777" w:rsidR="003F7CCA" w:rsidRDefault="003F7CCA">
      <w:pPr>
        <w:rPr>
          <w:rFonts w:eastAsia="Calibri"/>
          <w:sz w:val="22"/>
          <w:szCs w:val="22"/>
          <w:lang w:eastAsia="en-US"/>
        </w:rPr>
      </w:pPr>
    </w:p>
    <w:p w14:paraId="7CB304B6" w14:textId="77777777" w:rsidR="003F7CCA" w:rsidRDefault="003F7CCA">
      <w:pPr>
        <w:rPr>
          <w:rFonts w:eastAsia="Calibri"/>
          <w:sz w:val="22"/>
          <w:szCs w:val="22"/>
          <w:lang w:eastAsia="en-US"/>
        </w:rPr>
      </w:pPr>
    </w:p>
    <w:p w14:paraId="7AC8AAF5" w14:textId="77777777" w:rsidR="003F7CCA" w:rsidRDefault="0080197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t>MINIMALI INFORMACIJA ANT LIZDINIŲ PLOKŠTELIŲ ARBA DVISLUOKSNIŲ JUOSTELIŲ</w:t>
      </w:r>
    </w:p>
    <w:p w14:paraId="7F53681E" w14:textId="77777777" w:rsidR="003F7CCA" w:rsidRDefault="003F7CCA">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3DCE557D" w14:textId="77777777" w:rsidR="003F7CCA" w:rsidRDefault="0080197E">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LIZDINĖ PLOKŠTELĖ</w:t>
      </w:r>
    </w:p>
    <w:p w14:paraId="2FB2695D" w14:textId="77777777" w:rsidR="003F7CCA" w:rsidRDefault="003F7CCA">
      <w:pPr>
        <w:rPr>
          <w:rFonts w:eastAsia="Calibri"/>
          <w:sz w:val="22"/>
          <w:szCs w:val="22"/>
          <w:lang w:eastAsia="en-US"/>
        </w:rPr>
      </w:pPr>
    </w:p>
    <w:p w14:paraId="6A80DD2A" w14:textId="77777777" w:rsidR="003F7CCA" w:rsidRDefault="003F7CCA">
      <w:pPr>
        <w:tabs>
          <w:tab w:val="left" w:pos="567"/>
        </w:tabs>
        <w:rPr>
          <w:snapToGrid w:val="0"/>
          <w:sz w:val="22"/>
          <w:szCs w:val="22"/>
          <w:lang w:eastAsia="en-US"/>
        </w:rPr>
      </w:pPr>
    </w:p>
    <w:p w14:paraId="6CB17FED" w14:textId="77777777" w:rsidR="003F7CCA" w:rsidRDefault="0080197E">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7085A7F9" w14:textId="77777777" w:rsidR="003F7CCA" w:rsidRDefault="003F7CCA">
      <w:pPr>
        <w:rPr>
          <w:rFonts w:eastAsia="Calibri"/>
          <w:sz w:val="22"/>
          <w:szCs w:val="22"/>
          <w:lang w:eastAsia="en-US"/>
        </w:rPr>
      </w:pPr>
    </w:p>
    <w:p w14:paraId="5289E57B" w14:textId="77777777" w:rsidR="003F7CCA" w:rsidRDefault="0080197E">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 plėvele dengtos tabletės</w:t>
      </w:r>
    </w:p>
    <w:p w14:paraId="0F357A6D" w14:textId="77777777" w:rsidR="003F7CCA" w:rsidRDefault="0080197E">
      <w:pPr>
        <w:rPr>
          <w:sz w:val="22"/>
          <w:szCs w:val="22"/>
        </w:rPr>
      </w:pPr>
      <w:proofErr w:type="spellStart"/>
      <w:r>
        <w:rPr>
          <w:rFonts w:eastAsiaTheme="minorHAnsi"/>
          <w:color w:val="000000"/>
          <w:sz w:val="22"/>
          <w:szCs w:val="22"/>
          <w:highlight w:val="lightGray"/>
          <w:lang w:eastAsia="en-US"/>
        </w:rPr>
        <w:t>Lymerexo</w:t>
      </w:r>
      <w:proofErr w:type="spellEnd"/>
      <w:r>
        <w:rPr>
          <w:rFonts w:eastAsiaTheme="minorHAnsi"/>
          <w:color w:val="000000"/>
          <w:sz w:val="22"/>
          <w:szCs w:val="22"/>
          <w:highlight w:val="lightGray"/>
          <w:lang w:eastAsia="en-US"/>
        </w:rPr>
        <w:t xml:space="preserve"> 2,5 mg/1 000 mg plėvele dengtos tabletės</w:t>
      </w:r>
    </w:p>
    <w:p w14:paraId="11A659CE" w14:textId="77777777" w:rsidR="003F7CCA" w:rsidRDefault="003F7CCA">
      <w:pPr>
        <w:rPr>
          <w:i/>
          <w:iCs/>
          <w:sz w:val="22"/>
          <w:szCs w:val="22"/>
        </w:rPr>
      </w:pPr>
    </w:p>
    <w:p w14:paraId="35CFDBC6" w14:textId="77777777" w:rsidR="003F7CCA" w:rsidRDefault="0080197E">
      <w:pPr>
        <w:rPr>
          <w:sz w:val="22"/>
          <w:szCs w:val="22"/>
        </w:rPr>
      </w:pPr>
      <w:proofErr w:type="spellStart"/>
      <w:r>
        <w:rPr>
          <w:sz w:val="22"/>
          <w:szCs w:val="22"/>
        </w:rPr>
        <w:t>linagliptinas</w:t>
      </w:r>
      <w:proofErr w:type="spellEnd"/>
      <w:r>
        <w:rPr>
          <w:sz w:val="22"/>
          <w:szCs w:val="22"/>
        </w:rPr>
        <w:t>/</w:t>
      </w:r>
      <w:proofErr w:type="spellStart"/>
      <w:r>
        <w:rPr>
          <w:sz w:val="22"/>
          <w:szCs w:val="22"/>
        </w:rPr>
        <w:t>metformino</w:t>
      </w:r>
      <w:proofErr w:type="spellEnd"/>
      <w:r>
        <w:rPr>
          <w:sz w:val="22"/>
          <w:szCs w:val="22"/>
        </w:rPr>
        <w:t xml:space="preserve"> hidrochloridas</w:t>
      </w:r>
    </w:p>
    <w:p w14:paraId="022F0DA8" w14:textId="77777777" w:rsidR="003F7CCA" w:rsidRDefault="003F7CCA">
      <w:pPr>
        <w:rPr>
          <w:rFonts w:eastAsia="Calibri"/>
          <w:sz w:val="22"/>
          <w:szCs w:val="22"/>
          <w:lang w:eastAsia="en-US"/>
        </w:rPr>
      </w:pPr>
    </w:p>
    <w:p w14:paraId="622B8786" w14:textId="77777777" w:rsidR="003F7CCA" w:rsidRDefault="003F7CCA">
      <w:pPr>
        <w:rPr>
          <w:rFonts w:eastAsia="Calibri"/>
          <w:sz w:val="22"/>
          <w:szCs w:val="22"/>
          <w:lang w:eastAsia="en-US"/>
        </w:rPr>
      </w:pPr>
    </w:p>
    <w:p w14:paraId="3AFB00F1" w14:textId="77777777" w:rsidR="003F7CCA" w:rsidRDefault="0080197E">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4A5FDF30" w14:textId="77777777" w:rsidR="003F7CCA" w:rsidRDefault="003F7CCA">
      <w:pPr>
        <w:rPr>
          <w:rFonts w:eastAsia="Calibri"/>
          <w:sz w:val="22"/>
          <w:szCs w:val="22"/>
          <w:lang w:eastAsia="en-US"/>
        </w:rPr>
      </w:pPr>
    </w:p>
    <w:p w14:paraId="5B0212C5" w14:textId="77777777" w:rsidR="003F7CCA" w:rsidRDefault="0080197E">
      <w:pPr>
        <w:widowControl w:val="0"/>
        <w:rPr>
          <w:bCs/>
          <w:sz w:val="22"/>
          <w:szCs w:val="22"/>
          <w:lang w:eastAsia="sl-SI"/>
        </w:rPr>
      </w:pPr>
      <w:r>
        <w:rPr>
          <w:bCs/>
          <w:sz w:val="22"/>
          <w:szCs w:val="22"/>
          <w:lang w:eastAsia="sl-SI"/>
        </w:rPr>
        <w:t>KRKA</w:t>
      </w:r>
    </w:p>
    <w:p w14:paraId="799703B4" w14:textId="77777777" w:rsidR="003F7CCA" w:rsidRDefault="003F7CCA">
      <w:pPr>
        <w:rPr>
          <w:rFonts w:eastAsia="Calibri"/>
          <w:sz w:val="22"/>
          <w:szCs w:val="22"/>
          <w:lang w:eastAsia="en-US"/>
        </w:rPr>
      </w:pPr>
    </w:p>
    <w:p w14:paraId="3175FF10" w14:textId="77777777" w:rsidR="003F7CCA" w:rsidRDefault="003F7CCA">
      <w:pPr>
        <w:rPr>
          <w:rFonts w:eastAsia="Calibri"/>
          <w:sz w:val="22"/>
          <w:szCs w:val="22"/>
          <w:lang w:eastAsia="en-US"/>
        </w:rPr>
      </w:pPr>
    </w:p>
    <w:p w14:paraId="16C6C73B" w14:textId="77777777" w:rsidR="003F7CCA" w:rsidRDefault="0080197E">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62D5E1AC" w14:textId="77777777" w:rsidR="003F7CCA" w:rsidRDefault="003F7CCA">
      <w:pPr>
        <w:rPr>
          <w:rFonts w:eastAsia="Calibri"/>
          <w:sz w:val="22"/>
          <w:szCs w:val="22"/>
          <w:lang w:eastAsia="en-US"/>
        </w:rPr>
      </w:pPr>
    </w:p>
    <w:p w14:paraId="423F6903" w14:textId="77777777" w:rsidR="003F7CCA" w:rsidRDefault="0080197E">
      <w:pPr>
        <w:widowControl w:val="0"/>
        <w:rPr>
          <w:bCs/>
          <w:sz w:val="22"/>
          <w:szCs w:val="22"/>
          <w:lang w:eastAsia="sl-SI"/>
        </w:rPr>
      </w:pPr>
      <w:r>
        <w:rPr>
          <w:bCs/>
          <w:sz w:val="22"/>
          <w:szCs w:val="22"/>
          <w:lang w:eastAsia="sl-SI"/>
        </w:rPr>
        <w:t>EXP (mm/MMMM)</w:t>
      </w:r>
    </w:p>
    <w:p w14:paraId="15AC76A7" w14:textId="77777777" w:rsidR="003F7CCA" w:rsidRDefault="003F7CCA">
      <w:pPr>
        <w:rPr>
          <w:rFonts w:eastAsia="Calibri"/>
          <w:sz w:val="22"/>
          <w:szCs w:val="22"/>
          <w:lang w:eastAsia="en-US"/>
        </w:rPr>
      </w:pPr>
    </w:p>
    <w:p w14:paraId="1450A0FD" w14:textId="77777777" w:rsidR="003F7CCA" w:rsidRDefault="003F7CCA">
      <w:pPr>
        <w:rPr>
          <w:rFonts w:eastAsia="Calibri"/>
          <w:sz w:val="22"/>
          <w:szCs w:val="22"/>
          <w:lang w:eastAsia="en-US"/>
        </w:rPr>
      </w:pPr>
    </w:p>
    <w:p w14:paraId="743CC5DA" w14:textId="77777777" w:rsidR="003F7CCA" w:rsidRDefault="0080197E">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5A7F2206" w14:textId="77777777" w:rsidR="003F7CCA" w:rsidRDefault="003F7CCA">
      <w:pPr>
        <w:rPr>
          <w:rFonts w:eastAsia="Calibri"/>
          <w:sz w:val="22"/>
          <w:szCs w:val="22"/>
          <w:lang w:eastAsia="en-US"/>
        </w:rPr>
      </w:pPr>
    </w:p>
    <w:p w14:paraId="5A491453" w14:textId="77777777" w:rsidR="003F7CCA" w:rsidRDefault="0080197E">
      <w:pPr>
        <w:rPr>
          <w:rFonts w:eastAsia="Calibri"/>
          <w:sz w:val="22"/>
          <w:szCs w:val="22"/>
          <w:highlight w:val="lightGray"/>
          <w:lang w:eastAsia="en-US"/>
        </w:rPr>
      </w:pPr>
      <w:r>
        <w:rPr>
          <w:rFonts w:eastAsia="Calibri"/>
          <w:sz w:val="22"/>
          <w:szCs w:val="22"/>
          <w:lang w:eastAsia="en-US"/>
        </w:rPr>
        <w:t>Lot</w:t>
      </w:r>
    </w:p>
    <w:p w14:paraId="409D8D51" w14:textId="77777777" w:rsidR="003F7CCA" w:rsidRDefault="003F7CCA">
      <w:pPr>
        <w:rPr>
          <w:rFonts w:eastAsia="Calibri"/>
          <w:sz w:val="22"/>
          <w:szCs w:val="22"/>
          <w:lang w:eastAsia="en-US"/>
        </w:rPr>
      </w:pPr>
    </w:p>
    <w:p w14:paraId="77433C1B" w14:textId="77777777" w:rsidR="003F7CCA" w:rsidRDefault="003F7CCA">
      <w:pPr>
        <w:widowControl w:val="0"/>
        <w:rPr>
          <w:b/>
          <w:bCs/>
          <w:sz w:val="22"/>
          <w:szCs w:val="22"/>
          <w:lang w:eastAsia="sl-SI"/>
        </w:rPr>
      </w:pPr>
    </w:p>
    <w:p w14:paraId="6965D649" w14:textId="77777777" w:rsidR="003F7CCA" w:rsidRDefault="0080197E">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02DA9FBE" w14:textId="77777777" w:rsidR="003F7CCA" w:rsidRDefault="003F7CCA">
      <w:pPr>
        <w:tabs>
          <w:tab w:val="left" w:pos="567"/>
        </w:tabs>
        <w:snapToGrid w:val="0"/>
        <w:spacing w:line="260" w:lineRule="exact"/>
        <w:rPr>
          <w:sz w:val="22"/>
          <w:szCs w:val="22"/>
          <w:lang w:eastAsia="en-US"/>
        </w:rPr>
      </w:pPr>
    </w:p>
    <w:p w14:paraId="182EDABF" w14:textId="77777777" w:rsidR="003F7CCA" w:rsidRDefault="0080197E">
      <w:pPr>
        <w:tabs>
          <w:tab w:val="left" w:pos="567"/>
        </w:tabs>
        <w:snapToGrid w:val="0"/>
        <w:spacing w:line="260" w:lineRule="exact"/>
        <w:rPr>
          <w:sz w:val="22"/>
          <w:szCs w:val="22"/>
          <w:lang w:eastAsia="en-US"/>
        </w:rPr>
      </w:pPr>
      <w:r>
        <w:rPr>
          <w:sz w:val="22"/>
          <w:szCs w:val="22"/>
          <w:lang w:eastAsia="en-US"/>
        </w:rPr>
        <w:t>saulės simbolis</w:t>
      </w:r>
    </w:p>
    <w:p w14:paraId="588A96FF" w14:textId="77777777" w:rsidR="003F7CCA" w:rsidRDefault="0080197E">
      <w:pPr>
        <w:tabs>
          <w:tab w:val="left" w:pos="567"/>
        </w:tabs>
        <w:snapToGrid w:val="0"/>
        <w:spacing w:line="260" w:lineRule="exact"/>
        <w:rPr>
          <w:sz w:val="22"/>
          <w:szCs w:val="22"/>
          <w:lang w:eastAsia="en-US"/>
        </w:rPr>
      </w:pPr>
      <w:r>
        <w:rPr>
          <w:sz w:val="22"/>
          <w:szCs w:val="22"/>
          <w:lang w:eastAsia="en-US"/>
        </w:rPr>
        <w:t>mėnulio simbolis</w:t>
      </w:r>
    </w:p>
    <w:p w14:paraId="57CF9BA9" w14:textId="77777777" w:rsidR="003F7CCA" w:rsidRDefault="003F7CCA">
      <w:pPr>
        <w:tabs>
          <w:tab w:val="left" w:pos="567"/>
        </w:tabs>
        <w:snapToGrid w:val="0"/>
        <w:spacing w:line="260" w:lineRule="exact"/>
        <w:rPr>
          <w:sz w:val="22"/>
          <w:szCs w:val="22"/>
          <w:highlight w:val="lightGray"/>
          <w:lang w:eastAsia="en-US"/>
        </w:rPr>
      </w:pPr>
    </w:p>
    <w:p w14:paraId="5293993B" w14:textId="77777777" w:rsidR="003F7CCA" w:rsidRDefault="0080197E">
      <w:pPr>
        <w:widowControl w:val="0"/>
        <w:rPr>
          <w:b/>
          <w:sz w:val="22"/>
          <w:szCs w:val="22"/>
          <w:lang w:eastAsia="sl-SI"/>
        </w:rPr>
      </w:pPr>
      <w:r>
        <w:rPr>
          <w:b/>
          <w:sz w:val="22"/>
          <w:szCs w:val="22"/>
          <w:lang w:eastAsia="sl-SI"/>
        </w:rPr>
        <w:br w:type="page"/>
      </w:r>
    </w:p>
    <w:p w14:paraId="036A496C" w14:textId="77777777" w:rsidR="003F7CCA" w:rsidRDefault="003F7CCA">
      <w:pPr>
        <w:spacing w:line="259" w:lineRule="auto"/>
        <w:outlineLvl w:val="0"/>
        <w:rPr>
          <w:rFonts w:eastAsia="Calibri"/>
          <w:sz w:val="22"/>
          <w:szCs w:val="22"/>
          <w:lang w:eastAsia="en-US"/>
        </w:rPr>
      </w:pPr>
    </w:p>
    <w:p w14:paraId="1F8F77AC" w14:textId="77777777" w:rsidR="003F7CCA" w:rsidRDefault="003F7CCA">
      <w:pPr>
        <w:spacing w:line="259" w:lineRule="auto"/>
        <w:outlineLvl w:val="0"/>
        <w:rPr>
          <w:rFonts w:eastAsia="Calibri"/>
          <w:sz w:val="22"/>
          <w:szCs w:val="22"/>
          <w:lang w:eastAsia="en-US"/>
        </w:rPr>
      </w:pPr>
    </w:p>
    <w:p w14:paraId="5DEEC73E" w14:textId="77777777" w:rsidR="003F7CCA" w:rsidRDefault="003F7CCA">
      <w:pPr>
        <w:spacing w:line="259" w:lineRule="auto"/>
        <w:outlineLvl w:val="0"/>
        <w:rPr>
          <w:rFonts w:eastAsia="Calibri"/>
          <w:sz w:val="22"/>
          <w:szCs w:val="22"/>
          <w:lang w:eastAsia="en-US"/>
        </w:rPr>
      </w:pPr>
    </w:p>
    <w:p w14:paraId="2C5E737C" w14:textId="77777777" w:rsidR="003F7CCA" w:rsidRDefault="003F7CCA">
      <w:pPr>
        <w:spacing w:line="259" w:lineRule="auto"/>
        <w:outlineLvl w:val="0"/>
        <w:rPr>
          <w:rFonts w:eastAsia="Calibri"/>
          <w:sz w:val="22"/>
          <w:szCs w:val="22"/>
          <w:lang w:eastAsia="en-US"/>
        </w:rPr>
      </w:pPr>
    </w:p>
    <w:p w14:paraId="3E812D58" w14:textId="77777777" w:rsidR="003F7CCA" w:rsidRDefault="003F7CCA">
      <w:pPr>
        <w:spacing w:line="259" w:lineRule="auto"/>
        <w:outlineLvl w:val="0"/>
        <w:rPr>
          <w:rFonts w:eastAsia="Calibri"/>
          <w:sz w:val="22"/>
          <w:szCs w:val="22"/>
          <w:lang w:eastAsia="en-US"/>
        </w:rPr>
      </w:pPr>
    </w:p>
    <w:p w14:paraId="7CB565E0" w14:textId="77777777" w:rsidR="003F7CCA" w:rsidRDefault="003F7CCA">
      <w:pPr>
        <w:spacing w:line="259" w:lineRule="auto"/>
        <w:outlineLvl w:val="0"/>
        <w:rPr>
          <w:rFonts w:eastAsia="Calibri"/>
          <w:sz w:val="22"/>
          <w:szCs w:val="22"/>
          <w:lang w:eastAsia="en-US"/>
        </w:rPr>
      </w:pPr>
    </w:p>
    <w:p w14:paraId="56124B91" w14:textId="77777777" w:rsidR="003F7CCA" w:rsidRDefault="003F7CCA">
      <w:pPr>
        <w:spacing w:line="259" w:lineRule="auto"/>
        <w:outlineLvl w:val="0"/>
        <w:rPr>
          <w:rFonts w:eastAsia="Calibri"/>
          <w:sz w:val="22"/>
          <w:szCs w:val="22"/>
          <w:lang w:eastAsia="en-US"/>
        </w:rPr>
      </w:pPr>
    </w:p>
    <w:p w14:paraId="16E9E9FF" w14:textId="77777777" w:rsidR="003F7CCA" w:rsidRDefault="003F7CCA">
      <w:pPr>
        <w:spacing w:line="259" w:lineRule="auto"/>
        <w:outlineLvl w:val="0"/>
        <w:rPr>
          <w:rFonts w:eastAsia="Calibri"/>
          <w:sz w:val="22"/>
          <w:szCs w:val="22"/>
          <w:lang w:eastAsia="en-US"/>
        </w:rPr>
      </w:pPr>
    </w:p>
    <w:p w14:paraId="26C299D4" w14:textId="77777777" w:rsidR="003F7CCA" w:rsidRDefault="003F7CCA">
      <w:pPr>
        <w:spacing w:line="259" w:lineRule="auto"/>
        <w:outlineLvl w:val="0"/>
        <w:rPr>
          <w:rFonts w:eastAsia="Calibri"/>
          <w:sz w:val="22"/>
          <w:szCs w:val="22"/>
          <w:lang w:eastAsia="en-US"/>
        </w:rPr>
      </w:pPr>
    </w:p>
    <w:p w14:paraId="12942AB7" w14:textId="77777777" w:rsidR="003F7CCA" w:rsidRDefault="003F7CCA">
      <w:pPr>
        <w:spacing w:line="259" w:lineRule="auto"/>
        <w:outlineLvl w:val="0"/>
        <w:rPr>
          <w:rFonts w:eastAsia="Calibri"/>
          <w:sz w:val="22"/>
          <w:szCs w:val="22"/>
          <w:lang w:eastAsia="en-US"/>
        </w:rPr>
      </w:pPr>
    </w:p>
    <w:p w14:paraId="59377A02" w14:textId="77777777" w:rsidR="003F7CCA" w:rsidRDefault="003F7CCA">
      <w:pPr>
        <w:spacing w:line="259" w:lineRule="auto"/>
        <w:outlineLvl w:val="0"/>
        <w:rPr>
          <w:rFonts w:eastAsia="Calibri"/>
          <w:sz w:val="22"/>
          <w:szCs w:val="22"/>
          <w:lang w:eastAsia="en-US"/>
        </w:rPr>
      </w:pPr>
    </w:p>
    <w:p w14:paraId="40507C2A" w14:textId="77777777" w:rsidR="003F7CCA" w:rsidRDefault="003F7CCA">
      <w:pPr>
        <w:spacing w:line="259" w:lineRule="auto"/>
        <w:outlineLvl w:val="0"/>
        <w:rPr>
          <w:rFonts w:eastAsia="Calibri"/>
          <w:sz w:val="22"/>
          <w:szCs w:val="22"/>
          <w:lang w:eastAsia="en-US"/>
        </w:rPr>
      </w:pPr>
    </w:p>
    <w:p w14:paraId="6AB81E23" w14:textId="77777777" w:rsidR="003F7CCA" w:rsidRDefault="003F7CCA">
      <w:pPr>
        <w:spacing w:line="259" w:lineRule="auto"/>
        <w:outlineLvl w:val="0"/>
        <w:rPr>
          <w:rFonts w:eastAsia="Calibri"/>
          <w:sz w:val="22"/>
          <w:szCs w:val="22"/>
          <w:lang w:eastAsia="en-US"/>
        </w:rPr>
      </w:pPr>
    </w:p>
    <w:p w14:paraId="34691E79" w14:textId="77777777" w:rsidR="003F7CCA" w:rsidRDefault="003F7CCA">
      <w:pPr>
        <w:spacing w:line="259" w:lineRule="auto"/>
        <w:outlineLvl w:val="0"/>
        <w:rPr>
          <w:rFonts w:eastAsia="Calibri"/>
          <w:sz w:val="22"/>
          <w:szCs w:val="22"/>
          <w:lang w:eastAsia="en-US"/>
        </w:rPr>
      </w:pPr>
    </w:p>
    <w:p w14:paraId="3FC2E82A" w14:textId="77777777" w:rsidR="003F7CCA" w:rsidRDefault="003F7CCA">
      <w:pPr>
        <w:spacing w:line="259" w:lineRule="auto"/>
        <w:outlineLvl w:val="0"/>
        <w:rPr>
          <w:rFonts w:eastAsia="Calibri"/>
          <w:sz w:val="22"/>
          <w:szCs w:val="22"/>
          <w:lang w:eastAsia="en-US"/>
        </w:rPr>
      </w:pPr>
    </w:p>
    <w:p w14:paraId="335175CA" w14:textId="77777777" w:rsidR="003F7CCA" w:rsidRDefault="003F7CCA">
      <w:pPr>
        <w:spacing w:line="259" w:lineRule="auto"/>
        <w:outlineLvl w:val="0"/>
        <w:rPr>
          <w:rFonts w:eastAsia="Calibri"/>
          <w:sz w:val="22"/>
          <w:szCs w:val="22"/>
          <w:lang w:eastAsia="en-US"/>
        </w:rPr>
      </w:pPr>
    </w:p>
    <w:p w14:paraId="57209AC0" w14:textId="77777777" w:rsidR="003F7CCA" w:rsidRDefault="003F7CCA">
      <w:pPr>
        <w:spacing w:line="259" w:lineRule="auto"/>
        <w:outlineLvl w:val="0"/>
        <w:rPr>
          <w:rFonts w:eastAsia="Calibri"/>
          <w:sz w:val="22"/>
          <w:szCs w:val="22"/>
          <w:lang w:eastAsia="en-US"/>
        </w:rPr>
      </w:pPr>
    </w:p>
    <w:p w14:paraId="18DDA5D3" w14:textId="77777777" w:rsidR="003F7CCA" w:rsidRDefault="003F7CCA">
      <w:pPr>
        <w:spacing w:line="259" w:lineRule="auto"/>
        <w:outlineLvl w:val="0"/>
        <w:rPr>
          <w:rFonts w:eastAsia="Calibri"/>
          <w:sz w:val="22"/>
          <w:szCs w:val="22"/>
          <w:lang w:eastAsia="en-US"/>
        </w:rPr>
      </w:pPr>
    </w:p>
    <w:p w14:paraId="0A2F3C9D" w14:textId="77777777" w:rsidR="003F7CCA" w:rsidRDefault="003F7CCA">
      <w:pPr>
        <w:spacing w:line="259" w:lineRule="auto"/>
        <w:outlineLvl w:val="0"/>
        <w:rPr>
          <w:rFonts w:eastAsia="Calibri"/>
          <w:sz w:val="22"/>
          <w:szCs w:val="22"/>
          <w:lang w:eastAsia="en-US"/>
        </w:rPr>
      </w:pPr>
    </w:p>
    <w:p w14:paraId="513505E9" w14:textId="77777777" w:rsidR="003F7CCA" w:rsidRDefault="003F7CCA">
      <w:pPr>
        <w:spacing w:line="259" w:lineRule="auto"/>
        <w:outlineLvl w:val="0"/>
        <w:rPr>
          <w:rFonts w:eastAsia="Calibri"/>
          <w:sz w:val="22"/>
          <w:szCs w:val="22"/>
          <w:lang w:eastAsia="en-US"/>
        </w:rPr>
      </w:pPr>
    </w:p>
    <w:p w14:paraId="7A30A24B" w14:textId="77777777" w:rsidR="003F7CCA" w:rsidRDefault="003F7CCA">
      <w:pPr>
        <w:spacing w:line="259" w:lineRule="auto"/>
        <w:jc w:val="center"/>
        <w:outlineLvl w:val="0"/>
        <w:rPr>
          <w:rFonts w:eastAsia="Calibri"/>
          <w:b/>
          <w:sz w:val="22"/>
          <w:szCs w:val="22"/>
          <w:lang w:eastAsia="en-US"/>
        </w:rPr>
      </w:pPr>
    </w:p>
    <w:p w14:paraId="36CF119B" w14:textId="77777777" w:rsidR="003F7CCA" w:rsidRDefault="003F7CCA">
      <w:pPr>
        <w:spacing w:line="259" w:lineRule="auto"/>
        <w:jc w:val="center"/>
        <w:outlineLvl w:val="0"/>
        <w:rPr>
          <w:rFonts w:eastAsia="Calibri"/>
          <w:b/>
          <w:sz w:val="22"/>
          <w:szCs w:val="22"/>
          <w:lang w:eastAsia="en-US"/>
        </w:rPr>
      </w:pPr>
    </w:p>
    <w:p w14:paraId="40E3329D" w14:textId="77777777" w:rsidR="003F7CCA" w:rsidRDefault="003F7CCA">
      <w:pPr>
        <w:spacing w:line="259" w:lineRule="auto"/>
        <w:jc w:val="center"/>
        <w:outlineLvl w:val="0"/>
        <w:rPr>
          <w:rFonts w:eastAsia="Calibri"/>
          <w:b/>
          <w:sz w:val="22"/>
          <w:szCs w:val="22"/>
          <w:lang w:eastAsia="en-US"/>
        </w:rPr>
      </w:pPr>
    </w:p>
    <w:p w14:paraId="67197990" w14:textId="77777777" w:rsidR="003F7CCA" w:rsidRDefault="0080197E">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575982EC" w14:textId="77777777" w:rsidR="003F7CCA" w:rsidRDefault="0080197E">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lastRenderedPageBreak/>
        <w:t>Pakuotės lapelis: informacija pacientui</w:t>
      </w:r>
    </w:p>
    <w:p w14:paraId="20006A02" w14:textId="77777777" w:rsidR="003F7CCA" w:rsidRDefault="003F7CCA">
      <w:pPr>
        <w:widowControl w:val="0"/>
        <w:jc w:val="center"/>
        <w:outlineLvl w:val="0"/>
        <w:rPr>
          <w:b/>
          <w:sz w:val="22"/>
          <w:szCs w:val="22"/>
          <w:lang w:eastAsia="sl-SI"/>
        </w:rPr>
      </w:pPr>
    </w:p>
    <w:p w14:paraId="4AEF9323" w14:textId="77777777" w:rsidR="003F7CCA" w:rsidRDefault="0080197E">
      <w:pPr>
        <w:jc w:val="center"/>
        <w:rPr>
          <w:b/>
          <w:bCs/>
          <w:sz w:val="22"/>
          <w:szCs w:val="22"/>
          <w:lang w:eastAsia="sl-SI"/>
        </w:rPr>
      </w:pPr>
      <w:proofErr w:type="spellStart"/>
      <w:r>
        <w:rPr>
          <w:b/>
          <w:bCs/>
          <w:sz w:val="22"/>
          <w:szCs w:val="22"/>
          <w:lang w:eastAsia="sl-SI"/>
        </w:rPr>
        <w:t>Lymerexo</w:t>
      </w:r>
      <w:proofErr w:type="spellEnd"/>
      <w:r>
        <w:rPr>
          <w:b/>
          <w:bCs/>
          <w:sz w:val="22"/>
          <w:szCs w:val="22"/>
          <w:lang w:eastAsia="sl-SI"/>
        </w:rPr>
        <w:t xml:space="preserve"> 2,5 mg/850 mg plėvele dengtos tabletės</w:t>
      </w:r>
    </w:p>
    <w:p w14:paraId="63EC7955" w14:textId="77777777" w:rsidR="003F7CCA" w:rsidRDefault="0080197E">
      <w:pPr>
        <w:jc w:val="center"/>
        <w:rPr>
          <w:b/>
          <w:bCs/>
          <w:sz w:val="22"/>
          <w:szCs w:val="22"/>
          <w:lang w:eastAsia="sl-SI"/>
        </w:rPr>
      </w:pPr>
      <w:proofErr w:type="spellStart"/>
      <w:r>
        <w:rPr>
          <w:b/>
          <w:bCs/>
          <w:sz w:val="22"/>
          <w:szCs w:val="22"/>
          <w:lang w:eastAsia="sl-SI"/>
        </w:rPr>
        <w:t>Lymerexo</w:t>
      </w:r>
      <w:proofErr w:type="spellEnd"/>
      <w:r>
        <w:rPr>
          <w:b/>
          <w:bCs/>
          <w:sz w:val="22"/>
          <w:szCs w:val="22"/>
          <w:lang w:eastAsia="sl-SI"/>
        </w:rPr>
        <w:t xml:space="preserve"> 2,5 mg/1 000 mg plėvele dengtos tabletės</w:t>
      </w:r>
    </w:p>
    <w:p w14:paraId="01F7A6FF" w14:textId="749C3626" w:rsidR="003F7CCA" w:rsidRDefault="0080197E">
      <w:pPr>
        <w:jc w:val="center"/>
        <w:rPr>
          <w:sz w:val="22"/>
          <w:szCs w:val="22"/>
        </w:rPr>
      </w:pPr>
      <w:proofErr w:type="spellStart"/>
      <w:r>
        <w:rPr>
          <w:sz w:val="22"/>
          <w:szCs w:val="22"/>
        </w:rPr>
        <w:t>linagliptinas</w:t>
      </w:r>
      <w:proofErr w:type="spellEnd"/>
      <w:r w:rsidR="009E466F">
        <w:rPr>
          <w:sz w:val="22"/>
          <w:szCs w:val="22"/>
        </w:rPr>
        <w:t>/</w:t>
      </w:r>
      <w:proofErr w:type="spellStart"/>
      <w:r>
        <w:rPr>
          <w:sz w:val="22"/>
          <w:szCs w:val="22"/>
        </w:rPr>
        <w:t>metformino</w:t>
      </w:r>
      <w:proofErr w:type="spellEnd"/>
      <w:r>
        <w:rPr>
          <w:sz w:val="22"/>
          <w:szCs w:val="22"/>
        </w:rPr>
        <w:t xml:space="preserve"> hidrochloridas</w:t>
      </w:r>
    </w:p>
    <w:p w14:paraId="14CE3472" w14:textId="77777777" w:rsidR="003F7CCA" w:rsidRDefault="003F7CCA">
      <w:pPr>
        <w:jc w:val="center"/>
        <w:rPr>
          <w:rFonts w:eastAsia="Cambria"/>
          <w:b/>
          <w:sz w:val="22"/>
          <w:szCs w:val="22"/>
          <w:lang w:eastAsia="en-US"/>
        </w:rPr>
      </w:pPr>
    </w:p>
    <w:p w14:paraId="45BEA88C" w14:textId="77777777" w:rsidR="003F7CCA" w:rsidRDefault="0080197E">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3E54D701" w14:textId="77777777" w:rsidR="003F7CCA" w:rsidRDefault="0080197E">
      <w:pPr>
        <w:numPr>
          <w:ilvl w:val="0"/>
          <w:numId w:val="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57C91A87" w14:textId="77777777" w:rsidR="003F7CCA" w:rsidRDefault="0080197E">
      <w:pPr>
        <w:numPr>
          <w:ilvl w:val="0"/>
          <w:numId w:val="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590B8CBA" w14:textId="77777777" w:rsidR="003F7CCA" w:rsidRDefault="0080197E">
      <w:pPr>
        <w:numPr>
          <w:ilvl w:val="0"/>
          <w:numId w:val="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2B2293B0" w14:textId="27D63675" w:rsidR="003F7CCA" w:rsidRDefault="0080197E">
      <w:pPr>
        <w:numPr>
          <w:ilvl w:val="0"/>
          <w:numId w:val="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w:t>
      </w:r>
      <w:r w:rsidR="00ED506B">
        <w:rPr>
          <w:sz w:val="22"/>
          <w:szCs w:val="22"/>
          <w:lang w:eastAsia="lt-LT"/>
        </w:rPr>
        <w:t>,</w:t>
      </w:r>
      <w:r>
        <w:rPr>
          <w:sz w:val="22"/>
          <w:szCs w:val="22"/>
          <w:lang w:eastAsia="lt-LT"/>
        </w:rPr>
        <w:t xml:space="preserve"> vaistininką</w:t>
      </w:r>
      <w:r w:rsidR="00ED506B">
        <w:rPr>
          <w:sz w:val="22"/>
          <w:szCs w:val="22"/>
          <w:lang w:eastAsia="lt-LT"/>
        </w:rPr>
        <w:t xml:space="preserve"> arba slaugytoją</w:t>
      </w:r>
      <w:r>
        <w:rPr>
          <w:sz w:val="22"/>
          <w:szCs w:val="22"/>
          <w:lang w:eastAsia="lt-LT"/>
        </w:rPr>
        <w:t>. Žr. 4 skyrių.</w:t>
      </w:r>
    </w:p>
    <w:p w14:paraId="688891CA" w14:textId="77777777" w:rsidR="003F7CCA" w:rsidRDefault="003F7CCA">
      <w:pPr>
        <w:rPr>
          <w:sz w:val="22"/>
          <w:szCs w:val="22"/>
          <w:lang w:eastAsia="lt-LT"/>
        </w:rPr>
      </w:pPr>
    </w:p>
    <w:p w14:paraId="5A4DDDD4" w14:textId="77777777" w:rsidR="003F7CCA" w:rsidRDefault="0080197E">
      <w:pPr>
        <w:rPr>
          <w:b/>
          <w:sz w:val="22"/>
          <w:szCs w:val="22"/>
          <w:lang w:eastAsia="lt-LT"/>
        </w:rPr>
      </w:pPr>
      <w:r>
        <w:rPr>
          <w:b/>
          <w:sz w:val="22"/>
          <w:szCs w:val="22"/>
          <w:lang w:eastAsia="lt-LT"/>
        </w:rPr>
        <w:t>Apie ką rašoma šiame lapelyje?</w:t>
      </w:r>
    </w:p>
    <w:p w14:paraId="7843F9FC" w14:textId="77777777" w:rsidR="003F7CCA" w:rsidRDefault="003F7CCA">
      <w:pPr>
        <w:rPr>
          <w:b/>
          <w:sz w:val="22"/>
          <w:szCs w:val="22"/>
          <w:lang w:eastAsia="lt-LT"/>
        </w:rPr>
      </w:pPr>
    </w:p>
    <w:p w14:paraId="62DA2EEF" w14:textId="77777777" w:rsidR="003F7CCA" w:rsidRDefault="0080197E">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Lymerexo</w:t>
      </w:r>
      <w:proofErr w:type="spellEnd"/>
      <w:r>
        <w:rPr>
          <w:sz w:val="22"/>
          <w:szCs w:val="22"/>
          <w:lang w:eastAsia="lt-LT"/>
        </w:rPr>
        <w:t xml:space="preserve"> ir kam jis vartojamas</w:t>
      </w:r>
    </w:p>
    <w:p w14:paraId="6747605D" w14:textId="77777777" w:rsidR="003F7CCA" w:rsidRDefault="0080197E">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Lymerexo</w:t>
      </w:r>
      <w:proofErr w:type="spellEnd"/>
    </w:p>
    <w:p w14:paraId="3848ABF3" w14:textId="77777777" w:rsidR="003F7CCA" w:rsidRDefault="0080197E">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Lymerexo</w:t>
      </w:r>
      <w:proofErr w:type="spellEnd"/>
    </w:p>
    <w:p w14:paraId="56F94CC9" w14:textId="77777777" w:rsidR="003F7CCA" w:rsidRDefault="0080197E">
      <w:pPr>
        <w:ind w:left="540" w:hanging="540"/>
        <w:rPr>
          <w:sz w:val="22"/>
          <w:szCs w:val="22"/>
          <w:lang w:eastAsia="lt-LT"/>
        </w:rPr>
      </w:pPr>
      <w:r>
        <w:rPr>
          <w:sz w:val="22"/>
          <w:szCs w:val="22"/>
          <w:lang w:eastAsia="lt-LT"/>
        </w:rPr>
        <w:t>4.</w:t>
      </w:r>
      <w:r>
        <w:rPr>
          <w:sz w:val="22"/>
          <w:szCs w:val="22"/>
          <w:lang w:eastAsia="lt-LT"/>
        </w:rPr>
        <w:tab/>
        <w:t>Galimas šalutinis poveikis</w:t>
      </w:r>
    </w:p>
    <w:p w14:paraId="3503AE1C" w14:textId="77777777" w:rsidR="003F7CCA" w:rsidRDefault="0080197E">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Lymerexo</w:t>
      </w:r>
      <w:proofErr w:type="spellEnd"/>
    </w:p>
    <w:p w14:paraId="693B4202" w14:textId="77777777" w:rsidR="003F7CCA" w:rsidRDefault="0080197E">
      <w:pPr>
        <w:ind w:left="540" w:hanging="540"/>
        <w:rPr>
          <w:sz w:val="22"/>
          <w:szCs w:val="22"/>
          <w:lang w:eastAsia="lt-LT"/>
        </w:rPr>
      </w:pPr>
      <w:r>
        <w:rPr>
          <w:sz w:val="22"/>
          <w:szCs w:val="22"/>
          <w:lang w:eastAsia="lt-LT"/>
        </w:rPr>
        <w:t>6.</w:t>
      </w:r>
      <w:r>
        <w:rPr>
          <w:sz w:val="22"/>
          <w:szCs w:val="22"/>
          <w:lang w:eastAsia="lt-LT"/>
        </w:rPr>
        <w:tab/>
        <w:t>Pakuotės turinys ir kita informacija</w:t>
      </w:r>
    </w:p>
    <w:p w14:paraId="21603EC4" w14:textId="77777777" w:rsidR="003F7CCA" w:rsidRDefault="003F7CCA">
      <w:pPr>
        <w:widowControl w:val="0"/>
        <w:numPr>
          <w:ilvl w:val="12"/>
          <w:numId w:val="0"/>
        </w:numPr>
        <w:rPr>
          <w:sz w:val="22"/>
          <w:szCs w:val="22"/>
          <w:lang w:eastAsia="sl-SI"/>
        </w:rPr>
      </w:pPr>
    </w:p>
    <w:p w14:paraId="0454983C" w14:textId="77777777" w:rsidR="003F7CCA" w:rsidRDefault="003F7CCA">
      <w:pPr>
        <w:widowControl w:val="0"/>
        <w:numPr>
          <w:ilvl w:val="12"/>
          <w:numId w:val="0"/>
        </w:numPr>
        <w:rPr>
          <w:sz w:val="22"/>
          <w:szCs w:val="22"/>
          <w:lang w:eastAsia="sl-SI"/>
        </w:rPr>
      </w:pPr>
    </w:p>
    <w:p w14:paraId="3C60DDA9" w14:textId="77777777" w:rsidR="003F7CCA" w:rsidRDefault="0080197E">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Lymerexo</w:t>
      </w:r>
      <w:proofErr w:type="spellEnd"/>
      <w:r>
        <w:rPr>
          <w:b/>
          <w:bCs/>
          <w:sz w:val="22"/>
          <w:szCs w:val="22"/>
          <w:lang w:eastAsia="en-US"/>
        </w:rPr>
        <w:t xml:space="preserve"> </w:t>
      </w:r>
      <w:r>
        <w:rPr>
          <w:b/>
          <w:sz w:val="22"/>
          <w:szCs w:val="22"/>
          <w:lang w:eastAsia="en-US"/>
        </w:rPr>
        <w:t>ir kam jis vartojamas</w:t>
      </w:r>
    </w:p>
    <w:p w14:paraId="6B246825" w14:textId="77777777" w:rsidR="003F7CCA" w:rsidRDefault="003F7CCA">
      <w:pPr>
        <w:widowControl w:val="0"/>
        <w:ind w:left="567" w:hanging="567"/>
        <w:rPr>
          <w:sz w:val="22"/>
          <w:szCs w:val="22"/>
          <w:lang w:eastAsia="en-US"/>
        </w:rPr>
      </w:pPr>
    </w:p>
    <w:p w14:paraId="6EBC45C8" w14:textId="77777777" w:rsidR="003F7CCA" w:rsidRDefault="0080197E">
      <w:pPr>
        <w:widowControl w:val="0"/>
        <w:autoSpaceDE w:val="0"/>
        <w:autoSpaceDN w:val="0"/>
        <w:adjustRightInd w:val="0"/>
        <w:rPr>
          <w:sz w:val="22"/>
          <w:szCs w:val="22"/>
          <w:lang w:eastAsia="en-US"/>
        </w:rPr>
      </w:pPr>
      <w:r>
        <w:rPr>
          <w:sz w:val="22"/>
          <w:szCs w:val="22"/>
        </w:rPr>
        <w:t xml:space="preserve">Jūsų vaisto (tabletės) pavadinimas yra </w:t>
      </w:r>
      <w:proofErr w:type="spellStart"/>
      <w:r>
        <w:rPr>
          <w:sz w:val="22"/>
          <w:szCs w:val="22"/>
        </w:rPr>
        <w:t>Lymerexo</w:t>
      </w:r>
      <w:proofErr w:type="spellEnd"/>
      <w:r>
        <w:rPr>
          <w:sz w:val="22"/>
          <w:szCs w:val="22"/>
        </w:rPr>
        <w:t xml:space="preserve">. Jo sudėtyje yra dvi skirtingos veikliosios medžiagos: </w:t>
      </w:r>
      <w:proofErr w:type="spellStart"/>
      <w:r>
        <w:rPr>
          <w:sz w:val="22"/>
          <w:szCs w:val="22"/>
        </w:rPr>
        <w:t>linagliptinas</w:t>
      </w:r>
      <w:proofErr w:type="spellEnd"/>
      <w:r>
        <w:rPr>
          <w:sz w:val="22"/>
          <w:szCs w:val="22"/>
        </w:rPr>
        <w:t xml:space="preserve"> ir </w:t>
      </w:r>
      <w:proofErr w:type="spellStart"/>
      <w:r>
        <w:rPr>
          <w:sz w:val="22"/>
          <w:szCs w:val="22"/>
        </w:rPr>
        <w:t>metforminas</w:t>
      </w:r>
      <w:proofErr w:type="spellEnd"/>
      <w:r>
        <w:rPr>
          <w:sz w:val="22"/>
          <w:szCs w:val="22"/>
        </w:rPr>
        <w:t>.</w:t>
      </w:r>
    </w:p>
    <w:p w14:paraId="47CDEAB0" w14:textId="77777777" w:rsidR="003F7CCA" w:rsidRDefault="0080197E">
      <w:pPr>
        <w:numPr>
          <w:ilvl w:val="0"/>
          <w:numId w:val="9"/>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sz w:val="22"/>
          <w:szCs w:val="22"/>
          <w:lang w:eastAsia="en-US"/>
        </w:rPr>
        <w:t>Linagliptinas</w:t>
      </w:r>
      <w:proofErr w:type="spellEnd"/>
      <w:r>
        <w:rPr>
          <w:rFonts w:eastAsia="Calibri"/>
          <w:sz w:val="22"/>
          <w:szCs w:val="22"/>
          <w:lang w:eastAsia="en-US"/>
        </w:rPr>
        <w:t xml:space="preserve"> priklauso vaistų, vadinamų DPP-4 inhibitoriais (dipeptidilpeptidazės-4 inhibitoriais), grupei.</w:t>
      </w:r>
    </w:p>
    <w:p w14:paraId="41B14478" w14:textId="77777777" w:rsidR="003F7CCA" w:rsidRDefault="0080197E">
      <w:pPr>
        <w:numPr>
          <w:ilvl w:val="0"/>
          <w:numId w:val="9"/>
        </w:numPr>
        <w:tabs>
          <w:tab w:val="left" w:pos="567"/>
        </w:tabs>
        <w:spacing w:line="260" w:lineRule="exact"/>
        <w:ind w:left="567" w:hanging="567"/>
        <w:contextualSpacing/>
        <w:rPr>
          <w:rFonts w:eastAsia="Calibri"/>
          <w:color w:val="000000"/>
          <w:sz w:val="22"/>
          <w:szCs w:val="22"/>
          <w:lang w:eastAsia="en-US"/>
        </w:rPr>
      </w:pPr>
      <w:r>
        <w:rPr>
          <w:snapToGrid w:val="0"/>
          <w:color w:val="000000"/>
          <w:sz w:val="22"/>
          <w:szCs w:val="22"/>
          <w:lang w:eastAsia="en-US"/>
        </w:rPr>
        <w:t xml:space="preserve">Metforminas priklauso vaistų, vadinamų </w:t>
      </w:r>
      <w:proofErr w:type="spellStart"/>
      <w:r>
        <w:rPr>
          <w:snapToGrid w:val="0"/>
          <w:color w:val="000000"/>
          <w:sz w:val="22"/>
          <w:szCs w:val="22"/>
          <w:lang w:eastAsia="en-US"/>
        </w:rPr>
        <w:t>biguanidais</w:t>
      </w:r>
      <w:proofErr w:type="spellEnd"/>
      <w:r>
        <w:rPr>
          <w:snapToGrid w:val="0"/>
          <w:color w:val="000000"/>
          <w:sz w:val="22"/>
          <w:szCs w:val="22"/>
          <w:lang w:eastAsia="en-US"/>
        </w:rPr>
        <w:t>, grupei.</w:t>
      </w:r>
    </w:p>
    <w:p w14:paraId="489C83F6" w14:textId="77777777" w:rsidR="003F7CCA" w:rsidRDefault="003F7CCA">
      <w:pPr>
        <w:rPr>
          <w:snapToGrid w:val="0"/>
          <w:color w:val="000000"/>
          <w:sz w:val="22"/>
          <w:szCs w:val="22"/>
          <w:lang w:eastAsia="en-US"/>
        </w:rPr>
      </w:pPr>
    </w:p>
    <w:p w14:paraId="377F6270"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Kaip šis vaistas veikia</w:t>
      </w:r>
    </w:p>
    <w:p w14:paraId="2CF03602"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Veikdamos kartu, dvi veikliosios medžiagos reguliuoja cukraus kiekį kraujyje 2 tipo cukriniu diabetu sergantiems suaugusiems pacientams. Kartu su dieta ir fiziniu krūviu šis vaistas padidina insulino kiekį ir jo poveikį po valgio bei mažina Jūsų organizme gaminamo cukraus kiekį.</w:t>
      </w:r>
    </w:p>
    <w:p w14:paraId="1654C3F8" w14:textId="77777777" w:rsidR="003F7CCA" w:rsidRDefault="003F7CCA">
      <w:pPr>
        <w:autoSpaceDE w:val="0"/>
        <w:autoSpaceDN w:val="0"/>
        <w:adjustRightInd w:val="0"/>
        <w:rPr>
          <w:rFonts w:eastAsiaTheme="minorHAnsi"/>
          <w:color w:val="000000"/>
          <w:sz w:val="22"/>
          <w:szCs w:val="22"/>
          <w:lang w:eastAsia="en-US"/>
        </w:rPr>
      </w:pPr>
    </w:p>
    <w:p w14:paraId="4CEEC162"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Šis vaistas gali būti vartojamas vienas arba kartu su tam tikrais kitais vaistais nuo cukrinio diabeto, pvz., </w:t>
      </w:r>
      <w:proofErr w:type="spellStart"/>
      <w:r>
        <w:rPr>
          <w:rFonts w:eastAsiaTheme="minorHAnsi"/>
          <w:color w:val="000000"/>
          <w:sz w:val="22"/>
          <w:szCs w:val="22"/>
          <w:lang w:eastAsia="en-US"/>
        </w:rPr>
        <w:t>sulfonilurėjos</w:t>
      </w:r>
      <w:proofErr w:type="spellEnd"/>
      <w:r>
        <w:rPr>
          <w:rFonts w:eastAsiaTheme="minorHAnsi"/>
          <w:color w:val="000000"/>
          <w:sz w:val="22"/>
          <w:szCs w:val="22"/>
          <w:lang w:eastAsia="en-US"/>
        </w:rPr>
        <w:t xml:space="preserve"> dariniais, </w:t>
      </w:r>
      <w:proofErr w:type="spellStart"/>
      <w:r>
        <w:rPr>
          <w:rFonts w:eastAsiaTheme="minorHAnsi"/>
          <w:color w:val="000000"/>
          <w:sz w:val="22"/>
          <w:szCs w:val="22"/>
          <w:lang w:eastAsia="en-US"/>
        </w:rPr>
        <w:t>empagliflozinu</w:t>
      </w:r>
      <w:proofErr w:type="spellEnd"/>
      <w:r>
        <w:rPr>
          <w:rFonts w:eastAsiaTheme="minorHAnsi"/>
          <w:color w:val="000000"/>
          <w:sz w:val="22"/>
          <w:szCs w:val="22"/>
          <w:lang w:eastAsia="en-US"/>
        </w:rPr>
        <w:t xml:space="preserve"> arba insulinu.</w:t>
      </w:r>
    </w:p>
    <w:p w14:paraId="7E7DA098" w14:textId="77777777" w:rsidR="003F7CCA" w:rsidRDefault="003F7CCA">
      <w:pPr>
        <w:autoSpaceDE w:val="0"/>
        <w:autoSpaceDN w:val="0"/>
        <w:adjustRightInd w:val="0"/>
        <w:rPr>
          <w:rFonts w:eastAsiaTheme="minorHAnsi"/>
          <w:color w:val="000000"/>
          <w:sz w:val="22"/>
          <w:szCs w:val="22"/>
          <w:lang w:eastAsia="en-US"/>
        </w:rPr>
      </w:pPr>
    </w:p>
    <w:p w14:paraId="3486D8D0"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Kas yra 2 tipo cukrinis diabetas?</w:t>
      </w:r>
    </w:p>
    <w:p w14:paraId="34386520" w14:textId="77777777" w:rsidR="003F7CCA" w:rsidRDefault="0080197E">
      <w:pPr>
        <w:widowControl w:val="0"/>
        <w:numPr>
          <w:ilvl w:val="12"/>
          <w:numId w:val="0"/>
        </w:numPr>
        <w:rPr>
          <w:sz w:val="22"/>
          <w:szCs w:val="22"/>
          <w:lang w:eastAsia="en-US"/>
        </w:rPr>
      </w:pPr>
      <w:r>
        <w:rPr>
          <w:rFonts w:eastAsiaTheme="minorHAnsi"/>
          <w:color w:val="000000"/>
          <w:sz w:val="22"/>
          <w:szCs w:val="22"/>
          <w:lang w:eastAsia="en-US"/>
        </w:rPr>
        <w:t>2 tipo cukrinis diabetas yra liga, kuria sergant Jūsų organizmas nepagamina pakankamai insulino ir insulinas, kurį Jūsų organizmas pagamina, neveikia taip gerai, kaip turėtų. Be to, Jūsų organizmas gali gaminti per daug cukraus. Jeigu taip atsitinka, cukrus (gliukozė) susikaupia kraujyje. Tai gali lemti sunkius sutrikimus, pvz., širdies ligą, inkstų ligą, apakimą ir galūnių amputaciją (nupjovimą).</w:t>
      </w:r>
    </w:p>
    <w:p w14:paraId="728C53FD" w14:textId="77777777" w:rsidR="003F7CCA" w:rsidRDefault="003F7CCA">
      <w:pPr>
        <w:widowControl w:val="0"/>
        <w:numPr>
          <w:ilvl w:val="12"/>
          <w:numId w:val="0"/>
        </w:numPr>
        <w:rPr>
          <w:sz w:val="22"/>
          <w:szCs w:val="22"/>
          <w:lang w:eastAsia="en-US"/>
        </w:rPr>
      </w:pPr>
    </w:p>
    <w:p w14:paraId="0C7F092C" w14:textId="77777777" w:rsidR="003F7CCA" w:rsidRDefault="0080197E">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Lymerexo</w:t>
      </w:r>
      <w:proofErr w:type="spellEnd"/>
    </w:p>
    <w:p w14:paraId="008FA4FF" w14:textId="77777777" w:rsidR="003F7CCA" w:rsidRDefault="003F7CCA">
      <w:pPr>
        <w:widowControl w:val="0"/>
        <w:ind w:left="567" w:hanging="567"/>
        <w:rPr>
          <w:sz w:val="22"/>
          <w:szCs w:val="22"/>
          <w:lang w:eastAsia="en-US"/>
        </w:rPr>
      </w:pPr>
    </w:p>
    <w:p w14:paraId="21B96D1B" w14:textId="77777777" w:rsidR="003F7CCA" w:rsidRDefault="0080197E">
      <w:pPr>
        <w:widowControl w:val="0"/>
        <w:ind w:left="567" w:hanging="567"/>
        <w:rPr>
          <w:b/>
          <w:bCs/>
          <w:caps/>
          <w:sz w:val="22"/>
          <w:szCs w:val="22"/>
          <w:lang w:eastAsia="en-US"/>
        </w:rPr>
      </w:pPr>
      <w:proofErr w:type="spellStart"/>
      <w:r>
        <w:rPr>
          <w:b/>
          <w:bCs/>
          <w:sz w:val="22"/>
          <w:szCs w:val="22"/>
          <w:lang w:eastAsia="en-US"/>
        </w:rPr>
        <w:t>Lymerexo</w:t>
      </w:r>
      <w:proofErr w:type="spellEnd"/>
      <w:r>
        <w:rPr>
          <w:b/>
          <w:bCs/>
          <w:sz w:val="22"/>
          <w:szCs w:val="22"/>
          <w:lang w:eastAsia="en-US"/>
        </w:rPr>
        <w:t xml:space="preserve"> vartoti draudžiama:</w:t>
      </w:r>
    </w:p>
    <w:p w14:paraId="619B6D90"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linagliptinui</w:t>
      </w:r>
      <w:proofErr w:type="spellEnd"/>
      <w:r>
        <w:rPr>
          <w:sz w:val="22"/>
          <w:szCs w:val="22"/>
          <w:lang w:eastAsia="sl-SI"/>
        </w:rPr>
        <w:t xml:space="preserve">, </w:t>
      </w:r>
      <w:proofErr w:type="spellStart"/>
      <w:r>
        <w:rPr>
          <w:sz w:val="22"/>
          <w:szCs w:val="22"/>
          <w:lang w:eastAsia="sl-SI"/>
        </w:rPr>
        <w:t>metforminui</w:t>
      </w:r>
      <w:proofErr w:type="spellEnd"/>
      <w:r>
        <w:rPr>
          <w:sz w:val="22"/>
          <w:szCs w:val="22"/>
          <w:lang w:eastAsia="sl-SI"/>
        </w:rPr>
        <w:t xml:space="preserve"> arba bet kuriai pagalbinei šio vaisto medžiagai (jos išvardytos 6 skyriuje);</w:t>
      </w:r>
    </w:p>
    <w:p w14:paraId="22C720F7"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susilpnėjusi inkstų funkcija;</w:t>
      </w:r>
    </w:p>
    <w:p w14:paraId="4C487840" w14:textId="0D6A5A48"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w:t>
      </w:r>
      <w:r w:rsidR="00982C63">
        <w:rPr>
          <w:sz w:val="22"/>
          <w:szCs w:val="22"/>
          <w:lang w:eastAsia="sl-SI"/>
        </w:rPr>
        <w:t xml:space="preserve">nesureguliuojamu </w:t>
      </w:r>
      <w:r w:rsidR="001E6EF2">
        <w:rPr>
          <w:sz w:val="22"/>
          <w:szCs w:val="22"/>
          <w:lang w:eastAsia="sl-SI"/>
        </w:rPr>
        <w:t>cukriniu</w:t>
      </w:r>
      <w:r>
        <w:rPr>
          <w:sz w:val="22"/>
          <w:szCs w:val="22"/>
          <w:lang w:eastAsia="sl-SI"/>
        </w:rPr>
        <w:t xml:space="preserve"> diabetu ir yra, pvz., sunki hiperglikemija (didel</w:t>
      </w:r>
      <w:r w:rsidR="00D6368A">
        <w:rPr>
          <w:sz w:val="22"/>
          <w:szCs w:val="22"/>
          <w:lang w:eastAsia="sl-SI"/>
        </w:rPr>
        <w:t>ė</w:t>
      </w:r>
      <w:r>
        <w:rPr>
          <w:sz w:val="22"/>
          <w:szCs w:val="22"/>
          <w:lang w:eastAsia="sl-SI"/>
        </w:rPr>
        <w:t xml:space="preserve"> gliukozės </w:t>
      </w:r>
      <w:r w:rsidR="00D6368A">
        <w:rPr>
          <w:sz w:val="22"/>
          <w:szCs w:val="22"/>
          <w:lang w:eastAsia="sl-SI"/>
        </w:rPr>
        <w:t xml:space="preserve">koncentracija </w:t>
      </w:r>
      <w:r>
        <w:rPr>
          <w:sz w:val="22"/>
          <w:szCs w:val="22"/>
          <w:lang w:eastAsia="sl-SI"/>
        </w:rPr>
        <w:t xml:space="preserve">kraujyje), pasireiškia pykinimas, vėmimas, viduriavimas, greitas svorio </w:t>
      </w:r>
      <w:r>
        <w:rPr>
          <w:sz w:val="22"/>
          <w:szCs w:val="22"/>
          <w:lang w:eastAsia="sl-SI"/>
        </w:rPr>
        <w:lastRenderedPageBreak/>
        <w:t xml:space="preserve">kritimas, pieno rūgšties </w:t>
      </w:r>
      <w:proofErr w:type="spellStart"/>
      <w:r>
        <w:rPr>
          <w:sz w:val="22"/>
          <w:szCs w:val="22"/>
          <w:lang w:eastAsia="sl-SI"/>
        </w:rPr>
        <w:t>acidozė</w:t>
      </w:r>
      <w:proofErr w:type="spellEnd"/>
      <w:r>
        <w:rPr>
          <w:sz w:val="22"/>
          <w:szCs w:val="22"/>
          <w:lang w:eastAsia="sl-SI"/>
        </w:rPr>
        <w:t xml:space="preserve"> (žr. „Pieno rūgšties </w:t>
      </w:r>
      <w:proofErr w:type="spellStart"/>
      <w:r>
        <w:rPr>
          <w:sz w:val="22"/>
          <w:szCs w:val="22"/>
          <w:lang w:eastAsia="sl-SI"/>
        </w:rPr>
        <w:t>acidozės</w:t>
      </w:r>
      <w:proofErr w:type="spellEnd"/>
      <w:r>
        <w:rPr>
          <w:sz w:val="22"/>
          <w:szCs w:val="22"/>
          <w:lang w:eastAsia="sl-SI"/>
        </w:rPr>
        <w:t xml:space="preserve"> rizika“ žr. toliau) arba </w:t>
      </w:r>
      <w:proofErr w:type="spellStart"/>
      <w:r>
        <w:rPr>
          <w:sz w:val="22"/>
          <w:szCs w:val="22"/>
          <w:lang w:eastAsia="sl-SI"/>
        </w:rPr>
        <w:t>ketoacidozė</w:t>
      </w:r>
      <w:proofErr w:type="spellEnd"/>
      <w:r>
        <w:rPr>
          <w:sz w:val="22"/>
          <w:szCs w:val="22"/>
          <w:lang w:eastAsia="sl-SI"/>
        </w:rPr>
        <w:t xml:space="preserve">. </w:t>
      </w:r>
      <w:proofErr w:type="spellStart"/>
      <w:r>
        <w:rPr>
          <w:sz w:val="22"/>
          <w:szCs w:val="22"/>
          <w:lang w:eastAsia="sl-SI"/>
        </w:rPr>
        <w:t>Ketoacidozė</w:t>
      </w:r>
      <w:proofErr w:type="spellEnd"/>
      <w:r>
        <w:rPr>
          <w:sz w:val="22"/>
          <w:szCs w:val="22"/>
          <w:lang w:eastAsia="sl-SI"/>
        </w:rPr>
        <w:t xml:space="preserve"> yra būklė, kai kraujyje kaupiasi medžiagos, vadinamos „</w:t>
      </w:r>
      <w:proofErr w:type="spellStart"/>
      <w:r>
        <w:rPr>
          <w:sz w:val="22"/>
          <w:szCs w:val="22"/>
          <w:lang w:eastAsia="sl-SI"/>
        </w:rPr>
        <w:t>ketoniniais</w:t>
      </w:r>
      <w:proofErr w:type="spellEnd"/>
      <w:r>
        <w:rPr>
          <w:sz w:val="22"/>
          <w:szCs w:val="22"/>
          <w:lang w:eastAsia="sl-SI"/>
        </w:rPr>
        <w:t xml:space="preserve"> kūnais“, ji gali sukelti diabetinę </w:t>
      </w:r>
      <w:proofErr w:type="spellStart"/>
      <w:r>
        <w:rPr>
          <w:sz w:val="22"/>
          <w:szCs w:val="22"/>
          <w:lang w:eastAsia="sl-SI"/>
        </w:rPr>
        <w:t>prekomą</w:t>
      </w:r>
      <w:proofErr w:type="spellEnd"/>
      <w:r>
        <w:rPr>
          <w:sz w:val="22"/>
          <w:szCs w:val="22"/>
          <w:lang w:eastAsia="sl-SI"/>
        </w:rPr>
        <w:t>. Simptomai gali būti pilvo skausmas, greitas ir gilus kvėpavimas, mieguistumas arba neįprastas vaisių kvapas iš burnos;</w:t>
      </w:r>
    </w:p>
    <w:p w14:paraId="133A04E5"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kada nors pasireiškė diabetinė </w:t>
      </w:r>
      <w:proofErr w:type="spellStart"/>
      <w:r>
        <w:rPr>
          <w:sz w:val="22"/>
          <w:szCs w:val="22"/>
          <w:lang w:eastAsia="sl-SI"/>
        </w:rPr>
        <w:t>prekoma</w:t>
      </w:r>
      <w:proofErr w:type="spellEnd"/>
      <w:r>
        <w:rPr>
          <w:sz w:val="22"/>
          <w:szCs w:val="22"/>
          <w:lang w:eastAsia="sl-SI"/>
        </w:rPr>
        <w:t>;</w:t>
      </w:r>
    </w:p>
    <w:p w14:paraId="33DA9045" w14:textId="21EC0E80"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 sergate sunkia infekcine liga, kuri pažeidžia plaučius, bronch</w:t>
      </w:r>
      <w:r w:rsidR="004035E8">
        <w:rPr>
          <w:sz w:val="22"/>
          <w:szCs w:val="22"/>
          <w:lang w:eastAsia="sl-SI"/>
        </w:rPr>
        <w:t>us</w:t>
      </w:r>
      <w:r>
        <w:rPr>
          <w:sz w:val="22"/>
          <w:szCs w:val="22"/>
          <w:lang w:eastAsia="sl-SI"/>
        </w:rPr>
        <w:t xml:space="preserve"> ar inkstus. Sunkios infekcinės ligos gali pakenkti inkstams ir dėl to Jums gali kilti pieno rūgšties </w:t>
      </w:r>
      <w:proofErr w:type="spellStart"/>
      <w:r>
        <w:rPr>
          <w:sz w:val="22"/>
          <w:szCs w:val="22"/>
          <w:lang w:eastAsia="sl-SI"/>
        </w:rPr>
        <w:t>acidozės</w:t>
      </w:r>
      <w:proofErr w:type="spellEnd"/>
      <w:r>
        <w:rPr>
          <w:sz w:val="22"/>
          <w:szCs w:val="22"/>
          <w:lang w:eastAsia="sl-SI"/>
        </w:rPr>
        <w:t xml:space="preserve"> pavojus (žr. skyrių „Įspėjimai ir atsargumo priemonės“);</w:t>
      </w:r>
    </w:p>
    <w:p w14:paraId="62DD810E" w14:textId="31CFE301"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netekote daug vandens iš organizmo (pasireiškė dehidratacija), pvz., dėl ilgalaikio ar smarkaus viduriavimo, ar jei kelis kartus iš eilės vėmėte. Dehidratacija gali </w:t>
      </w:r>
      <w:r w:rsidR="00460E8B">
        <w:rPr>
          <w:sz w:val="22"/>
          <w:szCs w:val="22"/>
          <w:lang w:eastAsia="sl-SI"/>
        </w:rPr>
        <w:t>sukelti</w:t>
      </w:r>
      <w:r>
        <w:rPr>
          <w:sz w:val="22"/>
          <w:szCs w:val="22"/>
          <w:lang w:eastAsia="sl-SI"/>
        </w:rPr>
        <w:t xml:space="preserve"> inkstų </w:t>
      </w:r>
      <w:r w:rsidR="00460E8B">
        <w:rPr>
          <w:sz w:val="22"/>
          <w:szCs w:val="22"/>
          <w:lang w:eastAsia="sl-SI"/>
        </w:rPr>
        <w:t>sutrikimų</w:t>
      </w:r>
      <w:r>
        <w:rPr>
          <w:sz w:val="22"/>
          <w:szCs w:val="22"/>
          <w:lang w:eastAsia="sl-SI"/>
        </w:rPr>
        <w:t xml:space="preserve">, </w:t>
      </w:r>
      <w:r w:rsidR="0075705A">
        <w:rPr>
          <w:sz w:val="22"/>
          <w:szCs w:val="22"/>
          <w:lang w:eastAsia="sl-SI"/>
        </w:rPr>
        <w:t>dėl kurių gali kilti</w:t>
      </w:r>
      <w:r>
        <w:rPr>
          <w:sz w:val="22"/>
          <w:szCs w:val="22"/>
          <w:lang w:eastAsia="sl-SI"/>
        </w:rPr>
        <w:t xml:space="preserve"> pieno rūgšties </w:t>
      </w:r>
      <w:proofErr w:type="spellStart"/>
      <w:r>
        <w:rPr>
          <w:sz w:val="22"/>
          <w:szCs w:val="22"/>
          <w:lang w:eastAsia="sl-SI"/>
        </w:rPr>
        <w:t>acidozės</w:t>
      </w:r>
      <w:proofErr w:type="spellEnd"/>
      <w:r>
        <w:rPr>
          <w:sz w:val="22"/>
          <w:szCs w:val="22"/>
          <w:lang w:eastAsia="sl-SI"/>
        </w:rPr>
        <w:t xml:space="preserve"> pavoj</w:t>
      </w:r>
      <w:r w:rsidR="0075705A">
        <w:rPr>
          <w:sz w:val="22"/>
          <w:szCs w:val="22"/>
          <w:lang w:eastAsia="sl-SI"/>
        </w:rPr>
        <w:t>us</w:t>
      </w:r>
      <w:r>
        <w:rPr>
          <w:sz w:val="22"/>
          <w:szCs w:val="22"/>
          <w:lang w:eastAsia="sl-SI"/>
        </w:rPr>
        <w:t xml:space="preserve"> (žr. skyrių „Įspėjimai ir atsargumo priemonės“);</w:t>
      </w:r>
    </w:p>
    <w:p w14:paraId="66ACD5B1" w14:textId="0F447569"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neseniai buvote gydomi </w:t>
      </w:r>
      <w:r w:rsidR="009D1C33">
        <w:rPr>
          <w:sz w:val="22"/>
          <w:szCs w:val="22"/>
          <w:lang w:eastAsia="sl-SI"/>
        </w:rPr>
        <w:t xml:space="preserve">dėl </w:t>
      </w:r>
      <w:r>
        <w:rPr>
          <w:sz w:val="22"/>
          <w:szCs w:val="22"/>
          <w:lang w:eastAsia="sl-SI"/>
        </w:rPr>
        <w:t xml:space="preserve">ūminio širdies nepakankamumo arba neseniai patyrėte širdies priepuolį, jeigu Jums yra sunkus kraujotakos sutrikimas, pvz., šokas, ar kvėpavimo pasunkėjimas. Tai gali sąlygoti nepakankamą audinių aprūpinimą deguonimi, kas gali sukelti pieno rūgšties </w:t>
      </w:r>
      <w:proofErr w:type="spellStart"/>
      <w:r>
        <w:rPr>
          <w:sz w:val="22"/>
          <w:szCs w:val="22"/>
          <w:lang w:eastAsia="sl-SI"/>
        </w:rPr>
        <w:t>acidozės</w:t>
      </w:r>
      <w:proofErr w:type="spellEnd"/>
      <w:r>
        <w:rPr>
          <w:sz w:val="22"/>
          <w:szCs w:val="22"/>
          <w:lang w:eastAsia="sl-SI"/>
        </w:rPr>
        <w:t xml:space="preserve"> pavojų (žr. skyrių „Įspėjimai ir atsargumo priemonės“);</w:t>
      </w:r>
    </w:p>
    <w:p w14:paraId="0F8EDED1"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vargina kepenų veiklos sutrikimai;</w:t>
      </w:r>
    </w:p>
    <w:p w14:paraId="7706A089" w14:textId="77777777" w:rsidR="003F7CCA" w:rsidRDefault="0080197E">
      <w:pPr>
        <w:widowControl w:val="0"/>
        <w:numPr>
          <w:ilvl w:val="0"/>
          <w:numId w:val="10"/>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 per daug geriate alkoholio, nesvarbu ar kiekvieną dieną ar tik laikas nuo laiko (žr. poskyrį „</w:t>
      </w:r>
      <w:proofErr w:type="spellStart"/>
      <w:r>
        <w:rPr>
          <w:sz w:val="22"/>
          <w:szCs w:val="22"/>
          <w:lang w:eastAsia="sl-SI"/>
        </w:rPr>
        <w:t>Lymerexo</w:t>
      </w:r>
      <w:proofErr w:type="spellEnd"/>
      <w:r>
        <w:rPr>
          <w:sz w:val="22"/>
          <w:szCs w:val="22"/>
          <w:lang w:eastAsia="sl-SI"/>
        </w:rPr>
        <w:t xml:space="preserve"> vartojimas su alkoholio“).</w:t>
      </w:r>
    </w:p>
    <w:p w14:paraId="544992D7" w14:textId="77777777" w:rsidR="003F7CCA" w:rsidRDefault="003F7CCA">
      <w:pPr>
        <w:widowControl w:val="0"/>
        <w:autoSpaceDE w:val="0"/>
        <w:autoSpaceDN w:val="0"/>
        <w:adjustRightInd w:val="0"/>
        <w:rPr>
          <w:sz w:val="22"/>
          <w:szCs w:val="22"/>
          <w:lang w:eastAsia="en-US"/>
        </w:rPr>
      </w:pPr>
    </w:p>
    <w:p w14:paraId="259331AD" w14:textId="77777777" w:rsidR="003F7CCA" w:rsidRDefault="0080197E">
      <w:pPr>
        <w:widowControl w:val="0"/>
        <w:autoSpaceDE w:val="0"/>
        <w:autoSpaceDN w:val="0"/>
        <w:adjustRightInd w:val="0"/>
        <w:rPr>
          <w:sz w:val="22"/>
          <w:szCs w:val="22"/>
          <w:lang w:eastAsia="en-US"/>
        </w:rPr>
      </w:pPr>
      <w:r>
        <w:rPr>
          <w:sz w:val="22"/>
          <w:szCs w:val="22"/>
          <w:lang w:eastAsia="en-US"/>
        </w:rPr>
        <w:t>Jeigu kuri nors iš išvardytų būklių Jums tinka, šio vaistinio preparato vartoti draudžiama. Jeigu abejojate, pasitarkite su savo gydytoju arba vaistininku, prieš pradėdami vartoti šio vaisto.</w:t>
      </w:r>
    </w:p>
    <w:p w14:paraId="1AE57F16" w14:textId="77777777" w:rsidR="003F7CCA" w:rsidRDefault="003F7CCA">
      <w:pPr>
        <w:widowControl w:val="0"/>
        <w:autoSpaceDE w:val="0"/>
        <w:autoSpaceDN w:val="0"/>
        <w:adjustRightInd w:val="0"/>
        <w:rPr>
          <w:sz w:val="22"/>
          <w:szCs w:val="22"/>
          <w:lang w:eastAsia="en-US"/>
        </w:rPr>
      </w:pPr>
    </w:p>
    <w:p w14:paraId="71491C2C" w14:textId="77777777" w:rsidR="003F7CCA" w:rsidRDefault="0080197E">
      <w:pPr>
        <w:widowControl w:val="0"/>
        <w:ind w:left="567" w:hanging="567"/>
        <w:rPr>
          <w:b/>
          <w:sz w:val="22"/>
          <w:szCs w:val="22"/>
          <w:lang w:eastAsia="en-US"/>
        </w:rPr>
      </w:pPr>
      <w:r>
        <w:rPr>
          <w:b/>
          <w:sz w:val="22"/>
          <w:szCs w:val="22"/>
          <w:lang w:eastAsia="en-US"/>
        </w:rPr>
        <w:t>Įspėjimai ir atsargumo priemonės</w:t>
      </w:r>
    </w:p>
    <w:p w14:paraId="1CCAB222" w14:textId="77777777" w:rsidR="003F7CCA" w:rsidRDefault="0080197E">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Lymerexo</w:t>
      </w:r>
      <w:proofErr w:type="spellEnd"/>
      <w:r>
        <w:rPr>
          <w:sz w:val="22"/>
          <w:szCs w:val="22"/>
          <w:lang w:eastAsia="sl-SI"/>
        </w:rPr>
        <w:t>:</w:t>
      </w:r>
    </w:p>
    <w:p w14:paraId="2720766E" w14:textId="77777777" w:rsidR="003F7CCA" w:rsidRDefault="0080197E">
      <w:pPr>
        <w:numPr>
          <w:ilvl w:val="0"/>
          <w:numId w:val="11"/>
        </w:numPr>
        <w:tabs>
          <w:tab w:val="left" w:pos="567"/>
        </w:tabs>
        <w:spacing w:line="260" w:lineRule="exact"/>
        <w:ind w:left="567" w:hanging="567"/>
        <w:rPr>
          <w:snapToGrid w:val="0"/>
          <w:sz w:val="22"/>
          <w:szCs w:val="22"/>
          <w:lang w:eastAsia="en-US"/>
        </w:rPr>
      </w:pPr>
      <w:r>
        <w:rPr>
          <w:iCs/>
          <w:snapToGrid w:val="0"/>
          <w:color w:val="000000"/>
          <w:sz w:val="22"/>
          <w:szCs w:val="22"/>
          <w:lang w:eastAsia="en-US"/>
        </w:rPr>
        <w:t>Jeigu sergate 1 tipo cukriniu diabetu (Jūsų organizmas insulino negamina). Šios ligos šiuo vaistu gydyti negalima.</w:t>
      </w:r>
    </w:p>
    <w:p w14:paraId="236C16A8" w14:textId="77777777" w:rsidR="003F7CCA" w:rsidRDefault="0080197E">
      <w:pPr>
        <w:numPr>
          <w:ilvl w:val="0"/>
          <w:numId w:val="11"/>
        </w:numPr>
        <w:tabs>
          <w:tab w:val="left" w:pos="567"/>
        </w:tabs>
        <w:spacing w:line="260" w:lineRule="exact"/>
        <w:ind w:left="567" w:hanging="567"/>
        <w:rPr>
          <w:snapToGrid w:val="0"/>
          <w:sz w:val="22"/>
          <w:szCs w:val="22"/>
          <w:lang w:eastAsia="en-US"/>
        </w:rPr>
      </w:pPr>
      <w:r>
        <w:rPr>
          <w:iCs/>
          <w:snapToGrid w:val="0"/>
          <w:color w:val="000000"/>
          <w:sz w:val="22"/>
          <w:szCs w:val="22"/>
          <w:lang w:eastAsia="en-US"/>
        </w:rPr>
        <w:t xml:space="preserve">Jeigu vartojate insulino arba </w:t>
      </w:r>
      <w:proofErr w:type="spellStart"/>
      <w:r>
        <w:rPr>
          <w:iCs/>
          <w:snapToGrid w:val="0"/>
          <w:color w:val="000000"/>
          <w:sz w:val="22"/>
          <w:szCs w:val="22"/>
          <w:lang w:eastAsia="en-US"/>
        </w:rPr>
        <w:t>priešdiabetinių</w:t>
      </w:r>
      <w:proofErr w:type="spellEnd"/>
      <w:r>
        <w:rPr>
          <w:iCs/>
          <w:snapToGrid w:val="0"/>
          <w:color w:val="000000"/>
          <w:sz w:val="22"/>
          <w:szCs w:val="22"/>
          <w:lang w:eastAsia="en-US"/>
        </w:rPr>
        <w:t xml:space="preserve"> vaistų, kurie vadinami </w:t>
      </w:r>
      <w:proofErr w:type="spellStart"/>
      <w:r>
        <w:rPr>
          <w:iCs/>
          <w:snapToGrid w:val="0"/>
          <w:color w:val="000000"/>
          <w:sz w:val="22"/>
          <w:szCs w:val="22"/>
          <w:lang w:eastAsia="en-US"/>
        </w:rPr>
        <w:t>sulfonilurėjos</w:t>
      </w:r>
      <w:proofErr w:type="spellEnd"/>
      <w:r>
        <w:rPr>
          <w:iCs/>
          <w:snapToGrid w:val="0"/>
          <w:color w:val="000000"/>
          <w:sz w:val="22"/>
          <w:szCs w:val="22"/>
          <w:lang w:eastAsia="en-US"/>
        </w:rPr>
        <w:t xml:space="preserve"> dariniais, Jūsų gydytojas gali liepti sumažinti insulino arba </w:t>
      </w:r>
      <w:proofErr w:type="spellStart"/>
      <w:r>
        <w:rPr>
          <w:iCs/>
          <w:snapToGrid w:val="0"/>
          <w:color w:val="000000"/>
          <w:sz w:val="22"/>
          <w:szCs w:val="22"/>
          <w:lang w:eastAsia="en-US"/>
        </w:rPr>
        <w:t>sulfonilurėjos</w:t>
      </w:r>
      <w:proofErr w:type="spellEnd"/>
      <w:r>
        <w:rPr>
          <w:iCs/>
          <w:snapToGrid w:val="0"/>
          <w:color w:val="000000"/>
          <w:sz w:val="22"/>
          <w:szCs w:val="22"/>
          <w:lang w:eastAsia="en-US"/>
        </w:rPr>
        <w:t xml:space="preserve"> darinio dozę, jeigu vieną ar kitą iš jų vartosite kartu su šiuo vaistu, kad cukraus kiekis kraujyje netaptų per mažas (hipoglikemija).</w:t>
      </w:r>
    </w:p>
    <w:p w14:paraId="04ADE375" w14:textId="77777777" w:rsidR="003F7CCA" w:rsidRDefault="0080197E">
      <w:pPr>
        <w:numPr>
          <w:ilvl w:val="0"/>
          <w:numId w:val="11"/>
        </w:numPr>
        <w:tabs>
          <w:tab w:val="left" w:pos="567"/>
        </w:tabs>
        <w:spacing w:line="260" w:lineRule="exact"/>
        <w:ind w:left="567" w:hanging="567"/>
        <w:rPr>
          <w:snapToGrid w:val="0"/>
          <w:sz w:val="22"/>
          <w:szCs w:val="22"/>
          <w:lang w:eastAsia="en-US"/>
        </w:rPr>
      </w:pPr>
      <w:r>
        <w:rPr>
          <w:iCs/>
          <w:snapToGrid w:val="0"/>
          <w:color w:val="000000"/>
          <w:sz w:val="22"/>
          <w:szCs w:val="22"/>
          <w:lang w:eastAsia="en-US"/>
        </w:rPr>
        <w:t>Jei Jūs sirgote ar sergate kasos liga.</w:t>
      </w:r>
    </w:p>
    <w:p w14:paraId="1DFBAA5E" w14:textId="77777777" w:rsidR="003F7CCA" w:rsidRDefault="003F7CCA">
      <w:pPr>
        <w:tabs>
          <w:tab w:val="left" w:pos="567"/>
        </w:tabs>
        <w:spacing w:line="260" w:lineRule="exact"/>
        <w:rPr>
          <w:snapToGrid w:val="0"/>
          <w:sz w:val="22"/>
          <w:szCs w:val="22"/>
          <w:lang w:eastAsia="en-US"/>
        </w:rPr>
      </w:pPr>
    </w:p>
    <w:p w14:paraId="5AC387BA"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Jums pasireiškia ūminio kasos uždegimo (pankreatito) simptomai, pvz., nuolatinis, stiprus pilvo skausmas, pasitarkite su savo gydytoju.</w:t>
      </w:r>
    </w:p>
    <w:p w14:paraId="1A3AD186" w14:textId="77777777" w:rsidR="003F7CCA" w:rsidRDefault="003F7CCA">
      <w:pPr>
        <w:autoSpaceDE w:val="0"/>
        <w:autoSpaceDN w:val="0"/>
        <w:adjustRightInd w:val="0"/>
        <w:rPr>
          <w:rFonts w:eastAsiaTheme="minorHAnsi"/>
          <w:color w:val="000000"/>
          <w:sz w:val="22"/>
          <w:szCs w:val="22"/>
          <w:lang w:eastAsia="en-US"/>
        </w:rPr>
      </w:pPr>
    </w:p>
    <w:p w14:paraId="5D84CB2F"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Jums atsirado pūslių ant odos, tai gali būti ligos, vadinamos </w:t>
      </w:r>
      <w:proofErr w:type="spellStart"/>
      <w:r>
        <w:rPr>
          <w:rFonts w:eastAsiaTheme="minorHAnsi"/>
          <w:color w:val="000000"/>
          <w:sz w:val="22"/>
          <w:szCs w:val="22"/>
          <w:lang w:eastAsia="en-US"/>
        </w:rPr>
        <w:t>pūsliniu</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pemfigoidu</w:t>
      </w:r>
      <w:proofErr w:type="spellEnd"/>
      <w:r>
        <w:rPr>
          <w:rFonts w:eastAsiaTheme="minorHAnsi"/>
          <w:color w:val="000000"/>
          <w:sz w:val="22"/>
          <w:szCs w:val="22"/>
          <w:lang w:eastAsia="en-US"/>
        </w:rPr>
        <w:t>, požymis. Jūsų gydytojas gali paprašyti Jūsų nustoti vartoti šio vaisto.</w:t>
      </w:r>
    </w:p>
    <w:p w14:paraId="4A73AB2E" w14:textId="77777777" w:rsidR="003F7CCA" w:rsidRDefault="003F7CCA">
      <w:pPr>
        <w:autoSpaceDE w:val="0"/>
        <w:autoSpaceDN w:val="0"/>
        <w:adjustRightInd w:val="0"/>
        <w:rPr>
          <w:rFonts w:eastAsiaTheme="minorHAnsi"/>
          <w:color w:val="000000"/>
          <w:sz w:val="22"/>
          <w:szCs w:val="22"/>
          <w:lang w:eastAsia="en-US"/>
        </w:rPr>
      </w:pPr>
    </w:p>
    <w:p w14:paraId="527AED22"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abejojate, ar kuri nors iš išvardytų būklių Jums tinka, pasitarkite su savo gydytoju, vaistininku arba slaugytoju, prieš pradėdami vartoti šio vaisto.</w:t>
      </w:r>
    </w:p>
    <w:p w14:paraId="50E820FE" w14:textId="77777777" w:rsidR="003F7CCA" w:rsidRDefault="003F7CCA">
      <w:pPr>
        <w:autoSpaceDE w:val="0"/>
        <w:autoSpaceDN w:val="0"/>
        <w:adjustRightInd w:val="0"/>
        <w:rPr>
          <w:rFonts w:eastAsiaTheme="minorHAnsi"/>
          <w:color w:val="000000"/>
          <w:sz w:val="22"/>
          <w:szCs w:val="22"/>
          <w:lang w:eastAsia="en-US"/>
        </w:rPr>
      </w:pPr>
    </w:p>
    <w:p w14:paraId="7446A2D6"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Dažna cukrinio diabeto komplikacija yra diabetinis odos pažeidimas. Turite laikytis Jūsų gydytojo arba slaugytojo duotų patarimų dėl odos ir pėdų priežiūros.</w:t>
      </w:r>
    </w:p>
    <w:p w14:paraId="54E1E187" w14:textId="77777777" w:rsidR="003F7CCA" w:rsidRDefault="003F7CCA">
      <w:pPr>
        <w:autoSpaceDE w:val="0"/>
        <w:autoSpaceDN w:val="0"/>
        <w:adjustRightInd w:val="0"/>
        <w:rPr>
          <w:rFonts w:eastAsiaTheme="minorHAnsi"/>
          <w:b/>
          <w:bCs/>
          <w:color w:val="000000"/>
          <w:sz w:val="22"/>
          <w:szCs w:val="22"/>
          <w:lang w:eastAsia="en-US"/>
        </w:rPr>
      </w:pPr>
    </w:p>
    <w:p w14:paraId="7895E68F"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Pieno rūgšties </w:t>
      </w:r>
      <w:proofErr w:type="spellStart"/>
      <w:r>
        <w:rPr>
          <w:rFonts w:eastAsiaTheme="minorHAnsi"/>
          <w:b/>
          <w:bCs/>
          <w:color w:val="000000"/>
          <w:sz w:val="22"/>
          <w:szCs w:val="22"/>
          <w:lang w:eastAsia="en-US"/>
        </w:rPr>
        <w:t>acidozės</w:t>
      </w:r>
      <w:proofErr w:type="spellEnd"/>
      <w:r>
        <w:rPr>
          <w:rFonts w:eastAsiaTheme="minorHAnsi"/>
          <w:b/>
          <w:bCs/>
          <w:color w:val="000000"/>
          <w:sz w:val="22"/>
          <w:szCs w:val="22"/>
          <w:lang w:eastAsia="en-US"/>
        </w:rPr>
        <w:t xml:space="preserve"> rizika</w:t>
      </w:r>
    </w:p>
    <w:p w14:paraId="29BAF915" w14:textId="5058E90D" w:rsidR="003F7CCA" w:rsidRDefault="0080197E">
      <w:pPr>
        <w:pStyle w:val="Default"/>
        <w:rPr>
          <w:rFonts w:eastAsiaTheme="minorHAnsi"/>
          <w:sz w:val="22"/>
          <w:szCs w:val="22"/>
          <w:lang w:val="lt-LT" w:eastAsia="en-US"/>
        </w:rPr>
      </w:pPr>
      <w:r w:rsidRPr="00A6463E">
        <w:rPr>
          <w:rFonts w:eastAsiaTheme="minorHAnsi"/>
          <w:sz w:val="22"/>
          <w:szCs w:val="22"/>
          <w:lang w:val="lt-LT" w:eastAsia="en-US"/>
        </w:rPr>
        <w:t xml:space="preserve">Kadangi vaisto sudėtyje yra </w:t>
      </w:r>
      <w:proofErr w:type="spellStart"/>
      <w:r w:rsidRPr="00A6463E">
        <w:rPr>
          <w:rFonts w:eastAsiaTheme="minorHAnsi"/>
          <w:sz w:val="22"/>
          <w:szCs w:val="22"/>
          <w:lang w:val="lt-LT" w:eastAsia="en-US"/>
        </w:rPr>
        <w:t>metformino</w:t>
      </w:r>
      <w:proofErr w:type="spellEnd"/>
      <w:r w:rsidRPr="00A6463E">
        <w:rPr>
          <w:rFonts w:eastAsiaTheme="minorHAnsi"/>
          <w:sz w:val="22"/>
          <w:szCs w:val="22"/>
          <w:lang w:val="lt-LT" w:eastAsia="en-US"/>
        </w:rPr>
        <w:t xml:space="preserve">, šis vaistas gali sukelti labai retą, bet labai sunkų šalutinį poveikį, vadinamą pieno rūgšties </w:t>
      </w:r>
      <w:proofErr w:type="spellStart"/>
      <w:r w:rsidRPr="00A6463E">
        <w:rPr>
          <w:rFonts w:eastAsiaTheme="minorHAnsi"/>
          <w:sz w:val="22"/>
          <w:szCs w:val="22"/>
          <w:lang w:val="lt-LT" w:eastAsia="en-US"/>
        </w:rPr>
        <w:t>acidoze</w:t>
      </w:r>
      <w:proofErr w:type="spellEnd"/>
      <w:r w:rsidRPr="00A6463E">
        <w:rPr>
          <w:rFonts w:eastAsiaTheme="minorHAnsi"/>
          <w:sz w:val="22"/>
          <w:szCs w:val="22"/>
          <w:lang w:val="lt-LT" w:eastAsia="en-US"/>
        </w:rPr>
        <w:t xml:space="preserve">, ypač jei Jūsų inkstai neveikia tinkamai. Pieno rūgšties </w:t>
      </w:r>
      <w:proofErr w:type="spellStart"/>
      <w:r w:rsidRPr="00A6463E">
        <w:rPr>
          <w:rFonts w:eastAsiaTheme="minorHAnsi"/>
          <w:sz w:val="22"/>
          <w:szCs w:val="22"/>
          <w:lang w:val="lt-LT" w:eastAsia="en-US"/>
        </w:rPr>
        <w:t>acidozės</w:t>
      </w:r>
      <w:proofErr w:type="spellEnd"/>
      <w:r w:rsidRPr="00A6463E">
        <w:rPr>
          <w:rFonts w:eastAsiaTheme="minorHAnsi"/>
          <w:sz w:val="22"/>
          <w:szCs w:val="22"/>
          <w:lang w:val="lt-LT" w:eastAsia="en-US"/>
        </w:rPr>
        <w:t xml:space="preserve"> pasireiškimo rizika padidėja ir esant </w:t>
      </w:r>
      <w:r w:rsidR="00982C63">
        <w:rPr>
          <w:rFonts w:eastAsiaTheme="minorHAnsi"/>
          <w:sz w:val="22"/>
          <w:szCs w:val="22"/>
          <w:lang w:val="lt-LT" w:eastAsia="en-US"/>
        </w:rPr>
        <w:t>nesureguliuojam</w:t>
      </w:r>
      <w:r w:rsidR="00615D06">
        <w:rPr>
          <w:rFonts w:eastAsiaTheme="minorHAnsi"/>
          <w:sz w:val="22"/>
          <w:szCs w:val="22"/>
          <w:lang w:val="lt-LT" w:eastAsia="en-US"/>
        </w:rPr>
        <w:t>am</w:t>
      </w:r>
      <w:r w:rsidR="00982C63">
        <w:rPr>
          <w:rFonts w:eastAsiaTheme="minorHAnsi"/>
          <w:sz w:val="22"/>
          <w:szCs w:val="22"/>
          <w:lang w:val="lt-LT" w:eastAsia="en-US"/>
        </w:rPr>
        <w:t xml:space="preserve"> </w:t>
      </w:r>
      <w:r w:rsidR="0094753D">
        <w:rPr>
          <w:rFonts w:eastAsiaTheme="minorHAnsi"/>
          <w:sz w:val="22"/>
          <w:szCs w:val="22"/>
          <w:lang w:val="lt-LT" w:eastAsia="en-US"/>
        </w:rPr>
        <w:t>cukriniam</w:t>
      </w:r>
      <w:r w:rsidRPr="00A6463E">
        <w:rPr>
          <w:rFonts w:eastAsiaTheme="minorHAnsi"/>
          <w:sz w:val="22"/>
          <w:szCs w:val="22"/>
          <w:lang w:val="lt-LT" w:eastAsia="en-US"/>
        </w:rPr>
        <w:t xml:space="preserve"> diabetui, sunkioms infekcinėms ligoms, ilgalaikiam badavimui arba piktnaudžiavimui alkoholiu, dehidratacijai (žr. kitą informaciją </w:t>
      </w:r>
      <w:r>
        <w:rPr>
          <w:rFonts w:eastAsiaTheme="minorHAnsi"/>
          <w:sz w:val="22"/>
          <w:szCs w:val="22"/>
          <w:lang w:val="lt-LT" w:eastAsia="en-US"/>
        </w:rPr>
        <w:t>toliau), kepenų funkcijos sutrikimams ir bet kurioms sveikatos būklėms, kai sumažėja organizmo dalies aprūpinimas deguonimi (pvz., ūminei sunkiai širdies ligai).</w:t>
      </w:r>
    </w:p>
    <w:p w14:paraId="04F25B4C" w14:textId="77777777" w:rsidR="003F7CCA" w:rsidRDefault="0080197E">
      <w:pPr>
        <w:widowControl w:val="0"/>
        <w:numPr>
          <w:ilvl w:val="12"/>
          <w:numId w:val="0"/>
        </w:numPr>
        <w:tabs>
          <w:tab w:val="left" w:pos="567"/>
        </w:tabs>
        <w:rPr>
          <w:sz w:val="22"/>
          <w:szCs w:val="22"/>
          <w:lang w:eastAsia="en-US"/>
        </w:rPr>
      </w:pPr>
      <w:r>
        <w:rPr>
          <w:rFonts w:eastAsiaTheme="minorHAnsi"/>
          <w:color w:val="000000"/>
          <w:sz w:val="22"/>
          <w:szCs w:val="22"/>
          <w:lang w:eastAsia="en-US"/>
        </w:rPr>
        <w:t>Jeigu Jums tinka bent vienas iš pirmiau nurodytų punktų, kreipkitės į gydytoją dėl tolesnių nurodymų.</w:t>
      </w:r>
    </w:p>
    <w:p w14:paraId="60A51CB8" w14:textId="77777777" w:rsidR="003F7CCA" w:rsidRDefault="003F7CCA">
      <w:pPr>
        <w:widowControl w:val="0"/>
        <w:tabs>
          <w:tab w:val="left" w:pos="567"/>
        </w:tabs>
        <w:jc w:val="both"/>
        <w:outlineLvl w:val="3"/>
        <w:rPr>
          <w:b/>
          <w:bCs/>
          <w:snapToGrid w:val="0"/>
          <w:sz w:val="22"/>
          <w:szCs w:val="22"/>
          <w:lang w:eastAsia="x-none"/>
        </w:rPr>
      </w:pPr>
    </w:p>
    <w:p w14:paraId="394B9BD5" w14:textId="77777777" w:rsidR="003F7CCA" w:rsidRDefault="0080197E">
      <w:pPr>
        <w:widowControl w:val="0"/>
        <w:tabs>
          <w:tab w:val="left" w:pos="567"/>
        </w:tabs>
        <w:jc w:val="both"/>
        <w:outlineLvl w:val="3"/>
        <w:rPr>
          <w:snapToGrid w:val="0"/>
          <w:sz w:val="22"/>
          <w:szCs w:val="22"/>
          <w:lang w:eastAsia="x-none"/>
        </w:rPr>
      </w:pPr>
      <w:r>
        <w:rPr>
          <w:b/>
          <w:bCs/>
          <w:snapToGrid w:val="0"/>
          <w:sz w:val="22"/>
          <w:szCs w:val="22"/>
          <w:lang w:eastAsia="x-none"/>
        </w:rPr>
        <w:t xml:space="preserve">Trumpam nustokite vartoti šį vaistą, jeigu Jums yra būklė, kuri gali būti susijusi su dehidratacija </w:t>
      </w:r>
      <w:r>
        <w:rPr>
          <w:snapToGrid w:val="0"/>
          <w:sz w:val="22"/>
          <w:szCs w:val="22"/>
          <w:lang w:eastAsia="x-none"/>
        </w:rPr>
        <w:t xml:space="preserve">(reikšmingu organizmo skysčių netekimu), pvz., sunkus vėmimas, viduriavimas, karščiavimas, karščio poveikis arba mažesnis nei įprastai skysčių suvartojimas. Kreipkitės į Jūsų gydytoją dėl tolesnių </w:t>
      </w:r>
      <w:r>
        <w:rPr>
          <w:snapToGrid w:val="0"/>
          <w:sz w:val="22"/>
          <w:szCs w:val="22"/>
          <w:lang w:eastAsia="x-none"/>
        </w:rPr>
        <w:lastRenderedPageBreak/>
        <w:t>nurodymų.</w:t>
      </w:r>
    </w:p>
    <w:p w14:paraId="24A5FDD1" w14:textId="77777777" w:rsidR="003F7CCA" w:rsidRDefault="003F7CCA">
      <w:pPr>
        <w:widowControl w:val="0"/>
        <w:tabs>
          <w:tab w:val="left" w:pos="567"/>
        </w:tabs>
        <w:jc w:val="both"/>
        <w:outlineLvl w:val="3"/>
        <w:rPr>
          <w:b/>
          <w:bCs/>
          <w:snapToGrid w:val="0"/>
          <w:sz w:val="22"/>
          <w:szCs w:val="22"/>
          <w:lang w:eastAsia="x-none"/>
        </w:rPr>
      </w:pPr>
    </w:p>
    <w:p w14:paraId="0F0700B0" w14:textId="77777777" w:rsidR="003F7CCA" w:rsidRDefault="0080197E">
      <w:pPr>
        <w:widowControl w:val="0"/>
        <w:tabs>
          <w:tab w:val="left" w:pos="567"/>
        </w:tabs>
        <w:jc w:val="both"/>
        <w:outlineLvl w:val="3"/>
        <w:rPr>
          <w:b/>
          <w:bCs/>
          <w:snapToGrid w:val="0"/>
          <w:sz w:val="22"/>
          <w:szCs w:val="22"/>
          <w:lang w:eastAsia="x-none"/>
        </w:rPr>
      </w:pPr>
      <w:r>
        <w:rPr>
          <w:b/>
          <w:bCs/>
          <w:snapToGrid w:val="0"/>
          <w:sz w:val="22"/>
          <w:szCs w:val="22"/>
          <w:lang w:eastAsia="x-none"/>
        </w:rPr>
        <w:t xml:space="preserve">Nustokite vartoti šį vaistą ir nedelsdami kreipkitės į gydytoją arba artimiausią ligoninę, jeigu Jums pasireiškė pieno rūgšties </w:t>
      </w:r>
      <w:proofErr w:type="spellStart"/>
      <w:r>
        <w:rPr>
          <w:b/>
          <w:bCs/>
          <w:snapToGrid w:val="0"/>
          <w:sz w:val="22"/>
          <w:szCs w:val="22"/>
          <w:lang w:eastAsia="x-none"/>
        </w:rPr>
        <w:t>acidozės</w:t>
      </w:r>
      <w:proofErr w:type="spellEnd"/>
      <w:r>
        <w:rPr>
          <w:b/>
          <w:bCs/>
          <w:snapToGrid w:val="0"/>
          <w:sz w:val="22"/>
          <w:szCs w:val="22"/>
          <w:lang w:eastAsia="x-none"/>
        </w:rPr>
        <w:t xml:space="preserve"> simptomų, </w:t>
      </w:r>
      <w:r>
        <w:rPr>
          <w:snapToGrid w:val="0"/>
          <w:sz w:val="22"/>
          <w:szCs w:val="22"/>
          <w:lang w:eastAsia="x-none"/>
        </w:rPr>
        <w:t>nes ši būklė gali sukelti komą.</w:t>
      </w:r>
    </w:p>
    <w:p w14:paraId="1AB21789" w14:textId="77777777" w:rsidR="003F7CCA" w:rsidRDefault="0080197E">
      <w:pPr>
        <w:widowControl w:val="0"/>
        <w:tabs>
          <w:tab w:val="left" w:pos="567"/>
        </w:tabs>
        <w:jc w:val="both"/>
        <w:outlineLvl w:val="3"/>
        <w:rPr>
          <w:snapToGrid w:val="0"/>
          <w:sz w:val="22"/>
          <w:szCs w:val="22"/>
          <w:lang w:eastAsia="x-none"/>
        </w:rPr>
      </w:pPr>
      <w:r>
        <w:rPr>
          <w:snapToGrid w:val="0"/>
          <w:sz w:val="22"/>
          <w:szCs w:val="22"/>
          <w:lang w:eastAsia="x-none"/>
        </w:rPr>
        <w:t xml:space="preserve">Pieno rūgšties </w:t>
      </w:r>
      <w:proofErr w:type="spellStart"/>
      <w:r>
        <w:rPr>
          <w:snapToGrid w:val="0"/>
          <w:sz w:val="22"/>
          <w:szCs w:val="22"/>
          <w:lang w:eastAsia="x-none"/>
        </w:rPr>
        <w:t>acidozės</w:t>
      </w:r>
      <w:proofErr w:type="spellEnd"/>
      <w:r>
        <w:rPr>
          <w:snapToGrid w:val="0"/>
          <w:sz w:val="22"/>
          <w:szCs w:val="22"/>
          <w:lang w:eastAsia="x-none"/>
        </w:rPr>
        <w:t xml:space="preserve"> simptomai gali būti:</w:t>
      </w:r>
    </w:p>
    <w:p w14:paraId="3D3DB411" w14:textId="77777777" w:rsidR="003F7CCA" w:rsidRDefault="0080197E">
      <w:pPr>
        <w:numPr>
          <w:ilvl w:val="0"/>
          <w:numId w:val="17"/>
        </w:numPr>
        <w:spacing w:after="15" w:line="248" w:lineRule="auto"/>
        <w:ind w:right="11" w:hanging="566"/>
        <w:rPr>
          <w:color w:val="000000"/>
          <w:kern w:val="2"/>
          <w:sz w:val="22"/>
          <w:szCs w:val="22"/>
          <w:lang w:val="en-US" w:eastAsia="sl-SI"/>
          <w14:ligatures w14:val="standardContextual"/>
        </w:rPr>
      </w:pPr>
      <w:bookmarkStart w:id="17" w:name="_Hlk222993399"/>
      <w:r>
        <w:rPr>
          <w:snapToGrid w:val="0"/>
          <w:sz w:val="22"/>
          <w:szCs w:val="22"/>
          <w:lang w:eastAsia="x-none"/>
        </w:rPr>
        <w:t>vėmimas;</w:t>
      </w:r>
    </w:p>
    <w:p w14:paraId="0331CD17" w14:textId="77777777" w:rsidR="003F7CCA" w:rsidRDefault="0080197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pilvo skausmas;</w:t>
      </w:r>
    </w:p>
    <w:p w14:paraId="2895A7D3" w14:textId="77777777" w:rsidR="003F7CCA" w:rsidRDefault="0080197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raumenų mėšlungis;</w:t>
      </w:r>
    </w:p>
    <w:bookmarkEnd w:id="17"/>
    <w:p w14:paraId="1054138A" w14:textId="77777777" w:rsidR="003F7CCA" w:rsidRPr="00A6463E" w:rsidRDefault="0080197E">
      <w:pPr>
        <w:numPr>
          <w:ilvl w:val="0"/>
          <w:numId w:val="17"/>
        </w:numPr>
        <w:spacing w:after="15" w:line="248" w:lineRule="auto"/>
        <w:ind w:right="11" w:hanging="566"/>
        <w:rPr>
          <w:color w:val="000000"/>
          <w:kern w:val="2"/>
          <w:sz w:val="22"/>
          <w:szCs w:val="22"/>
          <w:lang w:val="fr-FR" w:eastAsia="sl-SI"/>
          <w14:ligatures w14:val="standardContextual"/>
        </w:rPr>
      </w:pPr>
      <w:r>
        <w:rPr>
          <w:snapToGrid w:val="0"/>
          <w:sz w:val="22"/>
          <w:szCs w:val="22"/>
          <w:lang w:eastAsia="x-none"/>
        </w:rPr>
        <w:t>bendras prastos savijautos pojūtis su dideliu nuovargiu;</w:t>
      </w:r>
    </w:p>
    <w:p w14:paraId="047E3D00" w14:textId="77777777" w:rsidR="003F7CCA" w:rsidRDefault="0080197E">
      <w:pPr>
        <w:numPr>
          <w:ilvl w:val="0"/>
          <w:numId w:val="17"/>
        </w:numPr>
        <w:spacing w:after="15" w:line="248" w:lineRule="auto"/>
        <w:ind w:right="11" w:hanging="566"/>
        <w:rPr>
          <w:color w:val="000000"/>
          <w:kern w:val="2"/>
          <w:sz w:val="22"/>
          <w:szCs w:val="22"/>
          <w:lang w:val="en-US" w:eastAsia="sl-SI"/>
          <w14:ligatures w14:val="standardContextual"/>
        </w:rPr>
      </w:pPr>
      <w:r>
        <w:rPr>
          <w:snapToGrid w:val="0"/>
          <w:sz w:val="22"/>
          <w:szCs w:val="22"/>
          <w:lang w:eastAsia="x-none"/>
        </w:rPr>
        <w:t>pasunkėjęs kvėpavimas;</w:t>
      </w:r>
    </w:p>
    <w:p w14:paraId="79F6CE63" w14:textId="77777777" w:rsidR="003F7CCA" w:rsidRPr="00A6463E" w:rsidRDefault="0080197E">
      <w:pPr>
        <w:numPr>
          <w:ilvl w:val="0"/>
          <w:numId w:val="17"/>
        </w:numPr>
        <w:spacing w:after="15" w:line="248" w:lineRule="auto"/>
        <w:ind w:right="11" w:hanging="566"/>
        <w:rPr>
          <w:color w:val="000000"/>
          <w:kern w:val="2"/>
          <w:sz w:val="22"/>
          <w:szCs w:val="22"/>
          <w:lang w:val="es-ES" w:eastAsia="sl-SI"/>
          <w14:ligatures w14:val="standardContextual"/>
        </w:rPr>
      </w:pPr>
      <w:r>
        <w:rPr>
          <w:snapToGrid w:val="0"/>
          <w:sz w:val="22"/>
          <w:szCs w:val="22"/>
          <w:lang w:eastAsia="x-none"/>
        </w:rPr>
        <w:t>sumažėjusi kūno temperatūra ir retas širdies plakimas.</w:t>
      </w:r>
    </w:p>
    <w:p w14:paraId="0C589E4F" w14:textId="77777777" w:rsidR="003F7CCA" w:rsidRDefault="003F7CCA">
      <w:pPr>
        <w:widowControl w:val="0"/>
        <w:tabs>
          <w:tab w:val="left" w:pos="567"/>
        </w:tabs>
        <w:jc w:val="both"/>
        <w:outlineLvl w:val="3"/>
        <w:rPr>
          <w:b/>
          <w:bCs/>
          <w:snapToGrid w:val="0"/>
          <w:sz w:val="22"/>
          <w:szCs w:val="22"/>
          <w:lang w:eastAsia="x-none"/>
        </w:rPr>
      </w:pPr>
    </w:p>
    <w:p w14:paraId="3EBDF75E"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Nedelsdami kreipkitės į gydytoją dėl tolesnių nurodymų, jeigu:</w:t>
      </w:r>
    </w:p>
    <w:p w14:paraId="18C7B39B" w14:textId="4D9DD2BE" w:rsidR="003F7CCA" w:rsidRPr="00A6463E" w:rsidRDefault="0080197E">
      <w:pPr>
        <w:numPr>
          <w:ilvl w:val="0"/>
          <w:numId w:val="17"/>
        </w:numPr>
        <w:spacing w:after="15" w:line="248" w:lineRule="auto"/>
        <w:ind w:right="11" w:hanging="566"/>
        <w:rPr>
          <w:color w:val="000000"/>
          <w:kern w:val="2"/>
          <w:sz w:val="22"/>
          <w:szCs w:val="22"/>
          <w14:ligatures w14:val="standardContextual"/>
        </w:rPr>
      </w:pPr>
      <w:r>
        <w:rPr>
          <w:rFonts w:eastAsiaTheme="minorHAnsi"/>
          <w:color w:val="000000"/>
          <w:sz w:val="22"/>
          <w:szCs w:val="22"/>
          <w:lang w:eastAsia="en-US"/>
        </w:rPr>
        <w:t xml:space="preserve">Jums diagnozuota genetiškai paveldima liga, pažeidžianti </w:t>
      </w:r>
      <w:proofErr w:type="spellStart"/>
      <w:r>
        <w:rPr>
          <w:rFonts w:eastAsiaTheme="minorHAnsi"/>
          <w:color w:val="000000"/>
          <w:sz w:val="22"/>
          <w:szCs w:val="22"/>
          <w:lang w:eastAsia="en-US"/>
        </w:rPr>
        <w:t>mitochondrijas</w:t>
      </w:r>
      <w:proofErr w:type="spellEnd"/>
      <w:r>
        <w:rPr>
          <w:rFonts w:eastAsiaTheme="minorHAnsi"/>
          <w:color w:val="000000"/>
          <w:sz w:val="22"/>
          <w:szCs w:val="22"/>
          <w:lang w:eastAsia="en-US"/>
        </w:rPr>
        <w:t xml:space="preserve"> (energiją gaminančius ląstelių komponentus), pvz., MELAS sindromas (</w:t>
      </w:r>
      <w:proofErr w:type="spellStart"/>
      <w:r>
        <w:rPr>
          <w:rFonts w:eastAsiaTheme="minorHAnsi"/>
          <w:color w:val="000000"/>
          <w:sz w:val="22"/>
          <w:szCs w:val="22"/>
          <w:lang w:eastAsia="en-US"/>
        </w:rPr>
        <w:t>mitochondrinė</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encefalopatija</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miopatija</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ir į insultą panašūs epizodai) arba iš motinos paveldimas </w:t>
      </w:r>
      <w:r w:rsidR="0094753D">
        <w:rPr>
          <w:rFonts w:eastAsiaTheme="minorHAnsi"/>
          <w:color w:val="000000"/>
          <w:sz w:val="22"/>
          <w:szCs w:val="22"/>
          <w:lang w:eastAsia="en-US"/>
        </w:rPr>
        <w:t xml:space="preserve">cukrinis </w:t>
      </w:r>
      <w:r>
        <w:rPr>
          <w:rFonts w:eastAsiaTheme="minorHAnsi"/>
          <w:color w:val="000000"/>
          <w:sz w:val="22"/>
          <w:szCs w:val="22"/>
          <w:lang w:eastAsia="en-US"/>
        </w:rPr>
        <w:t>diabetas ir kurtumas (MIDD).</w:t>
      </w:r>
    </w:p>
    <w:p w14:paraId="40420EB6" w14:textId="77777777" w:rsidR="003F7CCA" w:rsidRPr="00A6463E" w:rsidRDefault="0080197E">
      <w:pPr>
        <w:numPr>
          <w:ilvl w:val="0"/>
          <w:numId w:val="17"/>
        </w:numPr>
        <w:spacing w:after="15" w:line="248" w:lineRule="auto"/>
        <w:ind w:right="11" w:hanging="566"/>
        <w:rPr>
          <w:color w:val="000000"/>
          <w:kern w:val="2"/>
          <w:sz w:val="22"/>
          <w:szCs w:val="22"/>
          <w14:ligatures w14:val="standardContextual"/>
        </w:rPr>
      </w:pPr>
      <w:r>
        <w:rPr>
          <w:rFonts w:eastAsiaTheme="minorHAnsi"/>
          <w:color w:val="000000"/>
          <w:sz w:val="22"/>
          <w:szCs w:val="22"/>
          <w:lang w:eastAsia="en-US"/>
        </w:rPr>
        <w:t xml:space="preserve">Pradėjus vartoti </w:t>
      </w:r>
      <w:proofErr w:type="spellStart"/>
      <w:r>
        <w:rPr>
          <w:rFonts w:eastAsiaTheme="minorHAnsi"/>
          <w:color w:val="000000"/>
          <w:sz w:val="22"/>
          <w:szCs w:val="22"/>
          <w:lang w:eastAsia="en-US"/>
        </w:rPr>
        <w:t>metforminą</w:t>
      </w:r>
      <w:proofErr w:type="spellEnd"/>
      <w:r>
        <w:rPr>
          <w:rFonts w:eastAsiaTheme="minorHAnsi"/>
          <w:color w:val="000000"/>
          <w:sz w:val="22"/>
          <w:szCs w:val="22"/>
          <w:lang w:eastAsia="en-US"/>
        </w:rPr>
        <w:t>, Jums pasireiškė bet kuris iš šių simptomų: traukulių priepuolis, pablogėjo pažintiniai gebėjimai, sutriko kūno judesiai, atsirado simptomų, rodančių nervų pažeidimą (pvz., skausmas arba tirpimas), migrena ir kurtumas.</w:t>
      </w:r>
    </w:p>
    <w:p w14:paraId="413B27F2" w14:textId="77777777" w:rsidR="003F7CCA" w:rsidRDefault="003F7CCA">
      <w:pPr>
        <w:autoSpaceDE w:val="0"/>
        <w:autoSpaceDN w:val="0"/>
        <w:adjustRightInd w:val="0"/>
        <w:rPr>
          <w:rFonts w:eastAsiaTheme="minorHAnsi"/>
          <w:color w:val="000000"/>
          <w:sz w:val="22"/>
          <w:szCs w:val="22"/>
          <w:lang w:eastAsia="en-US"/>
        </w:rPr>
      </w:pPr>
    </w:p>
    <w:p w14:paraId="157841DD"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yra rimtas sutrikimas, kuris turi būti gydomas ligoninėje.</w:t>
      </w:r>
    </w:p>
    <w:p w14:paraId="418371AF" w14:textId="77777777" w:rsidR="003F7CCA" w:rsidRDefault="003F7CCA">
      <w:pPr>
        <w:autoSpaceDE w:val="0"/>
        <w:autoSpaceDN w:val="0"/>
        <w:adjustRightInd w:val="0"/>
        <w:rPr>
          <w:rFonts w:eastAsiaTheme="minorHAnsi"/>
          <w:color w:val="000000"/>
          <w:sz w:val="22"/>
          <w:szCs w:val="22"/>
          <w:lang w:eastAsia="en-US"/>
        </w:rPr>
      </w:pPr>
    </w:p>
    <w:p w14:paraId="6AAD1B77"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Jums reikia atlikti didelę operaciją, turite nustoti vartoti šį vaistą procedūros metu ir kurį laiką po procedūros. Jūsų gydytojas nuspręs, kada turite nustoti ir kada vėl pradėti vartoti šį vaistą.</w:t>
      </w:r>
    </w:p>
    <w:p w14:paraId="0E039CB8" w14:textId="77777777" w:rsidR="003F7CCA" w:rsidRDefault="003F7CCA">
      <w:pPr>
        <w:autoSpaceDE w:val="0"/>
        <w:autoSpaceDN w:val="0"/>
        <w:adjustRightInd w:val="0"/>
        <w:rPr>
          <w:rFonts w:eastAsiaTheme="minorHAnsi"/>
          <w:color w:val="000000"/>
          <w:sz w:val="22"/>
          <w:szCs w:val="22"/>
          <w:lang w:eastAsia="en-US"/>
        </w:rPr>
      </w:pPr>
    </w:p>
    <w:p w14:paraId="3B9FF551" w14:textId="77777777" w:rsidR="003F7CCA" w:rsidRDefault="0080197E">
      <w:pPr>
        <w:widowControl w:val="0"/>
        <w:tabs>
          <w:tab w:val="left" w:pos="567"/>
        </w:tabs>
        <w:jc w:val="both"/>
        <w:outlineLvl w:val="3"/>
        <w:rPr>
          <w:b/>
          <w:bCs/>
          <w:snapToGrid w:val="0"/>
          <w:sz w:val="22"/>
          <w:szCs w:val="22"/>
          <w:lang w:eastAsia="x-none"/>
        </w:rPr>
      </w:pPr>
      <w:r>
        <w:rPr>
          <w:rFonts w:eastAsiaTheme="minorHAnsi"/>
          <w:color w:val="000000"/>
          <w:sz w:val="22"/>
          <w:szCs w:val="22"/>
          <w:lang w:eastAsia="en-US"/>
        </w:rPr>
        <w:t>Jeigu esate senyvo amžiaus ir (arba) Jūsų inkstų funkcija yra susilpnėjusi, gydymo šiuo vaistu metu gydytojas tikrins Jūsų inkstų funkciją mažiausiai kartą per metus arba dažniau.</w:t>
      </w:r>
    </w:p>
    <w:p w14:paraId="0293004B" w14:textId="77777777" w:rsidR="003F7CCA" w:rsidRDefault="003F7CCA">
      <w:pPr>
        <w:widowControl w:val="0"/>
        <w:tabs>
          <w:tab w:val="left" w:pos="567"/>
        </w:tabs>
        <w:jc w:val="both"/>
        <w:outlineLvl w:val="3"/>
        <w:rPr>
          <w:b/>
          <w:bCs/>
          <w:snapToGrid w:val="0"/>
          <w:sz w:val="22"/>
          <w:szCs w:val="22"/>
          <w:lang w:eastAsia="x-none"/>
        </w:rPr>
      </w:pPr>
    </w:p>
    <w:p w14:paraId="5C7EE4E2"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Vaikams ir paaugliams</w:t>
      </w:r>
    </w:p>
    <w:p w14:paraId="0B1F8F51"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Vaikams ir jaunesniems negu 18 metų paaugliams šio vaisto vartoti nerekomenduojama. Vaistas neveiksmingas 10-17 metų vaikams ir paaugliams. Nežinoma, ar šis vaistas saugus ir veiksmingas jaunesniems kaip 10 metų vaikams.</w:t>
      </w:r>
    </w:p>
    <w:p w14:paraId="54C9DF68" w14:textId="77777777" w:rsidR="003F7CCA" w:rsidRDefault="003F7CCA">
      <w:pPr>
        <w:autoSpaceDE w:val="0"/>
        <w:autoSpaceDN w:val="0"/>
        <w:adjustRightInd w:val="0"/>
        <w:rPr>
          <w:rFonts w:eastAsiaTheme="minorHAnsi"/>
          <w:color w:val="000000"/>
          <w:sz w:val="22"/>
          <w:szCs w:val="22"/>
          <w:lang w:eastAsia="en-US"/>
        </w:rPr>
      </w:pPr>
    </w:p>
    <w:p w14:paraId="5F8C6F79"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Kiti vaistai ir </w:t>
      </w:r>
      <w:proofErr w:type="spellStart"/>
      <w:r>
        <w:rPr>
          <w:rFonts w:eastAsiaTheme="minorHAnsi"/>
          <w:b/>
          <w:bCs/>
          <w:color w:val="000000"/>
          <w:sz w:val="22"/>
          <w:szCs w:val="22"/>
          <w:lang w:eastAsia="en-US"/>
        </w:rPr>
        <w:t>Lymerexo</w:t>
      </w:r>
      <w:proofErr w:type="spellEnd"/>
    </w:p>
    <w:p w14:paraId="299D54DE"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Jums reikia į kraują suleisti kontrastinės medžiagos, kurios sudėtyje yra jodo, pvz., atliekant rentgeno arba skenavimo tyrimą, prieš leidžiant arba leidimo metu turite nustoti vartoti šį vaistą. Jūsų gydytojas nuspręs, kada turite nustoti ir kada vėl pradėti vartoti šio vaisto.</w:t>
      </w:r>
    </w:p>
    <w:p w14:paraId="13CD8F4F" w14:textId="77777777" w:rsidR="003F7CCA" w:rsidRDefault="003F7CCA">
      <w:pPr>
        <w:autoSpaceDE w:val="0"/>
        <w:autoSpaceDN w:val="0"/>
        <w:adjustRightInd w:val="0"/>
        <w:rPr>
          <w:rFonts w:eastAsiaTheme="minorHAnsi"/>
          <w:color w:val="000000"/>
          <w:sz w:val="22"/>
          <w:szCs w:val="22"/>
          <w:lang w:eastAsia="en-US"/>
        </w:rPr>
      </w:pPr>
    </w:p>
    <w:p w14:paraId="4FFF8830" w14:textId="7DF1827E"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vartojate ar neseniai vartojote kitų vaistų arba dėl to nesate tikri, apie tai pasakykite savo gydytojui. Jums gali reikėti dažniau tirti gliukozės </w:t>
      </w:r>
      <w:r w:rsidR="005D7CC1">
        <w:rPr>
          <w:rFonts w:eastAsiaTheme="minorHAnsi"/>
          <w:color w:val="000000"/>
          <w:sz w:val="22"/>
          <w:szCs w:val="22"/>
          <w:lang w:eastAsia="en-US"/>
        </w:rPr>
        <w:t xml:space="preserve">koncentraciją </w:t>
      </w:r>
      <w:r>
        <w:rPr>
          <w:rFonts w:eastAsiaTheme="minorHAnsi"/>
          <w:color w:val="000000"/>
          <w:sz w:val="22"/>
          <w:szCs w:val="22"/>
          <w:lang w:eastAsia="en-US"/>
        </w:rPr>
        <w:t>kraujyje ir inkstų funkciją arba Jūsų gydytojui gali reikėti koreguoti šio vaisto dozavimą. Ypač svarbu paminėti:</w:t>
      </w:r>
    </w:p>
    <w:p w14:paraId="19188603" w14:textId="77777777" w:rsidR="003F7CCA" w:rsidRDefault="0080197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vaistus, kurie skatina šlapimo gamybą (diuretikai);</w:t>
      </w:r>
    </w:p>
    <w:p w14:paraId="5CD9DC22" w14:textId="77777777" w:rsidR="003F7CCA" w:rsidRDefault="0080197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vartojamus skausmui ir uždegimui gydyti (NVNU ir COX-2 inhibitoriai, pvz., </w:t>
      </w:r>
      <w:proofErr w:type="spellStart"/>
      <w:r>
        <w:rPr>
          <w:rFonts w:eastAsiaTheme="minorHAnsi"/>
          <w:color w:val="000000"/>
          <w:sz w:val="22"/>
          <w:szCs w:val="22"/>
          <w:lang w:eastAsia="en-US"/>
        </w:rPr>
        <w:t>ibuprofenas</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celekoksibas</w:t>
      </w:r>
      <w:proofErr w:type="spellEnd"/>
      <w:r>
        <w:rPr>
          <w:rFonts w:eastAsiaTheme="minorHAnsi"/>
          <w:color w:val="000000"/>
          <w:sz w:val="22"/>
          <w:szCs w:val="22"/>
          <w:lang w:eastAsia="en-US"/>
        </w:rPr>
        <w:t>);</w:t>
      </w:r>
    </w:p>
    <w:p w14:paraId="2CDEE34A" w14:textId="77777777" w:rsidR="003F7CCA" w:rsidRDefault="0080197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tam tikrus vaistus padidėjusiam kraujospūdžiui gydyti (AKF inhibitoriai ir </w:t>
      </w:r>
      <w:proofErr w:type="spellStart"/>
      <w:r>
        <w:rPr>
          <w:rFonts w:eastAsiaTheme="minorHAnsi"/>
          <w:color w:val="000000"/>
          <w:sz w:val="22"/>
          <w:szCs w:val="22"/>
          <w:lang w:eastAsia="en-US"/>
        </w:rPr>
        <w:t>angiotenzino</w:t>
      </w:r>
      <w:proofErr w:type="spellEnd"/>
      <w:r>
        <w:rPr>
          <w:rFonts w:eastAsiaTheme="minorHAnsi"/>
          <w:color w:val="000000"/>
          <w:sz w:val="22"/>
          <w:szCs w:val="22"/>
          <w:lang w:eastAsia="en-US"/>
        </w:rPr>
        <w:t xml:space="preserve"> II receptorių blokatoriai);</w:t>
      </w:r>
    </w:p>
    <w:p w14:paraId="7DC246AD" w14:textId="77777777" w:rsidR="003F7CCA" w:rsidRDefault="0080197E">
      <w:pPr>
        <w:numPr>
          <w:ilvl w:val="0"/>
          <w:numId w:val="12"/>
        </w:numPr>
        <w:tabs>
          <w:tab w:val="left" w:pos="567"/>
        </w:tabs>
        <w:spacing w:line="260" w:lineRule="exact"/>
        <w:ind w:left="567" w:hanging="567"/>
        <w:rPr>
          <w:sz w:val="22"/>
          <w:szCs w:val="22"/>
          <w:lang w:eastAsia="en-US"/>
        </w:rPr>
      </w:pPr>
      <w:r>
        <w:rPr>
          <w:rFonts w:eastAsiaTheme="minorHAnsi"/>
          <w:color w:val="000000"/>
          <w:sz w:val="22"/>
          <w:szCs w:val="22"/>
          <w:lang w:eastAsia="en-US"/>
        </w:rPr>
        <w:t xml:space="preserve">vaistus, kurie gali pakeisti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koncentraciją Jūsų kraujyje, ypač jei Jūsų inkstų funkcija susilpnėjusi (pvz., </w:t>
      </w:r>
      <w:proofErr w:type="spellStart"/>
      <w:r>
        <w:rPr>
          <w:rFonts w:eastAsiaTheme="minorHAnsi"/>
          <w:color w:val="000000"/>
          <w:sz w:val="22"/>
          <w:szCs w:val="22"/>
          <w:lang w:eastAsia="en-US"/>
        </w:rPr>
        <w:t>verapamilį</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rifampiciną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cimetidiną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dolutegravirą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ranolaziną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trimetoprimą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vandetanibą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izavukonazolą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krizotinibą</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olaparibą</w:t>
      </w:r>
      <w:proofErr w:type="spellEnd"/>
      <w:r>
        <w:rPr>
          <w:rFonts w:eastAsiaTheme="minorHAnsi"/>
          <w:color w:val="000000"/>
          <w:sz w:val="22"/>
          <w:szCs w:val="22"/>
          <w:lang w:eastAsia="en-US"/>
        </w:rPr>
        <w:t>);</w:t>
      </w:r>
    </w:p>
    <w:p w14:paraId="211E4EEA" w14:textId="77777777" w:rsidR="003F7CCA" w:rsidRDefault="0080197E">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karbamazepiną</w:t>
      </w:r>
      <w:proofErr w:type="spellEnd"/>
      <w:r>
        <w:rPr>
          <w:sz w:val="22"/>
          <w:szCs w:val="22"/>
          <w:lang w:eastAsia="en-US"/>
        </w:rPr>
        <w:t xml:space="preserve">, </w:t>
      </w:r>
      <w:proofErr w:type="spellStart"/>
      <w:r>
        <w:rPr>
          <w:sz w:val="22"/>
          <w:szCs w:val="22"/>
          <w:lang w:eastAsia="en-US"/>
        </w:rPr>
        <w:t>fenobarbitalį</w:t>
      </w:r>
      <w:proofErr w:type="spellEnd"/>
      <w:r>
        <w:rPr>
          <w:sz w:val="22"/>
          <w:szCs w:val="22"/>
          <w:lang w:eastAsia="en-US"/>
        </w:rPr>
        <w:t xml:space="preserve"> ar </w:t>
      </w:r>
      <w:proofErr w:type="spellStart"/>
      <w:r>
        <w:rPr>
          <w:sz w:val="22"/>
          <w:szCs w:val="22"/>
          <w:lang w:eastAsia="en-US"/>
        </w:rPr>
        <w:t>fenitoiną</w:t>
      </w:r>
      <w:proofErr w:type="spellEnd"/>
      <w:r>
        <w:rPr>
          <w:sz w:val="22"/>
          <w:szCs w:val="22"/>
          <w:lang w:eastAsia="en-US"/>
        </w:rPr>
        <w:t>. Šiais vaistais kontroliuojami traukuliai arba lėtinis skausmas;</w:t>
      </w:r>
    </w:p>
    <w:p w14:paraId="22C6286C" w14:textId="77777777" w:rsidR="003F7CCA" w:rsidRDefault="0080197E">
      <w:pPr>
        <w:numPr>
          <w:ilvl w:val="0"/>
          <w:numId w:val="12"/>
        </w:numPr>
        <w:tabs>
          <w:tab w:val="left" w:pos="567"/>
        </w:tabs>
        <w:spacing w:line="260" w:lineRule="exact"/>
        <w:ind w:left="567" w:hanging="567"/>
        <w:rPr>
          <w:sz w:val="22"/>
          <w:szCs w:val="22"/>
          <w:lang w:eastAsia="en-US"/>
        </w:rPr>
      </w:pPr>
      <w:proofErr w:type="spellStart"/>
      <w:r>
        <w:rPr>
          <w:sz w:val="22"/>
          <w:szCs w:val="22"/>
          <w:lang w:eastAsia="en-US"/>
        </w:rPr>
        <w:t>rifampiciną</w:t>
      </w:r>
      <w:proofErr w:type="spellEnd"/>
      <w:r>
        <w:rPr>
          <w:sz w:val="22"/>
          <w:szCs w:val="22"/>
          <w:lang w:eastAsia="en-US"/>
        </w:rPr>
        <w:t xml:space="preserve"> − antibiotiką, vartojamą infekcinėms ligoms, pvz., tuberkuliozei, gydyti;</w:t>
      </w:r>
    </w:p>
    <w:p w14:paraId="270980AA" w14:textId="77777777" w:rsidR="003F7CCA" w:rsidRDefault="0080197E">
      <w:pPr>
        <w:numPr>
          <w:ilvl w:val="0"/>
          <w:numId w:val="12"/>
        </w:numPr>
        <w:tabs>
          <w:tab w:val="left" w:pos="567"/>
        </w:tabs>
        <w:spacing w:line="260" w:lineRule="exact"/>
        <w:ind w:left="567" w:hanging="567"/>
        <w:rPr>
          <w:sz w:val="22"/>
          <w:szCs w:val="22"/>
          <w:lang w:eastAsia="en-US"/>
        </w:rPr>
      </w:pPr>
      <w:r>
        <w:rPr>
          <w:sz w:val="22"/>
          <w:szCs w:val="22"/>
          <w:lang w:eastAsia="en-US"/>
        </w:rPr>
        <w:t>vaistus, vartojamus su uždegimu susijusioms ligoms, pvz., astmai ir artritui gydyti (kortikosteroidai);</w:t>
      </w:r>
    </w:p>
    <w:p w14:paraId="3299D3E6" w14:textId="77777777" w:rsidR="003F7CCA" w:rsidRDefault="0080197E">
      <w:pPr>
        <w:numPr>
          <w:ilvl w:val="0"/>
          <w:numId w:val="12"/>
        </w:numPr>
        <w:tabs>
          <w:tab w:val="left" w:pos="567"/>
        </w:tabs>
        <w:spacing w:line="260" w:lineRule="exact"/>
        <w:ind w:left="567" w:hanging="567"/>
        <w:rPr>
          <w:sz w:val="22"/>
          <w:szCs w:val="22"/>
          <w:lang w:eastAsia="en-US"/>
        </w:rPr>
      </w:pPr>
      <w:r>
        <w:rPr>
          <w:sz w:val="22"/>
          <w:szCs w:val="22"/>
          <w:lang w:eastAsia="en-US"/>
        </w:rPr>
        <w:lastRenderedPageBreak/>
        <w:t>bronchus plečiančius vaistus (</w:t>
      </w:r>
      <w:r>
        <w:rPr>
          <w:color w:val="000000"/>
          <w:kern w:val="2"/>
          <w:sz w:val="22"/>
          <w:szCs w:val="22"/>
          <w:lang w:val="en-US" w:eastAsia="sl-SI"/>
          <w14:ligatures w14:val="standardContextual"/>
        </w:rPr>
        <w:t>β</w:t>
      </w:r>
      <w:r>
        <w:rPr>
          <w:sz w:val="22"/>
          <w:szCs w:val="22"/>
          <w:lang w:eastAsia="en-US"/>
        </w:rPr>
        <w:t xml:space="preserve"> </w:t>
      </w:r>
      <w:proofErr w:type="spellStart"/>
      <w:r>
        <w:rPr>
          <w:sz w:val="22"/>
          <w:szCs w:val="22"/>
          <w:lang w:eastAsia="en-US"/>
        </w:rPr>
        <w:t>simpatikomimetikus</w:t>
      </w:r>
      <w:proofErr w:type="spellEnd"/>
      <w:r>
        <w:rPr>
          <w:sz w:val="22"/>
          <w:szCs w:val="22"/>
          <w:lang w:eastAsia="en-US"/>
        </w:rPr>
        <w:t>), vartojamus bronchinei astmai gydyti;</w:t>
      </w:r>
    </w:p>
    <w:p w14:paraId="5262E5BC" w14:textId="77777777" w:rsidR="003F7CCA" w:rsidRDefault="0080197E">
      <w:pPr>
        <w:numPr>
          <w:ilvl w:val="0"/>
          <w:numId w:val="12"/>
        </w:numPr>
        <w:tabs>
          <w:tab w:val="left" w:pos="567"/>
        </w:tabs>
        <w:spacing w:line="260" w:lineRule="exact"/>
        <w:ind w:left="567" w:hanging="567"/>
        <w:rPr>
          <w:sz w:val="22"/>
          <w:szCs w:val="22"/>
          <w:lang w:eastAsia="en-US"/>
        </w:rPr>
      </w:pPr>
      <w:r>
        <w:rPr>
          <w:sz w:val="22"/>
          <w:szCs w:val="22"/>
          <w:lang w:eastAsia="en-US"/>
        </w:rPr>
        <w:t>vaistus, kuriuose yra alkoholio.</w:t>
      </w:r>
    </w:p>
    <w:p w14:paraId="37144C91" w14:textId="77777777" w:rsidR="003F7CCA" w:rsidRDefault="003F7CCA">
      <w:pPr>
        <w:widowControl w:val="0"/>
        <w:autoSpaceDE w:val="0"/>
        <w:autoSpaceDN w:val="0"/>
        <w:adjustRightInd w:val="0"/>
        <w:rPr>
          <w:sz w:val="22"/>
          <w:szCs w:val="22"/>
          <w:lang w:eastAsia="sl-SI"/>
        </w:rPr>
      </w:pPr>
    </w:p>
    <w:p w14:paraId="20CA2667" w14:textId="77777777" w:rsidR="003F7CCA" w:rsidRDefault="0080197E" w:rsidP="00A6463E">
      <w:pPr>
        <w:keepNext/>
        <w:autoSpaceDE w:val="0"/>
        <w:autoSpaceDN w:val="0"/>
        <w:adjustRightInd w:val="0"/>
        <w:rPr>
          <w:rFonts w:eastAsiaTheme="minorHAnsi"/>
          <w:color w:val="000000"/>
          <w:sz w:val="22"/>
          <w:szCs w:val="22"/>
          <w:lang w:eastAsia="en-US"/>
        </w:rPr>
      </w:pPr>
      <w:proofErr w:type="spellStart"/>
      <w:r>
        <w:rPr>
          <w:rFonts w:eastAsiaTheme="minorHAnsi"/>
          <w:b/>
          <w:bCs/>
          <w:color w:val="000000"/>
          <w:sz w:val="22"/>
          <w:szCs w:val="22"/>
          <w:lang w:eastAsia="en-US"/>
        </w:rPr>
        <w:t>Lymerexo</w:t>
      </w:r>
      <w:proofErr w:type="spellEnd"/>
      <w:r>
        <w:rPr>
          <w:rFonts w:eastAsiaTheme="minorHAnsi"/>
          <w:b/>
          <w:bCs/>
          <w:color w:val="000000"/>
          <w:sz w:val="22"/>
          <w:szCs w:val="22"/>
          <w:lang w:eastAsia="en-US"/>
        </w:rPr>
        <w:t xml:space="preserve"> vartojimas su alkoholiu</w:t>
      </w:r>
    </w:p>
    <w:p w14:paraId="062FFB16" w14:textId="77777777" w:rsidR="003F7CCA" w:rsidRDefault="0080197E" w:rsidP="00A6463E">
      <w:pPr>
        <w:keepNext/>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Vartodami šį vaistą, venkite piktnaudžiauti alkoholiu, nes tai gali padidinti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riziką (žr. skyrių „Įspėjimai ir atsargumo priemonės“).</w:t>
      </w:r>
    </w:p>
    <w:p w14:paraId="79C04146" w14:textId="77777777" w:rsidR="003F7CCA" w:rsidRDefault="003F7CCA">
      <w:pPr>
        <w:autoSpaceDE w:val="0"/>
        <w:autoSpaceDN w:val="0"/>
        <w:adjustRightInd w:val="0"/>
        <w:rPr>
          <w:rFonts w:eastAsiaTheme="minorHAnsi"/>
          <w:color w:val="000000"/>
          <w:sz w:val="22"/>
          <w:szCs w:val="22"/>
          <w:lang w:eastAsia="en-US"/>
        </w:rPr>
      </w:pPr>
    </w:p>
    <w:p w14:paraId="5F9502CE"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Nėštumas ir žindymo laikotarpis</w:t>
      </w:r>
    </w:p>
    <w:p w14:paraId="729973B9"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esate nėščia, žindote kūdikį, manote, kad galbūt esate nėščia arba planuojate pastoti, tai prieš vartodama šį vaistą pasitarkite su gydytoju arba vaistininku.</w:t>
      </w:r>
    </w:p>
    <w:p w14:paraId="03F966B7"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Jeigu esate nėščia, šio vaisto vartoti negalima. Ar šis vaistas kenksmingas negimusiam vaikui, nežinoma.</w:t>
      </w:r>
    </w:p>
    <w:p w14:paraId="11E61A2E" w14:textId="77777777" w:rsidR="003F7CCA" w:rsidRDefault="003F7CCA">
      <w:pPr>
        <w:autoSpaceDE w:val="0"/>
        <w:autoSpaceDN w:val="0"/>
        <w:adjustRightInd w:val="0"/>
        <w:rPr>
          <w:rFonts w:eastAsiaTheme="minorHAnsi"/>
          <w:color w:val="000000"/>
          <w:sz w:val="22"/>
          <w:szCs w:val="22"/>
          <w:lang w:eastAsia="en-US"/>
        </w:rPr>
      </w:pPr>
    </w:p>
    <w:p w14:paraId="438703D1"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Mažas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kiekis patenka į gydomų moterų pieną. Ar į gydomų moterų pieną patenka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nežinoma. Jeigu šio vaisto vartojimo metu norite žindyti kūdikį, pasitarkite su savo gydytoju.</w:t>
      </w:r>
    </w:p>
    <w:p w14:paraId="2DAA501A" w14:textId="77777777" w:rsidR="003F7CCA" w:rsidRDefault="003F7CCA">
      <w:pPr>
        <w:autoSpaceDE w:val="0"/>
        <w:autoSpaceDN w:val="0"/>
        <w:adjustRightInd w:val="0"/>
        <w:rPr>
          <w:rFonts w:eastAsiaTheme="minorHAnsi"/>
          <w:color w:val="000000"/>
          <w:sz w:val="22"/>
          <w:szCs w:val="22"/>
          <w:lang w:eastAsia="en-US"/>
        </w:rPr>
      </w:pPr>
    </w:p>
    <w:p w14:paraId="79CFD3DA"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Vairavimas ir mechanizmų valdymas</w:t>
      </w:r>
    </w:p>
    <w:p w14:paraId="34FF4D4E"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Šis vaistas gebėjimo vairuoti ir valdyti mechanizmus neveikia arba veikia nereikšmingai.</w:t>
      </w:r>
    </w:p>
    <w:p w14:paraId="41456D99" w14:textId="77777777" w:rsidR="003F7CCA" w:rsidRDefault="003F7CCA">
      <w:pPr>
        <w:autoSpaceDE w:val="0"/>
        <w:autoSpaceDN w:val="0"/>
        <w:adjustRightInd w:val="0"/>
        <w:rPr>
          <w:rFonts w:eastAsiaTheme="minorHAnsi"/>
          <w:color w:val="000000"/>
          <w:sz w:val="22"/>
          <w:szCs w:val="22"/>
          <w:lang w:eastAsia="en-US"/>
        </w:rPr>
      </w:pPr>
    </w:p>
    <w:p w14:paraId="1F8A4C45" w14:textId="77777777" w:rsidR="003F7CCA" w:rsidRDefault="0080197E">
      <w:pPr>
        <w:numPr>
          <w:ilvl w:val="12"/>
          <w:numId w:val="0"/>
        </w:numPr>
        <w:rPr>
          <w:rFonts w:eastAsiaTheme="minorHAnsi"/>
          <w:color w:val="000000"/>
          <w:sz w:val="22"/>
          <w:szCs w:val="22"/>
          <w:lang w:eastAsia="en-US"/>
        </w:rPr>
      </w:pPr>
      <w:r>
        <w:rPr>
          <w:rFonts w:eastAsiaTheme="minorHAnsi"/>
          <w:color w:val="000000"/>
          <w:sz w:val="22"/>
          <w:szCs w:val="22"/>
          <w:lang w:eastAsia="en-US"/>
        </w:rPr>
        <w:t xml:space="preserve">Vis dėlto šio vaisto vartojant kartu su vaistu, kuris yra </w:t>
      </w:r>
      <w:proofErr w:type="spellStart"/>
      <w:r>
        <w:rPr>
          <w:rFonts w:eastAsiaTheme="minorHAnsi"/>
          <w:color w:val="000000"/>
          <w:sz w:val="22"/>
          <w:szCs w:val="22"/>
          <w:lang w:eastAsia="en-US"/>
        </w:rPr>
        <w:t>sulfonilurėjos</w:t>
      </w:r>
      <w:proofErr w:type="spellEnd"/>
      <w:r>
        <w:rPr>
          <w:rFonts w:eastAsiaTheme="minorHAnsi"/>
          <w:color w:val="000000"/>
          <w:sz w:val="22"/>
          <w:szCs w:val="22"/>
          <w:lang w:eastAsia="en-US"/>
        </w:rPr>
        <w:t xml:space="preserve"> darinys, arba insulinu, cukraus kiekis kraujyje gali tapti per mažas (hipoglikemija) ir daryti poveikį gebėjimui vairuoti ir valdyti mechanizmus arba dirbti be saugios atramos kojoms.</w:t>
      </w:r>
    </w:p>
    <w:p w14:paraId="179CA3B3" w14:textId="77777777" w:rsidR="003F7CCA" w:rsidRDefault="003F7CCA">
      <w:pPr>
        <w:numPr>
          <w:ilvl w:val="12"/>
          <w:numId w:val="0"/>
        </w:numPr>
        <w:rPr>
          <w:snapToGrid w:val="0"/>
          <w:sz w:val="22"/>
          <w:szCs w:val="22"/>
          <w:lang w:eastAsia="en-US"/>
        </w:rPr>
      </w:pPr>
    </w:p>
    <w:p w14:paraId="6F40B914" w14:textId="77777777" w:rsidR="003F7CCA" w:rsidRDefault="0080197E">
      <w:pPr>
        <w:numPr>
          <w:ilvl w:val="12"/>
          <w:numId w:val="0"/>
        </w:numPr>
        <w:rPr>
          <w:b/>
          <w:bCs/>
          <w:snapToGrid w:val="0"/>
          <w:sz w:val="22"/>
          <w:szCs w:val="22"/>
          <w:lang w:eastAsia="x-none"/>
        </w:rPr>
      </w:pPr>
      <w:proofErr w:type="spellStart"/>
      <w:r>
        <w:rPr>
          <w:b/>
          <w:bCs/>
          <w:snapToGrid w:val="0"/>
          <w:sz w:val="22"/>
          <w:szCs w:val="22"/>
          <w:lang w:eastAsia="x-none"/>
        </w:rPr>
        <w:t>Lymerexo</w:t>
      </w:r>
      <w:proofErr w:type="spellEnd"/>
      <w:r>
        <w:rPr>
          <w:b/>
          <w:bCs/>
          <w:snapToGrid w:val="0"/>
          <w:sz w:val="22"/>
          <w:szCs w:val="22"/>
          <w:lang w:eastAsia="x-none"/>
        </w:rPr>
        <w:t xml:space="preserve"> sudėtyje yra natrio</w:t>
      </w:r>
    </w:p>
    <w:p w14:paraId="79962CAE" w14:textId="352815C2" w:rsidR="003F7CCA" w:rsidRDefault="0080197E">
      <w:pPr>
        <w:widowControl w:val="0"/>
        <w:numPr>
          <w:ilvl w:val="12"/>
          <w:numId w:val="0"/>
        </w:numPr>
        <w:ind w:right="-2"/>
        <w:rPr>
          <w:sz w:val="22"/>
          <w:szCs w:val="22"/>
          <w:lang w:eastAsia="en-US"/>
        </w:rPr>
      </w:pPr>
      <w:r>
        <w:rPr>
          <w:rFonts w:eastAsia="Calibri"/>
          <w:bCs/>
          <w:iCs/>
          <w:sz w:val="22"/>
          <w:szCs w:val="22"/>
          <w:lang w:eastAsia="en-US"/>
        </w:rPr>
        <w:t xml:space="preserve">Šio vaisto </w:t>
      </w:r>
      <w:r w:rsidR="00ED506B">
        <w:rPr>
          <w:rFonts w:eastAsia="Calibri"/>
          <w:bCs/>
          <w:iCs/>
          <w:sz w:val="22"/>
          <w:szCs w:val="22"/>
          <w:lang w:eastAsia="en-US"/>
        </w:rPr>
        <w:t>dozėje</w:t>
      </w:r>
      <w:r>
        <w:rPr>
          <w:rFonts w:eastAsia="Calibri"/>
          <w:bCs/>
          <w:iCs/>
          <w:sz w:val="22"/>
          <w:szCs w:val="22"/>
          <w:lang w:eastAsia="en-US"/>
        </w:rPr>
        <w:t xml:space="preserv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113D1B08" w14:textId="77777777" w:rsidR="003F7CCA" w:rsidRDefault="003F7CCA">
      <w:pPr>
        <w:widowControl w:val="0"/>
        <w:numPr>
          <w:ilvl w:val="12"/>
          <w:numId w:val="0"/>
        </w:numPr>
        <w:ind w:right="-2"/>
        <w:rPr>
          <w:sz w:val="22"/>
          <w:szCs w:val="22"/>
          <w:lang w:eastAsia="en-US"/>
        </w:rPr>
      </w:pPr>
    </w:p>
    <w:p w14:paraId="7042B348" w14:textId="77777777" w:rsidR="003F7CCA" w:rsidRDefault="003F7CCA">
      <w:pPr>
        <w:widowControl w:val="0"/>
        <w:numPr>
          <w:ilvl w:val="12"/>
          <w:numId w:val="0"/>
        </w:numPr>
        <w:ind w:right="-2"/>
        <w:rPr>
          <w:sz w:val="22"/>
          <w:szCs w:val="22"/>
          <w:lang w:eastAsia="en-US"/>
        </w:rPr>
      </w:pPr>
    </w:p>
    <w:p w14:paraId="49E4C5E5" w14:textId="77777777" w:rsidR="003F7CCA" w:rsidRDefault="0080197E">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Lymerexo</w:t>
      </w:r>
      <w:proofErr w:type="spellEnd"/>
    </w:p>
    <w:p w14:paraId="6888BC07" w14:textId="77777777" w:rsidR="003F7CCA" w:rsidRDefault="003F7CCA">
      <w:pPr>
        <w:widowControl w:val="0"/>
        <w:ind w:left="567" w:hanging="567"/>
        <w:rPr>
          <w:sz w:val="22"/>
          <w:szCs w:val="22"/>
          <w:lang w:eastAsia="en-US"/>
        </w:rPr>
      </w:pPr>
    </w:p>
    <w:p w14:paraId="60A25094" w14:textId="77777777" w:rsidR="003F7CCA" w:rsidRDefault="0080197E">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4DFA1728" w14:textId="77777777" w:rsidR="003F7CCA" w:rsidRDefault="003F7CCA">
      <w:pPr>
        <w:widowControl w:val="0"/>
        <w:rPr>
          <w:sz w:val="22"/>
          <w:szCs w:val="22"/>
          <w:lang w:eastAsia="sl-SI"/>
        </w:rPr>
      </w:pPr>
    </w:p>
    <w:p w14:paraId="0E5727C2"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Kiek vartoti</w:t>
      </w:r>
    </w:p>
    <w:p w14:paraId="409D093B"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Šio vaisto kiekis, kurį vartosite, priklausys nuo Jūsų būklės bei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ir (arba) atskirų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tablečių dozių, kurias Jūs šiuo metu vartojate. Jūsų gydytojas Jums tiksliai pasakys, kokią šio vaisto dozę turite vartoti.</w:t>
      </w:r>
    </w:p>
    <w:p w14:paraId="6377E869" w14:textId="77777777" w:rsidR="003F7CCA" w:rsidRDefault="003F7CCA">
      <w:pPr>
        <w:autoSpaceDE w:val="0"/>
        <w:autoSpaceDN w:val="0"/>
        <w:adjustRightInd w:val="0"/>
        <w:rPr>
          <w:rFonts w:eastAsiaTheme="minorHAnsi"/>
          <w:color w:val="000000"/>
          <w:sz w:val="22"/>
          <w:szCs w:val="22"/>
          <w:lang w:eastAsia="en-US"/>
        </w:rPr>
      </w:pPr>
    </w:p>
    <w:p w14:paraId="0A1BE508" w14:textId="77777777" w:rsidR="003F7CCA" w:rsidRDefault="0080197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Kaip šio vaisto vartoti</w:t>
      </w:r>
    </w:p>
    <w:p w14:paraId="6B2E120F" w14:textId="77777777" w:rsidR="003F7CCA" w:rsidRPr="00A6463E" w:rsidRDefault="0080197E">
      <w:pPr>
        <w:numPr>
          <w:ilvl w:val="0"/>
          <w:numId w:val="20"/>
        </w:numPr>
        <w:spacing w:after="15" w:line="248" w:lineRule="auto"/>
        <w:ind w:right="11" w:hanging="566"/>
        <w:rPr>
          <w:color w:val="000000"/>
          <w:kern w:val="2"/>
          <w:sz w:val="22"/>
          <w:szCs w:val="22"/>
          <w:lang w:eastAsia="sl-SI"/>
          <w14:ligatures w14:val="standardContextual"/>
        </w:rPr>
      </w:pPr>
      <w:r>
        <w:rPr>
          <w:rFonts w:eastAsiaTheme="minorHAnsi"/>
          <w:color w:val="000000"/>
          <w:sz w:val="22"/>
          <w:szCs w:val="22"/>
          <w:lang w:eastAsia="en-US"/>
        </w:rPr>
        <w:t>po vieną tabletę Jūsų gydytojo skirtos dozės 2 kartus per parą per burną;</w:t>
      </w:r>
    </w:p>
    <w:p w14:paraId="6177C574" w14:textId="77777777" w:rsidR="003F7CCA" w:rsidRPr="00A6463E" w:rsidRDefault="0080197E">
      <w:pPr>
        <w:numPr>
          <w:ilvl w:val="0"/>
          <w:numId w:val="20"/>
        </w:numPr>
        <w:spacing w:after="15" w:line="248" w:lineRule="auto"/>
        <w:ind w:right="11" w:hanging="566"/>
        <w:rPr>
          <w:color w:val="000000"/>
          <w:kern w:val="2"/>
          <w:sz w:val="22"/>
          <w:szCs w:val="22"/>
          <w:lang w:eastAsia="sl-SI"/>
          <w14:ligatures w14:val="standardContextual"/>
        </w:rPr>
      </w:pPr>
      <w:r>
        <w:rPr>
          <w:rFonts w:eastAsiaTheme="minorHAnsi"/>
          <w:color w:val="000000"/>
          <w:sz w:val="22"/>
          <w:szCs w:val="22"/>
          <w:lang w:eastAsia="en-US"/>
        </w:rPr>
        <w:t>valgio metu, kad sumažėtų skrandžio veikos sutrikimų galimybė.</w:t>
      </w:r>
    </w:p>
    <w:p w14:paraId="4ADEE4A8" w14:textId="77777777" w:rsidR="003F7CCA" w:rsidRDefault="003F7CCA">
      <w:pPr>
        <w:autoSpaceDE w:val="0"/>
        <w:autoSpaceDN w:val="0"/>
        <w:adjustRightInd w:val="0"/>
        <w:rPr>
          <w:rFonts w:eastAsiaTheme="minorHAnsi"/>
          <w:color w:val="000000"/>
          <w:sz w:val="22"/>
          <w:szCs w:val="22"/>
          <w:lang w:eastAsia="en-US"/>
        </w:rPr>
      </w:pPr>
    </w:p>
    <w:p w14:paraId="63F6E1FD"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Turite neviršyti didžiausios rekomenduojamos 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2 000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 paros dozės.</w:t>
      </w:r>
    </w:p>
    <w:p w14:paraId="11488267" w14:textId="77777777" w:rsidR="003F7CCA" w:rsidRDefault="003F7CCA">
      <w:pPr>
        <w:autoSpaceDE w:val="0"/>
        <w:autoSpaceDN w:val="0"/>
        <w:adjustRightInd w:val="0"/>
        <w:rPr>
          <w:rFonts w:eastAsiaTheme="minorHAnsi"/>
          <w:color w:val="000000"/>
          <w:sz w:val="22"/>
          <w:szCs w:val="22"/>
          <w:lang w:eastAsia="en-US"/>
        </w:rPr>
      </w:pPr>
    </w:p>
    <w:p w14:paraId="25BF5494" w14:textId="5DD7823A"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Šio vaisto vartokite tiek laiko, kiek Jūsų gydytojo skirta, kadangi tai padės </w:t>
      </w:r>
      <w:r w:rsidR="00615D06">
        <w:rPr>
          <w:rFonts w:eastAsiaTheme="minorHAnsi"/>
          <w:color w:val="000000"/>
          <w:sz w:val="22"/>
          <w:szCs w:val="22"/>
          <w:lang w:eastAsia="en-US"/>
        </w:rPr>
        <w:t xml:space="preserve">sureguliuoti </w:t>
      </w:r>
      <w:r>
        <w:rPr>
          <w:rFonts w:eastAsiaTheme="minorHAnsi"/>
          <w:color w:val="000000"/>
          <w:sz w:val="22"/>
          <w:szCs w:val="22"/>
          <w:lang w:eastAsia="en-US"/>
        </w:rPr>
        <w:t xml:space="preserve">cukraus kiekį Jūsų kraujyje. Jūsų gydytojas Jums gali skirti kartu su šiuo vaistu vartoti kitokio geriamojo </w:t>
      </w:r>
      <w:proofErr w:type="spellStart"/>
      <w:r>
        <w:rPr>
          <w:rFonts w:eastAsiaTheme="minorHAnsi"/>
          <w:color w:val="000000"/>
          <w:sz w:val="22"/>
          <w:szCs w:val="22"/>
          <w:lang w:eastAsia="en-US"/>
        </w:rPr>
        <w:t>priešdiabetinio</w:t>
      </w:r>
      <w:proofErr w:type="spellEnd"/>
      <w:r>
        <w:rPr>
          <w:rFonts w:eastAsiaTheme="minorHAnsi"/>
          <w:color w:val="000000"/>
          <w:sz w:val="22"/>
          <w:szCs w:val="22"/>
          <w:lang w:eastAsia="en-US"/>
        </w:rPr>
        <w:t xml:space="preserve"> vaisto arba insulino. Neužmirškite visus vaistus vartoti taip, kaip Jūsų gydytojo nurodyta, kad gydymo rezultatai Jūsų sveikatai būtų geriausi.</w:t>
      </w:r>
    </w:p>
    <w:p w14:paraId="381C7D38" w14:textId="77777777" w:rsidR="003F7CCA" w:rsidRDefault="003F7CCA">
      <w:pPr>
        <w:autoSpaceDE w:val="0"/>
        <w:autoSpaceDN w:val="0"/>
        <w:adjustRightInd w:val="0"/>
        <w:rPr>
          <w:rFonts w:eastAsiaTheme="minorHAnsi"/>
          <w:color w:val="000000"/>
          <w:sz w:val="22"/>
          <w:szCs w:val="22"/>
          <w:lang w:eastAsia="en-US"/>
        </w:rPr>
      </w:pPr>
    </w:p>
    <w:p w14:paraId="37FCA3D0" w14:textId="77777777" w:rsidR="003F7CCA" w:rsidRDefault="0080197E">
      <w:pPr>
        <w:widowControl w:val="0"/>
        <w:numPr>
          <w:ilvl w:val="12"/>
          <w:numId w:val="0"/>
        </w:numPr>
        <w:ind w:right="-2"/>
        <w:rPr>
          <w:rFonts w:eastAsiaTheme="minorHAnsi"/>
          <w:color w:val="000000"/>
          <w:sz w:val="22"/>
          <w:szCs w:val="22"/>
          <w:lang w:eastAsia="en-US"/>
        </w:rPr>
      </w:pPr>
      <w:r>
        <w:rPr>
          <w:rFonts w:eastAsiaTheme="minorHAnsi"/>
          <w:color w:val="000000"/>
          <w:sz w:val="22"/>
          <w:szCs w:val="22"/>
          <w:lang w:eastAsia="en-US"/>
        </w:rPr>
        <w:t xml:space="preserve">Gydymo šiuo vaistu metu turite toliau laikytis dietos ir pasirūpinti, kad Jūsų angliavandenių vartojimas būtų vienodai paskirstytas per visą dieną. Jeigu turite antsvorio, laikykitės energiją ribojančios dietos taip, kaip nurodyta. Vartojant vien šio vaisto, nenormaliai mažas cukraus kiekis kraujyje (hipoglikemija) nėra tikėtinas. Šį vaistą vartojant kartu su </w:t>
      </w:r>
      <w:proofErr w:type="spellStart"/>
      <w:r>
        <w:rPr>
          <w:rFonts w:eastAsiaTheme="minorHAnsi"/>
          <w:color w:val="000000"/>
          <w:sz w:val="22"/>
          <w:szCs w:val="22"/>
          <w:lang w:eastAsia="en-US"/>
        </w:rPr>
        <w:t>sulfonilurėjos</w:t>
      </w:r>
      <w:proofErr w:type="spellEnd"/>
      <w:r>
        <w:rPr>
          <w:rFonts w:eastAsiaTheme="minorHAnsi"/>
          <w:color w:val="000000"/>
          <w:sz w:val="22"/>
          <w:szCs w:val="22"/>
          <w:lang w:eastAsia="en-US"/>
        </w:rPr>
        <w:t xml:space="preserve"> dariniu arba insulinu, mažas </w:t>
      </w:r>
      <w:r>
        <w:rPr>
          <w:sz w:val="22"/>
          <w:szCs w:val="22"/>
        </w:rPr>
        <w:t xml:space="preserve">cukraus kiekis kraujyje galimas ir tokiu atveju Jūsų gydytojas gali mažinti </w:t>
      </w:r>
      <w:proofErr w:type="spellStart"/>
      <w:r>
        <w:rPr>
          <w:sz w:val="22"/>
          <w:szCs w:val="22"/>
        </w:rPr>
        <w:t>sulfonilurėjos</w:t>
      </w:r>
      <w:proofErr w:type="spellEnd"/>
      <w:r>
        <w:rPr>
          <w:sz w:val="22"/>
          <w:szCs w:val="22"/>
        </w:rPr>
        <w:t xml:space="preserve"> darinio arba insulino dozę.</w:t>
      </w:r>
    </w:p>
    <w:p w14:paraId="72252D90" w14:textId="77777777" w:rsidR="003F7CCA" w:rsidRDefault="003F7CCA">
      <w:pPr>
        <w:widowControl w:val="0"/>
        <w:numPr>
          <w:ilvl w:val="12"/>
          <w:numId w:val="0"/>
        </w:numPr>
        <w:ind w:right="-2"/>
        <w:rPr>
          <w:rFonts w:eastAsiaTheme="minorHAnsi"/>
          <w:color w:val="000000"/>
          <w:sz w:val="22"/>
          <w:szCs w:val="22"/>
          <w:lang w:eastAsia="en-US"/>
        </w:rPr>
      </w:pPr>
    </w:p>
    <w:p w14:paraId="1751E6B3"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Ką daryti pavartojus per didelę </w:t>
      </w:r>
      <w:proofErr w:type="spellStart"/>
      <w:r>
        <w:rPr>
          <w:rFonts w:eastAsiaTheme="minorHAnsi"/>
          <w:b/>
          <w:bCs/>
          <w:color w:val="000000"/>
          <w:sz w:val="22"/>
          <w:szCs w:val="22"/>
          <w:lang w:eastAsia="en-US"/>
        </w:rPr>
        <w:t>Lymerexo</w:t>
      </w:r>
      <w:proofErr w:type="spellEnd"/>
      <w:r>
        <w:rPr>
          <w:rFonts w:eastAsiaTheme="minorHAnsi"/>
          <w:b/>
          <w:bCs/>
          <w:color w:val="000000"/>
          <w:sz w:val="22"/>
          <w:szCs w:val="22"/>
          <w:lang w:eastAsia="en-US"/>
        </w:rPr>
        <w:t xml:space="preserve"> dozę?</w:t>
      </w:r>
    </w:p>
    <w:p w14:paraId="3C0C1E65" w14:textId="77777777" w:rsidR="003F7CCA" w:rsidRDefault="0080197E">
      <w:pPr>
        <w:autoSpaceDE w:val="0"/>
        <w:autoSpaceDN w:val="0"/>
        <w:adjustRightInd w:val="0"/>
        <w:rPr>
          <w:rFonts w:eastAsiaTheme="minorHAnsi"/>
          <w:b/>
          <w:bCs/>
          <w:color w:val="000000"/>
          <w:sz w:val="22"/>
          <w:szCs w:val="22"/>
          <w:lang w:eastAsia="en-US"/>
        </w:rPr>
      </w:pPr>
      <w:r>
        <w:rPr>
          <w:rFonts w:eastAsiaTheme="minorHAnsi"/>
          <w:color w:val="000000"/>
          <w:sz w:val="22"/>
          <w:szCs w:val="22"/>
          <w:lang w:eastAsia="en-US"/>
        </w:rPr>
        <w:t xml:space="preserve">Jei pavartojote daugiau šio vaisto tablečių, negu reikėjo, Jums gali pasireikšti pieno rūgšties </w:t>
      </w:r>
      <w:proofErr w:type="spellStart"/>
      <w:r>
        <w:rPr>
          <w:rFonts w:eastAsiaTheme="minorHAnsi"/>
          <w:color w:val="000000"/>
          <w:sz w:val="22"/>
          <w:szCs w:val="22"/>
          <w:lang w:eastAsia="en-US"/>
        </w:rPr>
        <w:t>acidozė</w:t>
      </w:r>
      <w:proofErr w:type="spellEnd"/>
      <w:r>
        <w:rPr>
          <w:rFonts w:eastAsiaTheme="minorHAnsi"/>
          <w:color w:val="000000"/>
          <w:sz w:val="22"/>
          <w:szCs w:val="22"/>
          <w:lang w:eastAsia="en-US"/>
        </w:rPr>
        <w:t xml:space="preserve">.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simptomai nespecifiniai, pvz., pykinimo jausmas arba labai didelis pykinimas, vėmimas, pilvo skausmas su raumenų spazmais, bendra bloga savijauta ir didelis nuovargis bei kvėpavimo sunkumas. Kiti simptomai yra sumažėjusi kūno temperatūra ir širdies plakimas. </w:t>
      </w:r>
      <w:r>
        <w:rPr>
          <w:rFonts w:eastAsiaTheme="minorHAnsi"/>
          <w:b/>
          <w:bCs/>
          <w:color w:val="000000"/>
          <w:sz w:val="22"/>
          <w:szCs w:val="22"/>
          <w:lang w:eastAsia="en-US"/>
        </w:rPr>
        <w:t xml:space="preserve">Jei taip atsitiktų Jums, gali prireikti neatidėliotino gydymo ligoninėje, nes pieno rūgšties </w:t>
      </w:r>
      <w:proofErr w:type="spellStart"/>
      <w:r>
        <w:rPr>
          <w:rFonts w:eastAsiaTheme="minorHAnsi"/>
          <w:b/>
          <w:bCs/>
          <w:color w:val="000000"/>
          <w:sz w:val="22"/>
          <w:szCs w:val="22"/>
          <w:lang w:eastAsia="en-US"/>
        </w:rPr>
        <w:t>acidozė</w:t>
      </w:r>
      <w:proofErr w:type="spellEnd"/>
      <w:r>
        <w:rPr>
          <w:rFonts w:eastAsiaTheme="minorHAnsi"/>
          <w:b/>
          <w:bCs/>
          <w:color w:val="000000"/>
          <w:sz w:val="22"/>
          <w:szCs w:val="22"/>
          <w:lang w:eastAsia="en-US"/>
        </w:rPr>
        <w:t xml:space="preserve"> gali sukelti komą. Nedelsdami nustokite vartoti šį vaistą ir tuoj pat susisiekite su gydytoju ar vykite į artimiausią ligoninę (žr. 2 skyrių). Su savimi pasiimkite vaisto pakuotę.</w:t>
      </w:r>
    </w:p>
    <w:p w14:paraId="37F6D977" w14:textId="77777777" w:rsidR="003F7CCA" w:rsidRDefault="003F7CCA">
      <w:pPr>
        <w:autoSpaceDE w:val="0"/>
        <w:autoSpaceDN w:val="0"/>
        <w:adjustRightInd w:val="0"/>
        <w:rPr>
          <w:rFonts w:eastAsiaTheme="minorHAnsi"/>
          <w:color w:val="000000"/>
          <w:sz w:val="22"/>
          <w:szCs w:val="22"/>
          <w:lang w:eastAsia="en-US"/>
        </w:rPr>
      </w:pPr>
    </w:p>
    <w:p w14:paraId="14017CBB"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Pamiršus pavartoti </w:t>
      </w:r>
      <w:proofErr w:type="spellStart"/>
      <w:r>
        <w:rPr>
          <w:rFonts w:eastAsiaTheme="minorHAnsi"/>
          <w:b/>
          <w:bCs/>
          <w:color w:val="000000"/>
          <w:sz w:val="22"/>
          <w:szCs w:val="22"/>
          <w:lang w:eastAsia="en-US"/>
        </w:rPr>
        <w:t>Lymerexo</w:t>
      </w:r>
      <w:proofErr w:type="spellEnd"/>
    </w:p>
    <w:p w14:paraId="181AC4E3"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Jeigu įprastiniu laiku dozę išgerti pamiršote, gerkite ją tuoj pat, kai tik prisiminsite. Vis dėlto jeigu jau bus beveik atėjęs laikas vartoti kitą dozę, pamirštąją dozę praleiskite. Negalima vartoti dvigubos dozės norint kompensuoti praleistą dozę. Dviejų dozių tuo pačiu metu (ryte arba vakare) niekada negerkite. </w:t>
      </w:r>
    </w:p>
    <w:p w14:paraId="55FFFFB8" w14:textId="77777777" w:rsidR="003F7CCA" w:rsidRDefault="003F7CCA">
      <w:pPr>
        <w:autoSpaceDE w:val="0"/>
        <w:autoSpaceDN w:val="0"/>
        <w:adjustRightInd w:val="0"/>
        <w:rPr>
          <w:rFonts w:eastAsiaTheme="minorHAnsi"/>
          <w:b/>
          <w:bCs/>
          <w:color w:val="000000"/>
          <w:sz w:val="22"/>
          <w:szCs w:val="22"/>
          <w:lang w:eastAsia="en-US"/>
        </w:rPr>
      </w:pPr>
    </w:p>
    <w:p w14:paraId="59022C14" w14:textId="77777777" w:rsidR="003F7CCA" w:rsidRDefault="0080197E">
      <w:pPr>
        <w:autoSpaceDE w:val="0"/>
        <w:autoSpaceDN w:val="0"/>
        <w:adjustRightInd w:val="0"/>
        <w:rPr>
          <w:rFonts w:eastAsiaTheme="minorHAnsi"/>
          <w:b/>
          <w:bCs/>
          <w:color w:val="000000"/>
          <w:sz w:val="22"/>
          <w:szCs w:val="22"/>
          <w:lang w:eastAsia="en-US"/>
        </w:rPr>
      </w:pPr>
      <w:r>
        <w:rPr>
          <w:rFonts w:eastAsiaTheme="minorHAnsi"/>
          <w:b/>
          <w:bCs/>
          <w:color w:val="000000"/>
          <w:sz w:val="22"/>
          <w:szCs w:val="22"/>
          <w:lang w:eastAsia="en-US"/>
        </w:rPr>
        <w:t xml:space="preserve">Nustojus vartoti </w:t>
      </w:r>
      <w:proofErr w:type="spellStart"/>
      <w:r>
        <w:rPr>
          <w:rFonts w:eastAsiaTheme="minorHAnsi"/>
          <w:b/>
          <w:bCs/>
          <w:color w:val="000000"/>
          <w:sz w:val="22"/>
          <w:szCs w:val="22"/>
          <w:lang w:eastAsia="en-US"/>
        </w:rPr>
        <w:t>Lymerexo</w:t>
      </w:r>
      <w:proofErr w:type="spellEnd"/>
    </w:p>
    <w:p w14:paraId="4361ED3B"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Šį vaistą vartokite tol, kol Jūsų gydytojas lieps jo vartojimą nutraukti. Tai padės palaikyti cukraus kiekio kontrolę Jūsų kraujyje.</w:t>
      </w:r>
    </w:p>
    <w:p w14:paraId="1ED6D4D7" w14:textId="77777777" w:rsidR="003F7CCA" w:rsidRDefault="003F7CCA">
      <w:pPr>
        <w:autoSpaceDE w:val="0"/>
        <w:autoSpaceDN w:val="0"/>
        <w:adjustRightInd w:val="0"/>
        <w:rPr>
          <w:rFonts w:eastAsiaTheme="minorHAnsi"/>
          <w:color w:val="000000"/>
          <w:sz w:val="22"/>
          <w:szCs w:val="22"/>
          <w:lang w:eastAsia="en-US"/>
        </w:rPr>
      </w:pPr>
    </w:p>
    <w:p w14:paraId="32AFFEDE" w14:textId="77777777" w:rsidR="003F7CCA" w:rsidRDefault="0080197E">
      <w:pPr>
        <w:widowControl w:val="0"/>
        <w:numPr>
          <w:ilvl w:val="12"/>
          <w:numId w:val="0"/>
        </w:numPr>
        <w:ind w:right="-2"/>
        <w:rPr>
          <w:sz w:val="22"/>
          <w:szCs w:val="22"/>
          <w:lang w:eastAsia="en-US"/>
        </w:rPr>
      </w:pPr>
      <w:r>
        <w:rPr>
          <w:rFonts w:eastAsiaTheme="minorHAnsi"/>
          <w:color w:val="000000"/>
          <w:sz w:val="22"/>
          <w:szCs w:val="22"/>
          <w:lang w:eastAsia="en-US"/>
        </w:rPr>
        <w:t>Jeigu kiltų daugiau klausimų dėl šio vaisto vartojimo, kreipkitės į gydytoją, vaistininką arba slaugytoją.</w:t>
      </w:r>
    </w:p>
    <w:p w14:paraId="24D15E6C" w14:textId="77777777" w:rsidR="003F7CCA" w:rsidRDefault="003F7CCA">
      <w:pPr>
        <w:widowControl w:val="0"/>
        <w:numPr>
          <w:ilvl w:val="12"/>
          <w:numId w:val="0"/>
        </w:numPr>
        <w:ind w:right="-2"/>
        <w:rPr>
          <w:sz w:val="22"/>
          <w:szCs w:val="22"/>
          <w:lang w:eastAsia="en-US"/>
        </w:rPr>
      </w:pPr>
    </w:p>
    <w:p w14:paraId="0F200B90" w14:textId="77777777" w:rsidR="003F7CCA" w:rsidRDefault="003F7CCA">
      <w:pPr>
        <w:widowControl w:val="0"/>
        <w:numPr>
          <w:ilvl w:val="12"/>
          <w:numId w:val="0"/>
        </w:numPr>
        <w:ind w:right="-2"/>
        <w:rPr>
          <w:sz w:val="22"/>
          <w:szCs w:val="22"/>
          <w:lang w:eastAsia="en-US"/>
        </w:rPr>
      </w:pPr>
    </w:p>
    <w:p w14:paraId="5B683AE0" w14:textId="77777777" w:rsidR="003F7CCA" w:rsidRDefault="0080197E">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48A7799E" w14:textId="77777777" w:rsidR="003F7CCA" w:rsidRDefault="003F7CCA">
      <w:pPr>
        <w:widowControl w:val="0"/>
        <w:ind w:left="567" w:hanging="567"/>
        <w:rPr>
          <w:sz w:val="22"/>
          <w:szCs w:val="22"/>
          <w:lang w:eastAsia="en-US"/>
        </w:rPr>
      </w:pPr>
    </w:p>
    <w:p w14:paraId="5BF17EDC" w14:textId="2FABC13D" w:rsidR="003F7CCA" w:rsidRDefault="0080197E">
      <w:pPr>
        <w:widowControl w:val="0"/>
        <w:autoSpaceDE w:val="0"/>
        <w:autoSpaceDN w:val="0"/>
        <w:adjustRightInd w:val="0"/>
        <w:rPr>
          <w:snapToGrid w:val="0"/>
          <w:sz w:val="22"/>
          <w:szCs w:val="20"/>
          <w:lang w:eastAsia="en-US"/>
        </w:rPr>
      </w:pPr>
      <w:r>
        <w:rPr>
          <w:sz w:val="22"/>
          <w:szCs w:val="22"/>
          <w:lang w:eastAsia="en-US"/>
        </w:rPr>
        <w:t xml:space="preserve">Šis vaistas, kaip ir visi kiti, gali sukelti šalutinį poveikį, nors jis pasireiškia ne visiems </w:t>
      </w:r>
      <w:r w:rsidR="00463CEE">
        <w:rPr>
          <w:sz w:val="22"/>
          <w:szCs w:val="22"/>
          <w:lang w:eastAsia="en-US"/>
        </w:rPr>
        <w:t>pacientams</w:t>
      </w:r>
      <w:r>
        <w:rPr>
          <w:sz w:val="22"/>
          <w:szCs w:val="22"/>
          <w:lang w:eastAsia="en-US"/>
        </w:rPr>
        <w:t>.</w:t>
      </w:r>
    </w:p>
    <w:p w14:paraId="5A9C9D4E" w14:textId="77777777" w:rsidR="003F7CCA" w:rsidRDefault="003F7CCA">
      <w:pPr>
        <w:widowControl w:val="0"/>
        <w:tabs>
          <w:tab w:val="left" w:pos="1296"/>
        </w:tabs>
        <w:snapToGrid w:val="0"/>
        <w:rPr>
          <w:sz w:val="22"/>
          <w:szCs w:val="22"/>
          <w:lang w:eastAsia="sl-SI"/>
        </w:rPr>
      </w:pPr>
    </w:p>
    <w:p w14:paraId="454B9BF1"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Pasireiškus kai kuriems simptomams, būtina neatidėliotina gydytojo pagalba</w:t>
      </w:r>
    </w:p>
    <w:p w14:paraId="00AA47E4"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Šio vaisto vartojimą turite nutraukti ir tuoj pat kreiptis į savo gydytoją, jeigu atsirado šių mažo cukraus kiekio kraujyje (hipoglikemijos) simptomų: drebulys, prakaitavimas, nerimas, neryškus daiktų matymas, lūpų dilgčiojimas, išblyškimas, nuotaikos pokytis ar sumišimas. Hipoglikemija (labai dažnai (gali pasireikšti ne rečiau kaip 1 iš 10 asmenų)) yra nustatytas šalutinis poveikis gydant šio vaisto deriniu su </w:t>
      </w:r>
      <w:proofErr w:type="spellStart"/>
      <w:r>
        <w:rPr>
          <w:rFonts w:eastAsiaTheme="minorHAnsi"/>
          <w:color w:val="000000"/>
          <w:sz w:val="22"/>
          <w:szCs w:val="22"/>
          <w:lang w:eastAsia="en-US"/>
        </w:rPr>
        <w:t>sulfonilurėja</w:t>
      </w:r>
      <w:proofErr w:type="spellEnd"/>
      <w:r>
        <w:rPr>
          <w:rFonts w:eastAsiaTheme="minorHAnsi"/>
          <w:color w:val="000000"/>
          <w:sz w:val="22"/>
          <w:szCs w:val="22"/>
          <w:lang w:eastAsia="en-US"/>
        </w:rPr>
        <w:t xml:space="preserve"> ir šio vaisto deriniu su insulinu.</w:t>
      </w:r>
    </w:p>
    <w:p w14:paraId="1F94B96A" w14:textId="77777777" w:rsidR="003F7CCA" w:rsidRDefault="003F7CCA">
      <w:pPr>
        <w:autoSpaceDE w:val="0"/>
        <w:autoSpaceDN w:val="0"/>
        <w:adjustRightInd w:val="0"/>
        <w:rPr>
          <w:rFonts w:eastAsiaTheme="minorHAnsi"/>
          <w:color w:val="000000"/>
          <w:sz w:val="22"/>
          <w:szCs w:val="22"/>
          <w:lang w:eastAsia="en-US"/>
        </w:rPr>
      </w:pPr>
    </w:p>
    <w:p w14:paraId="2799EB35"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Šis vaistas gali sukelti labai retą (gali pasireikšti rečiau kaip 1 iš 10 000 asmenų), tačiau labai sunkų šalutinį poveikį, vadinamą pieno rūgšties </w:t>
      </w:r>
      <w:proofErr w:type="spellStart"/>
      <w:r>
        <w:rPr>
          <w:rFonts w:eastAsiaTheme="minorHAnsi"/>
          <w:color w:val="000000"/>
          <w:sz w:val="22"/>
          <w:szCs w:val="22"/>
          <w:lang w:eastAsia="en-US"/>
        </w:rPr>
        <w:t>acidoze</w:t>
      </w:r>
      <w:proofErr w:type="spellEnd"/>
      <w:r>
        <w:rPr>
          <w:rFonts w:eastAsiaTheme="minorHAnsi"/>
          <w:color w:val="000000"/>
          <w:sz w:val="22"/>
          <w:szCs w:val="22"/>
          <w:lang w:eastAsia="en-US"/>
        </w:rPr>
        <w:t xml:space="preserve"> (žr. skyrių „Įspėjimai ir atsargumo priemonės“).</w:t>
      </w:r>
    </w:p>
    <w:p w14:paraId="56E10B1C"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Tokiu atveju turite </w:t>
      </w:r>
      <w:r>
        <w:rPr>
          <w:rFonts w:eastAsiaTheme="minorHAnsi"/>
          <w:b/>
          <w:bCs/>
          <w:color w:val="000000"/>
          <w:sz w:val="22"/>
          <w:szCs w:val="22"/>
          <w:lang w:eastAsia="en-US"/>
        </w:rPr>
        <w:t>nustoti vartoti šį vaistą ir nedelsdami kreiptis į gydytoją arba artimiausią ligoninę</w:t>
      </w:r>
      <w:r>
        <w:rPr>
          <w:rFonts w:eastAsiaTheme="minorHAnsi"/>
          <w:color w:val="000000"/>
          <w:sz w:val="22"/>
          <w:szCs w:val="22"/>
          <w:lang w:eastAsia="en-US"/>
        </w:rPr>
        <w:t xml:space="preserve">, nes pieno rūgšties </w:t>
      </w:r>
      <w:proofErr w:type="spellStart"/>
      <w:r>
        <w:rPr>
          <w:rFonts w:eastAsiaTheme="minorHAnsi"/>
          <w:color w:val="000000"/>
          <w:sz w:val="22"/>
          <w:szCs w:val="22"/>
          <w:lang w:eastAsia="en-US"/>
        </w:rPr>
        <w:t>acidozės</w:t>
      </w:r>
      <w:proofErr w:type="spellEnd"/>
      <w:r>
        <w:rPr>
          <w:rFonts w:eastAsiaTheme="minorHAnsi"/>
          <w:color w:val="000000"/>
          <w:sz w:val="22"/>
          <w:szCs w:val="22"/>
          <w:lang w:eastAsia="en-US"/>
        </w:rPr>
        <w:t xml:space="preserve"> gali sukelti komą.</w:t>
      </w:r>
    </w:p>
    <w:p w14:paraId="127411DF" w14:textId="77777777" w:rsidR="003F7CCA" w:rsidRDefault="003F7CCA">
      <w:pPr>
        <w:autoSpaceDE w:val="0"/>
        <w:autoSpaceDN w:val="0"/>
        <w:adjustRightInd w:val="0"/>
        <w:rPr>
          <w:rFonts w:eastAsiaTheme="minorHAnsi"/>
          <w:color w:val="000000"/>
          <w:sz w:val="22"/>
          <w:szCs w:val="22"/>
          <w:lang w:eastAsia="en-US"/>
        </w:rPr>
      </w:pPr>
    </w:p>
    <w:p w14:paraId="09DE47F8"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Kai kuriems pacientams pasireiškė kasos uždegimas (pankreatitas; retas: gali pasireikšti rečiau kaip 1 iš 1 000 asmenų). </w:t>
      </w:r>
    </w:p>
    <w:p w14:paraId="2F7BB229" w14:textId="77777777" w:rsidR="003F7CCA" w:rsidRDefault="0080197E">
      <w:pPr>
        <w:numPr>
          <w:ilvl w:val="12"/>
          <w:numId w:val="0"/>
        </w:numPr>
        <w:rPr>
          <w:rFonts w:eastAsiaTheme="minorHAnsi"/>
          <w:color w:val="000000"/>
          <w:sz w:val="22"/>
          <w:szCs w:val="22"/>
          <w:lang w:eastAsia="en-US"/>
        </w:rPr>
      </w:pPr>
      <w:r>
        <w:rPr>
          <w:rFonts w:eastAsiaTheme="minorHAnsi"/>
          <w:color w:val="000000"/>
          <w:sz w:val="22"/>
          <w:szCs w:val="22"/>
          <w:lang w:eastAsia="en-US"/>
        </w:rPr>
        <w:t>NUSTOKITE vartoję šį vaistą ir nedelsdami kreipkitės į gydytoją, jei Jums pasireiškė bet kuris toliau nurodytas šalutinis poveikis:</w:t>
      </w:r>
    </w:p>
    <w:p w14:paraId="376EAA28" w14:textId="77777777" w:rsidR="003F7CCA" w:rsidRDefault="0080197E">
      <w:pPr>
        <w:numPr>
          <w:ilvl w:val="0"/>
          <w:numId w:val="12"/>
        </w:numPr>
        <w:tabs>
          <w:tab w:val="left" w:pos="567"/>
        </w:tabs>
        <w:spacing w:line="260" w:lineRule="exact"/>
        <w:ind w:left="567" w:hanging="567"/>
        <w:rPr>
          <w:bCs/>
          <w:snapToGrid w:val="0"/>
          <w:sz w:val="22"/>
          <w:szCs w:val="22"/>
          <w:lang w:eastAsia="en-US"/>
        </w:rPr>
      </w:pPr>
      <w:r>
        <w:rPr>
          <w:bCs/>
          <w:snapToGrid w:val="0"/>
          <w:color w:val="000000"/>
          <w:sz w:val="22"/>
          <w:szCs w:val="22"/>
          <w:lang w:eastAsia="en-US"/>
        </w:rPr>
        <w:t>stiprus ir nuolatinis pilvo skausmas (skrandžio srityje), kuris gali plisti į nugarą, taip pat pykinimas ir vėmimas, nes tai gali būti kasos uždegimo (pankreatito) požymiai.</w:t>
      </w:r>
    </w:p>
    <w:p w14:paraId="2B82A383" w14:textId="77777777" w:rsidR="003F7CCA" w:rsidRDefault="003F7CCA">
      <w:pPr>
        <w:tabs>
          <w:tab w:val="left" w:pos="567"/>
        </w:tabs>
        <w:spacing w:line="260" w:lineRule="exact"/>
        <w:rPr>
          <w:bCs/>
          <w:snapToGrid w:val="0"/>
          <w:sz w:val="22"/>
          <w:szCs w:val="22"/>
          <w:lang w:eastAsia="en-US"/>
        </w:rPr>
      </w:pPr>
    </w:p>
    <w:p w14:paraId="4DC7B068"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Kiti šalutiniai </w:t>
      </w:r>
      <w:proofErr w:type="spellStart"/>
      <w:r>
        <w:rPr>
          <w:rFonts w:eastAsiaTheme="minorHAnsi"/>
          <w:b/>
          <w:bCs/>
          <w:color w:val="000000"/>
          <w:sz w:val="22"/>
          <w:szCs w:val="22"/>
          <w:lang w:eastAsia="en-US"/>
        </w:rPr>
        <w:t>Lymerexo</w:t>
      </w:r>
      <w:proofErr w:type="spellEnd"/>
      <w:r>
        <w:rPr>
          <w:rFonts w:eastAsiaTheme="minorHAnsi"/>
          <w:b/>
          <w:bCs/>
          <w:color w:val="000000"/>
          <w:sz w:val="22"/>
          <w:szCs w:val="22"/>
          <w:lang w:eastAsia="en-US"/>
        </w:rPr>
        <w:t xml:space="preserve"> poveikiai</w:t>
      </w:r>
    </w:p>
    <w:p w14:paraId="00C75B21" w14:textId="35296313" w:rsidR="003F7CCA" w:rsidRDefault="0080197E">
      <w:pPr>
        <w:tabs>
          <w:tab w:val="left" w:pos="567"/>
        </w:tabs>
        <w:spacing w:line="260" w:lineRule="exact"/>
        <w:rPr>
          <w:bCs/>
          <w:snapToGrid w:val="0"/>
          <w:sz w:val="22"/>
          <w:szCs w:val="22"/>
          <w:lang w:eastAsia="en-US"/>
        </w:rPr>
      </w:pPr>
      <w:r>
        <w:rPr>
          <w:rFonts w:eastAsiaTheme="minorHAnsi"/>
          <w:color w:val="000000"/>
          <w:sz w:val="22"/>
          <w:szCs w:val="22"/>
          <w:lang w:eastAsia="en-US"/>
        </w:rPr>
        <w:t>Kai kuriems pacientams pasireiškė alerginės reakcijos (dažnis: retas), kurios gali būti sunkios, įskaitant švokštimą ir dusulį (bronchų hiperaktyvumas; dažnis: nedažnas (gali pasireikšti rečiau kaip 1 iš 100 asmenų)). Kai kuriems pacientams pasireiškė išbėrimas (dažnis: nedažnas), dilgėlinė (</w:t>
      </w:r>
      <w:proofErr w:type="spellStart"/>
      <w:r>
        <w:rPr>
          <w:rFonts w:eastAsiaTheme="minorHAnsi"/>
          <w:color w:val="000000"/>
          <w:sz w:val="22"/>
          <w:szCs w:val="22"/>
          <w:lang w:eastAsia="en-US"/>
        </w:rPr>
        <w:t>urtikarija</w:t>
      </w:r>
      <w:proofErr w:type="spellEnd"/>
      <w:r>
        <w:rPr>
          <w:rFonts w:eastAsiaTheme="minorHAnsi"/>
          <w:color w:val="000000"/>
          <w:sz w:val="22"/>
          <w:szCs w:val="22"/>
          <w:lang w:eastAsia="en-US"/>
        </w:rPr>
        <w:t>; dažnis: retas) ir veido, lūpų, liežuvio bei ryklės patinimas, galintis pasunkinti kvėpavimą ir rijimą (</w:t>
      </w:r>
      <w:proofErr w:type="spellStart"/>
      <w:r>
        <w:rPr>
          <w:rFonts w:eastAsiaTheme="minorHAnsi"/>
          <w:color w:val="000000"/>
          <w:sz w:val="22"/>
          <w:szCs w:val="22"/>
          <w:lang w:eastAsia="en-US"/>
        </w:rPr>
        <w:t>angioedema</w:t>
      </w:r>
      <w:proofErr w:type="spellEnd"/>
      <w:r>
        <w:rPr>
          <w:rFonts w:eastAsiaTheme="minorHAnsi"/>
          <w:color w:val="000000"/>
          <w:sz w:val="22"/>
          <w:szCs w:val="22"/>
          <w:lang w:eastAsia="en-US"/>
        </w:rPr>
        <w:t>; dažnis: retas). Jeigu atsiranda kokių nors minėtų negalavimų požymių, šio vaisto vartojimą nutraukite ir tuoj pat kvieskite savo gydytoją. Jūsų gydytojas Jums gali išrašyti vaistų nuo alergijos ir kitokių vaistų nuo Jūsų cukrinio diabeto.</w:t>
      </w:r>
    </w:p>
    <w:p w14:paraId="7AFFB031" w14:textId="77777777" w:rsidR="003F7CCA" w:rsidRDefault="003F7CCA">
      <w:pPr>
        <w:tabs>
          <w:tab w:val="left" w:pos="567"/>
        </w:tabs>
        <w:spacing w:line="260" w:lineRule="exact"/>
        <w:rPr>
          <w:bCs/>
          <w:snapToGrid w:val="0"/>
          <w:sz w:val="22"/>
          <w:szCs w:val="22"/>
          <w:lang w:eastAsia="en-US"/>
        </w:rPr>
      </w:pPr>
    </w:p>
    <w:p w14:paraId="3E173247"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Vartojant šį vaistą, kai kuriems pacientams pasireiškė šie šalutiniai poveikiai:</w:t>
      </w:r>
    </w:p>
    <w:p w14:paraId="1AF09128" w14:textId="6B2116A7" w:rsidR="003F7CCA" w:rsidRDefault="001F796C">
      <w:pPr>
        <w:numPr>
          <w:ilvl w:val="0"/>
          <w:numId w:val="12"/>
        </w:numPr>
        <w:tabs>
          <w:tab w:val="left" w:pos="567"/>
        </w:tabs>
        <w:spacing w:line="260" w:lineRule="exact"/>
        <w:ind w:left="567" w:hanging="567"/>
        <w:rPr>
          <w:snapToGrid w:val="0"/>
          <w:sz w:val="22"/>
          <w:szCs w:val="22"/>
          <w:lang w:eastAsia="en-US"/>
        </w:rPr>
      </w:pPr>
      <w:r>
        <w:rPr>
          <w:b/>
          <w:bCs/>
          <w:sz w:val="22"/>
          <w:szCs w:val="22"/>
          <w:lang w:eastAsia="lt-LT"/>
        </w:rPr>
        <w:lastRenderedPageBreak/>
        <w:t>Dažni šalutinio poveikio reiškiniai (gali pasireikšti rečiau kaip 1 iš 10 asmenų):</w:t>
      </w:r>
      <w:r w:rsidR="0080197E">
        <w:rPr>
          <w:rFonts w:eastAsiaTheme="minorHAnsi"/>
          <w:color w:val="000000"/>
          <w:sz w:val="22"/>
          <w:szCs w:val="22"/>
          <w:lang w:eastAsia="en-US"/>
        </w:rPr>
        <w:t>viduriavimas, fermentų aktyvumo padidėjimas kraujyje (lipazės aktyvumo padidėjimas), pykinimas;</w:t>
      </w:r>
    </w:p>
    <w:p w14:paraId="19FD6A53" w14:textId="6F6EE82C" w:rsidR="003F7CCA" w:rsidRDefault="003C4CDD">
      <w:pPr>
        <w:numPr>
          <w:ilvl w:val="0"/>
          <w:numId w:val="12"/>
        </w:numPr>
        <w:tabs>
          <w:tab w:val="left" w:pos="567"/>
        </w:tabs>
        <w:spacing w:line="260" w:lineRule="exact"/>
        <w:ind w:left="567" w:hanging="567"/>
        <w:rPr>
          <w:snapToGrid w:val="0"/>
          <w:sz w:val="22"/>
          <w:szCs w:val="22"/>
          <w:lang w:eastAsia="en-US"/>
        </w:rPr>
      </w:pPr>
      <w:r>
        <w:rPr>
          <w:b/>
          <w:bCs/>
          <w:sz w:val="22"/>
          <w:szCs w:val="22"/>
          <w:lang w:eastAsia="lt-LT"/>
        </w:rPr>
        <w:t>Nedažni šalutinio poveikio reiškiniai (gali pasireikšti rečiau kaip 1 iš 100 asmenų):</w:t>
      </w:r>
      <w:r w:rsidR="0080197E">
        <w:rPr>
          <w:rFonts w:eastAsiaTheme="minorHAnsi"/>
          <w:color w:val="000000"/>
          <w:sz w:val="22"/>
          <w:szCs w:val="22"/>
          <w:lang w:eastAsia="en-US"/>
        </w:rPr>
        <w:t>nosies ir ryklės uždegimas (</w:t>
      </w:r>
      <w:proofErr w:type="spellStart"/>
      <w:r w:rsidR="0080197E">
        <w:rPr>
          <w:rFonts w:eastAsiaTheme="minorHAnsi"/>
          <w:color w:val="000000"/>
          <w:sz w:val="22"/>
          <w:szCs w:val="22"/>
          <w:lang w:eastAsia="en-US"/>
        </w:rPr>
        <w:t>nazofaringitas</w:t>
      </w:r>
      <w:proofErr w:type="spellEnd"/>
      <w:r w:rsidR="0080197E">
        <w:rPr>
          <w:rFonts w:eastAsiaTheme="minorHAnsi"/>
          <w:color w:val="000000"/>
          <w:sz w:val="22"/>
          <w:szCs w:val="22"/>
          <w:lang w:eastAsia="en-US"/>
        </w:rPr>
        <w:t>), kosulys, apetito praradimas (sumažėjimas), vėmimas, fermentų (</w:t>
      </w:r>
      <w:proofErr w:type="spellStart"/>
      <w:r w:rsidR="0080197E">
        <w:rPr>
          <w:rFonts w:eastAsiaTheme="minorHAnsi"/>
          <w:color w:val="000000"/>
          <w:sz w:val="22"/>
          <w:szCs w:val="22"/>
          <w:lang w:eastAsia="en-US"/>
        </w:rPr>
        <w:t>amilazės</w:t>
      </w:r>
      <w:proofErr w:type="spellEnd"/>
      <w:r w:rsidR="0080197E">
        <w:rPr>
          <w:rFonts w:eastAsiaTheme="minorHAnsi"/>
          <w:color w:val="000000"/>
          <w:sz w:val="22"/>
          <w:szCs w:val="22"/>
          <w:lang w:eastAsia="en-US"/>
        </w:rPr>
        <w:t>) aktyvumo padidėjimas kraujyje, niežulys;</w:t>
      </w:r>
    </w:p>
    <w:p w14:paraId="29E4ADDF" w14:textId="0CCDC238" w:rsidR="003F7CCA" w:rsidRDefault="008C311F">
      <w:pPr>
        <w:numPr>
          <w:ilvl w:val="0"/>
          <w:numId w:val="12"/>
        </w:numPr>
        <w:tabs>
          <w:tab w:val="left" w:pos="567"/>
        </w:tabs>
        <w:spacing w:line="260" w:lineRule="exact"/>
        <w:ind w:left="567" w:hanging="567"/>
        <w:rPr>
          <w:snapToGrid w:val="0"/>
          <w:sz w:val="22"/>
          <w:szCs w:val="22"/>
          <w:lang w:eastAsia="en-US"/>
        </w:rPr>
      </w:pPr>
      <w:r w:rsidRPr="008C311F">
        <w:rPr>
          <w:b/>
          <w:bCs/>
          <w:sz w:val="22"/>
          <w:szCs w:val="22"/>
          <w:lang w:eastAsia="lt-LT"/>
        </w:rPr>
        <w:t xml:space="preserve"> </w:t>
      </w:r>
      <w:r>
        <w:rPr>
          <w:b/>
          <w:bCs/>
          <w:sz w:val="22"/>
          <w:szCs w:val="22"/>
          <w:lang w:eastAsia="lt-LT"/>
        </w:rPr>
        <w:t>Reti šalutinio poveikio reiškiniai (gali pasireikšti rečiau kaip 1 iš 1 000 asmenų):</w:t>
      </w:r>
      <w:r w:rsidR="0080197E">
        <w:rPr>
          <w:rFonts w:eastAsiaTheme="minorHAnsi"/>
          <w:color w:val="000000"/>
          <w:sz w:val="22"/>
          <w:szCs w:val="22"/>
          <w:lang w:eastAsia="en-US"/>
        </w:rPr>
        <w:t xml:space="preserve"> odos </w:t>
      </w:r>
      <w:proofErr w:type="spellStart"/>
      <w:r w:rsidR="0080197E">
        <w:rPr>
          <w:rFonts w:eastAsiaTheme="minorHAnsi"/>
          <w:color w:val="000000"/>
          <w:sz w:val="22"/>
          <w:szCs w:val="22"/>
          <w:lang w:eastAsia="en-US"/>
        </w:rPr>
        <w:t>pūslėtumas</w:t>
      </w:r>
      <w:proofErr w:type="spellEnd"/>
      <w:r w:rsidR="0080197E">
        <w:rPr>
          <w:rFonts w:eastAsiaTheme="minorHAnsi"/>
          <w:color w:val="000000"/>
          <w:sz w:val="22"/>
          <w:szCs w:val="22"/>
          <w:lang w:eastAsia="en-US"/>
        </w:rPr>
        <w:t xml:space="preserve"> (</w:t>
      </w:r>
      <w:proofErr w:type="spellStart"/>
      <w:r w:rsidR="0080197E">
        <w:rPr>
          <w:rFonts w:eastAsiaTheme="minorHAnsi"/>
          <w:color w:val="000000"/>
          <w:sz w:val="22"/>
          <w:szCs w:val="22"/>
          <w:lang w:eastAsia="en-US"/>
        </w:rPr>
        <w:t>pūslinis</w:t>
      </w:r>
      <w:proofErr w:type="spellEnd"/>
      <w:r w:rsidR="0080197E">
        <w:rPr>
          <w:rFonts w:eastAsiaTheme="minorHAnsi"/>
          <w:color w:val="000000"/>
          <w:sz w:val="22"/>
          <w:szCs w:val="22"/>
          <w:lang w:eastAsia="en-US"/>
        </w:rPr>
        <w:t xml:space="preserve"> </w:t>
      </w:r>
      <w:proofErr w:type="spellStart"/>
      <w:r w:rsidR="0080197E">
        <w:rPr>
          <w:rFonts w:eastAsiaTheme="minorHAnsi"/>
          <w:color w:val="000000"/>
          <w:sz w:val="22"/>
          <w:szCs w:val="22"/>
          <w:lang w:eastAsia="en-US"/>
        </w:rPr>
        <w:t>pemfigoidas</w:t>
      </w:r>
      <w:proofErr w:type="spellEnd"/>
      <w:r w:rsidR="0080197E">
        <w:rPr>
          <w:rFonts w:eastAsiaTheme="minorHAnsi"/>
          <w:color w:val="000000"/>
          <w:sz w:val="22"/>
          <w:szCs w:val="22"/>
          <w:lang w:eastAsia="en-US"/>
        </w:rPr>
        <w:t>).</w:t>
      </w:r>
    </w:p>
    <w:p w14:paraId="44EF14EF" w14:textId="77777777" w:rsidR="003F7CCA" w:rsidRDefault="003F7CCA">
      <w:pPr>
        <w:autoSpaceDE w:val="0"/>
        <w:autoSpaceDN w:val="0"/>
        <w:adjustRightInd w:val="0"/>
        <w:rPr>
          <w:rFonts w:eastAsiaTheme="minorHAnsi"/>
          <w:color w:val="000000"/>
          <w:sz w:val="22"/>
          <w:szCs w:val="22"/>
          <w:lang w:eastAsia="en-US"/>
        </w:rPr>
      </w:pPr>
    </w:p>
    <w:p w14:paraId="2302F542" w14:textId="77777777" w:rsidR="003F7CCA" w:rsidRDefault="0080197E">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Kai kuriems pacientams, šį vaistą vartojantiems kartu su insulinu, pasireiškė šie šalutiniai poveikiai:</w:t>
      </w:r>
    </w:p>
    <w:p w14:paraId="4387B60D" w14:textId="4CA096EA" w:rsidR="003F7CCA" w:rsidRDefault="00A95762">
      <w:pPr>
        <w:numPr>
          <w:ilvl w:val="0"/>
          <w:numId w:val="12"/>
        </w:numPr>
        <w:tabs>
          <w:tab w:val="left" w:pos="567"/>
        </w:tabs>
        <w:spacing w:line="260" w:lineRule="exact"/>
        <w:ind w:left="567" w:hanging="567"/>
        <w:rPr>
          <w:snapToGrid w:val="0"/>
          <w:sz w:val="22"/>
          <w:szCs w:val="22"/>
          <w:lang w:eastAsia="en-US"/>
        </w:rPr>
      </w:pPr>
      <w:bookmarkStart w:id="18" w:name="_Hlk222996210"/>
      <w:r w:rsidRPr="00A95762">
        <w:rPr>
          <w:b/>
          <w:bCs/>
          <w:sz w:val="22"/>
          <w:szCs w:val="22"/>
          <w:lang w:eastAsia="lt-LT"/>
        </w:rPr>
        <w:t xml:space="preserve"> </w:t>
      </w:r>
      <w:r>
        <w:rPr>
          <w:b/>
          <w:bCs/>
          <w:sz w:val="22"/>
          <w:szCs w:val="22"/>
          <w:lang w:eastAsia="lt-LT"/>
        </w:rPr>
        <w:t>Nedažni šalutinio poveikio reiškiniai (gali pasireikšti rečiau kaip 1 iš 100 asmenų):</w:t>
      </w:r>
      <w:r w:rsidR="0080197E">
        <w:rPr>
          <w:rFonts w:eastAsiaTheme="minorHAnsi"/>
          <w:color w:val="000000"/>
          <w:sz w:val="22"/>
          <w:szCs w:val="22"/>
          <w:lang w:eastAsia="en-US"/>
        </w:rPr>
        <w:t xml:space="preserve"> kepenų funkcijos sutrikimas, vidurių užkietėjimas.</w:t>
      </w:r>
    </w:p>
    <w:bookmarkEnd w:id="18"/>
    <w:p w14:paraId="485FD8BB" w14:textId="77777777" w:rsidR="003F7CCA" w:rsidRDefault="003F7CCA">
      <w:pPr>
        <w:jc w:val="both"/>
        <w:rPr>
          <w:bCs/>
          <w:snapToGrid w:val="0"/>
          <w:color w:val="000000"/>
          <w:sz w:val="22"/>
          <w:szCs w:val="22"/>
          <w:lang w:eastAsia="en-US"/>
        </w:rPr>
      </w:pPr>
    </w:p>
    <w:p w14:paraId="200A46C4" w14:textId="77777777" w:rsidR="003F7CCA" w:rsidRDefault="0080197E">
      <w:pPr>
        <w:autoSpaceDE w:val="0"/>
        <w:autoSpaceDN w:val="0"/>
        <w:adjustRightInd w:val="0"/>
        <w:rPr>
          <w:rFonts w:eastAsiaTheme="minorHAnsi"/>
          <w:color w:val="000000"/>
          <w:sz w:val="22"/>
          <w:szCs w:val="22"/>
          <w:lang w:eastAsia="en-US"/>
        </w:rPr>
      </w:pPr>
      <w:r>
        <w:rPr>
          <w:rFonts w:eastAsiaTheme="minorHAnsi"/>
          <w:b/>
          <w:bCs/>
          <w:color w:val="000000"/>
          <w:sz w:val="22"/>
          <w:szCs w:val="22"/>
          <w:lang w:eastAsia="en-US"/>
        </w:rPr>
        <w:t xml:space="preserve">Vien </w:t>
      </w:r>
      <w:proofErr w:type="spellStart"/>
      <w:r>
        <w:rPr>
          <w:rFonts w:eastAsiaTheme="minorHAnsi"/>
          <w:b/>
          <w:bCs/>
          <w:color w:val="000000"/>
          <w:sz w:val="22"/>
          <w:szCs w:val="22"/>
          <w:lang w:eastAsia="en-US"/>
        </w:rPr>
        <w:t>metformino</w:t>
      </w:r>
      <w:proofErr w:type="spellEnd"/>
      <w:r>
        <w:rPr>
          <w:rFonts w:eastAsiaTheme="minorHAnsi"/>
          <w:b/>
          <w:bCs/>
          <w:color w:val="000000"/>
          <w:sz w:val="22"/>
          <w:szCs w:val="22"/>
          <w:lang w:eastAsia="en-US"/>
        </w:rPr>
        <w:t xml:space="preserve"> vartojimo metu pasireiškiantys šalutiniai poveikiai, kurie šio vaisto sukeliamų šalutinių poveikių poskyryje nepaminėti:</w:t>
      </w:r>
    </w:p>
    <w:p w14:paraId="454995F5" w14:textId="47CA6E2B" w:rsidR="003F7CCA" w:rsidRDefault="00641129">
      <w:pPr>
        <w:numPr>
          <w:ilvl w:val="0"/>
          <w:numId w:val="12"/>
        </w:numPr>
        <w:tabs>
          <w:tab w:val="left" w:pos="567"/>
        </w:tabs>
        <w:spacing w:line="260" w:lineRule="exact"/>
        <w:ind w:left="567" w:hanging="567"/>
        <w:rPr>
          <w:snapToGrid w:val="0"/>
          <w:sz w:val="22"/>
          <w:szCs w:val="22"/>
          <w:lang w:eastAsia="en-US"/>
        </w:rPr>
      </w:pPr>
      <w:r>
        <w:rPr>
          <w:b/>
          <w:bCs/>
          <w:sz w:val="22"/>
          <w:szCs w:val="22"/>
          <w:lang w:eastAsia="lt-LT"/>
        </w:rPr>
        <w:t>Labai dažni šalutinio poveikio reiškiniai (gali pasireikšti ne rečiau kaip 1 iš 10 asmenų):</w:t>
      </w:r>
      <w:r w:rsidR="0080197E">
        <w:rPr>
          <w:rFonts w:eastAsiaTheme="minorHAnsi"/>
          <w:color w:val="000000"/>
          <w:sz w:val="22"/>
          <w:szCs w:val="22"/>
          <w:lang w:eastAsia="en-US"/>
        </w:rPr>
        <w:t>pilvo skausmas;</w:t>
      </w:r>
    </w:p>
    <w:p w14:paraId="330AC028" w14:textId="3BF13553" w:rsidR="003F7CCA" w:rsidRDefault="006B6FC0">
      <w:pPr>
        <w:numPr>
          <w:ilvl w:val="0"/>
          <w:numId w:val="12"/>
        </w:numPr>
        <w:tabs>
          <w:tab w:val="left" w:pos="567"/>
        </w:tabs>
        <w:spacing w:line="260" w:lineRule="exact"/>
        <w:ind w:left="567" w:hanging="567"/>
        <w:rPr>
          <w:snapToGrid w:val="0"/>
          <w:sz w:val="22"/>
          <w:szCs w:val="22"/>
          <w:lang w:eastAsia="en-US"/>
        </w:rPr>
      </w:pPr>
      <w:r w:rsidRPr="006B6FC0">
        <w:rPr>
          <w:b/>
          <w:bCs/>
          <w:sz w:val="22"/>
          <w:szCs w:val="22"/>
          <w:lang w:eastAsia="lt-LT"/>
        </w:rPr>
        <w:t xml:space="preserve"> </w:t>
      </w:r>
      <w:r>
        <w:rPr>
          <w:b/>
          <w:bCs/>
          <w:sz w:val="22"/>
          <w:szCs w:val="22"/>
          <w:lang w:eastAsia="lt-LT"/>
        </w:rPr>
        <w:t>Dažni šalutinio poveikio reiškiniai (gali pasireikšti rečiau kaip 1 iš 10 asmenų):</w:t>
      </w:r>
      <w:r w:rsidR="0080197E">
        <w:rPr>
          <w:rFonts w:eastAsiaTheme="minorHAnsi"/>
          <w:color w:val="000000"/>
          <w:sz w:val="22"/>
          <w:szCs w:val="22"/>
          <w:lang w:eastAsia="en-US"/>
        </w:rPr>
        <w:t xml:space="preserve"> (gali pasireikšti rečiau kaip 1 iš 10 asmenų): metalo skonis (skonio sutrikimas), sumažėjęs arba mažas vitamino B12 kiekis kraujyje (galimi simptomai: didelis nuovargis, liežuvio skausmingumas ir paraudimas (liežuvio uždegimas), dilgčiojimas (</w:t>
      </w:r>
      <w:proofErr w:type="spellStart"/>
      <w:r w:rsidR="0080197E">
        <w:rPr>
          <w:rFonts w:eastAsiaTheme="minorHAnsi"/>
          <w:color w:val="000000"/>
          <w:sz w:val="22"/>
          <w:szCs w:val="22"/>
          <w:lang w:eastAsia="en-US"/>
        </w:rPr>
        <w:t>parestezija</w:t>
      </w:r>
      <w:proofErr w:type="spellEnd"/>
      <w:r w:rsidR="0080197E">
        <w:rPr>
          <w:rFonts w:eastAsiaTheme="minorHAnsi"/>
          <w:color w:val="000000"/>
          <w:sz w:val="22"/>
          <w:szCs w:val="22"/>
          <w:lang w:eastAsia="en-US"/>
        </w:rPr>
        <w:t>) arba odos blyškumas ar pageltimas). Jūsų gydytojas gali Jums skirti tam tikrus tyrimus šių simptomų priežasčiai nustatyti, nes kai kuriuos iš jų gali sukelti ir</w:t>
      </w:r>
      <w:r w:rsidR="00250797">
        <w:rPr>
          <w:rFonts w:eastAsiaTheme="minorHAnsi"/>
          <w:color w:val="000000"/>
          <w:sz w:val="22"/>
          <w:szCs w:val="22"/>
          <w:lang w:eastAsia="en-US"/>
        </w:rPr>
        <w:t xml:space="preserve"> cukrinis</w:t>
      </w:r>
      <w:r w:rsidR="0080197E">
        <w:rPr>
          <w:rFonts w:eastAsiaTheme="minorHAnsi"/>
          <w:color w:val="000000"/>
          <w:sz w:val="22"/>
          <w:szCs w:val="22"/>
          <w:lang w:eastAsia="en-US"/>
        </w:rPr>
        <w:t xml:space="preserve"> diabetas ar kiti nesusiję sveikatos sutrikimai;</w:t>
      </w:r>
    </w:p>
    <w:p w14:paraId="3E7A8471" w14:textId="2F97727E" w:rsidR="003F7CCA" w:rsidRDefault="00073A1C">
      <w:pPr>
        <w:numPr>
          <w:ilvl w:val="0"/>
          <w:numId w:val="12"/>
        </w:numPr>
        <w:tabs>
          <w:tab w:val="left" w:pos="567"/>
        </w:tabs>
        <w:spacing w:line="260" w:lineRule="exact"/>
        <w:ind w:left="567" w:hanging="567"/>
        <w:rPr>
          <w:snapToGrid w:val="0"/>
          <w:sz w:val="22"/>
          <w:szCs w:val="22"/>
          <w:lang w:eastAsia="en-US"/>
        </w:rPr>
      </w:pPr>
      <w:r w:rsidRPr="00073A1C">
        <w:rPr>
          <w:b/>
          <w:bCs/>
          <w:sz w:val="22"/>
          <w:szCs w:val="22"/>
          <w:lang w:eastAsia="lt-LT"/>
        </w:rPr>
        <w:t xml:space="preserve"> </w:t>
      </w:r>
      <w:r>
        <w:rPr>
          <w:b/>
          <w:bCs/>
          <w:sz w:val="22"/>
          <w:szCs w:val="22"/>
          <w:lang w:eastAsia="lt-LT"/>
        </w:rPr>
        <w:t>Labai reti šalutinio poveikio reiškiniai (gali pasireikšti rečiau kaip 1 iš 10 000 asmenų):</w:t>
      </w:r>
      <w:r w:rsidR="0080197E">
        <w:rPr>
          <w:rFonts w:eastAsiaTheme="minorHAnsi"/>
          <w:color w:val="000000"/>
          <w:sz w:val="22"/>
          <w:szCs w:val="22"/>
          <w:lang w:eastAsia="en-US"/>
        </w:rPr>
        <w:t xml:space="preserve"> (gali pasireikšti rečiau kaip 1 iš 10 000 asmenų): hepatitas (kepenų uždegimas), odos reakcija: odos paraudimas (</w:t>
      </w:r>
      <w:proofErr w:type="spellStart"/>
      <w:r w:rsidR="0080197E">
        <w:rPr>
          <w:rFonts w:eastAsiaTheme="minorHAnsi"/>
          <w:color w:val="000000"/>
          <w:sz w:val="22"/>
          <w:szCs w:val="22"/>
          <w:lang w:eastAsia="en-US"/>
        </w:rPr>
        <w:t>eritema</w:t>
      </w:r>
      <w:proofErr w:type="spellEnd"/>
      <w:r w:rsidR="0080197E">
        <w:rPr>
          <w:rFonts w:eastAsiaTheme="minorHAnsi"/>
          <w:color w:val="000000"/>
          <w:sz w:val="22"/>
          <w:szCs w:val="22"/>
          <w:lang w:eastAsia="en-US"/>
        </w:rPr>
        <w:t>).</w:t>
      </w:r>
    </w:p>
    <w:p w14:paraId="7D37A895" w14:textId="77777777" w:rsidR="003F7CCA" w:rsidRDefault="003F7CCA">
      <w:pPr>
        <w:jc w:val="both"/>
        <w:rPr>
          <w:sz w:val="22"/>
          <w:szCs w:val="22"/>
          <w:lang w:eastAsia="lt-LT"/>
        </w:rPr>
      </w:pPr>
    </w:p>
    <w:p w14:paraId="5B4B4B8C" w14:textId="77777777" w:rsidR="003F7CCA" w:rsidRDefault="0080197E">
      <w:pPr>
        <w:jc w:val="both"/>
        <w:rPr>
          <w:sz w:val="22"/>
          <w:szCs w:val="22"/>
          <w:lang w:eastAsia="lt-LT"/>
        </w:rPr>
      </w:pPr>
      <w:r>
        <w:rPr>
          <w:b/>
          <w:bCs/>
          <w:sz w:val="22"/>
          <w:szCs w:val="22"/>
          <w:lang w:eastAsia="lt-LT"/>
        </w:rPr>
        <w:t>Pranešimas apie šalutinį poveikį</w:t>
      </w:r>
    </w:p>
    <w:p w14:paraId="729E1798" w14:textId="77777777" w:rsidR="003F7CCA" w:rsidRDefault="0080197E">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35FC04FA" w14:textId="77777777" w:rsidR="003F7CCA" w:rsidRDefault="003F7CCA">
      <w:pPr>
        <w:tabs>
          <w:tab w:val="left" w:pos="567"/>
        </w:tabs>
        <w:ind w:right="-449"/>
        <w:rPr>
          <w:sz w:val="22"/>
          <w:lang w:eastAsia="en-US"/>
        </w:rPr>
      </w:pPr>
    </w:p>
    <w:p w14:paraId="2057ADE2" w14:textId="77777777" w:rsidR="003F7CCA" w:rsidRDefault="003F7CCA">
      <w:pPr>
        <w:tabs>
          <w:tab w:val="left" w:pos="567"/>
        </w:tabs>
        <w:ind w:right="-449"/>
        <w:rPr>
          <w:sz w:val="22"/>
          <w:lang w:eastAsia="en-US"/>
        </w:rPr>
      </w:pPr>
    </w:p>
    <w:p w14:paraId="5EB68061" w14:textId="77777777" w:rsidR="003F7CCA" w:rsidRDefault="0080197E">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Lymerexo</w:t>
      </w:r>
      <w:proofErr w:type="spellEnd"/>
    </w:p>
    <w:p w14:paraId="1A67FBCE" w14:textId="77777777" w:rsidR="003F7CCA" w:rsidRDefault="003F7CCA">
      <w:pPr>
        <w:numPr>
          <w:ilvl w:val="12"/>
          <w:numId w:val="0"/>
        </w:numPr>
        <w:ind w:right="-2"/>
        <w:rPr>
          <w:sz w:val="22"/>
          <w:lang w:eastAsia="en-US"/>
        </w:rPr>
      </w:pPr>
    </w:p>
    <w:p w14:paraId="2233DD43" w14:textId="77777777" w:rsidR="003F7CCA" w:rsidRDefault="0080197E">
      <w:pPr>
        <w:numPr>
          <w:ilvl w:val="12"/>
          <w:numId w:val="0"/>
        </w:numPr>
        <w:ind w:right="-2"/>
        <w:rPr>
          <w:sz w:val="22"/>
          <w:lang w:eastAsia="en-US"/>
        </w:rPr>
      </w:pPr>
      <w:r>
        <w:rPr>
          <w:sz w:val="22"/>
          <w:lang w:eastAsia="en-US"/>
        </w:rPr>
        <w:t>Šį vaistą laikykite vaikams nepastebimoje ir nepasiekiamoje vietoje.</w:t>
      </w:r>
    </w:p>
    <w:p w14:paraId="3ABC1B7F" w14:textId="77777777" w:rsidR="003F7CCA" w:rsidRDefault="003F7CCA">
      <w:pPr>
        <w:numPr>
          <w:ilvl w:val="12"/>
          <w:numId w:val="0"/>
        </w:numPr>
        <w:ind w:right="-2"/>
        <w:rPr>
          <w:sz w:val="22"/>
          <w:lang w:eastAsia="en-US"/>
        </w:rPr>
      </w:pPr>
    </w:p>
    <w:p w14:paraId="5D77ADE7" w14:textId="60100E3C" w:rsidR="003F7CCA" w:rsidRDefault="0080197E">
      <w:pPr>
        <w:numPr>
          <w:ilvl w:val="12"/>
          <w:numId w:val="0"/>
        </w:numPr>
        <w:ind w:right="-2"/>
        <w:rPr>
          <w:sz w:val="22"/>
          <w:lang w:eastAsia="en-US"/>
        </w:rPr>
      </w:pPr>
      <w:r>
        <w:rPr>
          <w:sz w:val="22"/>
          <w:lang w:eastAsia="en-US"/>
        </w:rPr>
        <w:t xml:space="preserve">Ant </w:t>
      </w:r>
      <w:r w:rsidR="00CA50BF">
        <w:rPr>
          <w:sz w:val="22"/>
          <w:lang w:eastAsia="en-US"/>
        </w:rPr>
        <w:t>dėžutės ir lizdinė</w:t>
      </w:r>
      <w:r w:rsidR="00700A09">
        <w:rPr>
          <w:sz w:val="22"/>
          <w:lang w:eastAsia="en-US"/>
        </w:rPr>
        <w:t>s</w:t>
      </w:r>
      <w:r w:rsidR="00CA50BF">
        <w:rPr>
          <w:sz w:val="22"/>
          <w:lang w:eastAsia="en-US"/>
        </w:rPr>
        <w:t xml:space="preserve"> plokštelės </w:t>
      </w:r>
      <w:r>
        <w:rPr>
          <w:sz w:val="22"/>
          <w:lang w:eastAsia="en-US"/>
        </w:rPr>
        <w:t>po „EXP“ nurodytam tinkamumo laikui pasibaigus, šio vaisto vartoti negalima. Vaistas tinkamas vartoti iki paskutinės nurodyto mėnesio dienos.</w:t>
      </w:r>
    </w:p>
    <w:p w14:paraId="53575DCB" w14:textId="77777777" w:rsidR="003F7CCA" w:rsidRDefault="003F7CCA">
      <w:pPr>
        <w:numPr>
          <w:ilvl w:val="12"/>
          <w:numId w:val="0"/>
        </w:numPr>
        <w:ind w:right="-2"/>
        <w:rPr>
          <w:sz w:val="22"/>
          <w:lang w:eastAsia="en-US"/>
        </w:rPr>
      </w:pPr>
    </w:p>
    <w:p w14:paraId="59B61DA5" w14:textId="77777777" w:rsidR="003F7CCA" w:rsidRDefault="0080197E">
      <w:pPr>
        <w:numPr>
          <w:ilvl w:val="12"/>
          <w:numId w:val="0"/>
        </w:numPr>
        <w:ind w:right="-2"/>
        <w:rPr>
          <w:sz w:val="22"/>
          <w:lang w:eastAsia="en-US"/>
        </w:rPr>
      </w:pPr>
      <w:r>
        <w:rPr>
          <w:sz w:val="22"/>
          <w:lang w:eastAsia="en-US"/>
        </w:rPr>
        <w:t>Laikyti gamintojo pakuotėje, kad vaistas būtų apsaugotas nuo šviesos.</w:t>
      </w:r>
    </w:p>
    <w:p w14:paraId="3A9C282C" w14:textId="77777777" w:rsidR="003F7CCA" w:rsidRDefault="0080197E">
      <w:pPr>
        <w:numPr>
          <w:ilvl w:val="12"/>
          <w:numId w:val="0"/>
        </w:numPr>
        <w:ind w:right="-2"/>
        <w:rPr>
          <w:sz w:val="22"/>
          <w:lang w:eastAsia="en-US"/>
        </w:rPr>
      </w:pPr>
      <w:r>
        <w:rPr>
          <w:sz w:val="22"/>
          <w:lang w:eastAsia="en-US"/>
        </w:rPr>
        <w:t>Šio vaisto laikymui specialių temperatūros sąlygų nereikalaujama.</w:t>
      </w:r>
    </w:p>
    <w:p w14:paraId="13BDE2AC" w14:textId="77777777" w:rsidR="003F7CCA" w:rsidRDefault="003F7CCA">
      <w:pPr>
        <w:numPr>
          <w:ilvl w:val="12"/>
          <w:numId w:val="0"/>
        </w:numPr>
        <w:ind w:right="-2"/>
        <w:rPr>
          <w:sz w:val="22"/>
          <w:lang w:eastAsia="en-US"/>
        </w:rPr>
      </w:pPr>
    </w:p>
    <w:p w14:paraId="76ADAD48" w14:textId="77777777" w:rsidR="003F7CCA" w:rsidRDefault="0080197E">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7FDDAA53" w14:textId="77777777" w:rsidR="003F7CCA" w:rsidRDefault="003F7CCA">
      <w:pPr>
        <w:numPr>
          <w:ilvl w:val="12"/>
          <w:numId w:val="0"/>
        </w:numPr>
        <w:ind w:right="-2"/>
        <w:rPr>
          <w:sz w:val="22"/>
          <w:lang w:eastAsia="en-US"/>
        </w:rPr>
      </w:pPr>
    </w:p>
    <w:p w14:paraId="75DC2610" w14:textId="77777777" w:rsidR="003F7CCA" w:rsidRDefault="003F7CCA">
      <w:pPr>
        <w:numPr>
          <w:ilvl w:val="12"/>
          <w:numId w:val="0"/>
        </w:numPr>
        <w:ind w:right="-2"/>
        <w:rPr>
          <w:sz w:val="22"/>
          <w:lang w:eastAsia="en-US"/>
        </w:rPr>
      </w:pPr>
    </w:p>
    <w:p w14:paraId="19AD3404" w14:textId="77777777" w:rsidR="003F7CCA" w:rsidRDefault="0080197E">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24B14F34" w14:textId="77777777" w:rsidR="003F7CCA" w:rsidRDefault="003F7CCA">
      <w:pPr>
        <w:numPr>
          <w:ilvl w:val="12"/>
          <w:numId w:val="0"/>
        </w:numPr>
        <w:rPr>
          <w:sz w:val="22"/>
          <w:lang w:eastAsia="en-US"/>
        </w:rPr>
      </w:pPr>
    </w:p>
    <w:p w14:paraId="413837E3" w14:textId="77777777" w:rsidR="003F7CCA" w:rsidRDefault="0080197E">
      <w:pPr>
        <w:jc w:val="both"/>
        <w:rPr>
          <w:b/>
          <w:bCs/>
          <w:sz w:val="22"/>
          <w:szCs w:val="22"/>
          <w:lang w:eastAsia="lt-LT"/>
        </w:rPr>
      </w:pPr>
      <w:proofErr w:type="spellStart"/>
      <w:r>
        <w:rPr>
          <w:b/>
          <w:bCs/>
          <w:sz w:val="22"/>
          <w:szCs w:val="26"/>
          <w:lang w:eastAsia="x-none"/>
        </w:rPr>
        <w:t>Lymerexo</w:t>
      </w:r>
      <w:proofErr w:type="spellEnd"/>
      <w:r>
        <w:rPr>
          <w:b/>
          <w:bCs/>
          <w:sz w:val="22"/>
          <w:szCs w:val="22"/>
          <w:lang w:eastAsia="lt-LT"/>
        </w:rPr>
        <w:t xml:space="preserve"> sudėtis</w:t>
      </w:r>
    </w:p>
    <w:p w14:paraId="24C4C992" w14:textId="77777777" w:rsidR="003F7CCA" w:rsidRDefault="0080197E">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linagliptinas</w:t>
      </w:r>
      <w:proofErr w:type="spellEnd"/>
      <w:r>
        <w:rPr>
          <w:sz w:val="22"/>
          <w:szCs w:val="22"/>
          <w:lang w:eastAsia="lt-LT"/>
        </w:rPr>
        <w:t xml:space="preserve"> ir </w:t>
      </w:r>
      <w:proofErr w:type="spellStart"/>
      <w:r>
        <w:rPr>
          <w:sz w:val="22"/>
          <w:szCs w:val="22"/>
          <w:lang w:eastAsia="lt-LT"/>
        </w:rPr>
        <w:t>metformino</w:t>
      </w:r>
      <w:proofErr w:type="spellEnd"/>
      <w:r>
        <w:rPr>
          <w:sz w:val="22"/>
          <w:szCs w:val="22"/>
          <w:lang w:eastAsia="lt-LT"/>
        </w:rPr>
        <w:t xml:space="preserve"> hidrochloridas.</w:t>
      </w:r>
    </w:p>
    <w:p w14:paraId="2C75B22B" w14:textId="77777777" w:rsidR="003F7CCA" w:rsidRDefault="0080197E">
      <w:pPr>
        <w:ind w:left="567"/>
        <w:jc w:val="both"/>
        <w:rPr>
          <w:sz w:val="22"/>
          <w:szCs w:val="22"/>
          <w:lang w:eastAsia="lt-LT"/>
        </w:rPr>
      </w:pPr>
      <w:proofErr w:type="spellStart"/>
      <w:r>
        <w:rPr>
          <w:rFonts w:eastAsiaTheme="minorHAnsi"/>
          <w:color w:val="000000"/>
          <w:sz w:val="22"/>
          <w:szCs w:val="22"/>
          <w:u w:val="single"/>
          <w:lang w:eastAsia="en-US"/>
        </w:rPr>
        <w:t>Lymerexo</w:t>
      </w:r>
      <w:proofErr w:type="spellEnd"/>
      <w:r>
        <w:rPr>
          <w:rFonts w:eastAsiaTheme="minorHAnsi"/>
          <w:color w:val="000000"/>
          <w:sz w:val="22"/>
          <w:szCs w:val="22"/>
          <w:u w:val="single"/>
          <w:lang w:eastAsia="en-US"/>
        </w:rPr>
        <w:t xml:space="preserve"> 2,5 mg/850 mg plėvele dengtos tabletės</w:t>
      </w:r>
    </w:p>
    <w:p w14:paraId="3A40E414" w14:textId="5F4794EC" w:rsidR="003F7CCA" w:rsidRDefault="0080197E">
      <w:pPr>
        <w:ind w:left="567"/>
        <w:jc w:val="both"/>
        <w:rPr>
          <w:sz w:val="22"/>
          <w:szCs w:val="22"/>
          <w:lang w:eastAsia="lt-LT"/>
        </w:rPr>
      </w:pPr>
      <w:r>
        <w:rPr>
          <w:rFonts w:eastAsiaTheme="minorHAnsi"/>
          <w:color w:val="000000"/>
          <w:sz w:val="22"/>
          <w:szCs w:val="22"/>
          <w:lang w:eastAsia="en-US"/>
        </w:rPr>
        <w:lastRenderedPageBreak/>
        <w:t xml:space="preserve">Kiekvienoje </w:t>
      </w:r>
      <w:r w:rsidR="008B1FA1">
        <w:rPr>
          <w:rFonts w:eastAsiaTheme="minorHAnsi"/>
          <w:color w:val="000000"/>
          <w:sz w:val="22"/>
          <w:szCs w:val="22"/>
          <w:lang w:eastAsia="en-US"/>
        </w:rPr>
        <w:t xml:space="preserve">plėvele dengtoje </w:t>
      </w:r>
      <w:r>
        <w:rPr>
          <w:rFonts w:eastAsiaTheme="minorHAnsi"/>
          <w:color w:val="000000"/>
          <w:sz w:val="22"/>
          <w:szCs w:val="22"/>
          <w:lang w:eastAsia="en-US"/>
        </w:rPr>
        <w:t xml:space="preserve">tabletėje yra 2,5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850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667A9F8A" w14:textId="77777777" w:rsidR="003F7CCA" w:rsidRDefault="0080197E">
      <w:pPr>
        <w:ind w:left="567"/>
        <w:jc w:val="both"/>
        <w:rPr>
          <w:sz w:val="22"/>
          <w:szCs w:val="22"/>
          <w:lang w:eastAsia="lt-LT"/>
        </w:rPr>
      </w:pPr>
      <w:proofErr w:type="spellStart"/>
      <w:r>
        <w:rPr>
          <w:rFonts w:eastAsiaTheme="minorHAnsi"/>
          <w:color w:val="000000"/>
          <w:sz w:val="22"/>
          <w:szCs w:val="22"/>
          <w:u w:val="single"/>
          <w:lang w:eastAsia="en-US"/>
        </w:rPr>
        <w:t>Lymerexo</w:t>
      </w:r>
      <w:proofErr w:type="spellEnd"/>
      <w:r>
        <w:rPr>
          <w:rFonts w:eastAsiaTheme="minorHAnsi"/>
          <w:color w:val="000000"/>
          <w:sz w:val="22"/>
          <w:szCs w:val="22"/>
          <w:u w:val="single"/>
          <w:lang w:eastAsia="en-US"/>
        </w:rPr>
        <w:t xml:space="preserve"> 2,5 mg/1 000 mg plėvele dengtos tabletės</w:t>
      </w:r>
    </w:p>
    <w:p w14:paraId="09476DE4" w14:textId="19225C74" w:rsidR="003F7CCA" w:rsidRDefault="0080197E">
      <w:pPr>
        <w:ind w:left="567"/>
        <w:jc w:val="both"/>
        <w:rPr>
          <w:sz w:val="22"/>
          <w:szCs w:val="22"/>
          <w:lang w:eastAsia="lt-LT"/>
        </w:rPr>
      </w:pPr>
      <w:r>
        <w:rPr>
          <w:rFonts w:eastAsiaTheme="minorHAnsi"/>
          <w:color w:val="000000"/>
          <w:sz w:val="22"/>
          <w:szCs w:val="22"/>
          <w:lang w:eastAsia="en-US"/>
        </w:rPr>
        <w:t xml:space="preserve">Kiekvienoje </w:t>
      </w:r>
      <w:r w:rsidR="00780C04">
        <w:rPr>
          <w:rFonts w:eastAsiaTheme="minorHAnsi"/>
          <w:color w:val="000000"/>
          <w:sz w:val="22"/>
          <w:szCs w:val="22"/>
          <w:lang w:eastAsia="en-US"/>
        </w:rPr>
        <w:t xml:space="preserve">plėvele dengtoje </w:t>
      </w:r>
      <w:r>
        <w:rPr>
          <w:rFonts w:eastAsiaTheme="minorHAnsi"/>
          <w:color w:val="000000"/>
          <w:sz w:val="22"/>
          <w:szCs w:val="22"/>
          <w:lang w:eastAsia="en-US"/>
        </w:rPr>
        <w:t xml:space="preserve">tabletėje yra 2,5 mg </w:t>
      </w:r>
      <w:proofErr w:type="spellStart"/>
      <w:r>
        <w:rPr>
          <w:rFonts w:eastAsiaTheme="minorHAnsi"/>
          <w:color w:val="000000"/>
          <w:sz w:val="22"/>
          <w:szCs w:val="22"/>
          <w:lang w:eastAsia="en-US"/>
        </w:rPr>
        <w:t>linagliptino</w:t>
      </w:r>
      <w:proofErr w:type="spellEnd"/>
      <w:r>
        <w:rPr>
          <w:rFonts w:eastAsiaTheme="minorHAnsi"/>
          <w:color w:val="000000"/>
          <w:sz w:val="22"/>
          <w:szCs w:val="22"/>
          <w:lang w:eastAsia="en-US"/>
        </w:rPr>
        <w:t xml:space="preserve"> ir 1 000 mg </w:t>
      </w:r>
      <w:proofErr w:type="spellStart"/>
      <w:r>
        <w:rPr>
          <w:rFonts w:eastAsiaTheme="minorHAnsi"/>
          <w:color w:val="000000"/>
          <w:sz w:val="22"/>
          <w:szCs w:val="22"/>
          <w:lang w:eastAsia="en-US"/>
        </w:rPr>
        <w:t>metformino</w:t>
      </w:r>
      <w:proofErr w:type="spellEnd"/>
      <w:r>
        <w:rPr>
          <w:rFonts w:eastAsiaTheme="minorHAnsi"/>
          <w:color w:val="000000"/>
          <w:sz w:val="22"/>
          <w:szCs w:val="22"/>
          <w:lang w:eastAsia="en-US"/>
        </w:rPr>
        <w:t xml:space="preserve"> hidrochlorido.</w:t>
      </w:r>
    </w:p>
    <w:p w14:paraId="144F87DE" w14:textId="77777777" w:rsidR="003F7CCA" w:rsidRDefault="003F7CCA">
      <w:pPr>
        <w:jc w:val="both"/>
        <w:rPr>
          <w:sz w:val="22"/>
          <w:szCs w:val="22"/>
          <w:lang w:eastAsia="lt-LT"/>
        </w:rPr>
      </w:pPr>
    </w:p>
    <w:p w14:paraId="4A1C006D" w14:textId="2B45E068" w:rsidR="003F7CCA" w:rsidRDefault="0080197E">
      <w:pPr>
        <w:numPr>
          <w:ilvl w:val="0"/>
          <w:numId w:val="12"/>
        </w:numPr>
        <w:tabs>
          <w:tab w:val="left" w:pos="567"/>
        </w:tabs>
        <w:spacing w:line="260" w:lineRule="exact"/>
        <w:ind w:left="567" w:hanging="567"/>
        <w:jc w:val="both"/>
        <w:rPr>
          <w:sz w:val="22"/>
          <w:szCs w:val="22"/>
          <w:lang w:eastAsia="lt-LT"/>
        </w:rPr>
      </w:pPr>
      <w:r>
        <w:rPr>
          <w:sz w:val="22"/>
          <w:szCs w:val="22"/>
          <w:lang w:eastAsia="lt-LT"/>
        </w:rPr>
        <w:t xml:space="preserve">Pagalbinės medžiagos yra </w:t>
      </w:r>
      <w:proofErr w:type="spellStart"/>
      <w:r>
        <w:rPr>
          <w:sz w:val="22"/>
          <w:szCs w:val="22"/>
          <w:lang w:eastAsia="lt-LT"/>
        </w:rPr>
        <w:t>kopovidonas</w:t>
      </w:r>
      <w:proofErr w:type="spellEnd"/>
      <w:r>
        <w:rPr>
          <w:sz w:val="22"/>
          <w:szCs w:val="22"/>
          <w:lang w:eastAsia="lt-LT"/>
        </w:rPr>
        <w:t xml:space="preserve">, </w:t>
      </w:r>
      <w:proofErr w:type="spellStart"/>
      <w:r>
        <w:rPr>
          <w:sz w:val="22"/>
          <w:szCs w:val="22"/>
          <w:lang w:eastAsia="lt-LT"/>
        </w:rPr>
        <w:t>mikrokristalinė</w:t>
      </w:r>
      <w:proofErr w:type="spellEnd"/>
      <w:r>
        <w:rPr>
          <w:sz w:val="22"/>
          <w:szCs w:val="22"/>
          <w:lang w:eastAsia="lt-LT"/>
        </w:rPr>
        <w:t xml:space="preserve"> celiuliozė (E460), </w:t>
      </w:r>
      <w:proofErr w:type="spellStart"/>
      <w:r w:rsidR="00072E6D">
        <w:rPr>
          <w:sz w:val="22"/>
          <w:szCs w:val="22"/>
          <w:lang w:eastAsia="lt-LT"/>
        </w:rPr>
        <w:t>kroskarmeliozės</w:t>
      </w:r>
      <w:proofErr w:type="spellEnd"/>
      <w:r w:rsidR="00072E6D">
        <w:rPr>
          <w:sz w:val="22"/>
          <w:szCs w:val="22"/>
          <w:lang w:eastAsia="lt-LT"/>
        </w:rPr>
        <w:t xml:space="preserve"> natrio druska, </w:t>
      </w:r>
      <w:r>
        <w:rPr>
          <w:sz w:val="22"/>
          <w:szCs w:val="22"/>
          <w:lang w:eastAsia="lt-LT"/>
        </w:rPr>
        <w:t xml:space="preserve">bevandenis koloidinis silicio dioksidas, magnio </w:t>
      </w:r>
      <w:proofErr w:type="spellStart"/>
      <w:r>
        <w:rPr>
          <w:sz w:val="22"/>
          <w:szCs w:val="22"/>
          <w:lang w:eastAsia="lt-LT"/>
        </w:rPr>
        <w:t>stearatas</w:t>
      </w:r>
      <w:proofErr w:type="spellEnd"/>
      <w:r>
        <w:rPr>
          <w:sz w:val="22"/>
          <w:szCs w:val="22"/>
          <w:lang w:eastAsia="lt-LT"/>
        </w:rPr>
        <w:t xml:space="preserve"> tabletės šerdyje ir polivinilo alkoholis (E1203), kalcio karbonatas (E170), </w:t>
      </w:r>
      <w:proofErr w:type="spellStart"/>
      <w:r>
        <w:rPr>
          <w:sz w:val="22"/>
          <w:szCs w:val="22"/>
          <w:lang w:eastAsia="lt-LT"/>
        </w:rPr>
        <w:t>makrogolis</w:t>
      </w:r>
      <w:proofErr w:type="spellEnd"/>
      <w:r>
        <w:rPr>
          <w:sz w:val="22"/>
          <w:szCs w:val="22"/>
          <w:lang w:eastAsia="lt-LT"/>
        </w:rPr>
        <w:t xml:space="preserve"> 3350 (E1521), talkas (E553b), raudonasis geležies oksidas (E172) tabletės plėvelėje.</w:t>
      </w:r>
      <w:r w:rsidR="00C828C4">
        <w:rPr>
          <w:sz w:val="22"/>
          <w:szCs w:val="22"/>
          <w:lang w:eastAsia="lt-LT"/>
        </w:rPr>
        <w:t xml:space="preserve"> Žr. 2 skyri</w:t>
      </w:r>
      <w:r w:rsidR="00244D59">
        <w:rPr>
          <w:sz w:val="22"/>
          <w:szCs w:val="22"/>
          <w:lang w:eastAsia="lt-LT"/>
        </w:rPr>
        <w:t>aus poskyrį „</w:t>
      </w:r>
      <w:proofErr w:type="spellStart"/>
      <w:r w:rsidR="00244D59">
        <w:rPr>
          <w:sz w:val="22"/>
          <w:szCs w:val="22"/>
          <w:lang w:eastAsia="lt-LT"/>
        </w:rPr>
        <w:t>Lymerexo</w:t>
      </w:r>
      <w:proofErr w:type="spellEnd"/>
      <w:r w:rsidR="00244D59">
        <w:rPr>
          <w:sz w:val="22"/>
          <w:szCs w:val="22"/>
          <w:lang w:eastAsia="lt-LT"/>
        </w:rPr>
        <w:t xml:space="preserve"> sudėtyje yra natrio“.</w:t>
      </w:r>
    </w:p>
    <w:p w14:paraId="2F4938F4" w14:textId="77777777" w:rsidR="003F7CCA" w:rsidRDefault="003F7CCA">
      <w:pPr>
        <w:jc w:val="both"/>
        <w:rPr>
          <w:sz w:val="22"/>
          <w:szCs w:val="22"/>
          <w:lang w:eastAsia="lt-LT"/>
        </w:rPr>
      </w:pPr>
    </w:p>
    <w:p w14:paraId="271ABCF0" w14:textId="77777777" w:rsidR="003F7CCA" w:rsidRDefault="0080197E">
      <w:pPr>
        <w:jc w:val="both"/>
        <w:rPr>
          <w:b/>
          <w:bCs/>
          <w:sz w:val="22"/>
          <w:szCs w:val="22"/>
          <w:lang w:eastAsia="lt-LT"/>
        </w:rPr>
      </w:pPr>
      <w:proofErr w:type="spellStart"/>
      <w:r>
        <w:rPr>
          <w:b/>
          <w:bCs/>
          <w:sz w:val="22"/>
          <w:szCs w:val="22"/>
          <w:lang w:eastAsia="lt-LT"/>
        </w:rPr>
        <w:t>Lymerexo</w:t>
      </w:r>
      <w:proofErr w:type="spellEnd"/>
      <w:r>
        <w:rPr>
          <w:b/>
          <w:bCs/>
          <w:sz w:val="22"/>
          <w:szCs w:val="22"/>
          <w:lang w:eastAsia="lt-LT"/>
        </w:rPr>
        <w:t xml:space="preserve"> išvaizda ir kiekis pakuotėje</w:t>
      </w:r>
    </w:p>
    <w:p w14:paraId="47CF03ED" w14:textId="094E433C" w:rsidR="003F7CCA" w:rsidRDefault="0080197E">
      <w:pPr>
        <w:autoSpaceDE w:val="0"/>
        <w:autoSpaceDN w:val="0"/>
        <w:adjustRightInd w:val="0"/>
        <w:rPr>
          <w:rFonts w:eastAsiaTheme="minorHAnsi"/>
          <w:color w:val="000000"/>
          <w:sz w:val="22"/>
          <w:szCs w:val="22"/>
          <w:u w:val="single"/>
          <w:lang w:eastAsia="en-US"/>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mg/850 mg plėvele dengtos tabletės </w:t>
      </w:r>
      <w:r w:rsidR="00594D08">
        <w:rPr>
          <w:rFonts w:eastAsiaTheme="minorHAnsi"/>
          <w:color w:val="000000"/>
          <w:sz w:val="22"/>
          <w:szCs w:val="22"/>
          <w:lang w:eastAsia="en-US"/>
        </w:rPr>
        <w:t xml:space="preserve">(tabletės) </w:t>
      </w:r>
      <w:r>
        <w:rPr>
          <w:rFonts w:eastAsiaTheme="minorHAnsi"/>
          <w:color w:val="000000"/>
          <w:sz w:val="22"/>
          <w:szCs w:val="22"/>
          <w:lang w:eastAsia="en-US"/>
        </w:rPr>
        <w:t>yra rausvai oranžinės spalvos, ovalios, abipus išgaubtos, plėvele dengtos tabletės, kurių vienoje pusėje yra žyma „L1“. Tabletės matmenys: maždaug 20 mm x 10 mm.</w:t>
      </w:r>
    </w:p>
    <w:p w14:paraId="6BD67289" w14:textId="6DDE5CE6" w:rsidR="003F7CCA" w:rsidRDefault="0080197E">
      <w:pPr>
        <w:rPr>
          <w:sz w:val="22"/>
          <w:szCs w:val="22"/>
          <w:u w:val="single"/>
        </w:rPr>
      </w:pPr>
      <w:proofErr w:type="spellStart"/>
      <w:r>
        <w:rPr>
          <w:rFonts w:eastAsiaTheme="minorHAnsi"/>
          <w:color w:val="000000"/>
          <w:sz w:val="22"/>
          <w:szCs w:val="22"/>
          <w:lang w:eastAsia="en-US"/>
        </w:rPr>
        <w:t>Lymerexo</w:t>
      </w:r>
      <w:proofErr w:type="spellEnd"/>
      <w:r>
        <w:rPr>
          <w:rFonts w:eastAsiaTheme="minorHAnsi"/>
          <w:color w:val="000000"/>
          <w:sz w:val="22"/>
          <w:szCs w:val="22"/>
          <w:lang w:eastAsia="en-US"/>
        </w:rPr>
        <w:t xml:space="preserve"> 2,5 mg/1 000 mg plėvele dengtos tabletės</w:t>
      </w:r>
      <w:r>
        <w:rPr>
          <w:sz w:val="22"/>
          <w:szCs w:val="22"/>
        </w:rPr>
        <w:t xml:space="preserve"> </w:t>
      </w:r>
      <w:r w:rsidR="008273E2">
        <w:rPr>
          <w:sz w:val="22"/>
          <w:szCs w:val="22"/>
        </w:rPr>
        <w:t xml:space="preserve">(tabletės) </w:t>
      </w:r>
      <w:r>
        <w:rPr>
          <w:sz w:val="22"/>
          <w:szCs w:val="22"/>
        </w:rPr>
        <w:t>yra</w:t>
      </w:r>
      <w:r>
        <w:rPr>
          <w:sz w:val="22"/>
          <w:szCs w:val="22"/>
          <w:u w:val="single"/>
        </w:rPr>
        <w:t xml:space="preserve"> </w:t>
      </w:r>
      <w:r>
        <w:rPr>
          <w:sz w:val="22"/>
          <w:szCs w:val="22"/>
        </w:rPr>
        <w:t>šviesiai rožinės, ovalios, abipus išgaubtos, plėvele dengtos tabletės, kurių vienoje pusėje yra žyma „L2“. Tabletės matmenys: maždaug 21 mm x 10 mm.</w:t>
      </w:r>
    </w:p>
    <w:p w14:paraId="1CF4F100" w14:textId="77777777" w:rsidR="003F7CCA" w:rsidRDefault="003F7CCA">
      <w:pPr>
        <w:widowControl w:val="0"/>
        <w:numPr>
          <w:ilvl w:val="12"/>
          <w:numId w:val="0"/>
        </w:numPr>
        <w:ind w:right="-2"/>
        <w:rPr>
          <w:bCs/>
          <w:sz w:val="22"/>
          <w:szCs w:val="22"/>
          <w:highlight w:val="cyan"/>
          <w:lang w:eastAsia="en-US"/>
        </w:rPr>
      </w:pPr>
    </w:p>
    <w:p w14:paraId="7BCE50F5" w14:textId="1DD462BD" w:rsidR="003F7CCA" w:rsidRDefault="0080197E">
      <w:pPr>
        <w:widowControl w:val="0"/>
        <w:rPr>
          <w:sz w:val="22"/>
          <w:szCs w:val="22"/>
          <w:lang w:eastAsia="sl-SI"/>
        </w:rPr>
      </w:pPr>
      <w:proofErr w:type="spellStart"/>
      <w:r>
        <w:rPr>
          <w:bCs/>
          <w:sz w:val="22"/>
          <w:szCs w:val="22"/>
          <w:lang w:eastAsia="en-US"/>
        </w:rPr>
        <w:t>Lymerexo</w:t>
      </w:r>
      <w:proofErr w:type="spellEnd"/>
      <w:r>
        <w:rPr>
          <w:b/>
          <w:bCs/>
          <w:sz w:val="22"/>
          <w:szCs w:val="22"/>
          <w:lang w:eastAsia="en-US"/>
        </w:rPr>
        <w:t xml:space="preserve"> </w:t>
      </w:r>
      <w:r>
        <w:rPr>
          <w:sz w:val="22"/>
          <w:szCs w:val="22"/>
          <w:lang w:eastAsia="en-US"/>
        </w:rPr>
        <w:t xml:space="preserve">tiekiamas </w:t>
      </w:r>
      <w:r w:rsidR="002B7339">
        <w:rPr>
          <w:sz w:val="22"/>
          <w:szCs w:val="22"/>
          <w:lang w:eastAsia="en-US"/>
        </w:rPr>
        <w:t xml:space="preserve">lizdinių plokštelių </w:t>
      </w:r>
      <w:r>
        <w:rPr>
          <w:sz w:val="22"/>
          <w:szCs w:val="22"/>
          <w:lang w:eastAsia="en-US"/>
        </w:rPr>
        <w:t>pakuotėse, kuriose yra</w:t>
      </w:r>
      <w:r w:rsidRPr="00A6463E">
        <w:rPr>
          <w:sz w:val="22"/>
          <w:szCs w:val="22"/>
          <w:lang w:eastAsia="en-US"/>
        </w:rPr>
        <w:t xml:space="preserve"> 10, 14, 28, 30, 56, 60, 84, 90, 98, 100, 112, 120</w:t>
      </w:r>
      <w:r>
        <w:rPr>
          <w:noProof/>
          <w:sz w:val="22"/>
          <w:szCs w:val="22"/>
          <w:lang w:eastAsia="sl-SI"/>
        </w:rPr>
        <w:t xml:space="preserve"> plėvele dengtų tablečių arba sudėtinėse pakuotėse, kuriose yra 120 (2 pakuotės po 60), 180 (2 pakuotės po 90), 180 (3 pakuotės po 60), 196 (2 pakuotės po 98) ir 200 (2 pakuotės po 100) plėvele dengtų tablečių.</w:t>
      </w:r>
    </w:p>
    <w:p w14:paraId="3504BD8B" w14:textId="77777777" w:rsidR="003F7CCA" w:rsidRDefault="003F7CCA">
      <w:pPr>
        <w:widowControl w:val="0"/>
        <w:numPr>
          <w:ilvl w:val="12"/>
          <w:numId w:val="0"/>
        </w:numPr>
        <w:ind w:right="-2"/>
        <w:rPr>
          <w:b/>
          <w:bCs/>
          <w:sz w:val="22"/>
          <w:szCs w:val="22"/>
          <w:lang w:eastAsia="lt-LT"/>
        </w:rPr>
      </w:pPr>
    </w:p>
    <w:p w14:paraId="11E83EC3" w14:textId="77777777" w:rsidR="003F7CCA" w:rsidRDefault="0080197E">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15BC7A56" w14:textId="77777777" w:rsidR="003F7CCA" w:rsidRDefault="003F7CCA">
      <w:pPr>
        <w:numPr>
          <w:ilvl w:val="12"/>
          <w:numId w:val="0"/>
        </w:numPr>
        <w:rPr>
          <w:rFonts w:eastAsia="Calibri"/>
          <w:sz w:val="22"/>
          <w:szCs w:val="22"/>
          <w:lang w:eastAsia="en-US"/>
        </w:rPr>
      </w:pPr>
    </w:p>
    <w:p w14:paraId="7AADF142" w14:textId="77777777" w:rsidR="003F7CCA" w:rsidRDefault="0080197E">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7E0D5DC5" w14:textId="470B69A8" w:rsidR="003F7CCA" w:rsidRDefault="003F7CCA">
      <w:pPr>
        <w:numPr>
          <w:ilvl w:val="12"/>
          <w:numId w:val="0"/>
        </w:numPr>
        <w:rPr>
          <w:rFonts w:eastAsia="Calibri"/>
          <w:sz w:val="22"/>
          <w:szCs w:val="22"/>
          <w:lang w:eastAsia="en-US"/>
        </w:rPr>
      </w:pPr>
    </w:p>
    <w:p w14:paraId="61D344E0" w14:textId="77777777" w:rsidR="003F7CCA" w:rsidRDefault="0080197E">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01063E63" w14:textId="77777777" w:rsidR="003F7CCA" w:rsidRDefault="0080197E">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67941CDA" w14:textId="77777777" w:rsidR="003F7CCA" w:rsidRDefault="0080197E">
      <w:pPr>
        <w:widowControl w:val="0"/>
        <w:rPr>
          <w:b/>
          <w:sz w:val="22"/>
          <w:szCs w:val="22"/>
          <w:lang w:eastAsia="sl-SI"/>
        </w:rPr>
      </w:pPr>
      <w:r>
        <w:rPr>
          <w:sz w:val="22"/>
          <w:szCs w:val="22"/>
          <w:lang w:eastAsia="sl-SI"/>
        </w:rPr>
        <w:t>8501 Novo mesto</w:t>
      </w:r>
    </w:p>
    <w:p w14:paraId="3823BC93" w14:textId="77777777" w:rsidR="003F7CCA" w:rsidRDefault="0080197E">
      <w:pPr>
        <w:widowControl w:val="0"/>
        <w:rPr>
          <w:b/>
          <w:sz w:val="22"/>
          <w:szCs w:val="22"/>
          <w:lang w:eastAsia="sl-SI"/>
        </w:rPr>
      </w:pPr>
      <w:r>
        <w:rPr>
          <w:sz w:val="22"/>
          <w:szCs w:val="22"/>
          <w:lang w:eastAsia="sl-SI"/>
        </w:rPr>
        <w:t>Slovėnija</w:t>
      </w:r>
    </w:p>
    <w:p w14:paraId="4E062F7D" w14:textId="77777777" w:rsidR="003F7CCA" w:rsidRDefault="003F7CCA">
      <w:pPr>
        <w:numPr>
          <w:ilvl w:val="12"/>
          <w:numId w:val="0"/>
        </w:numPr>
        <w:rPr>
          <w:rFonts w:eastAsia="Calibri"/>
          <w:noProof/>
          <w:sz w:val="22"/>
          <w:szCs w:val="22"/>
          <w:lang w:eastAsia="en-US"/>
        </w:rPr>
      </w:pPr>
    </w:p>
    <w:p w14:paraId="5E58B150" w14:textId="77777777" w:rsidR="003F7CCA" w:rsidRDefault="0080197E">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0B974147" w14:textId="77777777" w:rsidR="003F7CCA" w:rsidRDefault="003F7CCA">
      <w:pPr>
        <w:numPr>
          <w:ilvl w:val="12"/>
          <w:numId w:val="0"/>
        </w:numPr>
        <w:rPr>
          <w:rFonts w:eastAsia="Calibri"/>
          <w:noProof/>
          <w:sz w:val="22"/>
          <w:szCs w:val="22"/>
          <w:lang w:eastAsia="en-US"/>
        </w:rPr>
      </w:pPr>
    </w:p>
    <w:p w14:paraId="44AFF3E5" w14:textId="77777777" w:rsidR="003F7CCA" w:rsidRDefault="0080197E">
      <w:pPr>
        <w:rPr>
          <w:rFonts w:eastAsia="Calibri"/>
          <w:noProof/>
          <w:sz w:val="22"/>
          <w:szCs w:val="22"/>
          <w:lang w:eastAsia="en-US"/>
        </w:rPr>
      </w:pPr>
      <w:r>
        <w:rPr>
          <w:rFonts w:eastAsia="Calibri"/>
          <w:noProof/>
          <w:sz w:val="22"/>
          <w:szCs w:val="22"/>
          <w:lang w:eastAsia="en-US"/>
        </w:rPr>
        <w:t>UAB KRKA Lietuva</w:t>
      </w:r>
    </w:p>
    <w:p w14:paraId="2D2C6D63" w14:textId="77777777" w:rsidR="003F7CCA" w:rsidRDefault="0080197E">
      <w:pPr>
        <w:rPr>
          <w:rFonts w:eastAsia="Calibri"/>
          <w:noProof/>
          <w:sz w:val="22"/>
          <w:szCs w:val="22"/>
          <w:lang w:eastAsia="en-US"/>
        </w:rPr>
      </w:pPr>
      <w:r>
        <w:rPr>
          <w:rFonts w:eastAsia="Calibri"/>
          <w:noProof/>
          <w:sz w:val="22"/>
          <w:szCs w:val="22"/>
          <w:lang w:eastAsia="en-US"/>
        </w:rPr>
        <w:t>Senasis Ukmergės kelias 4</w:t>
      </w:r>
    </w:p>
    <w:p w14:paraId="1C6D3699" w14:textId="77777777" w:rsidR="003F7CCA" w:rsidRDefault="0080197E">
      <w:pPr>
        <w:rPr>
          <w:rFonts w:eastAsia="Calibri"/>
          <w:noProof/>
          <w:sz w:val="22"/>
          <w:szCs w:val="22"/>
          <w:lang w:eastAsia="en-US"/>
        </w:rPr>
      </w:pPr>
      <w:r>
        <w:rPr>
          <w:rFonts w:eastAsia="Calibri"/>
          <w:noProof/>
          <w:sz w:val="22"/>
          <w:szCs w:val="22"/>
          <w:lang w:eastAsia="en-US"/>
        </w:rPr>
        <w:t>Užubalių km.,Vilniaus r.</w:t>
      </w:r>
    </w:p>
    <w:p w14:paraId="24D457F0" w14:textId="77777777" w:rsidR="003F7CCA" w:rsidRDefault="0080197E">
      <w:pPr>
        <w:rPr>
          <w:rFonts w:eastAsia="Calibri"/>
          <w:noProof/>
          <w:sz w:val="22"/>
          <w:szCs w:val="22"/>
          <w:lang w:eastAsia="en-US"/>
        </w:rPr>
      </w:pPr>
      <w:r>
        <w:rPr>
          <w:rFonts w:eastAsia="Calibri"/>
          <w:noProof/>
          <w:sz w:val="22"/>
          <w:szCs w:val="22"/>
          <w:lang w:eastAsia="en-US"/>
        </w:rPr>
        <w:t>LT - 14013</w:t>
      </w:r>
    </w:p>
    <w:p w14:paraId="013E4930" w14:textId="77777777" w:rsidR="003F7CCA" w:rsidRDefault="0080197E">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4D8A765A" w14:textId="77777777" w:rsidR="003F7CCA" w:rsidRDefault="003F7CCA">
      <w:pPr>
        <w:rPr>
          <w:rFonts w:eastAsia="Calibri"/>
          <w:noProof/>
          <w:sz w:val="22"/>
          <w:szCs w:val="22"/>
          <w:lang w:eastAsia="en-US"/>
        </w:rPr>
      </w:pPr>
    </w:p>
    <w:p w14:paraId="53EB3236" w14:textId="32BEB3C0" w:rsidR="003F7CCA" w:rsidRDefault="0080197E">
      <w:pPr>
        <w:widowControl w:val="0"/>
        <w:rPr>
          <w:b/>
          <w:sz w:val="22"/>
          <w:szCs w:val="22"/>
          <w:lang w:eastAsia="sl-SI"/>
        </w:rPr>
      </w:pPr>
      <w:r>
        <w:rPr>
          <w:b/>
          <w:sz w:val="22"/>
          <w:szCs w:val="22"/>
          <w:lang w:eastAsia="sl-SI"/>
        </w:rPr>
        <w:t>Šis vaistas Europos ekonominės erdvės valstybėse narėse registruotas tokiais pavadinimais</w:t>
      </w:r>
      <w:r w:rsidR="001A700F">
        <w:rPr>
          <w:b/>
          <w:sz w:val="22"/>
          <w:szCs w:val="22"/>
          <w:lang w:eastAsia="sl-SI"/>
        </w:rPr>
        <w:t>:</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3F7CCA" w14:paraId="7592DD43" w14:textId="77777777">
        <w:tc>
          <w:tcPr>
            <w:tcW w:w="3715" w:type="dxa"/>
            <w:tcBorders>
              <w:top w:val="single" w:sz="4" w:space="0" w:color="auto"/>
              <w:left w:val="single" w:sz="4" w:space="0" w:color="auto"/>
              <w:bottom w:val="single" w:sz="4" w:space="0" w:color="auto"/>
              <w:right w:val="single" w:sz="4" w:space="0" w:color="auto"/>
            </w:tcBorders>
            <w:hideMark/>
          </w:tcPr>
          <w:p w14:paraId="00F22CEB" w14:textId="77777777" w:rsidR="003F7CCA" w:rsidRDefault="0080197E">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20" w:type="dxa"/>
            <w:tcBorders>
              <w:top w:val="single" w:sz="4" w:space="0" w:color="auto"/>
              <w:left w:val="single" w:sz="4" w:space="0" w:color="auto"/>
              <w:bottom w:val="single" w:sz="4" w:space="0" w:color="auto"/>
              <w:right w:val="single" w:sz="4" w:space="0" w:color="auto"/>
            </w:tcBorders>
            <w:hideMark/>
          </w:tcPr>
          <w:p w14:paraId="65B1EB0A" w14:textId="77777777" w:rsidR="003F7CCA" w:rsidRDefault="0080197E">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3F7CCA" w14:paraId="355D3A89" w14:textId="77777777">
        <w:tc>
          <w:tcPr>
            <w:tcW w:w="3715" w:type="dxa"/>
            <w:tcBorders>
              <w:top w:val="single" w:sz="4" w:space="0" w:color="auto"/>
              <w:left w:val="single" w:sz="4" w:space="0" w:color="auto"/>
              <w:bottom w:val="single" w:sz="4" w:space="0" w:color="auto"/>
              <w:right w:val="single" w:sz="4" w:space="0" w:color="auto"/>
            </w:tcBorders>
            <w:hideMark/>
          </w:tcPr>
          <w:p w14:paraId="1E3F3799" w14:textId="5902888B" w:rsidR="003F7CCA" w:rsidRDefault="0080197E">
            <w:pPr>
              <w:numPr>
                <w:ilvl w:val="12"/>
                <w:numId w:val="0"/>
              </w:numPr>
              <w:spacing w:line="259" w:lineRule="auto"/>
              <w:rPr>
                <w:rFonts w:eastAsia="Calibri"/>
                <w:bCs/>
                <w:sz w:val="22"/>
                <w:szCs w:val="22"/>
                <w:lang w:eastAsia="en-US"/>
              </w:rPr>
            </w:pPr>
            <w:r>
              <w:rPr>
                <w:rFonts w:eastAsia="Calibri"/>
                <w:bCs/>
                <w:sz w:val="22"/>
                <w:szCs w:val="22"/>
                <w:lang w:eastAsia="en-US"/>
              </w:rPr>
              <w:t xml:space="preserve">Slovėnija, Bulgarija, Čekija, Estija, Graikija, </w:t>
            </w:r>
            <w:r w:rsidR="000F34E2">
              <w:rPr>
                <w:rFonts w:eastAsia="Calibri"/>
                <w:bCs/>
                <w:sz w:val="22"/>
                <w:szCs w:val="22"/>
                <w:lang w:eastAsia="en-US"/>
              </w:rPr>
              <w:t>K</w:t>
            </w:r>
            <w:r>
              <w:rPr>
                <w:rFonts w:eastAsia="Calibri"/>
                <w:bCs/>
                <w:sz w:val="22"/>
                <w:szCs w:val="22"/>
                <w:lang w:eastAsia="en-US"/>
              </w:rPr>
              <w:t>roatija, Vengrija, Lietuva, Latvija, Lenkija, Slovakija</w:t>
            </w:r>
          </w:p>
        </w:tc>
        <w:tc>
          <w:tcPr>
            <w:tcW w:w="4820" w:type="dxa"/>
            <w:tcBorders>
              <w:top w:val="single" w:sz="4" w:space="0" w:color="auto"/>
              <w:left w:val="single" w:sz="4" w:space="0" w:color="auto"/>
              <w:bottom w:val="single" w:sz="4" w:space="0" w:color="auto"/>
              <w:right w:val="single" w:sz="4" w:space="0" w:color="auto"/>
            </w:tcBorders>
            <w:hideMark/>
          </w:tcPr>
          <w:p w14:paraId="7A449D8E" w14:textId="77777777" w:rsidR="003F7CCA" w:rsidRDefault="0080197E">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Lymerexo</w:t>
            </w:r>
            <w:proofErr w:type="spellEnd"/>
          </w:p>
        </w:tc>
      </w:tr>
    </w:tbl>
    <w:p w14:paraId="549B6D9D" w14:textId="77777777" w:rsidR="003F7CCA" w:rsidRDefault="003F7CCA">
      <w:pPr>
        <w:numPr>
          <w:ilvl w:val="12"/>
          <w:numId w:val="0"/>
        </w:numPr>
        <w:spacing w:line="259" w:lineRule="auto"/>
        <w:rPr>
          <w:rFonts w:eastAsia="Calibri"/>
          <w:bCs/>
          <w:sz w:val="22"/>
          <w:szCs w:val="22"/>
          <w:lang w:eastAsia="en-US"/>
        </w:rPr>
      </w:pPr>
    </w:p>
    <w:p w14:paraId="69C903B0" w14:textId="77777777" w:rsidR="003F7CCA" w:rsidRDefault="003F7CCA">
      <w:pPr>
        <w:numPr>
          <w:ilvl w:val="12"/>
          <w:numId w:val="0"/>
        </w:numPr>
        <w:spacing w:line="259" w:lineRule="auto"/>
        <w:rPr>
          <w:rFonts w:eastAsia="Calibri"/>
          <w:bCs/>
          <w:sz w:val="22"/>
          <w:szCs w:val="22"/>
          <w:lang w:eastAsia="en-US"/>
        </w:rPr>
      </w:pPr>
    </w:p>
    <w:p w14:paraId="5F9F671B" w14:textId="706AB344" w:rsidR="003F7CCA" w:rsidRDefault="0080197E">
      <w:pPr>
        <w:numPr>
          <w:ilvl w:val="12"/>
          <w:numId w:val="0"/>
        </w:numPr>
        <w:rPr>
          <w:rFonts w:eastAsia="Calibri"/>
          <w:sz w:val="22"/>
          <w:szCs w:val="22"/>
          <w:lang w:eastAsia="en-US"/>
        </w:rPr>
      </w:pPr>
      <w:r>
        <w:rPr>
          <w:rFonts w:eastAsia="Calibri"/>
          <w:b/>
          <w:sz w:val="22"/>
          <w:szCs w:val="22"/>
          <w:lang w:eastAsia="en-US"/>
        </w:rPr>
        <w:t xml:space="preserve">Šis pakuotės lapelis paskutinį kartą peržiūrėtas </w:t>
      </w:r>
      <w:r w:rsidR="009A2FFD">
        <w:rPr>
          <w:rFonts w:eastAsia="Calibri"/>
          <w:b/>
          <w:sz w:val="22"/>
          <w:szCs w:val="22"/>
          <w:lang w:eastAsia="en-US"/>
        </w:rPr>
        <w:t>2026-05-20</w:t>
      </w:r>
      <w:r>
        <w:rPr>
          <w:b/>
          <w:sz w:val="22"/>
          <w:szCs w:val="20"/>
          <w:lang w:eastAsia="en-US"/>
        </w:rPr>
        <w:t>.</w:t>
      </w:r>
    </w:p>
    <w:p w14:paraId="01434D6E" w14:textId="77777777" w:rsidR="003F7CCA" w:rsidRDefault="003F7CCA">
      <w:pPr>
        <w:numPr>
          <w:ilvl w:val="12"/>
          <w:numId w:val="0"/>
        </w:numPr>
        <w:rPr>
          <w:rFonts w:eastAsia="Calibri"/>
          <w:sz w:val="22"/>
          <w:szCs w:val="22"/>
          <w:lang w:eastAsia="en-US"/>
        </w:rPr>
      </w:pPr>
    </w:p>
    <w:p w14:paraId="0DFE278A" w14:textId="77777777" w:rsidR="003F7CCA" w:rsidRDefault="0080197E">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19" w:name="_Hlk173407610"/>
      <w:r>
        <w:rPr>
          <w:rFonts w:eastAsia="Calibri"/>
          <w:color w:val="0000EE"/>
          <w:sz w:val="22"/>
          <w:szCs w:val="22"/>
          <w:u w:val="single"/>
          <w:lang w:eastAsia="lt-LT"/>
        </w:rPr>
        <w:t>https://vvkt.lrv.lt/lt/</w:t>
      </w:r>
      <w:bookmarkEnd w:id="19"/>
      <w:r>
        <w:rPr>
          <w:rFonts w:eastAsia="Calibri"/>
          <w:sz w:val="22"/>
          <w:szCs w:val="22"/>
          <w:lang w:eastAsia="lt-LT"/>
        </w:rPr>
        <w:t>.</w:t>
      </w:r>
    </w:p>
    <w:p w14:paraId="6A3FA3E9" w14:textId="77777777" w:rsidR="003F7CCA" w:rsidRDefault="003F7CCA">
      <w:pPr>
        <w:widowControl w:val="0"/>
        <w:rPr>
          <w:rFonts w:eastAsia="Calibri"/>
          <w:sz w:val="22"/>
          <w:szCs w:val="22"/>
          <w:lang w:eastAsia="en-US"/>
        </w:rPr>
      </w:pPr>
    </w:p>
    <w:p w14:paraId="268011A0" w14:textId="77777777" w:rsidR="003F7CCA" w:rsidRDefault="003F7CCA">
      <w:pPr>
        <w:pStyle w:val="Antrat3"/>
        <w:spacing w:before="0" w:after="0" w:line="240" w:lineRule="auto"/>
        <w:rPr>
          <w:lang w:val="lt-LT"/>
        </w:rPr>
      </w:pPr>
    </w:p>
    <w:sectPr w:rsidR="003F7CCA" w:rsidSect="00DC4794">
      <w:headerReference w:type="even" r:id="rId8"/>
      <w:headerReference w:type="default" r:id="rId9"/>
      <w:footerReference w:type="even" r:id="rId10"/>
      <w:footerReference w:type="default" r:id="rId11"/>
      <w:headerReference w:type="first" r:id="rId12"/>
      <w:footerReference w:type="first" r:id="rId13"/>
      <w:pgSz w:w="11910"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486D" w14:textId="77777777" w:rsidR="006A2FB7" w:rsidRDefault="006A2FB7">
      <w:r>
        <w:separator/>
      </w:r>
    </w:p>
  </w:endnote>
  <w:endnote w:type="continuationSeparator" w:id="0">
    <w:p w14:paraId="07F17DE6" w14:textId="77777777" w:rsidR="006A2FB7" w:rsidRDefault="006A2FB7">
      <w:r>
        <w:continuationSeparator/>
      </w:r>
    </w:p>
  </w:endnote>
  <w:endnote w:type="continuationNotice" w:id="1">
    <w:p w14:paraId="44E9C368" w14:textId="77777777" w:rsidR="006A2FB7" w:rsidRDefault="006A2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UI"/>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5E9E4F63" w14:textId="77777777" w:rsidR="003F7CCA" w:rsidRDefault="0080197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A58637A" w14:textId="77777777" w:rsidR="003F7CCA" w:rsidRDefault="003F7CC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4457EFB5" w14:textId="77777777" w:rsidR="003F7CCA" w:rsidRDefault="0080197E">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7</w:t>
        </w:r>
        <w:r>
          <w:rPr>
            <w:rStyle w:val="Puslapionumeris"/>
          </w:rPr>
          <w:fldChar w:fldCharType="end"/>
        </w:r>
      </w:p>
    </w:sdtContent>
  </w:sdt>
  <w:p w14:paraId="7C93CB51" w14:textId="77777777" w:rsidR="003F7CCA" w:rsidRDefault="003F7CCA">
    <w:pPr>
      <w:pStyle w:val="Porat"/>
      <w:jc w:val="right"/>
    </w:pPr>
  </w:p>
  <w:p w14:paraId="4CEBD717" w14:textId="77777777" w:rsidR="003F7CCA" w:rsidRDefault="003F7CC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DC85" w14:textId="77777777" w:rsidR="003F7CCA" w:rsidRDefault="003F7C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18C4D" w14:textId="77777777" w:rsidR="006A2FB7" w:rsidRDefault="006A2FB7">
      <w:r>
        <w:separator/>
      </w:r>
    </w:p>
  </w:footnote>
  <w:footnote w:type="continuationSeparator" w:id="0">
    <w:p w14:paraId="3C2BBBF8" w14:textId="77777777" w:rsidR="006A2FB7" w:rsidRDefault="006A2FB7">
      <w:r>
        <w:continuationSeparator/>
      </w:r>
    </w:p>
  </w:footnote>
  <w:footnote w:type="continuationNotice" w:id="1">
    <w:p w14:paraId="71FF515A" w14:textId="77777777" w:rsidR="006A2FB7" w:rsidRDefault="006A2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6EAA" w14:textId="77777777" w:rsidR="003F7CCA" w:rsidRDefault="003F7C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53A9" w14:textId="77777777" w:rsidR="003F7CCA" w:rsidRDefault="003F7C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86FE" w14:textId="77777777" w:rsidR="003F7CCA" w:rsidRDefault="003F7C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E1AC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2FBFD5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02340A"/>
    <w:multiLevelType w:val="hybridMultilevel"/>
    <w:tmpl w:val="51D6F60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A59A9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90E5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6D42493"/>
    <w:multiLevelType w:val="hybridMultilevel"/>
    <w:tmpl w:val="8432FCCE"/>
    <w:lvl w:ilvl="0" w:tplc="61D6DA8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7DB1BDD"/>
    <w:multiLevelType w:val="hybridMultilevel"/>
    <w:tmpl w:val="705CE724"/>
    <w:lvl w:ilvl="0" w:tplc="61D6DA8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4F407F8C"/>
    <w:multiLevelType w:val="hybridMultilevel"/>
    <w:tmpl w:val="FD3C883A"/>
    <w:lvl w:ilvl="0" w:tplc="61D6DA8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5A960185"/>
    <w:multiLevelType w:val="hybridMultilevel"/>
    <w:tmpl w:val="D5943370"/>
    <w:lvl w:ilvl="0" w:tplc="DFD47A7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10C9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0C27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185A4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2073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C093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E85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2BC2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76E6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BD1DA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B1CC4"/>
    <w:multiLevelType w:val="hybridMultilevel"/>
    <w:tmpl w:val="97E4B50E"/>
    <w:lvl w:ilvl="0" w:tplc="4A6EE82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8B9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B0A7B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DEE2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EBE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D8CF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CE5A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5CC9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E052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000692167">
    <w:abstractNumId w:val="1"/>
    <w:lvlOverride w:ilvl="0">
      <w:startOverride w:val="1"/>
    </w:lvlOverride>
  </w:num>
  <w:num w:numId="2" w16cid:durableId="687096407">
    <w:abstractNumId w:val="21"/>
  </w:num>
  <w:num w:numId="3" w16cid:durableId="1876960551">
    <w:abstractNumId w:val="14"/>
  </w:num>
  <w:num w:numId="4" w16cid:durableId="877203075">
    <w:abstractNumId w:val="18"/>
  </w:num>
  <w:num w:numId="5" w16cid:durableId="1869827595">
    <w:abstractNumId w:val="4"/>
  </w:num>
  <w:num w:numId="6" w16cid:durableId="1001546249">
    <w:abstractNumId w:val="8"/>
  </w:num>
  <w:num w:numId="7" w16cid:durableId="74472191">
    <w:abstractNumId w:val="5"/>
  </w:num>
  <w:num w:numId="8" w16cid:durableId="574584679">
    <w:abstractNumId w:val="12"/>
  </w:num>
  <w:num w:numId="9" w16cid:durableId="617838614">
    <w:abstractNumId w:val="20"/>
  </w:num>
  <w:num w:numId="10" w16cid:durableId="815224666">
    <w:abstractNumId w:val="7"/>
  </w:num>
  <w:num w:numId="11" w16cid:durableId="2016036200">
    <w:abstractNumId w:val="2"/>
    <w:lvlOverride w:ilvl="0">
      <w:lvl w:ilvl="0">
        <w:numFmt w:val="bullet"/>
        <w:lvlText w:val="-"/>
        <w:lvlJc w:val="left"/>
        <w:pPr>
          <w:ind w:left="360" w:hanging="360"/>
        </w:pPr>
      </w:lvl>
    </w:lvlOverride>
  </w:num>
  <w:num w:numId="12" w16cid:durableId="569343354">
    <w:abstractNumId w:val="2"/>
    <w:lvlOverride w:ilvl="0">
      <w:lvl w:ilvl="0">
        <w:numFmt w:val="bullet"/>
        <w:lvlText w:val="-"/>
        <w:legacy w:legacy="1" w:legacySpace="0" w:legacyIndent="360"/>
        <w:lvlJc w:val="left"/>
        <w:pPr>
          <w:ind w:left="360" w:hanging="360"/>
        </w:pPr>
      </w:lvl>
    </w:lvlOverride>
  </w:num>
  <w:num w:numId="13" w16cid:durableId="1404258230">
    <w:abstractNumId w:val="15"/>
  </w:num>
  <w:num w:numId="14" w16cid:durableId="1215311405">
    <w:abstractNumId w:val="11"/>
  </w:num>
  <w:num w:numId="15" w16cid:durableId="647051478">
    <w:abstractNumId w:val="13"/>
  </w:num>
  <w:num w:numId="16" w16cid:durableId="1969163905">
    <w:abstractNumId w:val="10"/>
  </w:num>
  <w:num w:numId="17" w16cid:durableId="488375023">
    <w:abstractNumId w:val="19"/>
  </w:num>
  <w:num w:numId="18" w16cid:durableId="1180317170">
    <w:abstractNumId w:val="0"/>
  </w:num>
  <w:num w:numId="19" w16cid:durableId="1193617187">
    <w:abstractNumId w:val="9"/>
  </w:num>
  <w:num w:numId="20" w16cid:durableId="1391921316">
    <w:abstractNumId w:val="16"/>
  </w:num>
  <w:num w:numId="21" w16cid:durableId="940573463">
    <w:abstractNumId w:val="17"/>
  </w:num>
  <w:num w:numId="22" w16cid:durableId="480928103">
    <w:abstractNumId w:val="6"/>
  </w:num>
  <w:num w:numId="23" w16cid:durableId="80157599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CA"/>
    <w:rsid w:val="00016A23"/>
    <w:rsid w:val="0004793A"/>
    <w:rsid w:val="00057CEA"/>
    <w:rsid w:val="00061638"/>
    <w:rsid w:val="00072E6D"/>
    <w:rsid w:val="00073A1C"/>
    <w:rsid w:val="000754B7"/>
    <w:rsid w:val="000C527C"/>
    <w:rsid w:val="000C6C5D"/>
    <w:rsid w:val="000D35BA"/>
    <w:rsid w:val="000D4FA1"/>
    <w:rsid w:val="000F34E2"/>
    <w:rsid w:val="00144F9E"/>
    <w:rsid w:val="001A700F"/>
    <w:rsid w:val="001A745E"/>
    <w:rsid w:val="001C3CA5"/>
    <w:rsid w:val="001C5D1C"/>
    <w:rsid w:val="001C6484"/>
    <w:rsid w:val="001D6832"/>
    <w:rsid w:val="001E6EF2"/>
    <w:rsid w:val="001F796C"/>
    <w:rsid w:val="002139BD"/>
    <w:rsid w:val="0022321D"/>
    <w:rsid w:val="00227CA0"/>
    <w:rsid w:val="00244D59"/>
    <w:rsid w:val="002463BD"/>
    <w:rsid w:val="00250797"/>
    <w:rsid w:val="00262924"/>
    <w:rsid w:val="0026295E"/>
    <w:rsid w:val="002804F9"/>
    <w:rsid w:val="002921F5"/>
    <w:rsid w:val="002B32D0"/>
    <w:rsid w:val="002B42CF"/>
    <w:rsid w:val="002B5C66"/>
    <w:rsid w:val="002B7339"/>
    <w:rsid w:val="002C2E51"/>
    <w:rsid w:val="002C596B"/>
    <w:rsid w:val="002C72A4"/>
    <w:rsid w:val="002E2095"/>
    <w:rsid w:val="002F36D0"/>
    <w:rsid w:val="003358EF"/>
    <w:rsid w:val="003627A1"/>
    <w:rsid w:val="00362A3C"/>
    <w:rsid w:val="003669D7"/>
    <w:rsid w:val="00394E4D"/>
    <w:rsid w:val="003B221B"/>
    <w:rsid w:val="003C4CDD"/>
    <w:rsid w:val="003C554F"/>
    <w:rsid w:val="003C7B2D"/>
    <w:rsid w:val="003D041D"/>
    <w:rsid w:val="003E33E5"/>
    <w:rsid w:val="003F13EB"/>
    <w:rsid w:val="003F18F5"/>
    <w:rsid w:val="003F7CCA"/>
    <w:rsid w:val="004035E8"/>
    <w:rsid w:val="00415B71"/>
    <w:rsid w:val="00423720"/>
    <w:rsid w:val="00433C98"/>
    <w:rsid w:val="00460E8B"/>
    <w:rsid w:val="00461016"/>
    <w:rsid w:val="00461559"/>
    <w:rsid w:val="00461881"/>
    <w:rsid w:val="00463CEE"/>
    <w:rsid w:val="0047416A"/>
    <w:rsid w:val="00491DEA"/>
    <w:rsid w:val="004933A6"/>
    <w:rsid w:val="004A12AE"/>
    <w:rsid w:val="004A23D4"/>
    <w:rsid w:val="004A5281"/>
    <w:rsid w:val="004B430F"/>
    <w:rsid w:val="004E7043"/>
    <w:rsid w:val="004F0F17"/>
    <w:rsid w:val="00560725"/>
    <w:rsid w:val="00573E3F"/>
    <w:rsid w:val="0057629D"/>
    <w:rsid w:val="00583593"/>
    <w:rsid w:val="00594D08"/>
    <w:rsid w:val="005C3C75"/>
    <w:rsid w:val="005D29D2"/>
    <w:rsid w:val="005D7CC1"/>
    <w:rsid w:val="005E2564"/>
    <w:rsid w:val="00615D06"/>
    <w:rsid w:val="00616B15"/>
    <w:rsid w:val="006274EE"/>
    <w:rsid w:val="00631B4C"/>
    <w:rsid w:val="00631D92"/>
    <w:rsid w:val="00634F93"/>
    <w:rsid w:val="00641129"/>
    <w:rsid w:val="00646052"/>
    <w:rsid w:val="00652F0B"/>
    <w:rsid w:val="00653CC9"/>
    <w:rsid w:val="006674A6"/>
    <w:rsid w:val="006864E0"/>
    <w:rsid w:val="006917CF"/>
    <w:rsid w:val="006A2FB7"/>
    <w:rsid w:val="006B6FC0"/>
    <w:rsid w:val="006D132D"/>
    <w:rsid w:val="006D6D3F"/>
    <w:rsid w:val="006F1809"/>
    <w:rsid w:val="006F449F"/>
    <w:rsid w:val="00700A09"/>
    <w:rsid w:val="007142E7"/>
    <w:rsid w:val="007173F3"/>
    <w:rsid w:val="00722B10"/>
    <w:rsid w:val="00723207"/>
    <w:rsid w:val="00752E3E"/>
    <w:rsid w:val="0075705A"/>
    <w:rsid w:val="00761638"/>
    <w:rsid w:val="00765E93"/>
    <w:rsid w:val="00780C04"/>
    <w:rsid w:val="007D0562"/>
    <w:rsid w:val="007E549F"/>
    <w:rsid w:val="007F5891"/>
    <w:rsid w:val="007F5EDF"/>
    <w:rsid w:val="0080197E"/>
    <w:rsid w:val="00802300"/>
    <w:rsid w:val="0080524A"/>
    <w:rsid w:val="00810794"/>
    <w:rsid w:val="00815EA2"/>
    <w:rsid w:val="008177E1"/>
    <w:rsid w:val="0082413A"/>
    <w:rsid w:val="008273E2"/>
    <w:rsid w:val="008329FD"/>
    <w:rsid w:val="0084732F"/>
    <w:rsid w:val="00857A07"/>
    <w:rsid w:val="00875846"/>
    <w:rsid w:val="00881CAD"/>
    <w:rsid w:val="00891714"/>
    <w:rsid w:val="008B1FA1"/>
    <w:rsid w:val="008B7466"/>
    <w:rsid w:val="008C2DD3"/>
    <w:rsid w:val="008C311F"/>
    <w:rsid w:val="008C542F"/>
    <w:rsid w:val="008F395F"/>
    <w:rsid w:val="009010AF"/>
    <w:rsid w:val="00901369"/>
    <w:rsid w:val="009070F4"/>
    <w:rsid w:val="00920302"/>
    <w:rsid w:val="0094753D"/>
    <w:rsid w:val="00957455"/>
    <w:rsid w:val="0096525E"/>
    <w:rsid w:val="00982C63"/>
    <w:rsid w:val="00983952"/>
    <w:rsid w:val="00990463"/>
    <w:rsid w:val="0099441E"/>
    <w:rsid w:val="009A2FFD"/>
    <w:rsid w:val="009B1D7E"/>
    <w:rsid w:val="009B20A0"/>
    <w:rsid w:val="009B29D5"/>
    <w:rsid w:val="009D1C33"/>
    <w:rsid w:val="009E466F"/>
    <w:rsid w:val="009F2090"/>
    <w:rsid w:val="009F5A88"/>
    <w:rsid w:val="009F77A3"/>
    <w:rsid w:val="00A12D18"/>
    <w:rsid w:val="00A43E9F"/>
    <w:rsid w:val="00A60A1C"/>
    <w:rsid w:val="00A6463E"/>
    <w:rsid w:val="00A8513D"/>
    <w:rsid w:val="00A95762"/>
    <w:rsid w:val="00AA353F"/>
    <w:rsid w:val="00AA7B30"/>
    <w:rsid w:val="00AB3487"/>
    <w:rsid w:val="00AB3C5D"/>
    <w:rsid w:val="00AC022D"/>
    <w:rsid w:val="00AC1A41"/>
    <w:rsid w:val="00AC6303"/>
    <w:rsid w:val="00AD0AD0"/>
    <w:rsid w:val="00B35260"/>
    <w:rsid w:val="00B40DFC"/>
    <w:rsid w:val="00B55545"/>
    <w:rsid w:val="00B60FF9"/>
    <w:rsid w:val="00BA038C"/>
    <w:rsid w:val="00BB0E90"/>
    <w:rsid w:val="00BD2330"/>
    <w:rsid w:val="00BD43B1"/>
    <w:rsid w:val="00BE6DAE"/>
    <w:rsid w:val="00BF6B2A"/>
    <w:rsid w:val="00C16AF9"/>
    <w:rsid w:val="00C26C35"/>
    <w:rsid w:val="00C3056E"/>
    <w:rsid w:val="00C40E47"/>
    <w:rsid w:val="00C73859"/>
    <w:rsid w:val="00C828C4"/>
    <w:rsid w:val="00C851E7"/>
    <w:rsid w:val="00CA50BF"/>
    <w:rsid w:val="00CB5F21"/>
    <w:rsid w:val="00CE27B4"/>
    <w:rsid w:val="00CE63BE"/>
    <w:rsid w:val="00CF399B"/>
    <w:rsid w:val="00D41236"/>
    <w:rsid w:val="00D475A7"/>
    <w:rsid w:val="00D5662B"/>
    <w:rsid w:val="00D6368A"/>
    <w:rsid w:val="00D65483"/>
    <w:rsid w:val="00D65949"/>
    <w:rsid w:val="00D876FF"/>
    <w:rsid w:val="00DC4794"/>
    <w:rsid w:val="00DD7B2A"/>
    <w:rsid w:val="00DE5908"/>
    <w:rsid w:val="00DF3DE0"/>
    <w:rsid w:val="00E14F99"/>
    <w:rsid w:val="00E24EA6"/>
    <w:rsid w:val="00E26338"/>
    <w:rsid w:val="00E3203B"/>
    <w:rsid w:val="00E41D71"/>
    <w:rsid w:val="00E5578D"/>
    <w:rsid w:val="00E876A4"/>
    <w:rsid w:val="00E974B0"/>
    <w:rsid w:val="00EC3C19"/>
    <w:rsid w:val="00EC6EA4"/>
    <w:rsid w:val="00ED506B"/>
    <w:rsid w:val="00EF346D"/>
    <w:rsid w:val="00F15905"/>
    <w:rsid w:val="00F26E8E"/>
    <w:rsid w:val="00F36747"/>
    <w:rsid w:val="00F44AB1"/>
    <w:rsid w:val="00F60E25"/>
    <w:rsid w:val="00F72427"/>
    <w:rsid w:val="00F81066"/>
    <w:rsid w:val="00F933FC"/>
    <w:rsid w:val="00F94125"/>
    <w:rsid w:val="00F97B84"/>
    <w:rsid w:val="00FE49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293BC"/>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style>
  <w:style w:type="numbering" w:customStyle="1" w:styleId="NoList11">
    <w:name w:val="No List11"/>
    <w:next w:val="Sraonra"/>
    <w:uiPriority w:val="99"/>
    <w:semiHidden/>
    <w:unhideWhenUsed/>
  </w:style>
  <w:style w:type="table" w:customStyle="1" w:styleId="Lentelstinklelis4">
    <w:name w:val="Lentelės tinklelis4"/>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Pr>
      <w:color w:val="605E5C"/>
      <w:shd w:val="clear" w:color="auto" w:fill="E1DFDD"/>
    </w:rPr>
  </w:style>
  <w:style w:type="numbering" w:customStyle="1" w:styleId="Sraonra5">
    <w:name w:val="Sąrašo nėra5"/>
    <w:next w:val="Sraonra"/>
    <w:uiPriority w:val="99"/>
    <w:semiHidden/>
    <w:unhideWhenUsed/>
  </w:style>
  <w:style w:type="numbering" w:customStyle="1" w:styleId="NoList12">
    <w:name w:val="No List12"/>
    <w:next w:val="Sraonra"/>
    <w:uiPriority w:val="99"/>
    <w:semiHidden/>
    <w:unhideWhenUsed/>
  </w:style>
  <w:style w:type="table" w:customStyle="1" w:styleId="Lentelstinklelis5">
    <w:name w:val="Lentelės tinklelis5"/>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2">
    <w:name w:val="TableGrid2"/>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3">
    <w:name w:val="TableGrid3"/>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4">
    <w:name w:val="TableGrid4"/>
    <w:rPr>
      <w:rFonts w:eastAsia="Times New Roman"/>
      <w:kern w:val="2"/>
      <w:sz w:val="22"/>
      <w:szCs w:val="22"/>
      <w:lang w:val="sl-SI" w:eastAsia="sl-SI"/>
      <w14:ligatures w14:val="standardContextual"/>
    </w:rPr>
    <w:tblPr>
      <w:tblCellMar>
        <w:top w:w="0" w:type="dxa"/>
        <w:left w:w="0" w:type="dxa"/>
        <w:bottom w:w="0" w:type="dxa"/>
        <w:right w:w="0" w:type="dxa"/>
      </w:tblCellMar>
    </w:tblPr>
  </w:style>
  <w:style w:type="table" w:customStyle="1" w:styleId="TableGrid5">
    <w:name w:val="TableGrid5"/>
    <w:rPr>
      <w:rFonts w:eastAsia="Times New Roman"/>
      <w:kern w:val="2"/>
      <w:sz w:val="22"/>
      <w:szCs w:val="22"/>
      <w:lang w:val="sl-SI" w:eastAsia="sl-SI"/>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49795">
      <w:bodyDiv w:val="1"/>
      <w:marLeft w:val="0"/>
      <w:marRight w:val="0"/>
      <w:marTop w:val="0"/>
      <w:marBottom w:val="0"/>
      <w:divBdr>
        <w:top w:val="none" w:sz="0" w:space="0" w:color="auto"/>
        <w:left w:val="none" w:sz="0" w:space="0" w:color="auto"/>
        <w:bottom w:val="none" w:sz="0" w:space="0" w:color="auto"/>
        <w:right w:val="none" w:sz="0" w:space="0" w:color="auto"/>
      </w:divBdr>
      <w:divsChild>
        <w:div w:id="1459956812">
          <w:marLeft w:val="0"/>
          <w:marRight w:val="0"/>
          <w:marTop w:val="0"/>
          <w:marBottom w:val="0"/>
          <w:divBdr>
            <w:top w:val="none" w:sz="0" w:space="0" w:color="auto"/>
            <w:left w:val="none" w:sz="0" w:space="0" w:color="auto"/>
            <w:bottom w:val="none" w:sz="0" w:space="0" w:color="auto"/>
            <w:right w:val="none" w:sz="0" w:space="0" w:color="auto"/>
          </w:divBdr>
        </w:div>
      </w:divsChild>
    </w:div>
    <w:div w:id="424149954">
      <w:bodyDiv w:val="1"/>
      <w:marLeft w:val="0"/>
      <w:marRight w:val="0"/>
      <w:marTop w:val="0"/>
      <w:marBottom w:val="0"/>
      <w:divBdr>
        <w:top w:val="none" w:sz="0" w:space="0" w:color="auto"/>
        <w:left w:val="none" w:sz="0" w:space="0" w:color="auto"/>
        <w:bottom w:val="none" w:sz="0" w:space="0" w:color="auto"/>
        <w:right w:val="none" w:sz="0" w:space="0" w:color="auto"/>
      </w:divBdr>
    </w:div>
    <w:div w:id="599141733">
      <w:bodyDiv w:val="1"/>
      <w:marLeft w:val="0"/>
      <w:marRight w:val="0"/>
      <w:marTop w:val="0"/>
      <w:marBottom w:val="0"/>
      <w:divBdr>
        <w:top w:val="none" w:sz="0" w:space="0" w:color="auto"/>
        <w:left w:val="none" w:sz="0" w:space="0" w:color="auto"/>
        <w:bottom w:val="none" w:sz="0" w:space="0" w:color="auto"/>
        <w:right w:val="none" w:sz="0" w:space="0" w:color="auto"/>
      </w:divBdr>
    </w:div>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989A5-70B0-4410-AD35-64406E77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64982</Words>
  <Characters>37040</Characters>
  <Application>Microsoft Office Word</Application>
  <DocSecurity>0</DocSecurity>
  <Lines>308</Lines>
  <Paragraphs>203</Paragraphs>
  <ScaleCrop>false</ScaleCrop>
  <HeadingPairs>
    <vt:vector size="6" baseType="variant">
      <vt:variant>
        <vt:lpstr>Title</vt:lpstr>
      </vt:variant>
      <vt:variant>
        <vt:i4>1</vt:i4>
      </vt:variant>
      <vt:variant>
        <vt:lpstr>Naslov</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101819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2026-05-20T11:59:00Z</dcterms:created>
  <dcterms:modified xsi:type="dcterms:W3CDTF">2026-05-20T11:59:00Z</dcterms:modified>
</cp:coreProperties>
</file>