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0421B" w14:textId="77777777" w:rsidR="00341B61" w:rsidRPr="007A5A89" w:rsidRDefault="00341B61" w:rsidP="00341B61">
      <w:pPr>
        <w:pStyle w:val="Pagrindinistekstas"/>
      </w:pPr>
    </w:p>
    <w:p w14:paraId="69450629" w14:textId="77777777" w:rsidR="00341B61" w:rsidRPr="007A5A89" w:rsidRDefault="00341B61" w:rsidP="00341B61">
      <w:pPr>
        <w:pStyle w:val="Pagrindinistekstas"/>
      </w:pPr>
    </w:p>
    <w:p w14:paraId="180A3295" w14:textId="77777777" w:rsidR="00341B61" w:rsidRPr="007A5A89" w:rsidRDefault="00341B61" w:rsidP="00341B61">
      <w:pPr>
        <w:pStyle w:val="Pagrindinistekstas"/>
      </w:pPr>
    </w:p>
    <w:p w14:paraId="5A432FE1" w14:textId="77777777" w:rsidR="00341B61" w:rsidRPr="007A5A89" w:rsidRDefault="00341B61" w:rsidP="00341B61">
      <w:pPr>
        <w:pStyle w:val="Pagrindinistekstas"/>
      </w:pPr>
    </w:p>
    <w:p w14:paraId="5E90BBF4" w14:textId="77777777" w:rsidR="00341B61" w:rsidRPr="007A5A89" w:rsidRDefault="00341B61" w:rsidP="00341B61">
      <w:pPr>
        <w:pStyle w:val="Pagrindinistekstas"/>
      </w:pPr>
    </w:p>
    <w:p w14:paraId="71876B16" w14:textId="77777777" w:rsidR="00341B61" w:rsidRPr="007A5A89" w:rsidRDefault="00341B61" w:rsidP="00341B61">
      <w:pPr>
        <w:pStyle w:val="Pagrindinistekstas"/>
      </w:pPr>
    </w:p>
    <w:p w14:paraId="732416F6" w14:textId="77777777" w:rsidR="00341B61" w:rsidRPr="007A5A89" w:rsidRDefault="00341B61" w:rsidP="00341B61">
      <w:pPr>
        <w:pStyle w:val="Pagrindinistekstas"/>
      </w:pPr>
    </w:p>
    <w:p w14:paraId="4A91D1D4" w14:textId="77777777" w:rsidR="00341B61" w:rsidRPr="007A5A89" w:rsidRDefault="00341B61" w:rsidP="00341B61">
      <w:pPr>
        <w:pStyle w:val="Pagrindinistekstas"/>
      </w:pPr>
    </w:p>
    <w:p w14:paraId="572B9299" w14:textId="77777777" w:rsidR="00341B61" w:rsidRPr="007A5A89" w:rsidRDefault="00341B61" w:rsidP="00341B61">
      <w:pPr>
        <w:pStyle w:val="Pagrindinistekstas"/>
      </w:pPr>
    </w:p>
    <w:p w14:paraId="3DA3D697" w14:textId="77777777" w:rsidR="00341B61" w:rsidRPr="007A5A89" w:rsidRDefault="00341B61" w:rsidP="00341B61">
      <w:pPr>
        <w:pStyle w:val="Pagrindinistekstas"/>
      </w:pPr>
    </w:p>
    <w:p w14:paraId="516C44FB" w14:textId="77777777" w:rsidR="00341B61" w:rsidRPr="007A5A89" w:rsidRDefault="00341B61" w:rsidP="00341B61">
      <w:pPr>
        <w:pStyle w:val="Pagrindinistekstas"/>
      </w:pPr>
    </w:p>
    <w:p w14:paraId="419F4120" w14:textId="77777777" w:rsidR="00341B61" w:rsidRPr="007A5A89" w:rsidRDefault="00341B61" w:rsidP="00341B61">
      <w:pPr>
        <w:pStyle w:val="Pagrindinistekstas"/>
      </w:pPr>
    </w:p>
    <w:p w14:paraId="159250B4" w14:textId="77777777" w:rsidR="00341B61" w:rsidRPr="007A5A89" w:rsidRDefault="00341B61" w:rsidP="00341B61">
      <w:pPr>
        <w:pStyle w:val="Pagrindinistekstas"/>
      </w:pPr>
    </w:p>
    <w:p w14:paraId="292EC855" w14:textId="77777777" w:rsidR="00341B61" w:rsidRPr="007A5A89" w:rsidRDefault="00341B61" w:rsidP="00341B61">
      <w:pPr>
        <w:pStyle w:val="Pagrindinistekstas"/>
      </w:pPr>
    </w:p>
    <w:p w14:paraId="02C82E8A" w14:textId="77777777" w:rsidR="00341B61" w:rsidRPr="007A5A89" w:rsidRDefault="00341B61" w:rsidP="00341B61">
      <w:pPr>
        <w:pStyle w:val="Pagrindinistekstas"/>
      </w:pPr>
    </w:p>
    <w:p w14:paraId="54AE0673" w14:textId="77777777" w:rsidR="00341B61" w:rsidRPr="007A5A89" w:rsidRDefault="00341B61" w:rsidP="00341B61">
      <w:pPr>
        <w:pStyle w:val="Pagrindinistekstas"/>
      </w:pPr>
    </w:p>
    <w:p w14:paraId="333A4AF6" w14:textId="77777777" w:rsidR="00341B61" w:rsidRPr="007A5A89" w:rsidRDefault="00341B61" w:rsidP="00341B61">
      <w:pPr>
        <w:pStyle w:val="Pagrindinistekstas"/>
      </w:pPr>
    </w:p>
    <w:p w14:paraId="5E5AA066" w14:textId="77777777" w:rsidR="00341B61" w:rsidRPr="007A5A89" w:rsidRDefault="00341B61" w:rsidP="00341B61">
      <w:pPr>
        <w:pStyle w:val="Pagrindinistekstas"/>
      </w:pPr>
    </w:p>
    <w:p w14:paraId="55C84B82" w14:textId="77777777" w:rsidR="00341B61" w:rsidRDefault="00341B61" w:rsidP="00341B61">
      <w:pPr>
        <w:pStyle w:val="Pagrindinistekstas"/>
      </w:pPr>
    </w:p>
    <w:p w14:paraId="46931A72" w14:textId="77777777" w:rsidR="00D71BF4" w:rsidRDefault="00D71BF4" w:rsidP="00341B61">
      <w:pPr>
        <w:pStyle w:val="Pagrindinistekstas"/>
      </w:pPr>
    </w:p>
    <w:p w14:paraId="5119012A" w14:textId="77777777" w:rsidR="00D71BF4" w:rsidRDefault="00D71BF4" w:rsidP="00341B61">
      <w:pPr>
        <w:pStyle w:val="Pagrindinistekstas"/>
      </w:pPr>
    </w:p>
    <w:p w14:paraId="2871DB4F" w14:textId="77777777" w:rsidR="00D71BF4" w:rsidRDefault="00D71BF4" w:rsidP="00341B61">
      <w:pPr>
        <w:pStyle w:val="Pagrindinistekstas"/>
      </w:pPr>
    </w:p>
    <w:p w14:paraId="50CC3422" w14:textId="77777777" w:rsidR="00D71BF4" w:rsidRPr="007A5A89" w:rsidRDefault="00D71BF4" w:rsidP="00341B61">
      <w:pPr>
        <w:pStyle w:val="Pagrindinistekstas"/>
      </w:pPr>
    </w:p>
    <w:p w14:paraId="0005ADFF" w14:textId="77777777" w:rsidR="00341B61" w:rsidRPr="007A5A89" w:rsidRDefault="00341B61" w:rsidP="00341B61">
      <w:pPr>
        <w:jc w:val="center"/>
        <w:rPr>
          <w:b/>
        </w:rPr>
      </w:pPr>
      <w:r w:rsidRPr="007A5A89">
        <w:rPr>
          <w:b/>
        </w:rPr>
        <w:t>I</w:t>
      </w:r>
      <w:r w:rsidRPr="007A5A89">
        <w:rPr>
          <w:b/>
          <w:spacing w:val="-1"/>
        </w:rPr>
        <w:t xml:space="preserve"> </w:t>
      </w:r>
      <w:r w:rsidRPr="007A5A89">
        <w:rPr>
          <w:b/>
          <w:spacing w:val="-2"/>
        </w:rPr>
        <w:t>PRIEDAS</w:t>
      </w:r>
    </w:p>
    <w:p w14:paraId="74F0B519" w14:textId="77777777" w:rsidR="00341B61" w:rsidRPr="007A5A89" w:rsidRDefault="00341B61" w:rsidP="00341B61">
      <w:pPr>
        <w:pStyle w:val="Pagrindinistekstas"/>
        <w:rPr>
          <w:b/>
        </w:rPr>
      </w:pPr>
    </w:p>
    <w:p w14:paraId="51607964" w14:textId="77777777" w:rsidR="00341B61" w:rsidRPr="007A5A89" w:rsidRDefault="00341B61" w:rsidP="00341B61">
      <w:pPr>
        <w:jc w:val="center"/>
        <w:rPr>
          <w:b/>
          <w:spacing w:val="-2"/>
        </w:rPr>
      </w:pPr>
      <w:bookmarkStart w:id="0" w:name="PREPARATO_CHARAKTERISTIKŲ_SANTRAUKA"/>
      <w:bookmarkEnd w:id="0"/>
      <w:r w:rsidRPr="007A5A89">
        <w:rPr>
          <w:b/>
        </w:rPr>
        <w:t>PREPARATO</w:t>
      </w:r>
      <w:r w:rsidRPr="007A5A89">
        <w:rPr>
          <w:b/>
          <w:spacing w:val="-12"/>
        </w:rPr>
        <w:t xml:space="preserve"> </w:t>
      </w:r>
      <w:r w:rsidRPr="007A5A89">
        <w:rPr>
          <w:b/>
        </w:rPr>
        <w:t>CHARAKTERISTIKŲ</w:t>
      </w:r>
      <w:r w:rsidRPr="007A5A89">
        <w:rPr>
          <w:b/>
          <w:spacing w:val="-11"/>
        </w:rPr>
        <w:t xml:space="preserve"> </w:t>
      </w:r>
      <w:r w:rsidRPr="007A5A89">
        <w:rPr>
          <w:b/>
          <w:spacing w:val="-2"/>
        </w:rPr>
        <w:t>SANTRAUKA</w:t>
      </w:r>
    </w:p>
    <w:p w14:paraId="7D1DDBF3" w14:textId="77777777" w:rsidR="00341B61" w:rsidRPr="007A5A89" w:rsidRDefault="00341B61" w:rsidP="00341B61">
      <w:pPr>
        <w:jc w:val="center"/>
        <w:rPr>
          <w:b/>
          <w:spacing w:val="-2"/>
        </w:rPr>
      </w:pPr>
    </w:p>
    <w:p w14:paraId="7D8BE552" w14:textId="77777777" w:rsidR="00341B61" w:rsidRPr="007A5A89" w:rsidRDefault="00341B61" w:rsidP="00341B61">
      <w:pPr>
        <w:jc w:val="center"/>
        <w:rPr>
          <w:b/>
          <w:spacing w:val="-2"/>
        </w:rPr>
      </w:pPr>
    </w:p>
    <w:p w14:paraId="7AE9784A" w14:textId="77777777" w:rsidR="00341B61" w:rsidRPr="007A5A89" w:rsidRDefault="00341B61" w:rsidP="00341B61">
      <w:pPr>
        <w:rPr>
          <w:b/>
          <w:spacing w:val="-2"/>
        </w:rPr>
      </w:pPr>
      <w:r w:rsidRPr="007A5A89">
        <w:rPr>
          <w:b/>
          <w:spacing w:val="-2"/>
        </w:rPr>
        <w:br w:type="page"/>
      </w:r>
    </w:p>
    <w:p w14:paraId="4C507FA1" w14:textId="77777777" w:rsidR="00A01BAC" w:rsidRPr="00D867CD" w:rsidRDefault="00341B61" w:rsidP="00736C10">
      <w:pPr>
        <w:pStyle w:val="Sraopastraipa"/>
        <w:numPr>
          <w:ilvl w:val="0"/>
          <w:numId w:val="13"/>
        </w:numPr>
        <w:tabs>
          <w:tab w:val="left" w:pos="567"/>
        </w:tabs>
        <w:ind w:left="567"/>
        <w:rPr>
          <w:b/>
        </w:rPr>
      </w:pPr>
      <w:r w:rsidRPr="00D867CD">
        <w:rPr>
          <w:b/>
        </w:rPr>
        <w:lastRenderedPageBreak/>
        <w:t>VAISTINIO PREPARATO PAVADINIMAS</w:t>
      </w:r>
    </w:p>
    <w:p w14:paraId="4C507FA2" w14:textId="77777777" w:rsidR="00A01BAC" w:rsidRPr="00D867CD" w:rsidRDefault="00A01BAC" w:rsidP="00D867CD">
      <w:pPr>
        <w:pStyle w:val="Pagrindinistekstas"/>
        <w:rPr>
          <w:b/>
        </w:rPr>
      </w:pPr>
    </w:p>
    <w:p w14:paraId="4C507FA3" w14:textId="110F22A6" w:rsidR="00A01BAC" w:rsidRPr="00D867CD" w:rsidRDefault="00341B61" w:rsidP="00D867CD">
      <w:pPr>
        <w:pStyle w:val="Pagrindinistekstas"/>
      </w:pPr>
      <w:proofErr w:type="spellStart"/>
      <w:r>
        <w:t>Linagliptin</w:t>
      </w:r>
      <w:proofErr w:type="spellEnd"/>
      <w:r>
        <w:t xml:space="preserve"> Olpha</w:t>
      </w:r>
      <w:r w:rsidRPr="00D867CD">
        <w:t xml:space="preserve"> 5</w:t>
      </w:r>
      <w:r>
        <w:t> mg</w:t>
      </w:r>
      <w:r w:rsidRPr="00D867CD">
        <w:t xml:space="preserve"> plėvele dengtos tabletės</w:t>
      </w:r>
    </w:p>
    <w:p w14:paraId="4C507FA4" w14:textId="77777777" w:rsidR="00A01BAC" w:rsidRPr="00D867CD" w:rsidRDefault="00A01BAC" w:rsidP="00D867CD">
      <w:pPr>
        <w:pStyle w:val="Pagrindinistekstas"/>
      </w:pPr>
    </w:p>
    <w:p w14:paraId="4C507FA5" w14:textId="77777777" w:rsidR="00A01BAC" w:rsidRPr="00D867CD" w:rsidRDefault="00A01BAC" w:rsidP="00D867CD">
      <w:pPr>
        <w:pStyle w:val="Pagrindinistekstas"/>
      </w:pPr>
    </w:p>
    <w:p w14:paraId="4C507FA6" w14:textId="77777777" w:rsidR="00A01BAC" w:rsidRDefault="00341B61" w:rsidP="00023BE0">
      <w:pPr>
        <w:pStyle w:val="Antrat1"/>
        <w:numPr>
          <w:ilvl w:val="0"/>
          <w:numId w:val="13"/>
        </w:numPr>
        <w:tabs>
          <w:tab w:val="left" w:pos="567"/>
        </w:tabs>
        <w:spacing w:before="0"/>
        <w:ind w:left="567"/>
      </w:pPr>
      <w:r w:rsidRPr="00D867CD">
        <w:t>KOKYBINĖ IR KIEKYBINĖ SUDĖTIS</w:t>
      </w:r>
    </w:p>
    <w:p w14:paraId="32CAD50C" w14:textId="77777777" w:rsidR="00023BE0" w:rsidRPr="00D867CD" w:rsidRDefault="00023BE0" w:rsidP="00023BE0">
      <w:pPr>
        <w:pStyle w:val="Antrat1"/>
        <w:tabs>
          <w:tab w:val="left" w:pos="710"/>
        </w:tabs>
        <w:spacing w:before="0"/>
        <w:ind w:left="0"/>
      </w:pPr>
    </w:p>
    <w:p w14:paraId="66016647" w14:textId="4B4A33E8" w:rsidR="00023BE0" w:rsidRDefault="00341B61" w:rsidP="00D867CD">
      <w:pPr>
        <w:pStyle w:val="Pagrindinistekstas"/>
      </w:pPr>
      <w:r w:rsidRPr="00D867CD">
        <w:t>Kiekvienoje tabletėje yra 5</w:t>
      </w:r>
      <w:r>
        <w:t> mg</w:t>
      </w:r>
      <w:r w:rsidRPr="00D867CD">
        <w:t xml:space="preserve"> </w:t>
      </w:r>
      <w:proofErr w:type="spellStart"/>
      <w:r w:rsidRPr="00D867CD">
        <w:t>linagliptino</w:t>
      </w:r>
      <w:proofErr w:type="spellEnd"/>
      <w:r w:rsidR="00E514F0">
        <w:rPr>
          <w:i/>
        </w:rPr>
        <w:t xml:space="preserve"> (</w:t>
      </w:r>
      <w:proofErr w:type="spellStart"/>
      <w:r w:rsidR="00E514F0">
        <w:rPr>
          <w:i/>
        </w:rPr>
        <w:t>linagliptinum</w:t>
      </w:r>
      <w:proofErr w:type="spellEnd"/>
      <w:r w:rsidR="00E514F0">
        <w:rPr>
          <w:i/>
        </w:rPr>
        <w:t>)</w:t>
      </w:r>
      <w:r w:rsidRPr="00D867CD">
        <w:t>.</w:t>
      </w:r>
    </w:p>
    <w:p w14:paraId="28B9967E" w14:textId="77777777" w:rsidR="00023BE0" w:rsidRDefault="00023BE0" w:rsidP="00D867CD">
      <w:pPr>
        <w:pStyle w:val="Pagrindinistekstas"/>
      </w:pPr>
    </w:p>
    <w:p w14:paraId="4C507FA7" w14:textId="010F286B" w:rsidR="00A01BAC" w:rsidRPr="00D867CD" w:rsidRDefault="00341B61" w:rsidP="00D867CD">
      <w:pPr>
        <w:pStyle w:val="Pagrindinistekstas"/>
      </w:pPr>
      <w:r w:rsidRPr="00D867CD">
        <w:t>Visos pagalbinės medžiagos išvardytos 6.1</w:t>
      </w:r>
      <w:r>
        <w:t> skyriuje</w:t>
      </w:r>
      <w:r w:rsidRPr="00D867CD">
        <w:t>.</w:t>
      </w:r>
    </w:p>
    <w:p w14:paraId="4C507FA8" w14:textId="77777777" w:rsidR="00A01BAC" w:rsidRDefault="00A01BAC" w:rsidP="00D867CD">
      <w:pPr>
        <w:pStyle w:val="Pagrindinistekstas"/>
      </w:pPr>
    </w:p>
    <w:p w14:paraId="0DE00764" w14:textId="77777777" w:rsidR="00023BE0" w:rsidRPr="00D867CD" w:rsidRDefault="00023BE0" w:rsidP="00D867CD">
      <w:pPr>
        <w:pStyle w:val="Pagrindinistekstas"/>
      </w:pPr>
    </w:p>
    <w:p w14:paraId="4C507FA9" w14:textId="77777777" w:rsidR="00A01BAC" w:rsidRPr="00D867CD" w:rsidRDefault="00341B61" w:rsidP="00023BE0">
      <w:pPr>
        <w:pStyle w:val="Antrat1"/>
        <w:numPr>
          <w:ilvl w:val="0"/>
          <w:numId w:val="13"/>
        </w:numPr>
        <w:tabs>
          <w:tab w:val="left" w:pos="567"/>
        </w:tabs>
        <w:spacing w:before="0"/>
        <w:ind w:left="567"/>
      </w:pPr>
      <w:r w:rsidRPr="00D867CD">
        <w:t>FARMACINĖ FORMA</w:t>
      </w:r>
    </w:p>
    <w:p w14:paraId="4C507FAA" w14:textId="77777777" w:rsidR="00A01BAC" w:rsidRPr="00D867CD" w:rsidRDefault="00A01BAC" w:rsidP="00D867CD">
      <w:pPr>
        <w:pStyle w:val="Pagrindinistekstas"/>
        <w:rPr>
          <w:b/>
        </w:rPr>
      </w:pPr>
    </w:p>
    <w:p w14:paraId="4C507FAB" w14:textId="77777777" w:rsidR="00A01BAC" w:rsidRPr="00D867CD" w:rsidRDefault="00341B61" w:rsidP="00D867CD">
      <w:pPr>
        <w:pStyle w:val="Pagrindinistekstas"/>
      </w:pPr>
      <w:r w:rsidRPr="00D867CD">
        <w:t>Plėvele dengta tabletė (tabletė).</w:t>
      </w:r>
    </w:p>
    <w:p w14:paraId="4C507FAC" w14:textId="77777777" w:rsidR="00A01BAC" w:rsidRPr="00D867CD" w:rsidRDefault="00A01BAC" w:rsidP="00D867CD">
      <w:pPr>
        <w:pStyle w:val="Pagrindinistekstas"/>
      </w:pPr>
    </w:p>
    <w:p w14:paraId="4C507FAE" w14:textId="2DCC7842" w:rsidR="00A01BAC" w:rsidRPr="00D867CD" w:rsidRDefault="000878CD" w:rsidP="00D867CD">
      <w:pPr>
        <w:pStyle w:val="Pagrindinistekstas"/>
      </w:pPr>
      <w:r w:rsidRPr="000878CD">
        <w:t>Šviesiai raudonos, apvalios, abipus išgaubtos, nuožulniais kraštais, plėvele dengtos tabletės, kurių vienoje pusėje įspausta „I“,</w:t>
      </w:r>
      <w:r w:rsidR="00DC73C6">
        <w:t xml:space="preserve"> </w:t>
      </w:r>
      <w:r w:rsidRPr="000878CD">
        <w:t>skersmuo – 8,0</w:t>
      </w:r>
      <w:r w:rsidR="00DC73C6">
        <w:t> </w:t>
      </w:r>
      <w:r w:rsidRPr="000878CD">
        <w:t>mm</w:t>
      </w:r>
      <w:r w:rsidR="00DC73C6">
        <w:t> </w:t>
      </w:r>
      <w:r w:rsidRPr="000878CD">
        <w:t>±</w:t>
      </w:r>
      <w:r w:rsidR="00DC73C6">
        <w:t> </w:t>
      </w:r>
      <w:r w:rsidRPr="000878CD">
        <w:t>0,5</w:t>
      </w:r>
      <w:r w:rsidR="00DC73C6">
        <w:t> </w:t>
      </w:r>
      <w:r w:rsidRPr="000878CD">
        <w:t>mm.</w:t>
      </w:r>
    </w:p>
    <w:p w14:paraId="4C507FAF" w14:textId="77777777" w:rsidR="00A01BAC" w:rsidRDefault="00A01BAC" w:rsidP="00D867CD">
      <w:pPr>
        <w:pStyle w:val="Pagrindinistekstas"/>
      </w:pPr>
    </w:p>
    <w:p w14:paraId="34A12705" w14:textId="77777777" w:rsidR="00DC73C6" w:rsidRPr="00D867CD" w:rsidRDefault="00DC73C6" w:rsidP="00D867CD">
      <w:pPr>
        <w:pStyle w:val="Pagrindinistekstas"/>
      </w:pPr>
    </w:p>
    <w:p w14:paraId="4C507FB0" w14:textId="77777777" w:rsidR="00A01BAC" w:rsidRDefault="00341B61" w:rsidP="00023BE0">
      <w:pPr>
        <w:pStyle w:val="Antrat1"/>
        <w:numPr>
          <w:ilvl w:val="0"/>
          <w:numId w:val="13"/>
        </w:numPr>
        <w:tabs>
          <w:tab w:val="left" w:pos="567"/>
        </w:tabs>
        <w:spacing w:before="0"/>
        <w:ind w:left="567"/>
      </w:pPr>
      <w:r w:rsidRPr="00D867CD">
        <w:t>KLINIKINĖ INFORMACIJA</w:t>
      </w:r>
    </w:p>
    <w:p w14:paraId="3BA5F773" w14:textId="77777777" w:rsidR="00023BE0" w:rsidRPr="00D867CD" w:rsidRDefault="00023BE0" w:rsidP="00023BE0">
      <w:pPr>
        <w:pStyle w:val="Antrat1"/>
        <w:tabs>
          <w:tab w:val="left" w:pos="710"/>
        </w:tabs>
        <w:spacing w:before="0"/>
        <w:ind w:left="0"/>
      </w:pPr>
    </w:p>
    <w:p w14:paraId="4C507FB1" w14:textId="77777777" w:rsidR="00A01BAC" w:rsidRPr="00D867CD" w:rsidRDefault="00341B61" w:rsidP="00023BE0">
      <w:pPr>
        <w:pStyle w:val="Antrat2"/>
        <w:numPr>
          <w:ilvl w:val="1"/>
          <w:numId w:val="13"/>
        </w:numPr>
        <w:tabs>
          <w:tab w:val="left" w:pos="567"/>
        </w:tabs>
        <w:ind w:left="567"/>
      </w:pPr>
      <w:r w:rsidRPr="00D867CD">
        <w:t>Terapinės indikacijos</w:t>
      </w:r>
    </w:p>
    <w:p w14:paraId="4C507FB2" w14:textId="77777777" w:rsidR="00A01BAC" w:rsidRPr="00D867CD" w:rsidRDefault="00A01BAC" w:rsidP="00D867CD">
      <w:pPr>
        <w:pStyle w:val="Pagrindinistekstas"/>
        <w:rPr>
          <w:b/>
        </w:rPr>
      </w:pPr>
    </w:p>
    <w:p w14:paraId="4C507FB3" w14:textId="22A9B26E" w:rsidR="00A01BAC" w:rsidRPr="00D867CD" w:rsidRDefault="00341B61" w:rsidP="00D867CD">
      <w:pPr>
        <w:pStyle w:val="Pagrindinistekstas"/>
      </w:pPr>
      <w:proofErr w:type="spellStart"/>
      <w:r>
        <w:t>Linagliptin</w:t>
      </w:r>
      <w:proofErr w:type="spellEnd"/>
      <w:r>
        <w:t xml:space="preserve"> Olpha</w:t>
      </w:r>
      <w:r w:rsidRPr="00D867CD">
        <w:t xml:space="preserve"> skirtas </w:t>
      </w:r>
      <w:r>
        <w:t>2 tipo</w:t>
      </w:r>
      <w:r w:rsidRPr="00D867CD">
        <w:t xml:space="preserve"> cukriniu diabetu sergan</w:t>
      </w:r>
      <w:r w:rsidR="00315191">
        <w:t>čių</w:t>
      </w:r>
      <w:r w:rsidRPr="00D867CD">
        <w:t xml:space="preserve"> suaugusi</w:t>
      </w:r>
      <w:r w:rsidR="00315191">
        <w:t>ųjų papildomam gydymui, taikant dietą ir fizinį krūvį</w:t>
      </w:r>
      <w:r w:rsidRPr="00D867CD">
        <w:t xml:space="preserve">, siekiant pagerinti </w:t>
      </w:r>
      <w:proofErr w:type="spellStart"/>
      <w:r w:rsidRPr="00D867CD">
        <w:t>glikemijos</w:t>
      </w:r>
      <w:proofErr w:type="spellEnd"/>
      <w:r w:rsidRPr="00D867CD">
        <w:t xml:space="preserve"> kontrolę:</w:t>
      </w:r>
    </w:p>
    <w:p w14:paraId="4C507FB4" w14:textId="0D97C41E" w:rsidR="00A01BAC" w:rsidRPr="00D867CD" w:rsidRDefault="00A97478" w:rsidP="00D867CD">
      <w:pPr>
        <w:pStyle w:val="Pagrindinistekstas"/>
      </w:pPr>
      <w:r>
        <w:t xml:space="preserve">taikant </w:t>
      </w:r>
      <w:proofErr w:type="spellStart"/>
      <w:r w:rsidR="00341B61" w:rsidRPr="00D867CD">
        <w:t>monoterapij</w:t>
      </w:r>
      <w:r>
        <w:t>ą</w:t>
      </w:r>
      <w:proofErr w:type="spellEnd"/>
      <w:r w:rsidR="003F64C0">
        <w:t>:</w:t>
      </w:r>
    </w:p>
    <w:p w14:paraId="4C507FB5" w14:textId="0D43D89A" w:rsidR="00A01BAC" w:rsidRPr="00D867CD" w:rsidRDefault="00341B61" w:rsidP="00023BE0">
      <w:pPr>
        <w:pStyle w:val="Sraopastraipa"/>
        <w:numPr>
          <w:ilvl w:val="2"/>
          <w:numId w:val="13"/>
        </w:numPr>
        <w:tabs>
          <w:tab w:val="left" w:pos="567"/>
        </w:tabs>
        <w:ind w:left="567"/>
      </w:pPr>
      <w:r w:rsidRPr="00D867CD">
        <w:t xml:space="preserve">kai </w:t>
      </w:r>
      <w:proofErr w:type="spellStart"/>
      <w:r w:rsidRPr="00D867CD">
        <w:t>metforminas</w:t>
      </w:r>
      <w:proofErr w:type="spellEnd"/>
      <w:r w:rsidRPr="00D867CD">
        <w:t xml:space="preserve"> </w:t>
      </w:r>
      <w:r w:rsidR="00625BBC">
        <w:t xml:space="preserve">netinka </w:t>
      </w:r>
      <w:r w:rsidRPr="00D867CD">
        <w:t xml:space="preserve">dėl netoleravimo ar jis yra </w:t>
      </w:r>
      <w:proofErr w:type="spellStart"/>
      <w:r w:rsidRPr="00D867CD">
        <w:t>kontraindikuotinas</w:t>
      </w:r>
      <w:proofErr w:type="spellEnd"/>
      <w:r w:rsidRPr="00D867CD">
        <w:t xml:space="preserve"> dėl inkstų funkcijos sutrikimo;</w:t>
      </w:r>
    </w:p>
    <w:p w14:paraId="4C507FB6" w14:textId="4A4B8AB9" w:rsidR="00A01BAC" w:rsidRPr="00D867CD" w:rsidRDefault="000025E8" w:rsidP="00D867CD">
      <w:pPr>
        <w:pStyle w:val="Pagrindinistekstas"/>
      </w:pPr>
      <w:r>
        <w:t>sudėtinė</w:t>
      </w:r>
      <w:r w:rsidR="008F2F80">
        <w:t>s</w:t>
      </w:r>
      <w:r>
        <w:t xml:space="preserve"> terapij</w:t>
      </w:r>
      <w:r w:rsidR="008F2F80">
        <w:t>os būdu</w:t>
      </w:r>
      <w:r>
        <w:t xml:space="preserve"> </w:t>
      </w:r>
      <w:r w:rsidR="005C60B5">
        <w:t>:</w:t>
      </w:r>
    </w:p>
    <w:p w14:paraId="4C507FB7" w14:textId="20CA21E1" w:rsidR="00A01BAC" w:rsidRDefault="00341B61" w:rsidP="00023BE0">
      <w:pPr>
        <w:pStyle w:val="Sraopastraipa"/>
        <w:numPr>
          <w:ilvl w:val="2"/>
          <w:numId w:val="13"/>
        </w:numPr>
        <w:tabs>
          <w:tab w:val="left" w:pos="567"/>
        </w:tabs>
        <w:ind w:left="567"/>
      </w:pPr>
      <w:r w:rsidRPr="00D867CD">
        <w:t xml:space="preserve">derinant </w:t>
      </w:r>
      <w:r w:rsidR="00D30817">
        <w:t xml:space="preserve">kartu </w:t>
      </w:r>
      <w:r w:rsidRPr="00D867CD">
        <w:t>su kitais vaistiniais preparatais</w:t>
      </w:r>
      <w:r w:rsidR="007A7DB9">
        <w:t xml:space="preserve"> </w:t>
      </w:r>
      <w:r w:rsidRPr="00D867CD">
        <w:t xml:space="preserve">cukriniam diabetui gydyti, įskaitant insuliną, kai pastarieji neužtikrina pakankamo </w:t>
      </w:r>
      <w:proofErr w:type="spellStart"/>
      <w:r w:rsidRPr="00D867CD">
        <w:t>glikemijos</w:t>
      </w:r>
      <w:proofErr w:type="spellEnd"/>
      <w:r w:rsidRPr="00D867CD">
        <w:t xml:space="preserve"> </w:t>
      </w:r>
      <w:r w:rsidR="008F2F80">
        <w:t>sureguliavimo</w:t>
      </w:r>
      <w:r w:rsidR="008F2F80" w:rsidRPr="00D867CD">
        <w:t xml:space="preserve"> </w:t>
      </w:r>
      <w:r w:rsidRPr="00D867CD">
        <w:t>(</w:t>
      </w:r>
      <w:r>
        <w:t>žr. </w:t>
      </w:r>
      <w:r w:rsidRPr="00D867CD">
        <w:t>4.4, 4.5 ir 5.1</w:t>
      </w:r>
      <w:r>
        <w:t> skyrius</w:t>
      </w:r>
      <w:r w:rsidRPr="00D867CD">
        <w:t>, kuriuose pateikti duomenys apie įvairius derinius).</w:t>
      </w:r>
    </w:p>
    <w:p w14:paraId="4222B3B4" w14:textId="77777777" w:rsidR="00023BE0" w:rsidRPr="00D867CD" w:rsidRDefault="00023BE0" w:rsidP="00023BE0">
      <w:pPr>
        <w:pStyle w:val="Sraopastraipa"/>
        <w:tabs>
          <w:tab w:val="left" w:pos="710"/>
        </w:tabs>
        <w:ind w:left="0" w:firstLine="0"/>
      </w:pPr>
    </w:p>
    <w:p w14:paraId="4C507FB8" w14:textId="77777777" w:rsidR="00A01BAC" w:rsidRPr="00D867CD" w:rsidRDefault="00341B61" w:rsidP="00023BE0">
      <w:pPr>
        <w:pStyle w:val="Antrat2"/>
        <w:numPr>
          <w:ilvl w:val="1"/>
          <w:numId w:val="13"/>
        </w:numPr>
        <w:tabs>
          <w:tab w:val="left" w:pos="567"/>
        </w:tabs>
        <w:ind w:left="567"/>
      </w:pPr>
      <w:r w:rsidRPr="00D867CD">
        <w:t>Dozavimas ir vartojimo metodas</w:t>
      </w:r>
    </w:p>
    <w:p w14:paraId="4C507FB9" w14:textId="77777777" w:rsidR="00A01BAC" w:rsidRPr="00D867CD" w:rsidRDefault="00A01BAC" w:rsidP="00D867CD">
      <w:pPr>
        <w:pStyle w:val="Pagrindinistekstas"/>
        <w:rPr>
          <w:b/>
        </w:rPr>
      </w:pPr>
    </w:p>
    <w:p w14:paraId="4C507FBA" w14:textId="77777777" w:rsidR="00A01BAC" w:rsidRPr="00D867CD" w:rsidRDefault="00341B61" w:rsidP="00D867CD">
      <w:pPr>
        <w:pStyle w:val="Pagrindinistekstas"/>
      </w:pPr>
      <w:r w:rsidRPr="00D867CD">
        <w:rPr>
          <w:u w:val="single"/>
        </w:rPr>
        <w:t>Dozavimas</w:t>
      </w:r>
    </w:p>
    <w:p w14:paraId="2A805E7C" w14:textId="632EF575" w:rsidR="000F2033" w:rsidRDefault="00341B61" w:rsidP="00D867CD">
      <w:pPr>
        <w:pStyle w:val="Pagrindinistekstas"/>
      </w:pPr>
      <w:proofErr w:type="spellStart"/>
      <w:r w:rsidRPr="00D867CD">
        <w:t>Linagliptino</w:t>
      </w:r>
      <w:proofErr w:type="spellEnd"/>
      <w:r w:rsidRPr="00D867CD">
        <w:t xml:space="preserve"> dozė</w:t>
      </w:r>
      <w:r w:rsidR="005E55B7">
        <w:t xml:space="preserve"> </w:t>
      </w:r>
      <w:r w:rsidRPr="00D867CD">
        <w:t>yra 5</w:t>
      </w:r>
      <w:r>
        <w:t> mg</w:t>
      </w:r>
      <w:r w:rsidR="005E55B7">
        <w:t>,</w:t>
      </w:r>
      <w:r w:rsidR="005E55B7" w:rsidRPr="005E55B7">
        <w:t xml:space="preserve"> </w:t>
      </w:r>
      <w:r w:rsidR="005E55B7" w:rsidRPr="00D867CD">
        <w:t>vartojama kartą per parą</w:t>
      </w:r>
      <w:r w:rsidRPr="00D867CD">
        <w:t xml:space="preserve">. Jeigu gydymas </w:t>
      </w:r>
      <w:proofErr w:type="spellStart"/>
      <w:r w:rsidRPr="00D867CD">
        <w:t>metforminu</w:t>
      </w:r>
      <w:proofErr w:type="spellEnd"/>
      <w:r w:rsidRPr="00D867CD">
        <w:t xml:space="preserve"> papildomas </w:t>
      </w:r>
      <w:proofErr w:type="spellStart"/>
      <w:r w:rsidRPr="00D867CD">
        <w:t>linagliptinu</w:t>
      </w:r>
      <w:proofErr w:type="spellEnd"/>
      <w:r w:rsidRPr="00D867CD">
        <w:t xml:space="preserve">, </w:t>
      </w:r>
      <w:proofErr w:type="spellStart"/>
      <w:r w:rsidR="008E6322">
        <w:t>metformino</w:t>
      </w:r>
      <w:proofErr w:type="spellEnd"/>
      <w:r w:rsidR="008E6322">
        <w:t xml:space="preserve"> dozę reikia išlaikyti</w:t>
      </w:r>
      <w:r w:rsidR="00BF6F2E">
        <w:t xml:space="preserve"> nepakeistą, o </w:t>
      </w:r>
      <w:proofErr w:type="spellStart"/>
      <w:r w:rsidR="00BF6F2E">
        <w:t>linagliptiną</w:t>
      </w:r>
      <w:proofErr w:type="spellEnd"/>
      <w:r w:rsidR="00BF6F2E">
        <w:t xml:space="preserve"> vartoti kartu</w:t>
      </w:r>
      <w:r w:rsidRPr="00D867CD">
        <w:t>.</w:t>
      </w:r>
    </w:p>
    <w:p w14:paraId="4C507FBB" w14:textId="1B8B7EFE" w:rsidR="00A01BAC" w:rsidRPr="00D867CD" w:rsidRDefault="003B26DF" w:rsidP="00D867CD">
      <w:pPr>
        <w:pStyle w:val="Pagrindinistekstas"/>
      </w:pPr>
      <w:r>
        <w:t xml:space="preserve">Kai </w:t>
      </w:r>
      <w:proofErr w:type="spellStart"/>
      <w:r>
        <w:t>l</w:t>
      </w:r>
      <w:r w:rsidR="00341B61" w:rsidRPr="00D867CD">
        <w:t>inagliptin</w:t>
      </w:r>
      <w:r>
        <w:t>as</w:t>
      </w:r>
      <w:proofErr w:type="spellEnd"/>
      <w:r w:rsidR="00BF2BD1">
        <w:t xml:space="preserve"> vartojamas kartu su </w:t>
      </w:r>
      <w:proofErr w:type="spellStart"/>
      <w:r w:rsidR="00341B61" w:rsidRPr="00D867CD">
        <w:t>sulfonilurėjos</w:t>
      </w:r>
      <w:proofErr w:type="spellEnd"/>
      <w:r w:rsidR="00341B61" w:rsidRPr="00D867CD">
        <w:t xml:space="preserve"> dariniu arba su insulinu, </w:t>
      </w:r>
      <w:proofErr w:type="spellStart"/>
      <w:r w:rsidR="00341B61" w:rsidRPr="00D867CD">
        <w:t>sulfonilurėjos</w:t>
      </w:r>
      <w:proofErr w:type="spellEnd"/>
      <w:r w:rsidR="00341B61" w:rsidRPr="00D867CD">
        <w:t xml:space="preserve"> darinio arba insulino dozė gali būti mažinama, </w:t>
      </w:r>
      <w:r w:rsidR="00E73EFE">
        <w:t>siekiant sumažinti</w:t>
      </w:r>
      <w:r w:rsidR="00341B61" w:rsidRPr="00D867CD">
        <w:t xml:space="preserve"> hipoglikemijos rizik</w:t>
      </w:r>
      <w:r w:rsidR="00730CDF">
        <w:t>ą</w:t>
      </w:r>
      <w:r w:rsidR="00341B61" w:rsidRPr="00D867CD">
        <w:t xml:space="preserve"> (</w:t>
      </w:r>
      <w:r w:rsidR="00341B61">
        <w:t>žr. </w:t>
      </w:r>
      <w:r w:rsidR="00341B61" w:rsidRPr="00D867CD">
        <w:t>4.4</w:t>
      </w:r>
      <w:r w:rsidR="00341B61">
        <w:t> skyrių</w:t>
      </w:r>
      <w:r w:rsidR="00341B61" w:rsidRPr="00D867CD">
        <w:t>).</w:t>
      </w:r>
    </w:p>
    <w:p w14:paraId="4C507FBC" w14:textId="77777777" w:rsidR="00A01BAC" w:rsidRPr="00D867CD" w:rsidRDefault="00A01BAC" w:rsidP="00D867CD">
      <w:pPr>
        <w:pStyle w:val="Pagrindinistekstas"/>
      </w:pPr>
    </w:p>
    <w:p w14:paraId="33BE17D3" w14:textId="77777777" w:rsidR="00023BE0" w:rsidRDefault="00341B61" w:rsidP="00D867CD">
      <w:pPr>
        <w:rPr>
          <w:i/>
        </w:rPr>
      </w:pPr>
      <w:r w:rsidRPr="00D867CD">
        <w:rPr>
          <w:i/>
          <w:u w:val="single"/>
        </w:rPr>
        <w:t>Ypatingos populiacijos</w:t>
      </w:r>
    </w:p>
    <w:p w14:paraId="4CDC0189" w14:textId="7ED9347B" w:rsidR="00B363E9" w:rsidRPr="00D867CD" w:rsidRDefault="00B363E9" w:rsidP="00D867CD">
      <w:pPr>
        <w:rPr>
          <w:i/>
        </w:rPr>
      </w:pPr>
      <w:r w:rsidRPr="00B5002C">
        <w:rPr>
          <w:i/>
        </w:rPr>
        <w:t>Pacientams, kurių i</w:t>
      </w:r>
      <w:r w:rsidR="00341B61" w:rsidRPr="00B5002C">
        <w:rPr>
          <w:i/>
        </w:rPr>
        <w:t>nkstų funkcij</w:t>
      </w:r>
      <w:r w:rsidRPr="00B5002C">
        <w:rPr>
          <w:i/>
        </w:rPr>
        <w:t>a</w:t>
      </w:r>
      <w:r w:rsidR="00341B61" w:rsidRPr="00B5002C">
        <w:rPr>
          <w:i/>
        </w:rPr>
        <w:t xml:space="preserve"> sutrik</w:t>
      </w:r>
      <w:r w:rsidRPr="00B5002C">
        <w:rPr>
          <w:i/>
        </w:rPr>
        <w:t>usi</w:t>
      </w:r>
    </w:p>
    <w:p w14:paraId="4C507FBE" w14:textId="4F031F86" w:rsidR="00A01BAC" w:rsidRPr="00D867CD" w:rsidRDefault="00341B61" w:rsidP="00D867CD">
      <w:pPr>
        <w:pStyle w:val="Pagrindinistekstas"/>
      </w:pPr>
      <w:r w:rsidRPr="00D867CD">
        <w:t xml:space="preserve">Pacientams, kurių inkstų funkcija sutrikusi, </w:t>
      </w:r>
      <w:proofErr w:type="spellStart"/>
      <w:r w:rsidRPr="00D867CD">
        <w:t>linagliptino</w:t>
      </w:r>
      <w:proofErr w:type="spellEnd"/>
      <w:r w:rsidRPr="00D867CD">
        <w:t xml:space="preserve"> dozės koreguoti n</w:t>
      </w:r>
      <w:r w:rsidR="00426014">
        <w:t>ereikia</w:t>
      </w:r>
      <w:r w:rsidRPr="00D867CD">
        <w:t>.</w:t>
      </w:r>
    </w:p>
    <w:p w14:paraId="4C507FBF" w14:textId="77777777" w:rsidR="00A01BAC" w:rsidRPr="00D867CD" w:rsidRDefault="00A01BAC" w:rsidP="00D867CD">
      <w:pPr>
        <w:pStyle w:val="Pagrindinistekstas"/>
      </w:pPr>
    </w:p>
    <w:p w14:paraId="5FD11B21" w14:textId="6DBF4DC7" w:rsidR="00426014" w:rsidRPr="00D867CD" w:rsidRDefault="00426014" w:rsidP="00426014">
      <w:pPr>
        <w:rPr>
          <w:i/>
        </w:rPr>
      </w:pPr>
      <w:r w:rsidRPr="00B5002C">
        <w:rPr>
          <w:i/>
        </w:rPr>
        <w:t>Pacientams, kurių kepenų funkcija sutrikusi</w:t>
      </w:r>
    </w:p>
    <w:p w14:paraId="4C507FC1" w14:textId="681A6805" w:rsidR="00A01BAC" w:rsidRDefault="00341B61" w:rsidP="00D867CD">
      <w:pPr>
        <w:pStyle w:val="Pagrindinistekstas"/>
      </w:pPr>
      <w:r w:rsidRPr="00D867CD">
        <w:t>Farmakokinetikos tyrimai rodo, kad pacientams, kurių kepenų funkcija sutrikusi, dozės koreguoti</w:t>
      </w:r>
      <w:r w:rsidR="006640DF">
        <w:t xml:space="preserve"> nereikia</w:t>
      </w:r>
      <w:r w:rsidRPr="00D867CD">
        <w:t xml:space="preserve">, tačiau gydymo patirties </w:t>
      </w:r>
      <w:r w:rsidR="009001F6">
        <w:t xml:space="preserve">su tokiais pacientais </w:t>
      </w:r>
      <w:r w:rsidRPr="00D867CD">
        <w:t>trūksta.</w:t>
      </w:r>
    </w:p>
    <w:p w14:paraId="3466798B" w14:textId="77777777" w:rsidR="00023BE0" w:rsidRPr="00D867CD" w:rsidRDefault="00023BE0" w:rsidP="00D867CD">
      <w:pPr>
        <w:pStyle w:val="Pagrindinistekstas"/>
      </w:pPr>
    </w:p>
    <w:p w14:paraId="4C507FC2" w14:textId="4722D2D1" w:rsidR="00A01BAC" w:rsidRPr="00D867CD" w:rsidRDefault="00341B61" w:rsidP="00D867CD">
      <w:pPr>
        <w:rPr>
          <w:i/>
        </w:rPr>
      </w:pPr>
      <w:r w:rsidRPr="00D867CD">
        <w:rPr>
          <w:i/>
        </w:rPr>
        <w:t>Senyvi</w:t>
      </w:r>
      <w:r w:rsidR="006640DF">
        <w:rPr>
          <w:i/>
        </w:rPr>
        <w:t>ems</w:t>
      </w:r>
      <w:r w:rsidRPr="00D867CD">
        <w:rPr>
          <w:i/>
        </w:rPr>
        <w:t xml:space="preserve"> pacienta</w:t>
      </w:r>
      <w:r w:rsidR="006640DF">
        <w:rPr>
          <w:i/>
        </w:rPr>
        <w:t>ms</w:t>
      </w:r>
    </w:p>
    <w:p w14:paraId="4C507FC3" w14:textId="2041407D" w:rsidR="00A01BAC" w:rsidRPr="00D867CD" w:rsidRDefault="00341B61" w:rsidP="00D867CD">
      <w:pPr>
        <w:pStyle w:val="Pagrindinistekstas"/>
      </w:pPr>
      <w:r w:rsidRPr="00D867CD">
        <w:t>Atsižvelgiant į amžių, dozės koreguoti n</w:t>
      </w:r>
      <w:r w:rsidR="006640DF">
        <w:t>ereikia</w:t>
      </w:r>
      <w:r w:rsidRPr="00D867CD">
        <w:t>.</w:t>
      </w:r>
    </w:p>
    <w:p w14:paraId="4C507FC4" w14:textId="77777777" w:rsidR="00A01BAC" w:rsidRPr="00D867CD" w:rsidRDefault="00A01BAC" w:rsidP="00D867CD">
      <w:pPr>
        <w:pStyle w:val="Pagrindinistekstas"/>
      </w:pPr>
    </w:p>
    <w:p w14:paraId="4C507FC5" w14:textId="77777777" w:rsidR="00A01BAC" w:rsidRPr="00D867CD" w:rsidRDefault="00341B61" w:rsidP="00D867CD">
      <w:pPr>
        <w:rPr>
          <w:i/>
        </w:rPr>
      </w:pPr>
      <w:r w:rsidRPr="00D867CD">
        <w:rPr>
          <w:i/>
        </w:rPr>
        <w:t>Vaikų populiacija</w:t>
      </w:r>
    </w:p>
    <w:p w14:paraId="4C507FC6" w14:textId="4C01C5A5" w:rsidR="00A01BAC" w:rsidRDefault="006233F1" w:rsidP="00D867CD">
      <w:pPr>
        <w:pStyle w:val="Pagrindinistekstas"/>
      </w:pPr>
      <w:r>
        <w:t xml:space="preserve">Klinikinio tyrimo metu </w:t>
      </w:r>
      <w:r w:rsidR="00341B61" w:rsidRPr="00D867CD">
        <w:t>10-17</w:t>
      </w:r>
      <w:r w:rsidR="00341B61">
        <w:t> metų</w:t>
      </w:r>
      <w:r w:rsidR="00341B61" w:rsidRPr="00D867CD">
        <w:t xml:space="preserve"> </w:t>
      </w:r>
      <w:r>
        <w:t xml:space="preserve">vaikų ir paauglių </w:t>
      </w:r>
      <w:r w:rsidR="00CC528C">
        <w:t>populiacijoje veiksmingumas nebuvo nustatytas</w:t>
      </w:r>
      <w:r w:rsidR="00341B61" w:rsidRPr="00D867CD">
        <w:t xml:space="preserve"> (</w:t>
      </w:r>
      <w:r w:rsidR="00341B61">
        <w:t>žr. </w:t>
      </w:r>
      <w:r w:rsidR="00341B61" w:rsidRPr="00D867CD">
        <w:t>4.8, 5.1 ir 5.2</w:t>
      </w:r>
      <w:r w:rsidR="00341B61">
        <w:t> skyrius</w:t>
      </w:r>
      <w:r w:rsidR="00341B61" w:rsidRPr="00D867CD">
        <w:t>)</w:t>
      </w:r>
      <w:r w:rsidR="00E30619">
        <w:t>. T</w:t>
      </w:r>
      <w:r w:rsidR="00341B61" w:rsidRPr="00D867CD">
        <w:t xml:space="preserve">odėl vaikų ir paauglių gydyti </w:t>
      </w:r>
      <w:proofErr w:type="spellStart"/>
      <w:r w:rsidR="00341B61" w:rsidRPr="00D867CD">
        <w:t>linagliptinu</w:t>
      </w:r>
      <w:proofErr w:type="spellEnd"/>
      <w:r w:rsidR="00341B61" w:rsidRPr="00D867CD">
        <w:t xml:space="preserve"> nerekomenduojama. </w:t>
      </w:r>
      <w:r w:rsidR="007A6515">
        <w:t xml:space="preserve">Jaunesnių nei </w:t>
      </w:r>
      <w:r w:rsidR="00341B61" w:rsidRPr="00D867CD">
        <w:t>10</w:t>
      </w:r>
      <w:r w:rsidR="00341B61">
        <w:t> metų</w:t>
      </w:r>
      <w:r w:rsidR="00507AA8">
        <w:t xml:space="preserve"> vaikų </w:t>
      </w:r>
      <w:proofErr w:type="spellStart"/>
      <w:r w:rsidR="00507AA8">
        <w:t>linagliptino</w:t>
      </w:r>
      <w:proofErr w:type="spellEnd"/>
      <w:r w:rsidR="00507AA8">
        <w:t xml:space="preserve"> vartojimas nebuvo tirtas</w:t>
      </w:r>
      <w:r w:rsidR="00341B61" w:rsidRPr="00D867CD">
        <w:t>.</w:t>
      </w:r>
    </w:p>
    <w:p w14:paraId="35272334" w14:textId="77777777" w:rsidR="00A01BAC" w:rsidRDefault="00A01BAC" w:rsidP="00D867CD">
      <w:pPr>
        <w:pStyle w:val="Pagrindinistekstas"/>
      </w:pPr>
    </w:p>
    <w:p w14:paraId="4C507FC8" w14:textId="77777777" w:rsidR="00A01BAC" w:rsidRPr="00D867CD" w:rsidRDefault="00341B61" w:rsidP="00D867CD">
      <w:pPr>
        <w:pStyle w:val="Pagrindinistekstas"/>
      </w:pPr>
      <w:r w:rsidRPr="00D867CD">
        <w:rPr>
          <w:u w:val="single"/>
        </w:rPr>
        <w:t>Vartojimo metodas</w:t>
      </w:r>
    </w:p>
    <w:p w14:paraId="4C507FC9" w14:textId="77777777" w:rsidR="00A01BAC" w:rsidRDefault="00341B61" w:rsidP="00D867CD">
      <w:pPr>
        <w:pStyle w:val="Pagrindinistekstas"/>
      </w:pPr>
      <w:r w:rsidRPr="00D867CD">
        <w:t>Tabletes galima gerti valgio metu arba nevalgius bet kuriuo paros metu. Jeigu dozė praleidžiama, ją pacientas turi išgerti tuoj pat, kai tik prisimena. Negalima vartoti dvigubos dozės tą pačią dieną.</w:t>
      </w:r>
    </w:p>
    <w:p w14:paraId="2772D7C9" w14:textId="77777777" w:rsidR="00023BE0" w:rsidRPr="00D867CD" w:rsidRDefault="00023BE0" w:rsidP="00D867CD">
      <w:pPr>
        <w:pStyle w:val="Pagrindinistekstas"/>
      </w:pPr>
    </w:p>
    <w:p w14:paraId="4C507FCA" w14:textId="77777777" w:rsidR="00A01BAC" w:rsidRPr="00D867CD" w:rsidRDefault="00341B61" w:rsidP="00023BE0">
      <w:pPr>
        <w:pStyle w:val="Antrat2"/>
        <w:numPr>
          <w:ilvl w:val="1"/>
          <w:numId w:val="13"/>
        </w:numPr>
        <w:tabs>
          <w:tab w:val="left" w:pos="567"/>
        </w:tabs>
        <w:ind w:left="567"/>
      </w:pPr>
      <w:r w:rsidRPr="00D867CD">
        <w:t>Kontraindikacijos</w:t>
      </w:r>
    </w:p>
    <w:p w14:paraId="4C507FCB" w14:textId="77777777" w:rsidR="00A01BAC" w:rsidRPr="00D867CD" w:rsidRDefault="00A01BAC" w:rsidP="00D867CD">
      <w:pPr>
        <w:pStyle w:val="Pagrindinistekstas"/>
        <w:rPr>
          <w:b/>
        </w:rPr>
      </w:pPr>
    </w:p>
    <w:p w14:paraId="4C507FCC" w14:textId="142BEFAA" w:rsidR="00A01BAC" w:rsidRPr="00D867CD" w:rsidRDefault="00341B61" w:rsidP="00D867CD">
      <w:pPr>
        <w:pStyle w:val="Pagrindinistekstas"/>
      </w:pPr>
      <w:r w:rsidRPr="00D867CD">
        <w:t>Padidėjęs jautrumas veikliajai arba bet kuriai 6.1</w:t>
      </w:r>
      <w:r>
        <w:t> skyriuje</w:t>
      </w:r>
      <w:r w:rsidRPr="00D867CD">
        <w:t xml:space="preserve"> nurodytai pagalbinei medžiagai.</w:t>
      </w:r>
    </w:p>
    <w:p w14:paraId="4C507FCD" w14:textId="77777777" w:rsidR="00A01BAC" w:rsidRPr="00D867CD" w:rsidRDefault="00A01BAC" w:rsidP="00D867CD">
      <w:pPr>
        <w:pStyle w:val="Pagrindinistekstas"/>
      </w:pPr>
    </w:p>
    <w:p w14:paraId="4C507FCE" w14:textId="77777777" w:rsidR="00A01BAC" w:rsidRPr="00D867CD" w:rsidRDefault="00341B61" w:rsidP="00023BE0">
      <w:pPr>
        <w:pStyle w:val="Antrat2"/>
        <w:numPr>
          <w:ilvl w:val="1"/>
          <w:numId w:val="13"/>
        </w:numPr>
        <w:tabs>
          <w:tab w:val="left" w:pos="567"/>
        </w:tabs>
        <w:ind w:left="567"/>
      </w:pPr>
      <w:r w:rsidRPr="00D867CD">
        <w:t>Specialūs įspėjimai ir atsargumo priemonės</w:t>
      </w:r>
    </w:p>
    <w:p w14:paraId="4C507FCF" w14:textId="77777777" w:rsidR="00A01BAC" w:rsidRPr="00D867CD" w:rsidRDefault="00A01BAC" w:rsidP="00D867CD">
      <w:pPr>
        <w:pStyle w:val="Pagrindinistekstas"/>
        <w:rPr>
          <w:b/>
        </w:rPr>
      </w:pPr>
    </w:p>
    <w:p w14:paraId="4C507FD0" w14:textId="77777777" w:rsidR="00A01BAC" w:rsidRPr="00D867CD" w:rsidRDefault="00341B61" w:rsidP="00D867CD">
      <w:pPr>
        <w:pStyle w:val="Pagrindinistekstas"/>
      </w:pPr>
      <w:r w:rsidRPr="00D867CD">
        <w:rPr>
          <w:u w:val="single"/>
        </w:rPr>
        <w:t>Bendrieji</w:t>
      </w:r>
    </w:p>
    <w:p w14:paraId="4C507FD1" w14:textId="02F658A4" w:rsidR="00A01BAC" w:rsidRPr="00D867CD" w:rsidRDefault="001F4E51" w:rsidP="00D867CD">
      <w:pPr>
        <w:pStyle w:val="Pagrindinistekstas"/>
      </w:pPr>
      <w:proofErr w:type="spellStart"/>
      <w:r>
        <w:t>Linagliptino</w:t>
      </w:r>
      <w:proofErr w:type="spellEnd"/>
      <w:r>
        <w:t xml:space="preserve"> </w:t>
      </w:r>
      <w:r w:rsidR="00B037E1">
        <w:t xml:space="preserve">negalima vartoti pacientams, sergantiems </w:t>
      </w:r>
      <w:r w:rsidR="00341B61">
        <w:t>1 tipo</w:t>
      </w:r>
      <w:r w:rsidR="00341B61" w:rsidRPr="00D867CD">
        <w:t xml:space="preserve"> cukrini</w:t>
      </w:r>
      <w:r w:rsidR="00B037E1">
        <w:t>u</w:t>
      </w:r>
      <w:r w:rsidR="00341B61" w:rsidRPr="00D867CD">
        <w:t xml:space="preserve"> diabet</w:t>
      </w:r>
      <w:r w:rsidR="00B037E1">
        <w:t>u</w:t>
      </w:r>
      <w:r w:rsidR="00EF77EC">
        <w:t>,</w:t>
      </w:r>
      <w:r w:rsidR="00341B61" w:rsidRPr="00D867CD">
        <w:t xml:space="preserve"> </w:t>
      </w:r>
      <w:r w:rsidR="00EF77EC">
        <w:t xml:space="preserve">arba </w:t>
      </w:r>
      <w:r w:rsidR="00341B61" w:rsidRPr="00D867CD">
        <w:t>diabetin</w:t>
      </w:r>
      <w:r w:rsidR="00EF77EC">
        <w:t>ei</w:t>
      </w:r>
      <w:r w:rsidR="00341B61" w:rsidRPr="00D867CD">
        <w:t xml:space="preserve"> </w:t>
      </w:r>
      <w:proofErr w:type="spellStart"/>
      <w:r w:rsidR="00341B61" w:rsidRPr="00D867CD">
        <w:t>ketoacidoz</w:t>
      </w:r>
      <w:r w:rsidR="00EF77EC">
        <w:t>ei</w:t>
      </w:r>
      <w:proofErr w:type="spellEnd"/>
      <w:r w:rsidR="00341B61" w:rsidRPr="00D867CD">
        <w:t xml:space="preserve"> gydyti.</w:t>
      </w:r>
    </w:p>
    <w:p w14:paraId="4C507FD2" w14:textId="77777777" w:rsidR="00A01BAC" w:rsidRPr="00D867CD" w:rsidRDefault="00A01BAC" w:rsidP="00D867CD">
      <w:pPr>
        <w:pStyle w:val="Pagrindinistekstas"/>
      </w:pPr>
    </w:p>
    <w:p w14:paraId="4C507FD3" w14:textId="77777777" w:rsidR="00A01BAC" w:rsidRPr="00D867CD" w:rsidRDefault="00341B61" w:rsidP="00D867CD">
      <w:pPr>
        <w:pStyle w:val="Pagrindinistekstas"/>
      </w:pPr>
      <w:r w:rsidRPr="00D867CD">
        <w:rPr>
          <w:u w:val="single"/>
        </w:rPr>
        <w:t>Hipoglikemija</w:t>
      </w:r>
    </w:p>
    <w:p w14:paraId="4C507FD4" w14:textId="1A8AE74E" w:rsidR="00A01BAC" w:rsidRPr="00D867CD" w:rsidRDefault="00341B61" w:rsidP="00D867CD">
      <w:pPr>
        <w:pStyle w:val="Pagrindinistekstas"/>
      </w:pPr>
      <w:r w:rsidRPr="00D867CD">
        <w:t xml:space="preserve">Gydant vien </w:t>
      </w:r>
      <w:proofErr w:type="spellStart"/>
      <w:r w:rsidRPr="00D867CD">
        <w:t>linagliptinu</w:t>
      </w:r>
      <w:proofErr w:type="spellEnd"/>
      <w:r w:rsidR="00C73E7E">
        <w:t>,</w:t>
      </w:r>
      <w:r w:rsidRPr="00D867CD">
        <w:t xml:space="preserve"> hipoglikemijos dažnis yra panašus kaip vartojant placebą.</w:t>
      </w:r>
    </w:p>
    <w:p w14:paraId="4C507FD5" w14:textId="15F8BD01" w:rsidR="00A01BAC" w:rsidRDefault="00341B61" w:rsidP="00D867CD">
      <w:pPr>
        <w:pStyle w:val="Pagrindinistekstas"/>
      </w:pPr>
      <w:r w:rsidRPr="00D867CD">
        <w:t xml:space="preserve">Klinikinių tyrimų, kurių metu </w:t>
      </w:r>
      <w:proofErr w:type="spellStart"/>
      <w:r w:rsidRPr="00D867CD">
        <w:t>linagliptinas</w:t>
      </w:r>
      <w:proofErr w:type="spellEnd"/>
      <w:r w:rsidRPr="00D867CD">
        <w:t xml:space="preserve"> buvo </w:t>
      </w:r>
      <w:r w:rsidR="00297A86">
        <w:t xml:space="preserve">vartojamas </w:t>
      </w:r>
      <w:r w:rsidRPr="00D867CD">
        <w:t xml:space="preserve">kaip sudėtinio gydymo dalis </w:t>
      </w:r>
      <w:r w:rsidR="00F97E71">
        <w:t xml:space="preserve">kartu </w:t>
      </w:r>
      <w:r w:rsidRPr="00D867CD">
        <w:t>su vaistiniais preparatais, nesukeliančiais hipoglikemijos (</w:t>
      </w:r>
      <w:proofErr w:type="spellStart"/>
      <w:r w:rsidRPr="00D867CD">
        <w:t>metforminu</w:t>
      </w:r>
      <w:proofErr w:type="spellEnd"/>
      <w:r w:rsidRPr="00D867CD">
        <w:t xml:space="preserve">), </w:t>
      </w:r>
      <w:r w:rsidR="00C8202D">
        <w:t xml:space="preserve">duomenimis, </w:t>
      </w:r>
      <w:r w:rsidR="006E75BD">
        <w:t xml:space="preserve">hipoglikemijos dažnis vartojant </w:t>
      </w:r>
      <w:proofErr w:type="spellStart"/>
      <w:r w:rsidR="006E75BD">
        <w:t>linagliptiną</w:t>
      </w:r>
      <w:proofErr w:type="spellEnd"/>
      <w:r w:rsidR="006E75BD">
        <w:t xml:space="preserve"> </w:t>
      </w:r>
      <w:r w:rsidRPr="00D867CD">
        <w:t xml:space="preserve">buvo panašus į </w:t>
      </w:r>
      <w:r w:rsidR="00DA38F6">
        <w:t xml:space="preserve">pacientų, vartojusių </w:t>
      </w:r>
      <w:r w:rsidRPr="00D867CD">
        <w:t>placeb</w:t>
      </w:r>
      <w:r w:rsidR="00F96400">
        <w:t>o</w:t>
      </w:r>
      <w:r w:rsidRPr="00D867CD">
        <w:t>.</w:t>
      </w:r>
    </w:p>
    <w:p w14:paraId="7C2FD276" w14:textId="77777777" w:rsidR="00023BE0" w:rsidRPr="00D867CD" w:rsidRDefault="00023BE0" w:rsidP="00D867CD">
      <w:pPr>
        <w:pStyle w:val="Pagrindinistekstas"/>
      </w:pPr>
    </w:p>
    <w:p w14:paraId="4C507FD6" w14:textId="02777AC0" w:rsidR="00A01BAC" w:rsidRDefault="00341B61" w:rsidP="00D867CD">
      <w:pPr>
        <w:pStyle w:val="Pagrindinistekstas"/>
      </w:pPr>
      <w:r w:rsidRPr="00D867CD">
        <w:t xml:space="preserve">Gydymą </w:t>
      </w:r>
      <w:proofErr w:type="spellStart"/>
      <w:r w:rsidRPr="00D867CD">
        <w:t>sulfonilurėjos</w:t>
      </w:r>
      <w:proofErr w:type="spellEnd"/>
      <w:r w:rsidRPr="00D867CD">
        <w:t xml:space="preserve"> dariniu papildžius </w:t>
      </w:r>
      <w:proofErr w:type="spellStart"/>
      <w:r w:rsidRPr="00D867CD">
        <w:t>linagliptinu</w:t>
      </w:r>
      <w:proofErr w:type="spellEnd"/>
      <w:r w:rsidRPr="00D867CD">
        <w:t xml:space="preserve"> (</w:t>
      </w:r>
      <w:r w:rsidR="006D2727">
        <w:t xml:space="preserve">kartu vartojant </w:t>
      </w:r>
      <w:proofErr w:type="spellStart"/>
      <w:r w:rsidRPr="00D867CD">
        <w:t>metformin</w:t>
      </w:r>
      <w:r w:rsidR="008A42DC">
        <w:t>ą</w:t>
      </w:r>
      <w:proofErr w:type="spellEnd"/>
      <w:r w:rsidRPr="00D867CD">
        <w:t>), hipoglikemijos dažnis buvo didesnis nei vartojant placeb</w:t>
      </w:r>
      <w:r w:rsidR="00DB1478">
        <w:t>ą</w:t>
      </w:r>
      <w:r w:rsidRPr="00D867CD">
        <w:t xml:space="preserve"> (</w:t>
      </w:r>
      <w:r>
        <w:t>žr. </w:t>
      </w:r>
      <w:r w:rsidRPr="00D867CD">
        <w:t>4.8</w:t>
      </w:r>
      <w:r>
        <w:t> skyrių</w:t>
      </w:r>
      <w:r w:rsidRPr="00D867CD">
        <w:t>).</w:t>
      </w:r>
    </w:p>
    <w:p w14:paraId="7D5280E9" w14:textId="77777777" w:rsidR="00023BE0" w:rsidRPr="00D867CD" w:rsidRDefault="00023BE0" w:rsidP="00D867CD">
      <w:pPr>
        <w:pStyle w:val="Pagrindinistekstas"/>
      </w:pPr>
    </w:p>
    <w:p w14:paraId="4C507FD7" w14:textId="3CACD1BF" w:rsidR="00A01BAC" w:rsidRPr="00D867CD" w:rsidRDefault="00341B61" w:rsidP="00D867CD">
      <w:pPr>
        <w:pStyle w:val="Pagrindinistekstas"/>
      </w:pPr>
      <w:r w:rsidRPr="00D867CD">
        <w:t xml:space="preserve">Žinoma, kad </w:t>
      </w:r>
      <w:proofErr w:type="spellStart"/>
      <w:r w:rsidRPr="00D867CD">
        <w:t>sulfonilurėjos</w:t>
      </w:r>
      <w:proofErr w:type="spellEnd"/>
      <w:r w:rsidRPr="00D867CD">
        <w:t xml:space="preserve"> dariniai ir insulinas sukelia hipoglikemiją</w:t>
      </w:r>
      <w:r w:rsidR="006C7211">
        <w:t>.</w:t>
      </w:r>
      <w:r w:rsidRPr="00D867CD">
        <w:t xml:space="preserve"> </w:t>
      </w:r>
      <w:r w:rsidR="006C7211">
        <w:t>T</w:t>
      </w:r>
      <w:r w:rsidRPr="00D867CD">
        <w:t xml:space="preserve">odėl </w:t>
      </w:r>
      <w:proofErr w:type="spellStart"/>
      <w:r w:rsidR="00076414">
        <w:t>linagli</w:t>
      </w:r>
      <w:r w:rsidR="00887163">
        <w:t>p</w:t>
      </w:r>
      <w:r w:rsidR="00076414">
        <w:t>tiną</w:t>
      </w:r>
      <w:proofErr w:type="spellEnd"/>
      <w:r w:rsidR="00076414">
        <w:t xml:space="preserve"> </w:t>
      </w:r>
      <w:r w:rsidR="0002566F">
        <w:t xml:space="preserve">vartojant </w:t>
      </w:r>
      <w:r w:rsidR="00076414">
        <w:t>kartu su</w:t>
      </w:r>
      <w:r w:rsidRPr="00D867CD">
        <w:t xml:space="preserve"> </w:t>
      </w:r>
      <w:proofErr w:type="spellStart"/>
      <w:r w:rsidRPr="00D867CD">
        <w:t>sulfonilurėjos</w:t>
      </w:r>
      <w:proofErr w:type="spellEnd"/>
      <w:r w:rsidRPr="00D867CD">
        <w:t xml:space="preserve"> darini</w:t>
      </w:r>
      <w:r w:rsidR="00887163">
        <w:t>u</w:t>
      </w:r>
      <w:r w:rsidRPr="00D867CD">
        <w:t xml:space="preserve"> ir (arba) insulin</w:t>
      </w:r>
      <w:r w:rsidR="00887163">
        <w:t xml:space="preserve">u, </w:t>
      </w:r>
      <w:r w:rsidR="009D7263">
        <w:t>rekomenduojama laikytis atsargumo</w:t>
      </w:r>
      <w:r w:rsidRPr="00D867CD">
        <w:t xml:space="preserve">. Galima apsvarstyti </w:t>
      </w:r>
      <w:proofErr w:type="spellStart"/>
      <w:r w:rsidRPr="00D867CD">
        <w:t>sulfonilurėjos</w:t>
      </w:r>
      <w:proofErr w:type="spellEnd"/>
      <w:r w:rsidRPr="00D867CD">
        <w:t xml:space="preserve"> darinio arba insulino dozės mažinimą (</w:t>
      </w:r>
      <w:r>
        <w:t>žr. </w:t>
      </w:r>
      <w:r w:rsidRPr="00D867CD">
        <w:t>4.2</w:t>
      </w:r>
      <w:r>
        <w:t> skyrių</w:t>
      </w:r>
      <w:r w:rsidRPr="00D867CD">
        <w:t>).</w:t>
      </w:r>
    </w:p>
    <w:p w14:paraId="4C507FD8" w14:textId="77777777" w:rsidR="00A01BAC" w:rsidRPr="00D867CD" w:rsidRDefault="00A01BAC" w:rsidP="00D867CD">
      <w:pPr>
        <w:pStyle w:val="Pagrindinistekstas"/>
      </w:pPr>
    </w:p>
    <w:p w14:paraId="4C507FD9" w14:textId="77777777" w:rsidR="00A01BAC" w:rsidRPr="00D867CD" w:rsidRDefault="00341B61" w:rsidP="00D867CD">
      <w:pPr>
        <w:pStyle w:val="Pagrindinistekstas"/>
      </w:pPr>
      <w:r w:rsidRPr="00D867CD">
        <w:rPr>
          <w:u w:val="single"/>
        </w:rPr>
        <w:t>Ūminis pankreatitas</w:t>
      </w:r>
    </w:p>
    <w:p w14:paraId="4C507FDA" w14:textId="4CF7567E" w:rsidR="00A01BAC" w:rsidRDefault="00341B61" w:rsidP="00D867CD">
      <w:pPr>
        <w:pStyle w:val="Pagrindinistekstas"/>
      </w:pPr>
      <w:r w:rsidRPr="00D867CD">
        <w:t>DPP</w:t>
      </w:r>
      <w:r w:rsidR="00CD2885">
        <w:noBreakHyphen/>
      </w:r>
      <w:r w:rsidRPr="00D867CD">
        <w:t xml:space="preserve">4 inhibitorių vartojimas yra susijęs su ūminio pankreatito išsivystymo rizika. </w:t>
      </w:r>
      <w:proofErr w:type="spellStart"/>
      <w:r w:rsidRPr="00D867CD">
        <w:t>Linagliptin</w:t>
      </w:r>
      <w:r w:rsidR="00002E53">
        <w:t>o</w:t>
      </w:r>
      <w:proofErr w:type="spellEnd"/>
      <w:r w:rsidRPr="00D867CD">
        <w:t xml:space="preserve"> vartojusiems pacientams stebėtas ūminis pankreatitas. </w:t>
      </w:r>
      <w:r w:rsidR="002F0558">
        <w:t>Š</w:t>
      </w:r>
      <w:r w:rsidRPr="00D867CD">
        <w:t xml:space="preserve">irdies ir kraujagyslių </w:t>
      </w:r>
      <w:r w:rsidR="003D041B">
        <w:t xml:space="preserve">bei </w:t>
      </w:r>
      <w:r w:rsidR="00FD4FAB">
        <w:t xml:space="preserve">inkstų </w:t>
      </w:r>
      <w:r w:rsidRPr="00D867CD">
        <w:t>sistem</w:t>
      </w:r>
      <w:r w:rsidR="00FD4FAB">
        <w:t>ų</w:t>
      </w:r>
      <w:r w:rsidR="002F0558">
        <w:t xml:space="preserve"> saugumo</w:t>
      </w:r>
      <w:r w:rsidRPr="00D867CD">
        <w:t xml:space="preserve"> tyrim</w:t>
      </w:r>
      <w:r w:rsidR="00FD4FAB">
        <w:t>e</w:t>
      </w:r>
      <w:r w:rsidRPr="00D867CD">
        <w:t xml:space="preserve"> (CARMELINA), kurio stebėjimo laikotarpio mediana siekė 2,2</w:t>
      </w:r>
      <w:r>
        <w:t> metų</w:t>
      </w:r>
      <w:r w:rsidRPr="00D867CD">
        <w:t xml:space="preserve">, </w:t>
      </w:r>
      <w:r w:rsidR="005A3079">
        <w:t xml:space="preserve">patvirtintas </w:t>
      </w:r>
      <w:r w:rsidRPr="00D867CD">
        <w:t>ūmin</w:t>
      </w:r>
      <w:r w:rsidR="005A3079">
        <w:t>is</w:t>
      </w:r>
      <w:r w:rsidRPr="00D867CD">
        <w:t xml:space="preserve"> pankreatit</w:t>
      </w:r>
      <w:r w:rsidR="005A3079">
        <w:t>as</w:t>
      </w:r>
      <w:r w:rsidRPr="00D867CD">
        <w:t xml:space="preserve"> pasireišk</w:t>
      </w:r>
      <w:r w:rsidR="005A3079">
        <w:t>ė</w:t>
      </w:r>
      <w:r w:rsidRPr="00D867CD">
        <w:t xml:space="preserve"> 0,3</w:t>
      </w:r>
      <w:r>
        <w:t> %</w:t>
      </w:r>
      <w:r w:rsidRPr="00D867CD">
        <w:t xml:space="preserve"> pacientų, vartojusių </w:t>
      </w:r>
      <w:proofErr w:type="spellStart"/>
      <w:r w:rsidRPr="00D867CD">
        <w:t>linagliptin</w:t>
      </w:r>
      <w:r w:rsidR="00AE03CA">
        <w:t>ą</w:t>
      </w:r>
      <w:proofErr w:type="spellEnd"/>
      <w:r w:rsidRPr="00D867CD">
        <w:t>, ir 0,1</w:t>
      </w:r>
      <w:r>
        <w:t> %</w:t>
      </w:r>
      <w:r w:rsidRPr="00D867CD">
        <w:t xml:space="preserve"> pacientų, vartojusių placeb</w:t>
      </w:r>
      <w:r w:rsidR="00AE03CA">
        <w:t>ą</w:t>
      </w:r>
      <w:r w:rsidRPr="00D867CD">
        <w:t xml:space="preserve">. Pacientai turi būti informuoti apie būdingus ūminio pankreatito simptomus. Jei įtariamas pankreatitas, </w:t>
      </w:r>
      <w:proofErr w:type="spellStart"/>
      <w:r>
        <w:t>Linagliptin</w:t>
      </w:r>
      <w:proofErr w:type="spellEnd"/>
      <w:r>
        <w:t xml:space="preserve"> Olpha</w:t>
      </w:r>
      <w:r w:rsidRPr="00D867CD">
        <w:t xml:space="preserve"> vartojimą reikia nutraukti; jei patvirtinama ūminio pankreatito diagnozė, negalima vėl pradėti vartoti </w:t>
      </w:r>
      <w:proofErr w:type="spellStart"/>
      <w:r>
        <w:t>Linagliptin</w:t>
      </w:r>
      <w:proofErr w:type="spellEnd"/>
      <w:r>
        <w:t xml:space="preserve"> Olpha</w:t>
      </w:r>
      <w:r w:rsidRPr="00D867CD">
        <w:t>. Pacient</w:t>
      </w:r>
      <w:r w:rsidR="00B04CF0">
        <w:t>ams</w:t>
      </w:r>
      <w:r w:rsidRPr="00D867CD">
        <w:t>, kur</w:t>
      </w:r>
      <w:r w:rsidR="00F97BF9">
        <w:t>i</w:t>
      </w:r>
      <w:r w:rsidR="00BC45FE">
        <w:t>ems</w:t>
      </w:r>
      <w:r w:rsidRPr="00D867CD">
        <w:t xml:space="preserve"> </w:t>
      </w:r>
      <w:r w:rsidR="00BC45FE">
        <w:t xml:space="preserve">anksčiau yra buvęs </w:t>
      </w:r>
      <w:r w:rsidRPr="00D867CD">
        <w:t>pankreatit</w:t>
      </w:r>
      <w:r w:rsidR="00BF3497">
        <w:t>as</w:t>
      </w:r>
      <w:r w:rsidRPr="00D867CD">
        <w:t xml:space="preserve">, </w:t>
      </w:r>
      <w:r w:rsidR="009A1DB6">
        <w:t xml:space="preserve">vaistinį preparatą </w:t>
      </w:r>
      <w:r w:rsidRPr="00D867CD">
        <w:t xml:space="preserve">reikia </w:t>
      </w:r>
      <w:r w:rsidR="00937F04">
        <w:t xml:space="preserve">vartoti </w:t>
      </w:r>
      <w:r w:rsidRPr="00D867CD">
        <w:t>atsargiai.</w:t>
      </w:r>
    </w:p>
    <w:p w14:paraId="6666FADA" w14:textId="77777777" w:rsidR="00023BE0" w:rsidRPr="00D867CD" w:rsidRDefault="00023BE0" w:rsidP="00D867CD">
      <w:pPr>
        <w:pStyle w:val="Pagrindinistekstas"/>
      </w:pPr>
    </w:p>
    <w:p w14:paraId="4C507FDB" w14:textId="77777777" w:rsidR="00A01BAC" w:rsidRPr="00D867CD" w:rsidRDefault="00341B61" w:rsidP="00D867CD">
      <w:pPr>
        <w:pStyle w:val="Pagrindinistekstas"/>
      </w:pPr>
      <w:proofErr w:type="spellStart"/>
      <w:r w:rsidRPr="00D867CD">
        <w:rPr>
          <w:u w:val="single"/>
        </w:rPr>
        <w:t>Pūslinis</w:t>
      </w:r>
      <w:proofErr w:type="spellEnd"/>
      <w:r w:rsidRPr="00D867CD">
        <w:rPr>
          <w:u w:val="single"/>
        </w:rPr>
        <w:t xml:space="preserve"> </w:t>
      </w:r>
      <w:proofErr w:type="spellStart"/>
      <w:r w:rsidRPr="00D867CD">
        <w:rPr>
          <w:u w:val="single"/>
        </w:rPr>
        <w:t>pemfigoidas</w:t>
      </w:r>
      <w:proofErr w:type="spellEnd"/>
    </w:p>
    <w:p w14:paraId="4C507FDC" w14:textId="5F823DAB" w:rsidR="00A01BAC" w:rsidRPr="00D867CD" w:rsidRDefault="00341B61" w:rsidP="00D867CD">
      <w:pPr>
        <w:pStyle w:val="Pagrindinistekstas"/>
      </w:pPr>
      <w:proofErr w:type="spellStart"/>
      <w:r w:rsidRPr="00D867CD">
        <w:t>Linagliptin</w:t>
      </w:r>
      <w:r w:rsidR="00BF3497">
        <w:t>o</w:t>
      </w:r>
      <w:proofErr w:type="spellEnd"/>
      <w:r w:rsidRPr="00D867CD">
        <w:t xml:space="preserve"> vartojusiems pacientams stebėtas </w:t>
      </w:r>
      <w:proofErr w:type="spellStart"/>
      <w:r w:rsidRPr="00D867CD">
        <w:t>pūslinis</w:t>
      </w:r>
      <w:proofErr w:type="spellEnd"/>
      <w:r w:rsidRPr="00D867CD">
        <w:t xml:space="preserve"> </w:t>
      </w:r>
      <w:proofErr w:type="spellStart"/>
      <w:r w:rsidRPr="00D867CD">
        <w:t>pemfigoidas</w:t>
      </w:r>
      <w:proofErr w:type="spellEnd"/>
      <w:r w:rsidRPr="00D867CD">
        <w:t xml:space="preserve">. CARMELINA tyrimo metu buvo gauta pranešimų apie </w:t>
      </w:r>
      <w:proofErr w:type="spellStart"/>
      <w:r w:rsidRPr="00D867CD">
        <w:t>pūslinį</w:t>
      </w:r>
      <w:proofErr w:type="spellEnd"/>
      <w:r w:rsidRPr="00D867CD">
        <w:t xml:space="preserve"> </w:t>
      </w:r>
      <w:proofErr w:type="spellStart"/>
      <w:r w:rsidRPr="00D867CD">
        <w:t>pemfigoidą</w:t>
      </w:r>
      <w:proofErr w:type="spellEnd"/>
      <w:r w:rsidRPr="00D867CD">
        <w:t>, pasireiškusį 0,2</w:t>
      </w:r>
      <w:r>
        <w:t> %</w:t>
      </w:r>
      <w:r w:rsidRPr="00D867CD">
        <w:t xml:space="preserve"> pacientų, vartojusių </w:t>
      </w:r>
      <w:proofErr w:type="spellStart"/>
      <w:r w:rsidRPr="00D867CD">
        <w:t>linagliptin</w:t>
      </w:r>
      <w:r w:rsidR="00151B90">
        <w:t>o</w:t>
      </w:r>
      <w:proofErr w:type="spellEnd"/>
      <w:r w:rsidR="003B042D">
        <w:t xml:space="preserve"> ir nė vienam </w:t>
      </w:r>
      <w:r w:rsidR="004655AD">
        <w:t>placebą vartojusiam pacientui</w:t>
      </w:r>
      <w:r w:rsidRPr="00D867CD">
        <w:t xml:space="preserve">. Jei įtariamas </w:t>
      </w:r>
      <w:proofErr w:type="spellStart"/>
      <w:r w:rsidRPr="00D867CD">
        <w:t>pūslinis</w:t>
      </w:r>
      <w:proofErr w:type="spellEnd"/>
      <w:r w:rsidRPr="00D867CD">
        <w:t xml:space="preserve"> </w:t>
      </w:r>
      <w:proofErr w:type="spellStart"/>
      <w:r w:rsidRPr="00D867CD">
        <w:t>pemfigoidas</w:t>
      </w:r>
      <w:proofErr w:type="spellEnd"/>
      <w:r w:rsidRPr="00D867CD">
        <w:t xml:space="preserve">, </w:t>
      </w:r>
      <w:proofErr w:type="spellStart"/>
      <w:r>
        <w:t>Linagliptin</w:t>
      </w:r>
      <w:proofErr w:type="spellEnd"/>
      <w:r>
        <w:t xml:space="preserve"> Olpha</w:t>
      </w:r>
      <w:r w:rsidRPr="00D867CD">
        <w:t xml:space="preserve"> vartojimą reikia nutraukti.</w:t>
      </w:r>
    </w:p>
    <w:p w14:paraId="4C507FDD" w14:textId="77777777" w:rsidR="00A01BAC" w:rsidRPr="00D867CD" w:rsidRDefault="00A01BAC" w:rsidP="00D867CD">
      <w:pPr>
        <w:pStyle w:val="Pagrindinistekstas"/>
      </w:pPr>
    </w:p>
    <w:p w14:paraId="4C507FDE" w14:textId="77777777" w:rsidR="00A01BAC" w:rsidRDefault="00341B61" w:rsidP="00023BE0">
      <w:pPr>
        <w:pStyle w:val="Antrat2"/>
        <w:numPr>
          <w:ilvl w:val="1"/>
          <w:numId w:val="13"/>
        </w:numPr>
        <w:tabs>
          <w:tab w:val="left" w:pos="567"/>
        </w:tabs>
        <w:ind w:left="567"/>
      </w:pPr>
      <w:r w:rsidRPr="00D867CD">
        <w:t>Sąveika su kitais vaistiniais preparatais ir kitokia sąveika</w:t>
      </w:r>
    </w:p>
    <w:p w14:paraId="30C75A2D" w14:textId="77777777" w:rsidR="00023BE0" w:rsidRPr="00D867CD" w:rsidRDefault="00023BE0" w:rsidP="00023BE0">
      <w:pPr>
        <w:pStyle w:val="Antrat2"/>
        <w:tabs>
          <w:tab w:val="left" w:pos="710"/>
        </w:tabs>
        <w:ind w:left="0"/>
      </w:pPr>
    </w:p>
    <w:p w14:paraId="4C507FDF" w14:textId="2284BC96" w:rsidR="00A01BAC" w:rsidRPr="004A400F" w:rsidRDefault="00C7015C" w:rsidP="00D867CD">
      <w:pPr>
        <w:rPr>
          <w:i/>
          <w:color w:val="000000" w:themeColor="text1"/>
        </w:rPr>
      </w:pPr>
      <w:proofErr w:type="spellStart"/>
      <w:r w:rsidRPr="004A400F">
        <w:rPr>
          <w:i/>
          <w:color w:val="000000" w:themeColor="text1"/>
          <w:u w:val="single"/>
        </w:rPr>
        <w:t>In</w:t>
      </w:r>
      <w:proofErr w:type="spellEnd"/>
      <w:r w:rsidRPr="004A400F">
        <w:rPr>
          <w:i/>
          <w:color w:val="000000" w:themeColor="text1"/>
          <w:u w:val="single"/>
        </w:rPr>
        <w:t xml:space="preserve"> </w:t>
      </w:r>
      <w:proofErr w:type="spellStart"/>
      <w:r w:rsidRPr="004A400F">
        <w:rPr>
          <w:i/>
          <w:color w:val="000000" w:themeColor="text1"/>
          <w:u w:val="single"/>
        </w:rPr>
        <w:t>vitro</w:t>
      </w:r>
      <w:proofErr w:type="spellEnd"/>
      <w:r w:rsidRPr="004A400F">
        <w:rPr>
          <w:i/>
          <w:color w:val="000000" w:themeColor="text1"/>
          <w:u w:val="single"/>
        </w:rPr>
        <w:t xml:space="preserve"> </w:t>
      </w:r>
      <w:r w:rsidRPr="004A400F">
        <w:rPr>
          <w:color w:val="000000" w:themeColor="text1"/>
          <w:u w:val="single"/>
        </w:rPr>
        <w:t>sąveikos vertinimas</w:t>
      </w:r>
    </w:p>
    <w:p w14:paraId="4C507FE0" w14:textId="7141D531" w:rsidR="00A01BAC" w:rsidRPr="00D867CD" w:rsidRDefault="00341B61" w:rsidP="00D867CD">
      <w:pPr>
        <w:pStyle w:val="Pagrindinistekstas"/>
      </w:pPr>
      <w:proofErr w:type="spellStart"/>
      <w:r w:rsidRPr="00D867CD">
        <w:t>Linagliptinas</w:t>
      </w:r>
      <w:proofErr w:type="spellEnd"/>
      <w:r w:rsidRPr="00D867CD">
        <w:t xml:space="preserve"> silpnai konkurenciniu būdu ir </w:t>
      </w:r>
      <w:r w:rsidR="00154E18">
        <w:t xml:space="preserve">nuo </w:t>
      </w:r>
      <w:r w:rsidRPr="00D867CD">
        <w:t>silpn</w:t>
      </w:r>
      <w:r w:rsidR="00154E18">
        <w:t>o</w:t>
      </w:r>
      <w:r w:rsidRPr="00D867CD">
        <w:t xml:space="preserve"> </w:t>
      </w:r>
      <w:r w:rsidR="00154E18">
        <w:t xml:space="preserve">iki </w:t>
      </w:r>
      <w:r w:rsidRPr="00D867CD">
        <w:t>vidutini</w:t>
      </w:r>
      <w:r w:rsidR="00154E18">
        <w:t>o</w:t>
      </w:r>
      <w:r w:rsidRPr="00D867CD">
        <w:t xml:space="preserve"> </w:t>
      </w:r>
      <w:r w:rsidR="002377B1">
        <w:t xml:space="preserve">stiprumo </w:t>
      </w:r>
      <w:r w:rsidRPr="00D867CD">
        <w:t>mechanizm</w:t>
      </w:r>
      <w:r w:rsidR="00B33C7A">
        <w:t>u</w:t>
      </w:r>
      <w:r w:rsidRPr="00D867CD">
        <w:t xml:space="preserve"> </w:t>
      </w:r>
      <w:r w:rsidR="00776499">
        <w:t xml:space="preserve">pagrįstas </w:t>
      </w:r>
      <w:r w:rsidRPr="00D867CD">
        <w:t xml:space="preserve">CYP </w:t>
      </w:r>
      <w:proofErr w:type="spellStart"/>
      <w:r w:rsidRPr="00D867CD">
        <w:t>izoferment</w:t>
      </w:r>
      <w:r w:rsidR="00776499">
        <w:t>o</w:t>
      </w:r>
      <w:proofErr w:type="spellEnd"/>
      <w:r w:rsidRPr="00D867CD">
        <w:t xml:space="preserve"> CYP3A4</w:t>
      </w:r>
      <w:r w:rsidR="00776499">
        <w:t xml:space="preserve"> inhibitorius</w:t>
      </w:r>
      <w:r w:rsidRPr="00D867CD">
        <w:t xml:space="preserve">, tačiau kitų CYP </w:t>
      </w:r>
      <w:proofErr w:type="spellStart"/>
      <w:r w:rsidRPr="00D867CD">
        <w:t>izofermentų</w:t>
      </w:r>
      <w:proofErr w:type="spellEnd"/>
      <w:r w:rsidRPr="00D867CD">
        <w:t xml:space="preserve"> neslopina. CYP </w:t>
      </w:r>
      <w:proofErr w:type="spellStart"/>
      <w:r w:rsidRPr="00D867CD">
        <w:t>izofermentų</w:t>
      </w:r>
      <w:proofErr w:type="spellEnd"/>
      <w:r w:rsidRPr="00D867CD">
        <w:t xml:space="preserve"> </w:t>
      </w:r>
      <w:proofErr w:type="spellStart"/>
      <w:r w:rsidRPr="00D867CD">
        <w:t>linagliptinas</w:t>
      </w:r>
      <w:proofErr w:type="spellEnd"/>
      <w:r w:rsidRPr="00D867CD">
        <w:t xml:space="preserve"> neindukuoja.</w:t>
      </w:r>
    </w:p>
    <w:p w14:paraId="4C507FE1" w14:textId="024350C6" w:rsidR="00A01BAC" w:rsidRPr="00D867CD" w:rsidRDefault="00341B61" w:rsidP="00D867CD">
      <w:pPr>
        <w:pStyle w:val="Pagrindinistekstas"/>
      </w:pPr>
      <w:proofErr w:type="spellStart"/>
      <w:r w:rsidRPr="00D867CD">
        <w:t>Linagliptinas</w:t>
      </w:r>
      <w:proofErr w:type="spellEnd"/>
      <w:r w:rsidRPr="00D867CD">
        <w:t xml:space="preserve"> yra P</w:t>
      </w:r>
      <w:r w:rsidR="002919D9">
        <w:noBreakHyphen/>
      </w:r>
      <w:proofErr w:type="spellStart"/>
      <w:r w:rsidRPr="00D867CD">
        <w:t>glikoproteino</w:t>
      </w:r>
      <w:proofErr w:type="spellEnd"/>
      <w:r w:rsidRPr="00D867CD">
        <w:t xml:space="preserve"> substratas ir </w:t>
      </w:r>
      <w:r w:rsidR="00294FC2" w:rsidRPr="00294FC2">
        <w:t xml:space="preserve">silpnai slopina </w:t>
      </w:r>
      <w:proofErr w:type="spellStart"/>
      <w:r w:rsidR="00294FC2" w:rsidRPr="00294FC2">
        <w:t>digoksino</w:t>
      </w:r>
      <w:proofErr w:type="spellEnd"/>
      <w:r w:rsidR="00294FC2" w:rsidRPr="00294FC2">
        <w:t xml:space="preserve"> pernašą</w:t>
      </w:r>
      <w:r w:rsidR="00A10B50">
        <w:t xml:space="preserve">, vykstančią tarpininkaujant </w:t>
      </w:r>
      <w:r w:rsidR="00A10B50" w:rsidRPr="00294FC2">
        <w:t>P</w:t>
      </w:r>
      <w:r w:rsidR="00A10B50">
        <w:noBreakHyphen/>
      </w:r>
      <w:proofErr w:type="spellStart"/>
      <w:r w:rsidR="00A10B50" w:rsidRPr="00294FC2">
        <w:t>glikoprotein</w:t>
      </w:r>
      <w:r w:rsidR="00A10B50">
        <w:t>ui</w:t>
      </w:r>
      <w:proofErr w:type="spellEnd"/>
      <w:r w:rsidRPr="00D867CD">
        <w:t xml:space="preserve">. Remiantis šiais rezultatais bei sąveikos tyrimais </w:t>
      </w:r>
      <w:proofErr w:type="spellStart"/>
      <w:r w:rsidRPr="00D867CD">
        <w:rPr>
          <w:i/>
        </w:rPr>
        <w:t>in</w:t>
      </w:r>
      <w:proofErr w:type="spellEnd"/>
      <w:r w:rsidRPr="00D867CD">
        <w:rPr>
          <w:i/>
        </w:rPr>
        <w:t xml:space="preserve"> </w:t>
      </w:r>
      <w:proofErr w:type="spellStart"/>
      <w:r w:rsidRPr="00D867CD">
        <w:rPr>
          <w:i/>
        </w:rPr>
        <w:t>vivo</w:t>
      </w:r>
      <w:proofErr w:type="spellEnd"/>
      <w:r w:rsidRPr="00D867CD">
        <w:t xml:space="preserve">, manoma, kad </w:t>
      </w:r>
      <w:proofErr w:type="spellStart"/>
      <w:r w:rsidRPr="00D867CD">
        <w:t>linagliptino</w:t>
      </w:r>
      <w:proofErr w:type="spellEnd"/>
      <w:r w:rsidRPr="00D867CD">
        <w:t xml:space="preserve"> ir kitų P</w:t>
      </w:r>
      <w:r w:rsidR="00A2367A">
        <w:noBreakHyphen/>
      </w:r>
      <w:proofErr w:type="spellStart"/>
      <w:r w:rsidRPr="00D867CD">
        <w:t>gp</w:t>
      </w:r>
      <w:proofErr w:type="spellEnd"/>
      <w:r w:rsidRPr="00D867CD">
        <w:t xml:space="preserve"> substratų sąveikos pasireikšti neturėtų.</w:t>
      </w:r>
    </w:p>
    <w:p w14:paraId="4C507FE2" w14:textId="77777777" w:rsidR="00A01BAC" w:rsidRPr="00D867CD" w:rsidRDefault="00A01BAC" w:rsidP="00D867CD">
      <w:pPr>
        <w:pStyle w:val="Pagrindinistekstas"/>
      </w:pPr>
    </w:p>
    <w:p w14:paraId="4C507FE3" w14:textId="59439CCF" w:rsidR="00A01BAC" w:rsidRPr="00D867CD" w:rsidRDefault="000219B1" w:rsidP="00D867CD">
      <w:pPr>
        <w:rPr>
          <w:i/>
        </w:rPr>
      </w:pPr>
      <w:proofErr w:type="spellStart"/>
      <w:r>
        <w:rPr>
          <w:i/>
          <w:u w:val="single"/>
        </w:rPr>
        <w:t>I</w:t>
      </w:r>
      <w:r w:rsidR="00C7015C">
        <w:rPr>
          <w:i/>
          <w:u w:val="single"/>
        </w:rPr>
        <w:t>n</w:t>
      </w:r>
      <w:proofErr w:type="spellEnd"/>
      <w:r w:rsidR="00C7015C">
        <w:rPr>
          <w:i/>
          <w:u w:val="single"/>
        </w:rPr>
        <w:t xml:space="preserve"> </w:t>
      </w:r>
      <w:proofErr w:type="spellStart"/>
      <w:r w:rsidR="00C7015C" w:rsidRPr="004A400F">
        <w:rPr>
          <w:iCs/>
          <w:u w:val="single"/>
        </w:rPr>
        <w:t>vivo</w:t>
      </w:r>
      <w:proofErr w:type="spellEnd"/>
      <w:r w:rsidR="00C7015C" w:rsidRPr="004A400F">
        <w:rPr>
          <w:iCs/>
          <w:u w:val="single"/>
        </w:rPr>
        <w:t xml:space="preserve"> sąveikos vertinimas</w:t>
      </w:r>
    </w:p>
    <w:p w14:paraId="4C507FE4" w14:textId="77777777" w:rsidR="00A01BAC" w:rsidRPr="00D867CD" w:rsidRDefault="00341B61" w:rsidP="00D867CD">
      <w:pPr>
        <w:rPr>
          <w:i/>
        </w:rPr>
      </w:pPr>
      <w:r w:rsidRPr="00D867CD">
        <w:rPr>
          <w:i/>
          <w:u w:val="single"/>
        </w:rPr>
        <w:t xml:space="preserve">Kitų vaistinių preparatų poveikis </w:t>
      </w:r>
      <w:proofErr w:type="spellStart"/>
      <w:r w:rsidRPr="00D867CD">
        <w:rPr>
          <w:i/>
          <w:u w:val="single"/>
        </w:rPr>
        <w:t>linagliptinui</w:t>
      </w:r>
      <w:proofErr w:type="spellEnd"/>
    </w:p>
    <w:p w14:paraId="4C507FE5" w14:textId="11E394A2" w:rsidR="00A01BAC" w:rsidRPr="00D867CD" w:rsidRDefault="00341B61" w:rsidP="00D867CD">
      <w:pPr>
        <w:pStyle w:val="Pagrindinistekstas"/>
      </w:pPr>
      <w:r w:rsidRPr="00D867CD">
        <w:t>Toliau pateikti klinikiniai duomenys rodo, kad kliniškai reikšmingos kartu varto</w:t>
      </w:r>
      <w:r w:rsidR="00573F11">
        <w:t>jamų</w:t>
      </w:r>
      <w:r w:rsidRPr="00D867CD">
        <w:t xml:space="preserve"> vaistini</w:t>
      </w:r>
      <w:r w:rsidR="00573F11">
        <w:t>ų</w:t>
      </w:r>
      <w:r w:rsidRPr="00D867CD">
        <w:t xml:space="preserve"> </w:t>
      </w:r>
      <w:r w:rsidRPr="00D867CD">
        <w:lastRenderedPageBreak/>
        <w:t>preparat</w:t>
      </w:r>
      <w:r w:rsidR="00573F11">
        <w:t>ų</w:t>
      </w:r>
      <w:r w:rsidRPr="00D867CD">
        <w:t xml:space="preserve"> </w:t>
      </w:r>
      <w:r w:rsidR="00B74D06">
        <w:t xml:space="preserve">sąveikos </w:t>
      </w:r>
      <w:r w:rsidRPr="00D867CD">
        <w:t>rizika yra maža.</w:t>
      </w:r>
    </w:p>
    <w:p w14:paraId="127C87B0" w14:textId="77777777" w:rsidR="00A01BAC" w:rsidRDefault="00A01BAC" w:rsidP="00D867CD">
      <w:pPr>
        <w:pStyle w:val="Pagrindinistekstas"/>
      </w:pPr>
    </w:p>
    <w:p w14:paraId="4C507FE7" w14:textId="55E4AD40" w:rsidR="00A01BAC" w:rsidRPr="00D867CD" w:rsidRDefault="00341B61" w:rsidP="00D867CD">
      <w:pPr>
        <w:pStyle w:val="Pagrindinistekstas"/>
      </w:pPr>
      <w:proofErr w:type="spellStart"/>
      <w:r w:rsidRPr="00D867CD">
        <w:rPr>
          <w:i/>
        </w:rPr>
        <w:t>Rifampicinas</w:t>
      </w:r>
      <w:proofErr w:type="spellEnd"/>
      <w:r w:rsidRPr="00D867CD">
        <w:t>:</w:t>
      </w:r>
      <w:r w:rsidR="00B91D99">
        <w:t xml:space="preserve"> kartotinai kartu vartojant 5 mg </w:t>
      </w:r>
      <w:proofErr w:type="spellStart"/>
      <w:r w:rsidR="00B91D99">
        <w:t>linagliptino</w:t>
      </w:r>
      <w:proofErr w:type="spellEnd"/>
      <w:r w:rsidR="00B91D99">
        <w:t xml:space="preserve"> ir </w:t>
      </w:r>
      <w:proofErr w:type="spellStart"/>
      <w:r w:rsidR="00B91D99">
        <w:t>rifampiciną</w:t>
      </w:r>
      <w:proofErr w:type="spellEnd"/>
      <w:r w:rsidR="00B91D99">
        <w:t xml:space="preserve"> (stiprų P-</w:t>
      </w:r>
      <w:proofErr w:type="spellStart"/>
      <w:r w:rsidR="00B91D99">
        <w:t>glikoproteino</w:t>
      </w:r>
      <w:proofErr w:type="spellEnd"/>
      <w:r w:rsidR="00B91D99">
        <w:t xml:space="preserve"> ir CYP3A4 </w:t>
      </w:r>
      <w:proofErr w:type="spellStart"/>
      <w:r w:rsidR="00B91D99">
        <w:t>induktorių</w:t>
      </w:r>
      <w:proofErr w:type="spellEnd"/>
      <w:r w:rsidR="00B91D99">
        <w:t xml:space="preserve">), </w:t>
      </w:r>
      <w:proofErr w:type="spellStart"/>
      <w:r w:rsidR="00B91D99">
        <w:t>linagliptino</w:t>
      </w:r>
      <w:proofErr w:type="spellEnd"/>
      <w:r w:rsidR="00B91D99">
        <w:t xml:space="preserve"> </w:t>
      </w:r>
      <w:proofErr w:type="spellStart"/>
      <w:r w:rsidR="00B91D99">
        <w:t>pusiausvyrinės</w:t>
      </w:r>
      <w:proofErr w:type="spellEnd"/>
      <w:r w:rsidR="00B91D99">
        <w:t xml:space="preserve"> apykaitos AUC ir </w:t>
      </w:r>
      <w:proofErr w:type="spellStart"/>
      <w:r w:rsidR="00B91D99">
        <w:t>C</w:t>
      </w:r>
      <w:r w:rsidR="00B91D99" w:rsidRPr="004A400F">
        <w:rPr>
          <w:vertAlign w:val="subscript"/>
        </w:rPr>
        <w:t>max</w:t>
      </w:r>
      <w:proofErr w:type="spellEnd"/>
      <w:r w:rsidR="00B91D99">
        <w:t xml:space="preserve"> sumažėjo atitinkamai 39,6 % ir 43,8 %, o DPP-4 slopinimas prieš kitos dozės vartojimą (angl. </w:t>
      </w:r>
      <w:r w:rsidR="00B91D99">
        <w:rPr>
          <w:i/>
          <w:iCs/>
        </w:rPr>
        <w:t xml:space="preserve">at </w:t>
      </w:r>
      <w:proofErr w:type="spellStart"/>
      <w:r w:rsidR="00B91D99">
        <w:rPr>
          <w:i/>
          <w:iCs/>
        </w:rPr>
        <w:t>trough</w:t>
      </w:r>
      <w:proofErr w:type="spellEnd"/>
      <w:r w:rsidR="00B91D99">
        <w:t xml:space="preserve">) sumažėjo maždaug 30 %. Todėl, </w:t>
      </w:r>
      <w:proofErr w:type="spellStart"/>
      <w:r w:rsidR="00B91D99">
        <w:t>linagliptiną</w:t>
      </w:r>
      <w:proofErr w:type="spellEnd"/>
      <w:r w:rsidR="00B91D99">
        <w:t xml:space="preserve"> vartojant kartu su stipriais P-</w:t>
      </w:r>
      <w:proofErr w:type="spellStart"/>
      <w:r w:rsidR="00B91D99">
        <w:t>gp</w:t>
      </w:r>
      <w:proofErr w:type="spellEnd"/>
      <w:r w:rsidR="00B91D99">
        <w:t xml:space="preserve"> </w:t>
      </w:r>
      <w:proofErr w:type="spellStart"/>
      <w:r w:rsidR="00B91D99">
        <w:t>induktoriais</w:t>
      </w:r>
      <w:proofErr w:type="spellEnd"/>
      <w:r w:rsidR="00B91D99">
        <w:t>, gali būti nepasiektas visiškas jo veiksmingumas</w:t>
      </w:r>
      <w:r w:rsidRPr="00D867CD">
        <w:t xml:space="preserve">, ypač ilgalaikio vartojimo metu. </w:t>
      </w:r>
      <w:r w:rsidR="008319B0">
        <w:t xml:space="preserve">Vartojimas kartu </w:t>
      </w:r>
      <w:r w:rsidRPr="00D867CD">
        <w:t>su kitais stipriai veikiančiais P</w:t>
      </w:r>
      <w:r w:rsidR="005947A8">
        <w:noBreakHyphen/>
      </w:r>
      <w:proofErr w:type="spellStart"/>
      <w:r w:rsidRPr="00D867CD">
        <w:t>glikoproteino</w:t>
      </w:r>
      <w:proofErr w:type="spellEnd"/>
      <w:r w:rsidRPr="00D867CD">
        <w:t xml:space="preserve"> ir CYP3A4 </w:t>
      </w:r>
      <w:proofErr w:type="spellStart"/>
      <w:r w:rsidRPr="00D867CD">
        <w:t>induktoriais</w:t>
      </w:r>
      <w:proofErr w:type="spellEnd"/>
      <w:r w:rsidRPr="00D867CD">
        <w:t xml:space="preserve">, tokiais kaip </w:t>
      </w:r>
      <w:proofErr w:type="spellStart"/>
      <w:r w:rsidRPr="00D867CD">
        <w:t>karbamazepinas</w:t>
      </w:r>
      <w:proofErr w:type="spellEnd"/>
      <w:r w:rsidRPr="00D867CD">
        <w:t xml:space="preserve">, </w:t>
      </w:r>
      <w:proofErr w:type="spellStart"/>
      <w:r w:rsidRPr="00D867CD">
        <w:t>fenobarbitalis</w:t>
      </w:r>
      <w:proofErr w:type="spellEnd"/>
      <w:r w:rsidRPr="00D867CD">
        <w:t xml:space="preserve"> ar </w:t>
      </w:r>
      <w:proofErr w:type="spellStart"/>
      <w:r w:rsidRPr="00D867CD">
        <w:t>fenitoinas</w:t>
      </w:r>
      <w:proofErr w:type="spellEnd"/>
      <w:r w:rsidRPr="00D867CD">
        <w:t>, nebuvo tirtas.</w:t>
      </w:r>
    </w:p>
    <w:p w14:paraId="4C507FE8" w14:textId="77777777" w:rsidR="00A01BAC" w:rsidRPr="00D867CD" w:rsidRDefault="00A01BAC" w:rsidP="00D867CD">
      <w:pPr>
        <w:pStyle w:val="Pagrindinistekstas"/>
      </w:pPr>
    </w:p>
    <w:p w14:paraId="4C507FE9" w14:textId="3C563559" w:rsidR="00A01BAC" w:rsidRDefault="00341B61" w:rsidP="00D867CD">
      <w:pPr>
        <w:pStyle w:val="Pagrindinistekstas"/>
      </w:pPr>
      <w:r w:rsidRPr="00D867CD">
        <w:rPr>
          <w:i/>
        </w:rPr>
        <w:t>Ritonaviras</w:t>
      </w:r>
      <w:r w:rsidRPr="00D867CD">
        <w:t>:</w:t>
      </w:r>
      <w:r w:rsidR="00770F65">
        <w:t xml:space="preserve"> kartu vartojant vienkartinę 5 mg </w:t>
      </w:r>
      <w:proofErr w:type="spellStart"/>
      <w:r w:rsidR="00770F65">
        <w:t>linagliptino</w:t>
      </w:r>
      <w:proofErr w:type="spellEnd"/>
      <w:r w:rsidR="00770F65">
        <w:t xml:space="preserve"> geriamąją dozę ir kartotines 200 mg ritonaviro (stipraus P-</w:t>
      </w:r>
      <w:proofErr w:type="spellStart"/>
      <w:r w:rsidR="00770F65">
        <w:t>glikoproteino</w:t>
      </w:r>
      <w:proofErr w:type="spellEnd"/>
      <w:r w:rsidR="00770F65">
        <w:t xml:space="preserve"> ir CYP3A4 inhibitoriaus) geriamąsias dozes, </w:t>
      </w:r>
      <w:proofErr w:type="spellStart"/>
      <w:r w:rsidR="00770F65">
        <w:t>linagliptino</w:t>
      </w:r>
      <w:proofErr w:type="spellEnd"/>
      <w:r w:rsidR="00770F65">
        <w:t xml:space="preserve"> AUC ir </w:t>
      </w:r>
      <w:proofErr w:type="spellStart"/>
      <w:r w:rsidR="00770F65">
        <w:t>C</w:t>
      </w:r>
      <w:r w:rsidR="00770F65" w:rsidRPr="004A400F">
        <w:rPr>
          <w:vertAlign w:val="subscript"/>
        </w:rPr>
        <w:t>max</w:t>
      </w:r>
      <w:proofErr w:type="spellEnd"/>
      <w:r w:rsidR="00770F65">
        <w:t xml:space="preserve"> padidėjo atitinkamai maždaug du ir tris kartus. Neprisijungusio vaistinio preparato koncentracija, kuri vartojant terapinę </w:t>
      </w:r>
      <w:proofErr w:type="spellStart"/>
      <w:r w:rsidR="00770F65">
        <w:t>linagliptino</w:t>
      </w:r>
      <w:proofErr w:type="spellEnd"/>
      <w:r w:rsidR="00770F65">
        <w:t xml:space="preserve"> dozę paprastai būna mažesnė nei 1 %, po vartojimo kartu su ritonaviru padidėjo 4–5 kartus</w:t>
      </w:r>
      <w:r w:rsidRPr="00520248">
        <w:t xml:space="preserve">. </w:t>
      </w:r>
      <w:proofErr w:type="spellStart"/>
      <w:r w:rsidRPr="00520248">
        <w:t>Linagliptino</w:t>
      </w:r>
      <w:proofErr w:type="spellEnd"/>
      <w:r w:rsidR="0009755E">
        <w:t xml:space="preserve"> </w:t>
      </w:r>
      <w:proofErr w:type="spellStart"/>
      <w:r w:rsidR="0009755E">
        <w:t>pusiausvyrinės</w:t>
      </w:r>
      <w:proofErr w:type="spellEnd"/>
      <w:r w:rsidR="0009755E">
        <w:t xml:space="preserve"> apykaitos koncentracijų plazmoje modeliavimas</w:t>
      </w:r>
      <w:r w:rsidRPr="00520248">
        <w:t>, kai kartu vartojama arba nevartojama</w:t>
      </w:r>
      <w:r w:rsidRPr="00D867CD">
        <w:t xml:space="preserve"> ritonaviro, rodo, kad ekspozicijos padidėjimas nėra susijęs su kaupimosi padidėjimu. Šie </w:t>
      </w:r>
      <w:proofErr w:type="spellStart"/>
      <w:r w:rsidRPr="00D867CD">
        <w:t>linagliptino</w:t>
      </w:r>
      <w:proofErr w:type="spellEnd"/>
      <w:r w:rsidRPr="00D867CD">
        <w:t xml:space="preserve"> farmakokinetikos pokyčiai kliniškai reikšmingais nelaikomi. Taigi kliniškai reikšmingos sąveikos su kitais P</w:t>
      </w:r>
      <w:r w:rsidR="00171098">
        <w:noBreakHyphen/>
      </w:r>
      <w:proofErr w:type="spellStart"/>
      <w:r w:rsidRPr="00D867CD">
        <w:t>glikoproteino</w:t>
      </w:r>
      <w:proofErr w:type="spellEnd"/>
      <w:r w:rsidRPr="00D867CD">
        <w:t xml:space="preserve"> ar CYP3A4 inhibitoriais pasireikšti neturėtų.</w:t>
      </w:r>
    </w:p>
    <w:p w14:paraId="22DD644B" w14:textId="77777777" w:rsidR="00023BE0" w:rsidRPr="00D867CD" w:rsidRDefault="00023BE0" w:rsidP="00D867CD">
      <w:pPr>
        <w:pStyle w:val="Pagrindinistekstas"/>
      </w:pPr>
    </w:p>
    <w:p w14:paraId="4C507FEA" w14:textId="3D40155F" w:rsidR="00A01BAC" w:rsidRDefault="00341B61" w:rsidP="00D867CD">
      <w:pPr>
        <w:pStyle w:val="Pagrindinistekstas"/>
      </w:pPr>
      <w:r w:rsidRPr="00D867CD">
        <w:rPr>
          <w:i/>
        </w:rPr>
        <w:t>Metforminas</w:t>
      </w:r>
      <w:r w:rsidRPr="00D867CD">
        <w:t>:</w:t>
      </w:r>
      <w:r w:rsidR="0060558C">
        <w:t xml:space="preserve"> kartotinai vartojant 850 mg </w:t>
      </w:r>
      <w:proofErr w:type="spellStart"/>
      <w:r w:rsidR="0060558C">
        <w:t>metformino</w:t>
      </w:r>
      <w:proofErr w:type="spellEnd"/>
      <w:r w:rsidR="0060558C">
        <w:t xml:space="preserve"> dozes tris kartus per parą kartu su 10 mg </w:t>
      </w:r>
      <w:proofErr w:type="spellStart"/>
      <w:r w:rsidR="0060558C">
        <w:t>linagliptino</w:t>
      </w:r>
      <w:proofErr w:type="spellEnd"/>
      <w:r w:rsidR="0060558C">
        <w:t xml:space="preserve"> doze vieną kartą per parą, </w:t>
      </w:r>
      <w:proofErr w:type="spellStart"/>
      <w:r w:rsidR="0060558C">
        <w:t>linagliptino</w:t>
      </w:r>
      <w:proofErr w:type="spellEnd"/>
      <w:r w:rsidR="0060558C">
        <w:t xml:space="preserve"> farmakokinetika sveikiems savanoriams kliniškai reikšmingai nepakito</w:t>
      </w:r>
      <w:r w:rsidRPr="00D867CD">
        <w:t>.</w:t>
      </w:r>
    </w:p>
    <w:p w14:paraId="6FA958CC" w14:textId="77777777" w:rsidR="00023BE0" w:rsidRPr="00D867CD" w:rsidRDefault="00023BE0" w:rsidP="00D867CD">
      <w:pPr>
        <w:pStyle w:val="Pagrindinistekstas"/>
      </w:pPr>
    </w:p>
    <w:p w14:paraId="4C507FEB" w14:textId="2613C7D0" w:rsidR="00A01BAC" w:rsidRDefault="00341B61" w:rsidP="00D867CD">
      <w:pPr>
        <w:pStyle w:val="Pagrindinistekstas"/>
      </w:pPr>
      <w:proofErr w:type="spellStart"/>
      <w:r w:rsidRPr="00D867CD">
        <w:rPr>
          <w:i/>
        </w:rPr>
        <w:t>Sulfonilurėjos</w:t>
      </w:r>
      <w:proofErr w:type="spellEnd"/>
      <w:r w:rsidRPr="00D867CD">
        <w:rPr>
          <w:i/>
        </w:rPr>
        <w:t xml:space="preserve"> dariniai</w:t>
      </w:r>
      <w:r w:rsidRPr="00D867CD">
        <w:t>: 5</w:t>
      </w:r>
      <w:r>
        <w:t> mg</w:t>
      </w:r>
      <w:r w:rsidRPr="00D867CD">
        <w:t xml:space="preserve"> </w:t>
      </w:r>
      <w:proofErr w:type="spellStart"/>
      <w:r w:rsidRPr="00D867CD">
        <w:t>linagliptino</w:t>
      </w:r>
      <w:proofErr w:type="spellEnd"/>
      <w:r w:rsidRPr="00D867CD">
        <w:t xml:space="preserve"> pusiausvyros apykaitos farmakokinetik</w:t>
      </w:r>
      <w:r w:rsidR="00EE60C1">
        <w:t xml:space="preserve">a nepakito </w:t>
      </w:r>
      <w:r w:rsidRPr="00D867CD">
        <w:t>kartu pavart</w:t>
      </w:r>
      <w:r w:rsidR="00EE60C1">
        <w:t>ojus</w:t>
      </w:r>
      <w:r w:rsidRPr="00D867CD">
        <w:t xml:space="preserve"> vien</w:t>
      </w:r>
      <w:r w:rsidR="00EE60C1">
        <w:t>ą</w:t>
      </w:r>
      <w:r w:rsidRPr="00D867CD">
        <w:t xml:space="preserve"> 1,75</w:t>
      </w:r>
      <w:r>
        <w:t> mg</w:t>
      </w:r>
      <w:r w:rsidRPr="00D867CD">
        <w:t xml:space="preserve"> </w:t>
      </w:r>
      <w:proofErr w:type="spellStart"/>
      <w:r w:rsidRPr="00D867CD">
        <w:t>glibenklamido</w:t>
      </w:r>
      <w:proofErr w:type="spellEnd"/>
      <w:r w:rsidRPr="00D867CD">
        <w:t xml:space="preserve"> (</w:t>
      </w:r>
      <w:proofErr w:type="spellStart"/>
      <w:r w:rsidRPr="00D867CD">
        <w:t>gliburido</w:t>
      </w:r>
      <w:proofErr w:type="spellEnd"/>
      <w:r w:rsidRPr="00D867CD">
        <w:t>) doz</w:t>
      </w:r>
      <w:r w:rsidR="00EE60C1">
        <w:t>ę</w:t>
      </w:r>
      <w:r w:rsidRPr="00D867CD">
        <w:t>.</w:t>
      </w:r>
    </w:p>
    <w:p w14:paraId="4B2DD4BE" w14:textId="77777777" w:rsidR="00023BE0" w:rsidRPr="00D867CD" w:rsidRDefault="00023BE0" w:rsidP="00D867CD">
      <w:pPr>
        <w:pStyle w:val="Pagrindinistekstas"/>
      </w:pPr>
    </w:p>
    <w:p w14:paraId="4C507FEC" w14:textId="77777777" w:rsidR="00A01BAC" w:rsidRPr="00D867CD" w:rsidRDefault="00341B61" w:rsidP="00D867CD">
      <w:pPr>
        <w:rPr>
          <w:i/>
        </w:rPr>
      </w:pPr>
      <w:proofErr w:type="spellStart"/>
      <w:r w:rsidRPr="00D867CD">
        <w:rPr>
          <w:i/>
          <w:u w:val="single"/>
        </w:rPr>
        <w:t>Linagliptino</w:t>
      </w:r>
      <w:proofErr w:type="spellEnd"/>
      <w:r w:rsidRPr="00D867CD">
        <w:rPr>
          <w:i/>
          <w:u w:val="single"/>
        </w:rPr>
        <w:t xml:space="preserve"> poveikis kitiems vaistiniams preparatams</w:t>
      </w:r>
    </w:p>
    <w:p w14:paraId="4C507FED" w14:textId="619D1172" w:rsidR="00A01BAC" w:rsidRPr="00D867CD" w:rsidRDefault="00341B61" w:rsidP="00D867CD">
      <w:pPr>
        <w:pStyle w:val="Pagrindinistekstas"/>
      </w:pPr>
      <w:r w:rsidRPr="00D867CD">
        <w:t>Kaip aprašyta toliau klinikinių tyrimų metu</w:t>
      </w:r>
      <w:r w:rsidR="00FA6CAC">
        <w:t>,</w:t>
      </w:r>
      <w:r w:rsidRPr="00D867CD">
        <w:t xml:space="preserve"> kliniškai reikšmingo poveikio </w:t>
      </w:r>
      <w:proofErr w:type="spellStart"/>
      <w:r w:rsidRPr="00D867CD">
        <w:t>metformino</w:t>
      </w:r>
      <w:proofErr w:type="spellEnd"/>
      <w:r w:rsidRPr="00D867CD">
        <w:t xml:space="preserve">, </w:t>
      </w:r>
      <w:proofErr w:type="spellStart"/>
      <w:r w:rsidRPr="00D867CD">
        <w:t>gliburido</w:t>
      </w:r>
      <w:proofErr w:type="spellEnd"/>
      <w:r w:rsidRPr="00D867CD">
        <w:t xml:space="preserve">, </w:t>
      </w:r>
      <w:proofErr w:type="spellStart"/>
      <w:r w:rsidRPr="00D867CD">
        <w:t>simvastatino</w:t>
      </w:r>
      <w:proofErr w:type="spellEnd"/>
      <w:r w:rsidRPr="00D867CD">
        <w:t xml:space="preserve">, varfarino, </w:t>
      </w:r>
      <w:proofErr w:type="spellStart"/>
      <w:r w:rsidRPr="00D867CD">
        <w:t>digoksino</w:t>
      </w:r>
      <w:proofErr w:type="spellEnd"/>
      <w:r w:rsidRPr="00D867CD">
        <w:t xml:space="preserve"> ar geriamųjų kontraceptikų farmakokinetikai </w:t>
      </w:r>
      <w:proofErr w:type="spellStart"/>
      <w:r w:rsidRPr="00D867CD">
        <w:t>linagliptinas</w:t>
      </w:r>
      <w:proofErr w:type="spellEnd"/>
      <w:r w:rsidRPr="00D867CD">
        <w:t xml:space="preserve"> nedarė. Tai rodo, kad </w:t>
      </w:r>
      <w:proofErr w:type="spellStart"/>
      <w:r w:rsidRPr="00D867CD">
        <w:rPr>
          <w:i/>
        </w:rPr>
        <w:t>in</w:t>
      </w:r>
      <w:proofErr w:type="spellEnd"/>
      <w:r w:rsidRPr="00D867CD">
        <w:rPr>
          <w:i/>
        </w:rPr>
        <w:t xml:space="preserve"> </w:t>
      </w:r>
      <w:proofErr w:type="spellStart"/>
      <w:r w:rsidRPr="00D867CD">
        <w:rPr>
          <w:i/>
        </w:rPr>
        <w:t>vivo</w:t>
      </w:r>
      <w:proofErr w:type="spellEnd"/>
      <w:r w:rsidRPr="00D867CD">
        <w:rPr>
          <w:i/>
        </w:rPr>
        <w:t xml:space="preserve"> </w:t>
      </w:r>
      <w:r w:rsidRPr="00D867CD">
        <w:t>jo polinkis į sąveiką su CYP3A4, CYP2C9, CYP2C8, P</w:t>
      </w:r>
      <w:r w:rsidR="00175F14">
        <w:noBreakHyphen/>
      </w:r>
      <w:proofErr w:type="spellStart"/>
      <w:r w:rsidRPr="00D867CD">
        <w:t>glikoproteino</w:t>
      </w:r>
      <w:proofErr w:type="spellEnd"/>
      <w:r w:rsidRPr="00D867CD">
        <w:t xml:space="preserve"> bei organinių katijonų nešiklių (OKN) substratais yra mažas.</w:t>
      </w:r>
    </w:p>
    <w:p w14:paraId="4C507FEE" w14:textId="77777777" w:rsidR="00A01BAC" w:rsidRPr="00D867CD" w:rsidRDefault="00A01BAC" w:rsidP="00D867CD">
      <w:pPr>
        <w:pStyle w:val="Pagrindinistekstas"/>
      </w:pPr>
    </w:p>
    <w:p w14:paraId="4C507FEF" w14:textId="030BDFAE" w:rsidR="00A01BAC" w:rsidRPr="00D867CD" w:rsidRDefault="00341B61" w:rsidP="00D867CD">
      <w:pPr>
        <w:pStyle w:val="Pagrindinistekstas"/>
      </w:pPr>
      <w:r w:rsidRPr="00D867CD">
        <w:rPr>
          <w:i/>
        </w:rPr>
        <w:t>Metforminas</w:t>
      </w:r>
      <w:r w:rsidRPr="00D867CD">
        <w:t>:</w:t>
      </w:r>
      <w:r w:rsidR="000A5244">
        <w:t xml:space="preserve"> kartotinai kartu vartojant 10 mg </w:t>
      </w:r>
      <w:proofErr w:type="spellStart"/>
      <w:r w:rsidR="000A5244">
        <w:t>linagliptino</w:t>
      </w:r>
      <w:proofErr w:type="spellEnd"/>
      <w:r w:rsidR="000A5244">
        <w:t xml:space="preserve"> ir 850 mg </w:t>
      </w:r>
      <w:proofErr w:type="spellStart"/>
      <w:r w:rsidR="000A5244">
        <w:t>metformino</w:t>
      </w:r>
      <w:proofErr w:type="spellEnd"/>
      <w:r w:rsidR="000A5244">
        <w:t xml:space="preserve"> (OCT substrato) paros dozes, reikšmingo poveikio </w:t>
      </w:r>
      <w:proofErr w:type="spellStart"/>
      <w:r w:rsidR="000A5244">
        <w:t>metformino</w:t>
      </w:r>
      <w:proofErr w:type="spellEnd"/>
      <w:r w:rsidR="000A5244">
        <w:t xml:space="preserve"> farmakokinetikai sveikiems savanoriams nebuvo</w:t>
      </w:r>
      <w:r w:rsidRPr="00D867CD">
        <w:t xml:space="preserve">. Taigi </w:t>
      </w:r>
      <w:proofErr w:type="spellStart"/>
      <w:r w:rsidRPr="00D867CD">
        <w:t>linagliptinas</w:t>
      </w:r>
      <w:proofErr w:type="spellEnd"/>
      <w:r w:rsidRPr="00D867CD">
        <w:t xml:space="preserve"> pernašos, vykstančios tarpininkaujant OKN, neslopina.</w:t>
      </w:r>
    </w:p>
    <w:p w14:paraId="4C507FF0" w14:textId="77777777" w:rsidR="00A01BAC" w:rsidRPr="00D867CD" w:rsidRDefault="00A01BAC" w:rsidP="00D867CD">
      <w:pPr>
        <w:pStyle w:val="Pagrindinistekstas"/>
      </w:pPr>
    </w:p>
    <w:p w14:paraId="4C507FF1" w14:textId="0A428C86" w:rsidR="00A01BAC" w:rsidRDefault="00341B61" w:rsidP="00D867CD">
      <w:pPr>
        <w:pStyle w:val="Pagrindinistekstas"/>
      </w:pPr>
      <w:proofErr w:type="spellStart"/>
      <w:r w:rsidRPr="00D263AA">
        <w:rPr>
          <w:i/>
        </w:rPr>
        <w:t>Sulfonilurėjos</w:t>
      </w:r>
      <w:proofErr w:type="spellEnd"/>
      <w:r w:rsidRPr="00D263AA">
        <w:rPr>
          <w:i/>
        </w:rPr>
        <w:t xml:space="preserve"> dariniai</w:t>
      </w:r>
      <w:r w:rsidRPr="00D263AA">
        <w:t>:</w:t>
      </w:r>
      <w:r w:rsidR="00AD699F">
        <w:t xml:space="preserve"> kartotinai kartu vartojant 5 mg </w:t>
      </w:r>
      <w:proofErr w:type="spellStart"/>
      <w:r w:rsidR="00AD699F">
        <w:t>linagliptino</w:t>
      </w:r>
      <w:proofErr w:type="spellEnd"/>
      <w:r w:rsidR="00AD699F">
        <w:t xml:space="preserve"> geriamąsias dozes ir vienkartinę 1,75 mg </w:t>
      </w:r>
      <w:proofErr w:type="spellStart"/>
      <w:r w:rsidR="00AD699F">
        <w:t>glibenklamido</w:t>
      </w:r>
      <w:proofErr w:type="spellEnd"/>
      <w:r w:rsidR="00AD699F">
        <w:t xml:space="preserve"> (</w:t>
      </w:r>
      <w:proofErr w:type="spellStart"/>
      <w:r w:rsidR="00AD699F">
        <w:t>gliburido</w:t>
      </w:r>
      <w:proofErr w:type="spellEnd"/>
      <w:r w:rsidR="00AD699F">
        <w:t xml:space="preserve">) geriamąją dozę, </w:t>
      </w:r>
      <w:proofErr w:type="spellStart"/>
      <w:r w:rsidR="00AD699F">
        <w:t>glibenklamido</w:t>
      </w:r>
      <w:proofErr w:type="spellEnd"/>
      <w:r w:rsidR="00AD699F">
        <w:t xml:space="preserve"> AUC ir </w:t>
      </w:r>
      <w:proofErr w:type="spellStart"/>
      <w:r w:rsidR="00AD699F">
        <w:t>C</w:t>
      </w:r>
      <w:r w:rsidR="00AD699F" w:rsidRPr="004A400F">
        <w:rPr>
          <w:vertAlign w:val="subscript"/>
        </w:rPr>
        <w:t>max</w:t>
      </w:r>
      <w:proofErr w:type="spellEnd"/>
      <w:r w:rsidR="00AD699F">
        <w:t xml:space="preserve"> kliniškai nereikšmingai sumažėjo 14 %. Kadangi </w:t>
      </w:r>
      <w:proofErr w:type="spellStart"/>
      <w:r w:rsidR="00AD699F">
        <w:t>glibenklamidą</w:t>
      </w:r>
      <w:proofErr w:type="spellEnd"/>
      <w:r w:rsidR="00AD699F">
        <w:t xml:space="preserve"> daugiausia </w:t>
      </w:r>
      <w:proofErr w:type="spellStart"/>
      <w:r w:rsidR="00AD699F">
        <w:t>metabolizuoja</w:t>
      </w:r>
      <w:proofErr w:type="spellEnd"/>
      <w:r w:rsidR="00AD699F">
        <w:t xml:space="preserve"> CYP2C9, šie duomenys taip pat patvirtina išvadą</w:t>
      </w:r>
      <w:r w:rsidRPr="00D867CD">
        <w:t xml:space="preserve">, kad </w:t>
      </w:r>
      <w:proofErr w:type="spellStart"/>
      <w:r w:rsidRPr="00D867CD">
        <w:t>linagliptinas</w:t>
      </w:r>
      <w:proofErr w:type="spellEnd"/>
      <w:r w:rsidRPr="00D867CD">
        <w:t xml:space="preserve"> nėra CYP2C9 inhibitorius. Kliniškai reikšmingos sąveikos su kitais </w:t>
      </w:r>
      <w:proofErr w:type="spellStart"/>
      <w:r w:rsidRPr="00D867CD">
        <w:t>sulfonilurėjos</w:t>
      </w:r>
      <w:proofErr w:type="spellEnd"/>
      <w:r w:rsidRPr="00D867CD">
        <w:t xml:space="preserve"> dariniais (pvz., </w:t>
      </w:r>
      <w:proofErr w:type="spellStart"/>
      <w:r w:rsidRPr="00D867CD">
        <w:t>glipizidu</w:t>
      </w:r>
      <w:proofErr w:type="spellEnd"/>
      <w:r w:rsidRPr="00D867CD">
        <w:t xml:space="preserve">, </w:t>
      </w:r>
      <w:proofErr w:type="spellStart"/>
      <w:r w:rsidRPr="00D867CD">
        <w:t>tolbutamidu</w:t>
      </w:r>
      <w:proofErr w:type="spellEnd"/>
      <w:r w:rsidRPr="00D867CD">
        <w:t xml:space="preserve"> ar </w:t>
      </w:r>
      <w:proofErr w:type="spellStart"/>
      <w:r w:rsidRPr="00D867CD">
        <w:t>glimepiridu</w:t>
      </w:r>
      <w:proofErr w:type="spellEnd"/>
      <w:r w:rsidRPr="00D867CD">
        <w:t>), kuri</w:t>
      </w:r>
      <w:r w:rsidR="00870E57">
        <w:t>e</w:t>
      </w:r>
      <w:r w:rsidRPr="00D867CD">
        <w:t xml:space="preserve">, kaip ir </w:t>
      </w:r>
      <w:proofErr w:type="spellStart"/>
      <w:r w:rsidRPr="00D867CD">
        <w:t>glibenklamid</w:t>
      </w:r>
      <w:r w:rsidR="000F4C11">
        <w:t>as</w:t>
      </w:r>
      <w:proofErr w:type="spellEnd"/>
      <w:r w:rsidRPr="00D867CD">
        <w:t xml:space="preserve">, daugiausia </w:t>
      </w:r>
      <w:r w:rsidR="00243FB4">
        <w:t xml:space="preserve">eliminuojami </w:t>
      </w:r>
      <w:proofErr w:type="spellStart"/>
      <w:r w:rsidR="00243FB4">
        <w:t>veikaint</w:t>
      </w:r>
      <w:proofErr w:type="spellEnd"/>
      <w:r w:rsidR="00243FB4">
        <w:t xml:space="preserve"> </w:t>
      </w:r>
      <w:r w:rsidRPr="00D867CD">
        <w:t>CYP2C9, neturėtų pasireikšti.</w:t>
      </w:r>
    </w:p>
    <w:p w14:paraId="25B0B8E1" w14:textId="77777777" w:rsidR="00023BE0" w:rsidRPr="00D867CD" w:rsidRDefault="00023BE0" w:rsidP="00D867CD">
      <w:pPr>
        <w:pStyle w:val="Pagrindinistekstas"/>
      </w:pPr>
    </w:p>
    <w:p w14:paraId="4C507FF2" w14:textId="61FD97D5" w:rsidR="00A01BAC" w:rsidRDefault="00341B61" w:rsidP="00D867CD">
      <w:pPr>
        <w:pStyle w:val="Pagrindinistekstas"/>
      </w:pPr>
      <w:proofErr w:type="spellStart"/>
      <w:r w:rsidRPr="00D867CD">
        <w:rPr>
          <w:i/>
        </w:rPr>
        <w:t>Digoksinas</w:t>
      </w:r>
      <w:proofErr w:type="spellEnd"/>
      <w:r w:rsidRPr="00D867CD">
        <w:t>:</w:t>
      </w:r>
      <w:r w:rsidR="00275F1E">
        <w:t xml:space="preserve"> kartotinai kartu vartojant 5 mg </w:t>
      </w:r>
      <w:proofErr w:type="spellStart"/>
      <w:r w:rsidR="00275F1E">
        <w:t>linagliptino</w:t>
      </w:r>
      <w:proofErr w:type="spellEnd"/>
      <w:r w:rsidR="00275F1E">
        <w:t xml:space="preserve"> ir 0,25 mg </w:t>
      </w:r>
      <w:proofErr w:type="spellStart"/>
      <w:r w:rsidR="00275F1E">
        <w:t>digoksino</w:t>
      </w:r>
      <w:proofErr w:type="spellEnd"/>
      <w:r w:rsidR="00275F1E">
        <w:t xml:space="preserve"> paros dozes, poveikio </w:t>
      </w:r>
      <w:proofErr w:type="spellStart"/>
      <w:r w:rsidR="00275F1E">
        <w:t>digoksino</w:t>
      </w:r>
      <w:proofErr w:type="spellEnd"/>
      <w:r w:rsidR="00275F1E">
        <w:t xml:space="preserve"> farmakokinetikai sveikiems savanoriams nebuvo</w:t>
      </w:r>
      <w:r w:rsidRPr="00D867CD">
        <w:t xml:space="preserve">. Vadinasi, </w:t>
      </w:r>
      <w:proofErr w:type="spellStart"/>
      <w:r w:rsidRPr="00D867CD">
        <w:rPr>
          <w:i/>
        </w:rPr>
        <w:t>in</w:t>
      </w:r>
      <w:proofErr w:type="spellEnd"/>
      <w:r w:rsidRPr="00D867CD">
        <w:rPr>
          <w:i/>
        </w:rPr>
        <w:t xml:space="preserve"> </w:t>
      </w:r>
      <w:proofErr w:type="spellStart"/>
      <w:r w:rsidRPr="00D867CD">
        <w:rPr>
          <w:i/>
        </w:rPr>
        <w:t>vivo</w:t>
      </w:r>
      <w:proofErr w:type="spellEnd"/>
      <w:r w:rsidRPr="00D867CD">
        <w:rPr>
          <w:i/>
        </w:rPr>
        <w:t xml:space="preserve"> </w:t>
      </w:r>
      <w:proofErr w:type="spellStart"/>
      <w:r w:rsidRPr="00D867CD">
        <w:t>linagliptinas</w:t>
      </w:r>
      <w:proofErr w:type="spellEnd"/>
      <w:r w:rsidRPr="00D867CD">
        <w:t xml:space="preserve"> pernašos, vykstančios tarpininkaujant P</w:t>
      </w:r>
      <w:r w:rsidR="008239E6">
        <w:noBreakHyphen/>
      </w:r>
      <w:proofErr w:type="spellStart"/>
      <w:r w:rsidRPr="00D867CD">
        <w:t>glikoproteinui</w:t>
      </w:r>
      <w:proofErr w:type="spellEnd"/>
      <w:r w:rsidRPr="00D867CD">
        <w:t>, neslopina.</w:t>
      </w:r>
    </w:p>
    <w:p w14:paraId="392CA6F8" w14:textId="77777777" w:rsidR="00023BE0" w:rsidRPr="00D867CD" w:rsidRDefault="00023BE0" w:rsidP="00D867CD">
      <w:pPr>
        <w:pStyle w:val="Pagrindinistekstas"/>
      </w:pPr>
    </w:p>
    <w:p w14:paraId="4C507FF3" w14:textId="2A7F95B1" w:rsidR="00A01BAC" w:rsidRPr="00D867CD" w:rsidRDefault="00341B61" w:rsidP="00D867CD">
      <w:pPr>
        <w:pStyle w:val="Pagrindinistekstas"/>
      </w:pPr>
      <w:r w:rsidRPr="00D867CD">
        <w:rPr>
          <w:i/>
        </w:rPr>
        <w:t>Varfarinas</w:t>
      </w:r>
      <w:r w:rsidRPr="00D867CD">
        <w:t>:</w:t>
      </w:r>
      <w:r w:rsidR="008A6310">
        <w:t xml:space="preserve"> kartotinai vartojamos 5 mg </w:t>
      </w:r>
      <w:proofErr w:type="spellStart"/>
      <w:r w:rsidR="008A6310">
        <w:t>linagliptino</w:t>
      </w:r>
      <w:proofErr w:type="spellEnd"/>
      <w:r w:rsidR="008A6310">
        <w:t xml:space="preserve"> paros dozės nepakeitė vienkartine doze suvartoto S(-) arba R(+) varfarino (CYP2C9 substrato) farmakokinetikos</w:t>
      </w:r>
      <w:r w:rsidRPr="00D867CD">
        <w:t>.</w:t>
      </w:r>
    </w:p>
    <w:p w14:paraId="4C507FF4" w14:textId="77777777" w:rsidR="00A01BAC" w:rsidRPr="00D867CD" w:rsidRDefault="00A01BAC" w:rsidP="00D867CD">
      <w:pPr>
        <w:pStyle w:val="Pagrindinistekstas"/>
      </w:pPr>
    </w:p>
    <w:p w14:paraId="51323FAC" w14:textId="0C8FD92C" w:rsidR="00023BE0" w:rsidRDefault="00341B61" w:rsidP="00023BE0">
      <w:pPr>
        <w:pStyle w:val="Pagrindinistekstas"/>
      </w:pPr>
      <w:proofErr w:type="spellStart"/>
      <w:r w:rsidRPr="00D867CD">
        <w:rPr>
          <w:i/>
        </w:rPr>
        <w:t>Simvastatinas</w:t>
      </w:r>
      <w:proofErr w:type="spellEnd"/>
      <w:r w:rsidRPr="00D867CD">
        <w:t>:</w:t>
      </w:r>
      <w:r w:rsidR="000B4BF2">
        <w:t xml:space="preserve"> kartotinai vartojamos </w:t>
      </w:r>
      <w:proofErr w:type="spellStart"/>
      <w:r w:rsidR="000B4BF2">
        <w:t>linagliptino</w:t>
      </w:r>
      <w:proofErr w:type="spellEnd"/>
      <w:r w:rsidR="000B4BF2">
        <w:t xml:space="preserve"> paros dozės turėjo minimalų poveikį jautraus CYP3A4 substrato </w:t>
      </w:r>
      <w:proofErr w:type="spellStart"/>
      <w:r w:rsidR="000B4BF2">
        <w:t>simvastatino</w:t>
      </w:r>
      <w:proofErr w:type="spellEnd"/>
      <w:r w:rsidR="000B4BF2">
        <w:t xml:space="preserve"> </w:t>
      </w:r>
      <w:proofErr w:type="spellStart"/>
      <w:r w:rsidR="000B4BF2">
        <w:t>pusiausvyrinės</w:t>
      </w:r>
      <w:proofErr w:type="spellEnd"/>
      <w:r w:rsidR="000B4BF2">
        <w:t xml:space="preserve"> apykaitos farmakokinetikai sveikiems savanoriams. Po to, kai 6 paras kasdien kartu su 40 mg </w:t>
      </w:r>
      <w:proofErr w:type="spellStart"/>
      <w:r w:rsidR="000B4BF2">
        <w:t>simvastatino</w:t>
      </w:r>
      <w:proofErr w:type="spellEnd"/>
      <w:r w:rsidR="000B4BF2">
        <w:t xml:space="preserve"> buvo vartojama </w:t>
      </w:r>
      <w:proofErr w:type="spellStart"/>
      <w:r w:rsidR="000B4BF2">
        <w:t>supraterapinė</w:t>
      </w:r>
      <w:proofErr w:type="spellEnd"/>
      <w:r w:rsidR="000B4BF2">
        <w:t xml:space="preserve"> 10 mg </w:t>
      </w:r>
      <w:proofErr w:type="spellStart"/>
      <w:r w:rsidR="000B4BF2">
        <w:t>linagliptino</w:t>
      </w:r>
      <w:proofErr w:type="spellEnd"/>
      <w:r w:rsidR="000B4BF2">
        <w:t xml:space="preserve"> dozė</w:t>
      </w:r>
      <w:r w:rsidRPr="00D867CD">
        <w:t xml:space="preserve">, </w:t>
      </w:r>
      <w:proofErr w:type="spellStart"/>
      <w:r w:rsidRPr="00D867CD">
        <w:t>simvastatino</w:t>
      </w:r>
      <w:proofErr w:type="spellEnd"/>
      <w:r w:rsidRPr="00D867CD">
        <w:t xml:space="preserve"> AUC kraujo plazmoje padidėjo 34</w:t>
      </w:r>
      <w:r>
        <w:t> %</w:t>
      </w:r>
      <w:r w:rsidRPr="00D867CD">
        <w:t xml:space="preserve">, o </w:t>
      </w:r>
      <w:proofErr w:type="spellStart"/>
      <w:r w:rsidRPr="00D867CD">
        <w:t>C</w:t>
      </w:r>
      <w:r w:rsidRPr="00341B61">
        <w:rPr>
          <w:vertAlign w:val="subscript"/>
        </w:rPr>
        <w:t>max</w:t>
      </w:r>
      <w:proofErr w:type="spellEnd"/>
      <w:r w:rsidRPr="00D867CD">
        <w:t xml:space="preserve"> kraujo plazmoje – 10</w:t>
      </w:r>
      <w:r>
        <w:t> %</w:t>
      </w:r>
      <w:r w:rsidRPr="00D867CD">
        <w:t>.</w:t>
      </w:r>
      <w:r w:rsidR="00023BE0">
        <w:t xml:space="preserve"> </w:t>
      </w:r>
    </w:p>
    <w:p w14:paraId="0DDAB8B3" w14:textId="77777777" w:rsidR="00023BE0" w:rsidRDefault="00023BE0" w:rsidP="00023BE0">
      <w:pPr>
        <w:pStyle w:val="Pagrindinistekstas"/>
      </w:pPr>
    </w:p>
    <w:p w14:paraId="4C507FF9" w14:textId="28AE614B" w:rsidR="00A01BAC" w:rsidRPr="00D867CD" w:rsidRDefault="00341B61" w:rsidP="00023BE0">
      <w:pPr>
        <w:pStyle w:val="Pagrindinistekstas"/>
      </w:pPr>
      <w:r w:rsidRPr="00D867CD">
        <w:rPr>
          <w:i/>
        </w:rPr>
        <w:t>Geriamieji kontraceptikai</w:t>
      </w:r>
      <w:r w:rsidRPr="00D867CD">
        <w:t>:</w:t>
      </w:r>
      <w:r w:rsidR="00883C9E">
        <w:t xml:space="preserve"> vartojimas kartu su 5 mg </w:t>
      </w:r>
      <w:proofErr w:type="spellStart"/>
      <w:r w:rsidR="00883C9E">
        <w:t>linagliptino</w:t>
      </w:r>
      <w:proofErr w:type="spellEnd"/>
      <w:r w:rsidR="00883C9E">
        <w:t xml:space="preserve"> nepakeitė </w:t>
      </w:r>
      <w:proofErr w:type="spellStart"/>
      <w:r w:rsidR="00883C9E">
        <w:t>levonorgestrelio</w:t>
      </w:r>
      <w:proofErr w:type="spellEnd"/>
      <w:r w:rsidR="00883C9E">
        <w:t xml:space="preserve"> ar </w:t>
      </w:r>
      <w:proofErr w:type="spellStart"/>
      <w:r w:rsidR="00883C9E">
        <w:lastRenderedPageBreak/>
        <w:t>etinilestradiolio</w:t>
      </w:r>
      <w:proofErr w:type="spellEnd"/>
      <w:r w:rsidR="00883C9E">
        <w:t xml:space="preserve"> </w:t>
      </w:r>
      <w:proofErr w:type="spellStart"/>
      <w:r w:rsidR="00883C9E">
        <w:t>pusiausvyrinės</w:t>
      </w:r>
      <w:proofErr w:type="spellEnd"/>
      <w:r w:rsidR="00883C9E">
        <w:t xml:space="preserve"> apykaitos farmakokinetikos</w:t>
      </w:r>
      <w:r w:rsidRPr="00D867CD">
        <w:t>.</w:t>
      </w:r>
    </w:p>
    <w:p w14:paraId="4C507FFA" w14:textId="77777777" w:rsidR="00A01BAC" w:rsidRPr="00D867CD" w:rsidRDefault="00A01BAC" w:rsidP="00D867CD">
      <w:pPr>
        <w:pStyle w:val="Pagrindinistekstas"/>
      </w:pPr>
    </w:p>
    <w:p w14:paraId="4C507FFB" w14:textId="77777777" w:rsidR="00A01BAC" w:rsidRPr="00D867CD" w:rsidRDefault="00341B61" w:rsidP="00023BE0">
      <w:pPr>
        <w:pStyle w:val="Antrat2"/>
        <w:numPr>
          <w:ilvl w:val="1"/>
          <w:numId w:val="13"/>
        </w:numPr>
        <w:tabs>
          <w:tab w:val="left" w:pos="567"/>
        </w:tabs>
        <w:ind w:left="567"/>
      </w:pPr>
      <w:r w:rsidRPr="00D867CD">
        <w:t>Vaisingumas, nėštumo ir žindymo laikotarpis</w:t>
      </w:r>
    </w:p>
    <w:p w14:paraId="4C507FFC" w14:textId="77777777" w:rsidR="00A01BAC" w:rsidRPr="00D867CD" w:rsidRDefault="00A01BAC" w:rsidP="00D867CD">
      <w:pPr>
        <w:pStyle w:val="Pagrindinistekstas"/>
        <w:rPr>
          <w:b/>
        </w:rPr>
      </w:pPr>
    </w:p>
    <w:p w14:paraId="4C507FFD" w14:textId="77777777" w:rsidR="00A01BAC" w:rsidRPr="00D867CD" w:rsidRDefault="00341B61" w:rsidP="00D867CD">
      <w:pPr>
        <w:pStyle w:val="Pagrindinistekstas"/>
      </w:pPr>
      <w:r w:rsidRPr="00D867CD">
        <w:rPr>
          <w:u w:val="single"/>
        </w:rPr>
        <w:t>Nėštumas</w:t>
      </w:r>
    </w:p>
    <w:p w14:paraId="4C507FFE" w14:textId="795A4DE6" w:rsidR="00A01BAC" w:rsidRDefault="00341B61" w:rsidP="00D867CD">
      <w:pPr>
        <w:pStyle w:val="Pagrindinistekstas"/>
      </w:pPr>
      <w:proofErr w:type="spellStart"/>
      <w:r w:rsidRPr="00D867CD">
        <w:t>Linagliptino</w:t>
      </w:r>
      <w:proofErr w:type="spellEnd"/>
      <w:r w:rsidRPr="00D867CD">
        <w:t xml:space="preserve"> vartojimas nėštumo metu netirtas. Tyrimai su gyvūnais tiesioginio ar netiesioginio kenksmingo toksinio poveikio reprodukcijai neparodė (</w:t>
      </w:r>
      <w:r>
        <w:t>žr. </w:t>
      </w:r>
      <w:r w:rsidRPr="00D867CD">
        <w:t>5.3</w:t>
      </w:r>
      <w:r>
        <w:t> skyrių</w:t>
      </w:r>
      <w:r w:rsidRPr="00D867CD">
        <w:t xml:space="preserve">). </w:t>
      </w:r>
      <w:r w:rsidR="00633C9B">
        <w:t>Atsargumo dėlei n</w:t>
      </w:r>
      <w:r w:rsidRPr="00D867CD">
        <w:t xml:space="preserve">ėštumo metu </w:t>
      </w:r>
      <w:proofErr w:type="spellStart"/>
      <w:r w:rsidRPr="00D867CD">
        <w:t>linagliptino</w:t>
      </w:r>
      <w:proofErr w:type="spellEnd"/>
      <w:r w:rsidRPr="00D867CD">
        <w:t xml:space="preserve"> geriau nevartoti.</w:t>
      </w:r>
    </w:p>
    <w:p w14:paraId="367E7FB0" w14:textId="77777777" w:rsidR="00023BE0" w:rsidRPr="00D867CD" w:rsidRDefault="00023BE0" w:rsidP="00D867CD">
      <w:pPr>
        <w:pStyle w:val="Pagrindinistekstas"/>
      </w:pPr>
    </w:p>
    <w:p w14:paraId="4C507FFF" w14:textId="77777777" w:rsidR="00A01BAC" w:rsidRPr="00D867CD" w:rsidRDefault="00341B61" w:rsidP="00D867CD">
      <w:pPr>
        <w:pStyle w:val="Pagrindinistekstas"/>
      </w:pPr>
      <w:r w:rsidRPr="00D867CD">
        <w:rPr>
          <w:u w:val="single"/>
        </w:rPr>
        <w:t>Žindymas</w:t>
      </w:r>
    </w:p>
    <w:p w14:paraId="4C508000" w14:textId="0F3B35C9" w:rsidR="00A01BAC" w:rsidRPr="00D867CD" w:rsidRDefault="00341B61" w:rsidP="00D867CD">
      <w:pPr>
        <w:pStyle w:val="Pagrindinistekstas"/>
      </w:pPr>
      <w:r w:rsidRPr="00D867CD">
        <w:t xml:space="preserve">Esami farmakokinetikos tyrimų su gyvūnais duomenys rodo, kad </w:t>
      </w:r>
      <w:proofErr w:type="spellStart"/>
      <w:r w:rsidRPr="00D867CD">
        <w:t>linagliptin</w:t>
      </w:r>
      <w:r w:rsidR="00BA5B43">
        <w:t>as</w:t>
      </w:r>
      <w:proofErr w:type="spellEnd"/>
      <w:r w:rsidRPr="00D867CD">
        <w:t xml:space="preserve"> ir (ar) </w:t>
      </w:r>
      <w:r w:rsidR="00BA5B43">
        <w:t xml:space="preserve">jo </w:t>
      </w:r>
      <w:r w:rsidRPr="00D867CD">
        <w:t>metabolit</w:t>
      </w:r>
      <w:r w:rsidR="00BA5B43">
        <w:t>ai</w:t>
      </w:r>
      <w:r w:rsidRPr="00D867CD">
        <w:t xml:space="preserve"> išsiskiria į gyvūnų pieną. Pavojaus žindom</w:t>
      </w:r>
      <w:r w:rsidR="00EF7848">
        <w:t>am</w:t>
      </w:r>
      <w:r w:rsidRPr="00D867CD">
        <w:t xml:space="preserve"> </w:t>
      </w:r>
      <w:r w:rsidR="005965CA">
        <w:t>kūdikiui</w:t>
      </w:r>
      <w:r w:rsidRPr="00D867CD">
        <w:t xml:space="preserve"> negalima atmesti. Atsižvelgiant į žindymo naudą kūdikiui ir gydymo naudą motinai, reikia nuspręsti, ar nutraukti žindymą</w:t>
      </w:r>
      <w:r w:rsidR="00E2287B">
        <w:t>,</w:t>
      </w:r>
      <w:r w:rsidRPr="00D867CD">
        <w:t xml:space="preserve"> ar nutraukti </w:t>
      </w:r>
      <w:r w:rsidR="00212B35">
        <w:t>/</w:t>
      </w:r>
      <w:r w:rsidRPr="00D867CD">
        <w:t xml:space="preserve"> susilaikyti nuo gydymo </w:t>
      </w:r>
      <w:proofErr w:type="spellStart"/>
      <w:r w:rsidRPr="00D867CD">
        <w:t>linagliptinu</w:t>
      </w:r>
      <w:proofErr w:type="spellEnd"/>
      <w:r w:rsidRPr="00D867CD">
        <w:t>.</w:t>
      </w:r>
    </w:p>
    <w:p w14:paraId="4C508001" w14:textId="77777777" w:rsidR="00A01BAC" w:rsidRPr="00D867CD" w:rsidRDefault="00A01BAC" w:rsidP="00D867CD">
      <w:pPr>
        <w:pStyle w:val="Pagrindinistekstas"/>
      </w:pPr>
    </w:p>
    <w:p w14:paraId="4C508002" w14:textId="77777777" w:rsidR="00A01BAC" w:rsidRPr="00D867CD" w:rsidRDefault="00341B61" w:rsidP="00D867CD">
      <w:pPr>
        <w:pStyle w:val="Pagrindinistekstas"/>
      </w:pPr>
      <w:r w:rsidRPr="00D867CD">
        <w:rPr>
          <w:u w:val="single"/>
        </w:rPr>
        <w:t>Vaisingumas</w:t>
      </w:r>
    </w:p>
    <w:p w14:paraId="4C508003" w14:textId="3647105E" w:rsidR="00A01BAC" w:rsidRDefault="00341B61" w:rsidP="00D867CD">
      <w:pPr>
        <w:pStyle w:val="Pagrindinistekstas"/>
      </w:pPr>
      <w:proofErr w:type="spellStart"/>
      <w:r w:rsidRPr="00D867CD">
        <w:t>Linagliptino</w:t>
      </w:r>
      <w:proofErr w:type="spellEnd"/>
      <w:r w:rsidRPr="00D867CD">
        <w:t xml:space="preserve"> poveikio žmogaus vaisingumui tyrimų neatlikta. Tyrimai su gyvūnais tiesioginio ar netiesioginio kenksmingo toksinio poveikio vaisingumui neparodė (</w:t>
      </w:r>
      <w:r>
        <w:t>žr. </w:t>
      </w:r>
      <w:r w:rsidRPr="00D867CD">
        <w:t>5.3</w:t>
      </w:r>
      <w:r>
        <w:t> skyrių</w:t>
      </w:r>
      <w:r w:rsidRPr="00D867CD">
        <w:t>).</w:t>
      </w:r>
    </w:p>
    <w:p w14:paraId="3779A109" w14:textId="77777777" w:rsidR="00023BE0" w:rsidRPr="00D867CD" w:rsidRDefault="00023BE0" w:rsidP="00D867CD">
      <w:pPr>
        <w:pStyle w:val="Pagrindinistekstas"/>
      </w:pPr>
    </w:p>
    <w:p w14:paraId="4C508004" w14:textId="77777777" w:rsidR="00A01BAC" w:rsidRPr="00D867CD" w:rsidRDefault="00341B61" w:rsidP="00023BE0">
      <w:pPr>
        <w:pStyle w:val="Antrat2"/>
        <w:numPr>
          <w:ilvl w:val="1"/>
          <w:numId w:val="13"/>
        </w:numPr>
        <w:tabs>
          <w:tab w:val="left" w:pos="567"/>
        </w:tabs>
        <w:ind w:left="567"/>
      </w:pPr>
      <w:r w:rsidRPr="00D867CD">
        <w:t>Poveikis gebėjimui vairuoti ir valdyti mechanizmus</w:t>
      </w:r>
    </w:p>
    <w:p w14:paraId="4C508005" w14:textId="77777777" w:rsidR="00A01BAC" w:rsidRPr="00D867CD" w:rsidRDefault="00A01BAC" w:rsidP="00D867CD">
      <w:pPr>
        <w:pStyle w:val="Pagrindinistekstas"/>
        <w:rPr>
          <w:b/>
        </w:rPr>
      </w:pPr>
    </w:p>
    <w:p w14:paraId="4C508006" w14:textId="66D6E1AF" w:rsidR="00A01BAC" w:rsidRPr="00D867CD" w:rsidRDefault="00341B61" w:rsidP="00D867CD">
      <w:pPr>
        <w:pStyle w:val="Pagrindinistekstas"/>
      </w:pPr>
      <w:proofErr w:type="spellStart"/>
      <w:r w:rsidRPr="00D867CD">
        <w:t>Linagliptinas</w:t>
      </w:r>
      <w:proofErr w:type="spellEnd"/>
      <w:r w:rsidRPr="00D867CD">
        <w:t xml:space="preserve"> gebėjimo vairuoti ir valdyti mechanizmus neveikia arba veikia nereikšmingai. Vis dėlto pacientus reikia įspėti apie hipoglikemijos riziką, ypač gydant </w:t>
      </w:r>
      <w:proofErr w:type="spellStart"/>
      <w:r w:rsidRPr="00D867CD">
        <w:t>linagliptinu</w:t>
      </w:r>
      <w:proofErr w:type="spellEnd"/>
      <w:r w:rsidRPr="00D867CD">
        <w:t xml:space="preserve"> kartu su </w:t>
      </w:r>
      <w:proofErr w:type="spellStart"/>
      <w:r w:rsidRPr="00D867CD">
        <w:t>sulfonilurėjos</w:t>
      </w:r>
      <w:proofErr w:type="spellEnd"/>
      <w:r w:rsidRPr="00D867CD">
        <w:t xml:space="preserve"> dariniu ir (arba) insulinu.</w:t>
      </w:r>
    </w:p>
    <w:p w14:paraId="4C508007" w14:textId="77777777" w:rsidR="00A01BAC" w:rsidRPr="00D867CD" w:rsidRDefault="00A01BAC" w:rsidP="00D867CD">
      <w:pPr>
        <w:pStyle w:val="Pagrindinistekstas"/>
      </w:pPr>
    </w:p>
    <w:p w14:paraId="4C508008" w14:textId="77777777" w:rsidR="00A01BAC" w:rsidRPr="00D867CD" w:rsidRDefault="00341B61" w:rsidP="00023BE0">
      <w:pPr>
        <w:pStyle w:val="Antrat2"/>
        <w:numPr>
          <w:ilvl w:val="1"/>
          <w:numId w:val="13"/>
        </w:numPr>
        <w:tabs>
          <w:tab w:val="left" w:pos="567"/>
        </w:tabs>
        <w:ind w:left="567"/>
      </w:pPr>
      <w:r w:rsidRPr="00D867CD">
        <w:t>Nepageidaujamas poveikis</w:t>
      </w:r>
    </w:p>
    <w:p w14:paraId="4C508009" w14:textId="77777777" w:rsidR="00A01BAC" w:rsidRPr="00D867CD" w:rsidRDefault="00A01BAC" w:rsidP="00D867CD">
      <w:pPr>
        <w:pStyle w:val="Pagrindinistekstas"/>
        <w:rPr>
          <w:b/>
        </w:rPr>
      </w:pPr>
    </w:p>
    <w:p w14:paraId="4C50800A" w14:textId="77777777" w:rsidR="00A01BAC" w:rsidRPr="00D867CD" w:rsidRDefault="00341B61" w:rsidP="00D867CD">
      <w:pPr>
        <w:pStyle w:val="Pagrindinistekstas"/>
      </w:pPr>
      <w:r w:rsidRPr="00D867CD">
        <w:rPr>
          <w:u w:val="single"/>
        </w:rPr>
        <w:t>Saugumo duomenų santrauka</w:t>
      </w:r>
    </w:p>
    <w:p w14:paraId="4C50800B" w14:textId="7E7081F2" w:rsidR="00A01BAC" w:rsidRPr="00D867CD" w:rsidRDefault="00164EEF" w:rsidP="00D867CD">
      <w:pPr>
        <w:pStyle w:val="Pagrindinistekstas"/>
      </w:pPr>
      <w:r>
        <w:t xml:space="preserve">Apibendrintos </w:t>
      </w:r>
      <w:r w:rsidR="00341B61" w:rsidRPr="00D867CD">
        <w:t xml:space="preserve">placebu kontroliuojamų tyrimų analizės duomenimis, bendras nepageidaujamų </w:t>
      </w:r>
      <w:proofErr w:type="spellStart"/>
      <w:r w:rsidR="00341B61" w:rsidRPr="00D867CD">
        <w:t>reiškinių</w:t>
      </w:r>
      <w:r w:rsidR="008E0147">
        <w:t>cpasireiškimo</w:t>
      </w:r>
      <w:proofErr w:type="spellEnd"/>
      <w:r w:rsidR="00341B61" w:rsidRPr="00D867CD">
        <w:t xml:space="preserve"> dažnis </w:t>
      </w:r>
      <w:r w:rsidR="00246094">
        <w:t xml:space="preserve">placebą vartojusiems pacientams </w:t>
      </w:r>
      <w:r w:rsidR="00341B61" w:rsidRPr="00D867CD">
        <w:t xml:space="preserve">buvo panašus į </w:t>
      </w:r>
      <w:r w:rsidR="00246094">
        <w:t xml:space="preserve">vartojusių </w:t>
      </w:r>
      <w:r w:rsidR="00341B61" w:rsidRPr="00D867CD">
        <w:t>5</w:t>
      </w:r>
      <w:r w:rsidR="00341B61">
        <w:t> mg</w:t>
      </w:r>
      <w:r w:rsidR="00341B61" w:rsidRPr="00D867CD">
        <w:t xml:space="preserve"> </w:t>
      </w:r>
      <w:proofErr w:type="spellStart"/>
      <w:r w:rsidR="00341B61" w:rsidRPr="00D867CD">
        <w:t>linagliptino</w:t>
      </w:r>
      <w:proofErr w:type="spellEnd"/>
      <w:r w:rsidR="00341B61" w:rsidRPr="00D867CD">
        <w:t xml:space="preserve"> (atitinkamai 63,4</w:t>
      </w:r>
      <w:r w:rsidR="00341B61">
        <w:t> %</w:t>
      </w:r>
      <w:r w:rsidR="00341B61" w:rsidRPr="00D867CD">
        <w:t xml:space="preserve"> ir 59,1</w:t>
      </w:r>
      <w:r w:rsidR="00341B61">
        <w:t> %</w:t>
      </w:r>
      <w:r w:rsidR="00341B61" w:rsidRPr="00D867CD">
        <w:t>).</w:t>
      </w:r>
    </w:p>
    <w:p w14:paraId="4C50800C" w14:textId="769AF377" w:rsidR="00A01BAC" w:rsidRDefault="00341B61" w:rsidP="00D867CD">
      <w:pPr>
        <w:pStyle w:val="Pagrindinistekstas"/>
      </w:pPr>
      <w:r w:rsidRPr="00D867CD">
        <w:t>Gydymo nutraukimo dėl nepageidaujamų reiškinių dažnis placeb</w:t>
      </w:r>
      <w:r w:rsidR="00FE2046">
        <w:t>o</w:t>
      </w:r>
      <w:r w:rsidRPr="00D867CD">
        <w:t xml:space="preserve"> vartojantiems pacientams buvo didesnis negu 5</w:t>
      </w:r>
      <w:r>
        <w:t> mg</w:t>
      </w:r>
      <w:r w:rsidRPr="00D867CD">
        <w:t xml:space="preserve"> </w:t>
      </w:r>
      <w:proofErr w:type="spellStart"/>
      <w:r w:rsidRPr="00D867CD">
        <w:t>linagliptino</w:t>
      </w:r>
      <w:proofErr w:type="spellEnd"/>
      <w:r w:rsidRPr="00D867CD">
        <w:t xml:space="preserve"> doze gydomiems pacientams (atitinkamai 4,3</w:t>
      </w:r>
      <w:r>
        <w:t> %</w:t>
      </w:r>
      <w:r w:rsidRPr="00D867CD">
        <w:t xml:space="preserve"> ir 3,4</w:t>
      </w:r>
      <w:r>
        <w:t> %</w:t>
      </w:r>
      <w:r w:rsidRPr="00D867CD">
        <w:t>).</w:t>
      </w:r>
    </w:p>
    <w:p w14:paraId="24D20248" w14:textId="77777777" w:rsidR="00585776" w:rsidRPr="00D867CD" w:rsidRDefault="00585776" w:rsidP="00D867CD">
      <w:pPr>
        <w:pStyle w:val="Pagrindinistekstas"/>
      </w:pPr>
    </w:p>
    <w:p w14:paraId="4C50800D" w14:textId="3D360A0A" w:rsidR="00A01BAC" w:rsidRPr="00D867CD" w:rsidRDefault="00341B61" w:rsidP="00D867CD">
      <w:pPr>
        <w:pStyle w:val="Pagrindinistekstas"/>
      </w:pPr>
      <w:r w:rsidRPr="00D867CD">
        <w:t>Dažniausia nepageidaujama reakcija buvo hipoglikemija, kuri pasireiškė 14,8</w:t>
      </w:r>
      <w:r>
        <w:t> %</w:t>
      </w:r>
      <w:r w:rsidRPr="00D867CD">
        <w:t xml:space="preserve"> </w:t>
      </w:r>
      <w:r w:rsidR="008454F5">
        <w:t xml:space="preserve">trigubu </w:t>
      </w:r>
      <w:r w:rsidRPr="00D867CD">
        <w:t xml:space="preserve">deriniu – </w:t>
      </w:r>
      <w:proofErr w:type="spellStart"/>
      <w:r w:rsidRPr="00D867CD">
        <w:t>linagliptinu</w:t>
      </w:r>
      <w:proofErr w:type="spellEnd"/>
      <w:r w:rsidRPr="00D867CD">
        <w:t xml:space="preserve">, </w:t>
      </w:r>
      <w:proofErr w:type="spellStart"/>
      <w:r w:rsidRPr="00D867CD">
        <w:t>metforminu</w:t>
      </w:r>
      <w:proofErr w:type="spellEnd"/>
      <w:r w:rsidRPr="00D867CD">
        <w:t xml:space="preserve"> ir </w:t>
      </w:r>
      <w:proofErr w:type="spellStart"/>
      <w:r w:rsidRPr="00D867CD">
        <w:t>sulfonilurėjos</w:t>
      </w:r>
      <w:proofErr w:type="spellEnd"/>
      <w:r w:rsidRPr="00D867CD">
        <w:t xml:space="preserve"> dariniu – gydytų pacientų ir 7,6</w:t>
      </w:r>
      <w:r>
        <w:t> %</w:t>
      </w:r>
      <w:r w:rsidRPr="00D867CD">
        <w:t xml:space="preserve"> – gydytų placebu.</w:t>
      </w:r>
    </w:p>
    <w:p w14:paraId="4C50800E" w14:textId="77777777" w:rsidR="00A01BAC" w:rsidRPr="00D867CD" w:rsidRDefault="00A01BAC" w:rsidP="00D867CD">
      <w:pPr>
        <w:pStyle w:val="Pagrindinistekstas"/>
      </w:pPr>
    </w:p>
    <w:p w14:paraId="4C50800F" w14:textId="554488ED" w:rsidR="00A01BAC" w:rsidRDefault="00341B61" w:rsidP="00D867CD">
      <w:pPr>
        <w:pStyle w:val="Pagrindinistekstas"/>
      </w:pPr>
      <w:r w:rsidRPr="00D867CD">
        <w:t xml:space="preserve">Placebu </w:t>
      </w:r>
      <w:r w:rsidR="000C4162">
        <w:t xml:space="preserve">kontroliuojamuose tyrimuose 4,9 % pacientų, vartojusių </w:t>
      </w:r>
      <w:proofErr w:type="spellStart"/>
      <w:r w:rsidR="000C4162">
        <w:t>linagliptiną</w:t>
      </w:r>
      <w:proofErr w:type="spellEnd"/>
      <w:r w:rsidR="000C4162">
        <w:t>, kaip nepageidaujama reakcija pasireiškė hipoglikemija. Iš jų 4,0 % atvejų buvo lengvi, 0,9 % – vidutinio sunkumo, o 0,1 % buvo priskirti sunkiems. Pankreatitas (</w:t>
      </w:r>
      <w:proofErr w:type="spellStart"/>
      <w:r w:rsidR="000C4162">
        <w:rPr>
          <w:i/>
          <w:iCs/>
        </w:rPr>
        <w:t>Pancreatitis</w:t>
      </w:r>
      <w:proofErr w:type="spellEnd"/>
      <w:r w:rsidR="000C4162">
        <w:t xml:space="preserve">) dažniau registruotas atsitiktinės atrankos būdu </w:t>
      </w:r>
      <w:proofErr w:type="spellStart"/>
      <w:r w:rsidR="000C4162">
        <w:t>linagliptino</w:t>
      </w:r>
      <w:proofErr w:type="spellEnd"/>
      <w:r w:rsidR="000C4162">
        <w:t xml:space="preserve"> grupei priskirtiems pacientams</w:t>
      </w:r>
      <w:r w:rsidR="000C4162" w:rsidRPr="00D867CD">
        <w:t xml:space="preserve"> </w:t>
      </w:r>
      <w:r w:rsidRPr="00D867CD">
        <w:t>(7</w:t>
      </w:r>
      <w:r w:rsidR="00CA44AE">
        <w:t> </w:t>
      </w:r>
      <w:r w:rsidRPr="00D867CD">
        <w:t>atvejai iš 6</w:t>
      </w:r>
      <w:r w:rsidR="00A9400B">
        <w:t> </w:t>
      </w:r>
      <w:r w:rsidRPr="00D867CD">
        <w:t xml:space="preserve">580 </w:t>
      </w:r>
      <w:proofErr w:type="spellStart"/>
      <w:r w:rsidRPr="00D867CD">
        <w:t>linagliptinu</w:t>
      </w:r>
      <w:proofErr w:type="spellEnd"/>
      <w:r w:rsidRPr="00D867CD">
        <w:t xml:space="preserve"> gydytų pacientų, palyginti su 2</w:t>
      </w:r>
      <w:r w:rsidR="00CA44AE">
        <w:t> </w:t>
      </w:r>
      <w:r w:rsidRPr="00D867CD">
        <w:t>atvejais iš 4</w:t>
      </w:r>
      <w:r w:rsidR="00CA44AE">
        <w:t> </w:t>
      </w:r>
      <w:r w:rsidRPr="00D867CD">
        <w:t>383 placebą vartojusių pacientų).</w:t>
      </w:r>
    </w:p>
    <w:p w14:paraId="64ACB016" w14:textId="77777777" w:rsidR="00585776" w:rsidRPr="00D867CD" w:rsidRDefault="00585776" w:rsidP="00D867CD">
      <w:pPr>
        <w:pStyle w:val="Pagrindinistekstas"/>
      </w:pPr>
    </w:p>
    <w:p w14:paraId="4C508010" w14:textId="77777777" w:rsidR="00A01BAC" w:rsidRPr="00D867CD" w:rsidRDefault="00341B61" w:rsidP="00D867CD">
      <w:pPr>
        <w:pStyle w:val="Pagrindinistekstas"/>
      </w:pPr>
      <w:r w:rsidRPr="00D867CD">
        <w:rPr>
          <w:u w:val="single"/>
        </w:rPr>
        <w:t>Nepageidaujamų reakcijų santrauka lentelėje</w:t>
      </w:r>
    </w:p>
    <w:p w14:paraId="4C508011" w14:textId="2C8AFC94" w:rsidR="00A01BAC" w:rsidRDefault="00341B61" w:rsidP="00D867CD">
      <w:pPr>
        <w:pStyle w:val="Pagrindinistekstas"/>
      </w:pPr>
      <w:r w:rsidRPr="00D867CD">
        <w:t xml:space="preserve">Dėl </w:t>
      </w:r>
      <w:r w:rsidR="00E045E7">
        <w:t xml:space="preserve">pagrindinio </w:t>
      </w:r>
      <w:r w:rsidRPr="00D867CD">
        <w:t xml:space="preserve">gydymo įtakos nepageidaujamoms reakcijoms (pvz., hipoglikemijai), nepageidaujamos reakcijos buvo išanalizuotos pagal atitinkamą gydymo </w:t>
      </w:r>
      <w:r w:rsidR="003D48A2">
        <w:t xml:space="preserve">režimą </w:t>
      </w:r>
      <w:r w:rsidRPr="00D867CD">
        <w:t>(</w:t>
      </w:r>
      <w:proofErr w:type="spellStart"/>
      <w:r w:rsidRPr="00D867CD">
        <w:t>monoterapija</w:t>
      </w:r>
      <w:proofErr w:type="spellEnd"/>
      <w:r w:rsidRPr="00D867CD">
        <w:t xml:space="preserve">, gydymo </w:t>
      </w:r>
      <w:proofErr w:type="spellStart"/>
      <w:r w:rsidRPr="00D867CD">
        <w:t>metforminu</w:t>
      </w:r>
      <w:proofErr w:type="spellEnd"/>
      <w:r w:rsidRPr="00D867CD">
        <w:t xml:space="preserve"> papildymas, gydymo </w:t>
      </w:r>
      <w:proofErr w:type="spellStart"/>
      <w:r w:rsidRPr="00D867CD">
        <w:t>metformino</w:t>
      </w:r>
      <w:proofErr w:type="spellEnd"/>
      <w:r w:rsidRPr="00D867CD">
        <w:t xml:space="preserve"> bei </w:t>
      </w:r>
      <w:proofErr w:type="spellStart"/>
      <w:r w:rsidRPr="00D867CD">
        <w:t>sulfonilurėjos</w:t>
      </w:r>
      <w:proofErr w:type="spellEnd"/>
      <w:r w:rsidRPr="00D867CD">
        <w:t xml:space="preserve"> darinio papildymas ir gydymo insulinu papildymas).</w:t>
      </w:r>
    </w:p>
    <w:p w14:paraId="323EB953" w14:textId="77777777" w:rsidR="00585776" w:rsidRPr="00D867CD" w:rsidRDefault="00585776" w:rsidP="00D867CD">
      <w:pPr>
        <w:pStyle w:val="Pagrindinistekstas"/>
      </w:pPr>
    </w:p>
    <w:p w14:paraId="4C508012" w14:textId="50A3C5D9" w:rsidR="00A01BAC" w:rsidRPr="00D867CD" w:rsidRDefault="00341B61" w:rsidP="00D867CD">
      <w:pPr>
        <w:pStyle w:val="Pagrindinistekstas"/>
      </w:pPr>
      <w:r w:rsidRPr="00D867CD">
        <w:t xml:space="preserve">Placebu kontroliuojami tyrimai apėmė tyrimus, kurių metu </w:t>
      </w:r>
      <w:proofErr w:type="spellStart"/>
      <w:r w:rsidRPr="00D867CD">
        <w:t>linagliptinas</w:t>
      </w:r>
      <w:proofErr w:type="spellEnd"/>
      <w:r w:rsidRPr="00D867CD">
        <w:t xml:space="preserve"> buvo vartojamas</w:t>
      </w:r>
      <w:r w:rsidR="00553C48">
        <w:t xml:space="preserve"> kaip</w:t>
      </w:r>
      <w:r w:rsidRPr="00D867CD">
        <w:t>:</w:t>
      </w:r>
    </w:p>
    <w:p w14:paraId="4C508014" w14:textId="7DEF19B1" w:rsidR="00A01BAC" w:rsidRPr="00D867CD" w:rsidRDefault="00341B61" w:rsidP="00585776">
      <w:pPr>
        <w:pStyle w:val="Sraopastraipa"/>
        <w:numPr>
          <w:ilvl w:val="0"/>
          <w:numId w:val="12"/>
        </w:numPr>
        <w:tabs>
          <w:tab w:val="left" w:pos="567"/>
        </w:tabs>
        <w:ind w:left="567"/>
      </w:pPr>
      <w:r w:rsidRPr="00D867CD">
        <w:t>trumpalaikei, ne ilgesnei kaip 4</w:t>
      </w:r>
      <w:r w:rsidR="005F3C32">
        <w:t> </w:t>
      </w:r>
      <w:r w:rsidRPr="00D867CD">
        <w:t xml:space="preserve">savaičių </w:t>
      </w:r>
      <w:proofErr w:type="spellStart"/>
      <w:r w:rsidRPr="00D867CD">
        <w:t>monoterapijai</w:t>
      </w:r>
      <w:proofErr w:type="spellEnd"/>
      <w:r w:rsidRPr="00D867CD">
        <w:t>;</w:t>
      </w:r>
    </w:p>
    <w:p w14:paraId="4C508015" w14:textId="63925567" w:rsidR="00A01BAC" w:rsidRPr="00D867CD" w:rsidRDefault="00341B61" w:rsidP="00585776">
      <w:pPr>
        <w:pStyle w:val="Sraopastraipa"/>
        <w:numPr>
          <w:ilvl w:val="0"/>
          <w:numId w:val="12"/>
        </w:numPr>
        <w:tabs>
          <w:tab w:val="left" w:pos="567"/>
        </w:tabs>
        <w:ind w:left="567"/>
      </w:pPr>
      <w:r>
        <w:t>≥ </w:t>
      </w:r>
      <w:r w:rsidRPr="00D867CD">
        <w:t>12</w:t>
      </w:r>
      <w:r w:rsidR="005F3C32">
        <w:t> </w:t>
      </w:r>
      <w:r w:rsidRPr="00D867CD">
        <w:t xml:space="preserve">savaičių trukmės </w:t>
      </w:r>
      <w:proofErr w:type="spellStart"/>
      <w:r w:rsidRPr="00D867CD">
        <w:t>monoterapijai</w:t>
      </w:r>
      <w:proofErr w:type="spellEnd"/>
      <w:r w:rsidRPr="00D867CD">
        <w:t>;</w:t>
      </w:r>
    </w:p>
    <w:p w14:paraId="4C508016" w14:textId="77777777" w:rsidR="00A01BAC" w:rsidRPr="00D867CD" w:rsidRDefault="00341B61" w:rsidP="00585776">
      <w:pPr>
        <w:pStyle w:val="Sraopastraipa"/>
        <w:numPr>
          <w:ilvl w:val="0"/>
          <w:numId w:val="12"/>
        </w:numPr>
        <w:tabs>
          <w:tab w:val="left" w:pos="567"/>
        </w:tabs>
        <w:ind w:left="567"/>
      </w:pPr>
      <w:r w:rsidRPr="00D867CD">
        <w:t xml:space="preserve">gydymui </w:t>
      </w:r>
      <w:proofErr w:type="spellStart"/>
      <w:r w:rsidRPr="00D867CD">
        <w:t>metforminu</w:t>
      </w:r>
      <w:proofErr w:type="spellEnd"/>
      <w:r w:rsidRPr="00D867CD">
        <w:t xml:space="preserve"> papildyti;</w:t>
      </w:r>
    </w:p>
    <w:p w14:paraId="4C508017" w14:textId="51405E34" w:rsidR="00A01BAC" w:rsidRPr="00D867CD" w:rsidRDefault="00341B61" w:rsidP="00585776">
      <w:pPr>
        <w:pStyle w:val="Sraopastraipa"/>
        <w:numPr>
          <w:ilvl w:val="0"/>
          <w:numId w:val="12"/>
        </w:numPr>
        <w:tabs>
          <w:tab w:val="left" w:pos="567"/>
        </w:tabs>
        <w:ind w:left="567"/>
      </w:pPr>
      <w:r w:rsidRPr="00D867CD">
        <w:t xml:space="preserve">gydymui </w:t>
      </w:r>
      <w:proofErr w:type="spellStart"/>
      <w:r w:rsidRPr="00D867CD">
        <w:t>metformino</w:t>
      </w:r>
      <w:proofErr w:type="spellEnd"/>
      <w:r w:rsidRPr="00D867CD">
        <w:t xml:space="preserve"> ir </w:t>
      </w:r>
      <w:proofErr w:type="spellStart"/>
      <w:r w:rsidRPr="00D867CD">
        <w:t>sulfonilurėjos</w:t>
      </w:r>
      <w:proofErr w:type="spellEnd"/>
      <w:r w:rsidRPr="00D867CD">
        <w:t xml:space="preserve"> darini</w:t>
      </w:r>
      <w:r w:rsidR="00BC6367">
        <w:t xml:space="preserve">ui </w:t>
      </w:r>
      <w:r w:rsidRPr="00D867CD">
        <w:t>papildyti;</w:t>
      </w:r>
    </w:p>
    <w:p w14:paraId="4C508018" w14:textId="77777777" w:rsidR="00A01BAC" w:rsidRPr="00D867CD" w:rsidRDefault="00341B61" w:rsidP="00585776">
      <w:pPr>
        <w:pStyle w:val="Sraopastraipa"/>
        <w:numPr>
          <w:ilvl w:val="0"/>
          <w:numId w:val="12"/>
        </w:numPr>
        <w:tabs>
          <w:tab w:val="left" w:pos="567"/>
        </w:tabs>
        <w:ind w:left="567"/>
      </w:pPr>
      <w:r w:rsidRPr="00D867CD">
        <w:t xml:space="preserve">gydymui </w:t>
      </w:r>
      <w:proofErr w:type="spellStart"/>
      <w:r w:rsidRPr="00D867CD">
        <w:t>metforminu</w:t>
      </w:r>
      <w:proofErr w:type="spellEnd"/>
      <w:r w:rsidRPr="00D867CD">
        <w:t xml:space="preserve"> ir </w:t>
      </w:r>
      <w:proofErr w:type="spellStart"/>
      <w:r w:rsidRPr="00D867CD">
        <w:t>empagliflozinu</w:t>
      </w:r>
      <w:proofErr w:type="spellEnd"/>
      <w:r w:rsidRPr="00D867CD">
        <w:t xml:space="preserve"> papildyti;</w:t>
      </w:r>
    </w:p>
    <w:p w14:paraId="4C508019" w14:textId="77777777" w:rsidR="00A01BAC" w:rsidRPr="00D867CD" w:rsidRDefault="00341B61" w:rsidP="00585776">
      <w:pPr>
        <w:pStyle w:val="Sraopastraipa"/>
        <w:numPr>
          <w:ilvl w:val="0"/>
          <w:numId w:val="12"/>
        </w:numPr>
        <w:tabs>
          <w:tab w:val="left" w:pos="567"/>
        </w:tabs>
        <w:ind w:left="567"/>
      </w:pPr>
      <w:r w:rsidRPr="00D867CD">
        <w:t xml:space="preserve">gydymui insulinu su </w:t>
      </w:r>
      <w:proofErr w:type="spellStart"/>
      <w:r w:rsidRPr="00D867CD">
        <w:t>metforminu</w:t>
      </w:r>
      <w:proofErr w:type="spellEnd"/>
      <w:r w:rsidRPr="00D867CD">
        <w:t xml:space="preserve"> arba be jo papildyti.</w:t>
      </w:r>
    </w:p>
    <w:p w14:paraId="7A100A58" w14:textId="77777777" w:rsidR="00A01BAC" w:rsidRDefault="00A01BAC" w:rsidP="00D867CD">
      <w:pPr>
        <w:pStyle w:val="Sraopastraipa"/>
        <w:ind w:left="0" w:firstLine="0"/>
      </w:pPr>
    </w:p>
    <w:p w14:paraId="4C50801B" w14:textId="082AD6DC" w:rsidR="00A01BAC" w:rsidRPr="00D867CD" w:rsidRDefault="00341B61" w:rsidP="00D867CD">
      <w:pPr>
        <w:pStyle w:val="Pagrindinistekstas"/>
      </w:pPr>
      <w:r w:rsidRPr="00D867CD">
        <w:lastRenderedPageBreak/>
        <w:t xml:space="preserve">Nepageidaujamos reakcijos, pasireiškusios dvigubai </w:t>
      </w:r>
      <w:r w:rsidR="00330B69">
        <w:t>koduotų</w:t>
      </w:r>
      <w:r w:rsidRPr="00D867CD">
        <w:t xml:space="preserve"> tyrimų metu pacientams, 5</w:t>
      </w:r>
      <w:r>
        <w:t> mg</w:t>
      </w:r>
      <w:r w:rsidRPr="00D867CD">
        <w:t xml:space="preserve"> </w:t>
      </w:r>
      <w:proofErr w:type="spellStart"/>
      <w:r w:rsidRPr="00D867CD">
        <w:t>linagliptino</w:t>
      </w:r>
      <w:proofErr w:type="spellEnd"/>
      <w:r w:rsidRPr="00D867CD">
        <w:t xml:space="preserve"> dozę vartojusiems </w:t>
      </w:r>
      <w:proofErr w:type="spellStart"/>
      <w:r w:rsidRPr="00D867CD">
        <w:t>monoterapijai</w:t>
      </w:r>
      <w:proofErr w:type="spellEnd"/>
      <w:r w:rsidRPr="00D867CD">
        <w:t xml:space="preserve"> ar gydymui papildyti, yra suklasifikuotos pagal organų sistemų klases (OSK) bei </w:t>
      </w:r>
      <w:proofErr w:type="spellStart"/>
      <w:r w:rsidRPr="00D867CD">
        <w:t>MedDRA</w:t>
      </w:r>
      <w:proofErr w:type="spellEnd"/>
      <w:r w:rsidRPr="00D867CD">
        <w:t xml:space="preserve"> tinkamiausius terminus ir išvardytos toliau esančioje lentelėje (</w:t>
      </w:r>
      <w:r>
        <w:t>žr. </w:t>
      </w:r>
      <w:r w:rsidRPr="00D867CD">
        <w:t>1</w:t>
      </w:r>
      <w:r w:rsidR="00085BCA">
        <w:t> </w:t>
      </w:r>
      <w:r w:rsidRPr="00D867CD">
        <w:t>lentelę).</w:t>
      </w:r>
    </w:p>
    <w:p w14:paraId="4C50801C" w14:textId="77777777" w:rsidR="00A01BAC" w:rsidRPr="00D867CD" w:rsidRDefault="00A01BAC" w:rsidP="00D867CD">
      <w:pPr>
        <w:pStyle w:val="Pagrindinistekstas"/>
      </w:pPr>
    </w:p>
    <w:p w14:paraId="4C50801E" w14:textId="19FAFCF2" w:rsidR="00A01BAC" w:rsidRDefault="00341B61" w:rsidP="00D867CD">
      <w:pPr>
        <w:pStyle w:val="Pagrindinistekstas"/>
      </w:pPr>
      <w:r w:rsidRPr="00D867CD">
        <w:t>Nepageidaujamos reakcijos yra išvardytos pagal absoliutų dažnį. Dažnis apibūdinamas taip: labai dažn</w:t>
      </w:r>
      <w:r w:rsidRPr="00B5002C">
        <w:t>as (≥ 1/10), dažnas (nuo ≥ 1/100 iki &lt; 1/10), nedažnas (nuo ≥ 1/1 000 iki &lt; 1/100), retas (nuo</w:t>
      </w:r>
      <w:r w:rsidR="00585776" w:rsidRPr="00B5002C">
        <w:t xml:space="preserve"> </w:t>
      </w:r>
      <w:r w:rsidRPr="00B5002C">
        <w:t>≥ 1/10 000 iki &lt; 1/1 000), labai retas (&lt; 1/10 000) arba dažnis nežinomas (negali būti apskaičiuotas pagal turimus duomenis).</w:t>
      </w:r>
    </w:p>
    <w:p w14:paraId="60FC3CFD" w14:textId="77777777" w:rsidR="00585776" w:rsidRPr="00D867CD" w:rsidRDefault="00585776" w:rsidP="00D867CD">
      <w:pPr>
        <w:pStyle w:val="Pagrindinistekstas"/>
      </w:pPr>
    </w:p>
    <w:p w14:paraId="4C50801F" w14:textId="7AA88339" w:rsidR="00A01BAC" w:rsidRPr="00D867CD" w:rsidRDefault="00341B61" w:rsidP="00585776">
      <w:pPr>
        <w:pStyle w:val="Pagrindinistekstas"/>
        <w:tabs>
          <w:tab w:val="left" w:pos="1134"/>
        </w:tabs>
        <w:ind w:left="1134" w:hanging="1134"/>
      </w:pPr>
      <w:r w:rsidRPr="00D867CD">
        <w:t>1</w:t>
      </w:r>
      <w:r w:rsidR="00085BCA">
        <w:t> </w:t>
      </w:r>
      <w:r w:rsidRPr="00D867CD">
        <w:t>lentelė</w:t>
      </w:r>
      <w:r w:rsidRPr="00D867CD">
        <w:tab/>
        <w:t>Nepageidaujamos reakcijos, pasireiškusios pacientams, 5</w:t>
      </w:r>
      <w:r>
        <w:t> mg</w:t>
      </w:r>
      <w:r w:rsidRPr="00D867CD">
        <w:t xml:space="preserve"> </w:t>
      </w:r>
      <w:proofErr w:type="spellStart"/>
      <w:r w:rsidRPr="00D867CD">
        <w:t>linagliptino</w:t>
      </w:r>
      <w:proofErr w:type="spellEnd"/>
      <w:r w:rsidRPr="00D867CD">
        <w:t xml:space="preserve"> paros dozę vartojusiems </w:t>
      </w:r>
      <w:proofErr w:type="spellStart"/>
      <w:r w:rsidRPr="00D867CD">
        <w:t>monoterapijai</w:t>
      </w:r>
      <w:proofErr w:type="spellEnd"/>
      <w:r w:rsidRPr="00D867CD">
        <w:t xml:space="preserve"> arba gydymui papildyti, remiantis klinikinių tyrimų duomenimis bei duomenimis, gautais vaistin</w:t>
      </w:r>
      <w:r w:rsidR="00BE3C7E">
        <w:t>iam</w:t>
      </w:r>
      <w:r w:rsidRPr="00D867CD">
        <w:t xml:space="preserve"> preparat</w:t>
      </w:r>
      <w:r w:rsidR="00BE3C7E">
        <w:t>ui</w:t>
      </w:r>
      <w:r w:rsidRPr="00D867CD">
        <w:t xml:space="preserve"> </w:t>
      </w:r>
      <w:r w:rsidR="00672D63">
        <w:t xml:space="preserve">esant </w:t>
      </w:r>
      <w:r w:rsidRPr="00D867CD">
        <w:t>rink</w:t>
      </w:r>
      <w:r w:rsidR="00672D63">
        <w:t>oje</w:t>
      </w:r>
    </w:p>
    <w:p w14:paraId="4C508020" w14:textId="77777777" w:rsidR="00A01BAC" w:rsidRPr="00D867CD" w:rsidRDefault="00A01BAC" w:rsidP="00D867CD">
      <w:pPr>
        <w:pStyle w:val="Pagrindinistekstas"/>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6"/>
        <w:gridCol w:w="4148"/>
      </w:tblGrid>
      <w:tr w:rsidR="00A01BAC" w:rsidRPr="00D867CD" w14:paraId="4C508024" w14:textId="77777777" w:rsidTr="00085BCA">
        <w:trPr>
          <w:trHeight w:val="506"/>
        </w:trPr>
        <w:tc>
          <w:tcPr>
            <w:tcW w:w="4916" w:type="dxa"/>
          </w:tcPr>
          <w:p w14:paraId="4C508021" w14:textId="77777777" w:rsidR="00A01BAC" w:rsidRPr="00D867CD" w:rsidRDefault="00341B61" w:rsidP="00D867CD">
            <w:pPr>
              <w:pStyle w:val="TableParagraph"/>
              <w:ind w:left="0"/>
              <w:jc w:val="left"/>
              <w:rPr>
                <w:b/>
              </w:rPr>
            </w:pPr>
            <w:r w:rsidRPr="00D867CD">
              <w:rPr>
                <w:b/>
              </w:rPr>
              <w:t>Organų sistemų klasė</w:t>
            </w:r>
          </w:p>
          <w:p w14:paraId="4C508022" w14:textId="77777777" w:rsidR="00A01BAC" w:rsidRPr="00D867CD" w:rsidRDefault="00341B61" w:rsidP="00D867CD">
            <w:pPr>
              <w:pStyle w:val="TableParagraph"/>
              <w:ind w:left="0"/>
              <w:jc w:val="left"/>
            </w:pPr>
            <w:r w:rsidRPr="00D867CD">
              <w:t>Nepageidaujama reakcija</w:t>
            </w:r>
          </w:p>
        </w:tc>
        <w:tc>
          <w:tcPr>
            <w:tcW w:w="4148" w:type="dxa"/>
            <w:vAlign w:val="center"/>
          </w:tcPr>
          <w:p w14:paraId="4C508023" w14:textId="77777777" w:rsidR="00A01BAC" w:rsidRPr="00D867CD" w:rsidRDefault="00341B61" w:rsidP="00585776">
            <w:pPr>
              <w:pStyle w:val="TableParagraph"/>
              <w:ind w:left="0"/>
              <w:rPr>
                <w:b/>
              </w:rPr>
            </w:pPr>
            <w:r w:rsidRPr="00D867CD">
              <w:rPr>
                <w:b/>
              </w:rPr>
              <w:t>Nepageidaujamos reakcijos dažnis</w:t>
            </w:r>
          </w:p>
        </w:tc>
      </w:tr>
      <w:tr w:rsidR="00A01BAC" w:rsidRPr="00D867CD" w14:paraId="4C508027" w14:textId="77777777" w:rsidTr="00473545">
        <w:trPr>
          <w:trHeight w:val="251"/>
        </w:trPr>
        <w:tc>
          <w:tcPr>
            <w:tcW w:w="4916" w:type="dxa"/>
          </w:tcPr>
          <w:p w14:paraId="4C508025" w14:textId="77777777" w:rsidR="00A01BAC" w:rsidRPr="00D867CD" w:rsidRDefault="00341B61" w:rsidP="00D867CD">
            <w:pPr>
              <w:pStyle w:val="TableParagraph"/>
              <w:ind w:left="0"/>
              <w:jc w:val="left"/>
              <w:rPr>
                <w:b/>
              </w:rPr>
            </w:pPr>
            <w:r w:rsidRPr="00D867CD">
              <w:rPr>
                <w:b/>
              </w:rPr>
              <w:t xml:space="preserve">Infekcijos ir </w:t>
            </w:r>
            <w:proofErr w:type="spellStart"/>
            <w:r w:rsidRPr="00D867CD">
              <w:rPr>
                <w:b/>
              </w:rPr>
              <w:t>infestacijos</w:t>
            </w:r>
            <w:proofErr w:type="spellEnd"/>
          </w:p>
        </w:tc>
        <w:tc>
          <w:tcPr>
            <w:tcW w:w="4148" w:type="dxa"/>
            <w:vAlign w:val="center"/>
          </w:tcPr>
          <w:p w14:paraId="4C508026" w14:textId="77777777" w:rsidR="00A01BAC" w:rsidRPr="00D867CD" w:rsidRDefault="00A01BAC" w:rsidP="00585776">
            <w:pPr>
              <w:pStyle w:val="TableParagraph"/>
              <w:ind w:left="0"/>
            </w:pPr>
          </w:p>
        </w:tc>
      </w:tr>
      <w:tr w:rsidR="00A01BAC" w:rsidRPr="00D867CD" w14:paraId="4C50802A" w14:textId="77777777" w:rsidTr="00473545">
        <w:trPr>
          <w:trHeight w:val="253"/>
        </w:trPr>
        <w:tc>
          <w:tcPr>
            <w:tcW w:w="4916" w:type="dxa"/>
          </w:tcPr>
          <w:p w14:paraId="4C508028" w14:textId="77777777" w:rsidR="00A01BAC" w:rsidRPr="00D867CD" w:rsidRDefault="00341B61" w:rsidP="00D867CD">
            <w:pPr>
              <w:pStyle w:val="TableParagraph"/>
              <w:ind w:left="0"/>
              <w:jc w:val="left"/>
            </w:pPr>
            <w:proofErr w:type="spellStart"/>
            <w:r w:rsidRPr="00D867CD">
              <w:t>Nazofaringitas</w:t>
            </w:r>
            <w:proofErr w:type="spellEnd"/>
          </w:p>
        </w:tc>
        <w:tc>
          <w:tcPr>
            <w:tcW w:w="4148" w:type="dxa"/>
            <w:vAlign w:val="center"/>
          </w:tcPr>
          <w:p w14:paraId="4C508029" w14:textId="3D1191C7" w:rsidR="00A01BAC" w:rsidRPr="00D867CD" w:rsidRDefault="00085BCA" w:rsidP="00585776">
            <w:pPr>
              <w:pStyle w:val="TableParagraph"/>
              <w:ind w:left="0"/>
            </w:pPr>
            <w:r>
              <w:t>N</w:t>
            </w:r>
            <w:r w:rsidR="00341B61" w:rsidRPr="00D867CD">
              <w:t>edažnas</w:t>
            </w:r>
          </w:p>
        </w:tc>
      </w:tr>
      <w:tr w:rsidR="00A01BAC" w:rsidRPr="00D867CD" w14:paraId="4C50802D" w14:textId="77777777" w:rsidTr="00473545">
        <w:trPr>
          <w:trHeight w:val="253"/>
        </w:trPr>
        <w:tc>
          <w:tcPr>
            <w:tcW w:w="4916" w:type="dxa"/>
          </w:tcPr>
          <w:p w14:paraId="4C50802B" w14:textId="77777777" w:rsidR="00A01BAC" w:rsidRPr="00D867CD" w:rsidRDefault="00341B61" w:rsidP="00D867CD">
            <w:pPr>
              <w:pStyle w:val="TableParagraph"/>
              <w:ind w:left="0"/>
              <w:jc w:val="left"/>
              <w:rPr>
                <w:b/>
              </w:rPr>
            </w:pPr>
            <w:r w:rsidRPr="00D867CD">
              <w:rPr>
                <w:b/>
              </w:rPr>
              <w:t>Imuninės sistemos sutrikimai</w:t>
            </w:r>
          </w:p>
        </w:tc>
        <w:tc>
          <w:tcPr>
            <w:tcW w:w="4148" w:type="dxa"/>
            <w:vAlign w:val="center"/>
          </w:tcPr>
          <w:p w14:paraId="4C50802C" w14:textId="77777777" w:rsidR="00A01BAC" w:rsidRPr="00D867CD" w:rsidRDefault="00A01BAC" w:rsidP="00585776">
            <w:pPr>
              <w:pStyle w:val="TableParagraph"/>
              <w:ind w:left="0"/>
            </w:pPr>
          </w:p>
        </w:tc>
      </w:tr>
      <w:tr w:rsidR="00A01BAC" w:rsidRPr="00D867CD" w14:paraId="4C508031" w14:textId="77777777" w:rsidTr="00473545">
        <w:trPr>
          <w:trHeight w:val="503"/>
        </w:trPr>
        <w:tc>
          <w:tcPr>
            <w:tcW w:w="4916" w:type="dxa"/>
          </w:tcPr>
          <w:p w14:paraId="4C50802E" w14:textId="77777777" w:rsidR="00A01BAC" w:rsidRPr="00D867CD" w:rsidRDefault="00341B61" w:rsidP="00D867CD">
            <w:pPr>
              <w:pStyle w:val="TableParagraph"/>
              <w:ind w:left="0"/>
              <w:jc w:val="left"/>
            </w:pPr>
            <w:r w:rsidRPr="00D867CD">
              <w:t>Padidėjęs jautrumas</w:t>
            </w:r>
          </w:p>
          <w:p w14:paraId="4C50802F" w14:textId="77777777" w:rsidR="00A01BAC" w:rsidRPr="00D867CD" w:rsidRDefault="00341B61" w:rsidP="00D867CD">
            <w:pPr>
              <w:pStyle w:val="TableParagraph"/>
              <w:ind w:left="0"/>
              <w:jc w:val="left"/>
            </w:pPr>
            <w:r w:rsidRPr="00D867CD">
              <w:t>(pvz., padidėjęs bronchų reaktyvumas)</w:t>
            </w:r>
          </w:p>
        </w:tc>
        <w:tc>
          <w:tcPr>
            <w:tcW w:w="4148" w:type="dxa"/>
            <w:vAlign w:val="center"/>
          </w:tcPr>
          <w:p w14:paraId="4C508030" w14:textId="6715147D" w:rsidR="00A01BAC" w:rsidRPr="00D867CD" w:rsidRDefault="00085BCA" w:rsidP="00585776">
            <w:pPr>
              <w:pStyle w:val="TableParagraph"/>
              <w:ind w:left="0"/>
            </w:pPr>
            <w:r>
              <w:t>N</w:t>
            </w:r>
            <w:r w:rsidR="00341B61" w:rsidRPr="00D867CD">
              <w:t>edažnas</w:t>
            </w:r>
          </w:p>
        </w:tc>
      </w:tr>
      <w:tr w:rsidR="00A01BAC" w:rsidRPr="00D867CD" w14:paraId="4C508034" w14:textId="77777777" w:rsidTr="00473545">
        <w:trPr>
          <w:trHeight w:val="254"/>
        </w:trPr>
        <w:tc>
          <w:tcPr>
            <w:tcW w:w="4916" w:type="dxa"/>
          </w:tcPr>
          <w:p w14:paraId="4C508032" w14:textId="77777777" w:rsidR="00A01BAC" w:rsidRPr="00D867CD" w:rsidRDefault="00341B61" w:rsidP="00D867CD">
            <w:pPr>
              <w:pStyle w:val="TableParagraph"/>
              <w:ind w:left="0"/>
              <w:jc w:val="left"/>
              <w:rPr>
                <w:b/>
              </w:rPr>
            </w:pPr>
            <w:r w:rsidRPr="00D867CD">
              <w:rPr>
                <w:b/>
              </w:rPr>
              <w:t>Metabolizmo ir mitybos sutrikimai</w:t>
            </w:r>
          </w:p>
        </w:tc>
        <w:tc>
          <w:tcPr>
            <w:tcW w:w="4148" w:type="dxa"/>
            <w:vAlign w:val="center"/>
          </w:tcPr>
          <w:p w14:paraId="4C508033" w14:textId="77777777" w:rsidR="00A01BAC" w:rsidRPr="00D867CD" w:rsidRDefault="00A01BAC" w:rsidP="00585776">
            <w:pPr>
              <w:pStyle w:val="TableParagraph"/>
              <w:ind w:left="0"/>
            </w:pPr>
          </w:p>
        </w:tc>
      </w:tr>
      <w:tr w:rsidR="00A01BAC" w:rsidRPr="00D867CD" w14:paraId="4C508037" w14:textId="77777777" w:rsidTr="00473545">
        <w:trPr>
          <w:trHeight w:val="253"/>
        </w:trPr>
        <w:tc>
          <w:tcPr>
            <w:tcW w:w="4916" w:type="dxa"/>
          </w:tcPr>
          <w:p w14:paraId="4C508035" w14:textId="77777777" w:rsidR="00A01BAC" w:rsidRPr="00D867CD" w:rsidRDefault="00341B61" w:rsidP="00D867CD">
            <w:pPr>
              <w:pStyle w:val="TableParagraph"/>
              <w:ind w:left="0"/>
              <w:jc w:val="left"/>
            </w:pPr>
            <w:r w:rsidRPr="00D867CD">
              <w:t>Hipoglikemija</w:t>
            </w:r>
            <w:r w:rsidRPr="00D867CD">
              <w:rPr>
                <w:vertAlign w:val="superscript"/>
              </w:rPr>
              <w:t>1</w:t>
            </w:r>
          </w:p>
        </w:tc>
        <w:tc>
          <w:tcPr>
            <w:tcW w:w="4148" w:type="dxa"/>
            <w:vAlign w:val="center"/>
          </w:tcPr>
          <w:p w14:paraId="4C508036" w14:textId="15B5879C" w:rsidR="00A01BAC" w:rsidRPr="00D867CD" w:rsidRDefault="00085BCA" w:rsidP="00585776">
            <w:pPr>
              <w:pStyle w:val="TableParagraph"/>
              <w:ind w:left="0"/>
            </w:pPr>
            <w:r>
              <w:t>L</w:t>
            </w:r>
            <w:r w:rsidR="00341B61" w:rsidRPr="00D867CD">
              <w:t>abai dažnas</w:t>
            </w:r>
          </w:p>
        </w:tc>
      </w:tr>
      <w:tr w:rsidR="00A01BAC" w:rsidRPr="00D867CD" w14:paraId="4C50803A" w14:textId="77777777" w:rsidTr="00473545">
        <w:trPr>
          <w:trHeight w:val="506"/>
        </w:trPr>
        <w:tc>
          <w:tcPr>
            <w:tcW w:w="4916" w:type="dxa"/>
          </w:tcPr>
          <w:p w14:paraId="4C508038" w14:textId="77777777" w:rsidR="00A01BAC" w:rsidRPr="00D867CD" w:rsidRDefault="00341B61" w:rsidP="00D867CD">
            <w:pPr>
              <w:pStyle w:val="TableParagraph"/>
              <w:ind w:left="0"/>
              <w:jc w:val="left"/>
              <w:rPr>
                <w:b/>
              </w:rPr>
            </w:pPr>
            <w:r w:rsidRPr="00D867CD">
              <w:rPr>
                <w:b/>
              </w:rPr>
              <w:t>Kvėpavimo sistemos, krūtinės ląstos ir tarpuplaučio sutrikimai</w:t>
            </w:r>
          </w:p>
        </w:tc>
        <w:tc>
          <w:tcPr>
            <w:tcW w:w="4148" w:type="dxa"/>
            <w:vAlign w:val="center"/>
          </w:tcPr>
          <w:p w14:paraId="4C508039" w14:textId="77777777" w:rsidR="00A01BAC" w:rsidRPr="00D867CD" w:rsidRDefault="00A01BAC" w:rsidP="00585776">
            <w:pPr>
              <w:pStyle w:val="TableParagraph"/>
              <w:ind w:left="0"/>
            </w:pPr>
          </w:p>
        </w:tc>
      </w:tr>
      <w:tr w:rsidR="00A01BAC" w:rsidRPr="00D867CD" w14:paraId="4C50803D" w14:textId="77777777" w:rsidTr="00473545">
        <w:trPr>
          <w:trHeight w:val="251"/>
        </w:trPr>
        <w:tc>
          <w:tcPr>
            <w:tcW w:w="4916" w:type="dxa"/>
          </w:tcPr>
          <w:p w14:paraId="4C50803B" w14:textId="77777777" w:rsidR="00A01BAC" w:rsidRPr="00D867CD" w:rsidRDefault="00341B61" w:rsidP="00D867CD">
            <w:pPr>
              <w:pStyle w:val="TableParagraph"/>
              <w:ind w:left="0"/>
              <w:jc w:val="left"/>
            </w:pPr>
            <w:r w:rsidRPr="00D867CD">
              <w:t>Kosulys</w:t>
            </w:r>
          </w:p>
        </w:tc>
        <w:tc>
          <w:tcPr>
            <w:tcW w:w="4148" w:type="dxa"/>
            <w:vAlign w:val="center"/>
          </w:tcPr>
          <w:p w14:paraId="4C50803C" w14:textId="1A9A0F04" w:rsidR="00A01BAC" w:rsidRPr="00D867CD" w:rsidRDefault="00085BCA" w:rsidP="00585776">
            <w:pPr>
              <w:pStyle w:val="TableParagraph"/>
              <w:ind w:left="0"/>
            </w:pPr>
            <w:r>
              <w:t>N</w:t>
            </w:r>
            <w:r w:rsidR="00341B61" w:rsidRPr="00D867CD">
              <w:t>edažnas</w:t>
            </w:r>
          </w:p>
        </w:tc>
      </w:tr>
      <w:tr w:rsidR="00A01BAC" w:rsidRPr="00D867CD" w14:paraId="4C508040" w14:textId="77777777" w:rsidTr="00473545">
        <w:trPr>
          <w:trHeight w:val="254"/>
        </w:trPr>
        <w:tc>
          <w:tcPr>
            <w:tcW w:w="4916" w:type="dxa"/>
          </w:tcPr>
          <w:p w14:paraId="4C50803E" w14:textId="77777777" w:rsidR="00A01BAC" w:rsidRPr="00D867CD" w:rsidRDefault="00341B61" w:rsidP="00D867CD">
            <w:pPr>
              <w:pStyle w:val="TableParagraph"/>
              <w:ind w:left="0"/>
              <w:jc w:val="left"/>
              <w:rPr>
                <w:b/>
              </w:rPr>
            </w:pPr>
            <w:r w:rsidRPr="00D867CD">
              <w:rPr>
                <w:b/>
              </w:rPr>
              <w:t>Virškinimo trakto sutrikimai</w:t>
            </w:r>
          </w:p>
        </w:tc>
        <w:tc>
          <w:tcPr>
            <w:tcW w:w="4148" w:type="dxa"/>
            <w:vAlign w:val="center"/>
          </w:tcPr>
          <w:p w14:paraId="4C50803F" w14:textId="77777777" w:rsidR="00A01BAC" w:rsidRPr="00D867CD" w:rsidRDefault="00A01BAC" w:rsidP="00585776">
            <w:pPr>
              <w:pStyle w:val="TableParagraph"/>
              <w:ind w:left="0"/>
            </w:pPr>
          </w:p>
        </w:tc>
      </w:tr>
      <w:tr w:rsidR="00A01BAC" w:rsidRPr="00D867CD" w14:paraId="4C508043" w14:textId="77777777" w:rsidTr="00473545">
        <w:trPr>
          <w:trHeight w:val="251"/>
        </w:trPr>
        <w:tc>
          <w:tcPr>
            <w:tcW w:w="4916" w:type="dxa"/>
          </w:tcPr>
          <w:p w14:paraId="4C508041" w14:textId="77777777" w:rsidR="00A01BAC" w:rsidRPr="00D867CD" w:rsidRDefault="00341B61" w:rsidP="00D867CD">
            <w:pPr>
              <w:pStyle w:val="TableParagraph"/>
              <w:ind w:left="0"/>
              <w:jc w:val="left"/>
            </w:pPr>
            <w:r w:rsidRPr="00D867CD">
              <w:t>Pankreatitas</w:t>
            </w:r>
          </w:p>
        </w:tc>
        <w:tc>
          <w:tcPr>
            <w:tcW w:w="4148" w:type="dxa"/>
            <w:vAlign w:val="center"/>
          </w:tcPr>
          <w:p w14:paraId="4C508042" w14:textId="06CCBF42" w:rsidR="00A01BAC" w:rsidRPr="00D867CD" w:rsidRDefault="00085BCA" w:rsidP="00585776">
            <w:pPr>
              <w:pStyle w:val="TableParagraph"/>
              <w:ind w:left="0"/>
            </w:pPr>
            <w:r>
              <w:t>R</w:t>
            </w:r>
            <w:r w:rsidR="00341B61" w:rsidRPr="00D867CD">
              <w:t>etas</w:t>
            </w:r>
            <w:r>
              <w:t xml:space="preserve"> </w:t>
            </w:r>
            <w:r w:rsidR="00341B61" w:rsidRPr="00085BCA">
              <w:t>#</w:t>
            </w:r>
          </w:p>
        </w:tc>
      </w:tr>
      <w:tr w:rsidR="00A01BAC" w:rsidRPr="00D867CD" w14:paraId="4C508046" w14:textId="77777777" w:rsidTr="00473545">
        <w:trPr>
          <w:trHeight w:val="254"/>
        </w:trPr>
        <w:tc>
          <w:tcPr>
            <w:tcW w:w="4916" w:type="dxa"/>
          </w:tcPr>
          <w:p w14:paraId="4C508044" w14:textId="77777777" w:rsidR="00A01BAC" w:rsidRPr="00D867CD" w:rsidRDefault="00341B61" w:rsidP="00D867CD">
            <w:pPr>
              <w:pStyle w:val="TableParagraph"/>
              <w:ind w:left="0"/>
              <w:jc w:val="left"/>
            </w:pPr>
            <w:r w:rsidRPr="00D867CD">
              <w:t>Vidurių užkietėjimas</w:t>
            </w:r>
            <w:r w:rsidRPr="00D867CD">
              <w:rPr>
                <w:vertAlign w:val="superscript"/>
              </w:rPr>
              <w:t>2</w:t>
            </w:r>
          </w:p>
        </w:tc>
        <w:tc>
          <w:tcPr>
            <w:tcW w:w="4148" w:type="dxa"/>
            <w:vAlign w:val="center"/>
          </w:tcPr>
          <w:p w14:paraId="4C508045" w14:textId="4B09A244" w:rsidR="00A01BAC" w:rsidRPr="00D867CD" w:rsidRDefault="00085BCA" w:rsidP="00585776">
            <w:pPr>
              <w:pStyle w:val="TableParagraph"/>
              <w:ind w:left="0"/>
            </w:pPr>
            <w:r>
              <w:t>N</w:t>
            </w:r>
            <w:r w:rsidR="00341B61" w:rsidRPr="00D867CD">
              <w:t>edažnas</w:t>
            </w:r>
          </w:p>
        </w:tc>
      </w:tr>
      <w:tr w:rsidR="00A01BAC" w:rsidRPr="00D867CD" w14:paraId="4C508049" w14:textId="77777777" w:rsidTr="00473545">
        <w:trPr>
          <w:trHeight w:val="251"/>
        </w:trPr>
        <w:tc>
          <w:tcPr>
            <w:tcW w:w="4916" w:type="dxa"/>
          </w:tcPr>
          <w:p w14:paraId="4C508047" w14:textId="77777777" w:rsidR="00A01BAC" w:rsidRPr="00D867CD" w:rsidRDefault="00341B61" w:rsidP="00D867CD">
            <w:pPr>
              <w:pStyle w:val="TableParagraph"/>
              <w:ind w:left="0"/>
              <w:jc w:val="left"/>
              <w:rPr>
                <w:b/>
              </w:rPr>
            </w:pPr>
            <w:r w:rsidRPr="00D867CD">
              <w:rPr>
                <w:b/>
              </w:rPr>
              <w:t>Odos ir poodinio audinio sutrikimai</w:t>
            </w:r>
          </w:p>
        </w:tc>
        <w:tc>
          <w:tcPr>
            <w:tcW w:w="4148" w:type="dxa"/>
            <w:vAlign w:val="center"/>
          </w:tcPr>
          <w:p w14:paraId="4C508048" w14:textId="77777777" w:rsidR="00A01BAC" w:rsidRPr="00D867CD" w:rsidRDefault="00A01BAC" w:rsidP="00585776">
            <w:pPr>
              <w:pStyle w:val="TableParagraph"/>
              <w:ind w:left="0"/>
            </w:pPr>
          </w:p>
        </w:tc>
      </w:tr>
      <w:tr w:rsidR="00A01BAC" w:rsidRPr="00D867CD" w14:paraId="4C50804C" w14:textId="77777777" w:rsidTr="00473545">
        <w:trPr>
          <w:trHeight w:val="253"/>
        </w:trPr>
        <w:tc>
          <w:tcPr>
            <w:tcW w:w="4916" w:type="dxa"/>
          </w:tcPr>
          <w:p w14:paraId="4C50804A" w14:textId="77777777" w:rsidR="00A01BAC" w:rsidRPr="00D867CD" w:rsidRDefault="00341B61" w:rsidP="00D867CD">
            <w:pPr>
              <w:pStyle w:val="TableParagraph"/>
              <w:ind w:left="0"/>
              <w:jc w:val="left"/>
            </w:pPr>
            <w:proofErr w:type="spellStart"/>
            <w:r w:rsidRPr="00D867CD">
              <w:t>Angioneurozinė</w:t>
            </w:r>
            <w:proofErr w:type="spellEnd"/>
            <w:r w:rsidRPr="00D867CD">
              <w:t xml:space="preserve"> edema*</w:t>
            </w:r>
          </w:p>
        </w:tc>
        <w:tc>
          <w:tcPr>
            <w:tcW w:w="4148" w:type="dxa"/>
            <w:vAlign w:val="center"/>
          </w:tcPr>
          <w:p w14:paraId="4C50804B" w14:textId="40FE9300" w:rsidR="00A01BAC" w:rsidRPr="00D867CD" w:rsidRDefault="00085BCA" w:rsidP="00585776">
            <w:pPr>
              <w:pStyle w:val="TableParagraph"/>
              <w:ind w:left="0"/>
            </w:pPr>
            <w:r>
              <w:t>R</w:t>
            </w:r>
            <w:r w:rsidR="00341B61" w:rsidRPr="00D867CD">
              <w:t>etas</w:t>
            </w:r>
          </w:p>
        </w:tc>
      </w:tr>
      <w:tr w:rsidR="00A01BAC" w:rsidRPr="00D867CD" w14:paraId="4C50804F" w14:textId="77777777" w:rsidTr="00473545">
        <w:trPr>
          <w:trHeight w:val="253"/>
        </w:trPr>
        <w:tc>
          <w:tcPr>
            <w:tcW w:w="4916" w:type="dxa"/>
          </w:tcPr>
          <w:p w14:paraId="4C50804D" w14:textId="77777777" w:rsidR="00A01BAC" w:rsidRPr="00D867CD" w:rsidRDefault="00341B61" w:rsidP="00D867CD">
            <w:pPr>
              <w:pStyle w:val="TableParagraph"/>
              <w:ind w:left="0"/>
              <w:jc w:val="left"/>
            </w:pPr>
            <w:r w:rsidRPr="00D867CD">
              <w:t>Dilgėlinė*</w:t>
            </w:r>
          </w:p>
        </w:tc>
        <w:tc>
          <w:tcPr>
            <w:tcW w:w="4148" w:type="dxa"/>
            <w:vAlign w:val="center"/>
          </w:tcPr>
          <w:p w14:paraId="4C50804E" w14:textId="7C3D2361" w:rsidR="00A01BAC" w:rsidRPr="00D867CD" w:rsidRDefault="00085BCA" w:rsidP="00585776">
            <w:pPr>
              <w:pStyle w:val="TableParagraph"/>
              <w:ind w:left="0"/>
            </w:pPr>
            <w:r>
              <w:t>R</w:t>
            </w:r>
            <w:r w:rsidR="00341B61" w:rsidRPr="00D867CD">
              <w:t>etas</w:t>
            </w:r>
          </w:p>
        </w:tc>
      </w:tr>
      <w:tr w:rsidR="00A01BAC" w:rsidRPr="00D867CD" w14:paraId="4C508052" w14:textId="77777777" w:rsidTr="00473545">
        <w:trPr>
          <w:trHeight w:val="251"/>
        </w:trPr>
        <w:tc>
          <w:tcPr>
            <w:tcW w:w="4916" w:type="dxa"/>
          </w:tcPr>
          <w:p w14:paraId="4C508050" w14:textId="0C50A9A5" w:rsidR="00A01BAC" w:rsidRPr="00D867CD" w:rsidRDefault="00725EDC" w:rsidP="00D867CD">
            <w:pPr>
              <w:pStyle w:val="TableParagraph"/>
              <w:ind w:left="0"/>
              <w:jc w:val="left"/>
            </w:pPr>
            <w:r>
              <w:t>B</w:t>
            </w:r>
            <w:r w:rsidR="00341B61" w:rsidRPr="00D867CD">
              <w:t>ėrimas*</w:t>
            </w:r>
          </w:p>
        </w:tc>
        <w:tc>
          <w:tcPr>
            <w:tcW w:w="4148" w:type="dxa"/>
            <w:vAlign w:val="center"/>
          </w:tcPr>
          <w:p w14:paraId="4C508051" w14:textId="57C77B44" w:rsidR="00A01BAC" w:rsidRPr="00D867CD" w:rsidRDefault="00085BCA" w:rsidP="00585776">
            <w:pPr>
              <w:pStyle w:val="TableParagraph"/>
              <w:ind w:left="0"/>
            </w:pPr>
            <w:r>
              <w:t>N</w:t>
            </w:r>
            <w:r w:rsidR="00341B61" w:rsidRPr="00D867CD">
              <w:t>edažnas</w:t>
            </w:r>
          </w:p>
        </w:tc>
      </w:tr>
      <w:tr w:rsidR="00A01BAC" w:rsidRPr="00D867CD" w14:paraId="4C508055" w14:textId="77777777" w:rsidTr="00473545">
        <w:trPr>
          <w:trHeight w:val="253"/>
        </w:trPr>
        <w:tc>
          <w:tcPr>
            <w:tcW w:w="4916" w:type="dxa"/>
          </w:tcPr>
          <w:p w14:paraId="4C508053" w14:textId="77777777" w:rsidR="00A01BAC" w:rsidRPr="00D867CD" w:rsidRDefault="00341B61" w:rsidP="00D867CD">
            <w:pPr>
              <w:pStyle w:val="TableParagraph"/>
              <w:ind w:left="0"/>
              <w:jc w:val="left"/>
            </w:pPr>
            <w:proofErr w:type="spellStart"/>
            <w:r w:rsidRPr="00D867CD">
              <w:t>Pūslinis</w:t>
            </w:r>
            <w:proofErr w:type="spellEnd"/>
            <w:r w:rsidRPr="00D867CD">
              <w:t xml:space="preserve"> </w:t>
            </w:r>
            <w:proofErr w:type="spellStart"/>
            <w:r w:rsidRPr="00D867CD">
              <w:t>pemfigoidas</w:t>
            </w:r>
            <w:proofErr w:type="spellEnd"/>
          </w:p>
        </w:tc>
        <w:tc>
          <w:tcPr>
            <w:tcW w:w="4148" w:type="dxa"/>
            <w:vAlign w:val="center"/>
          </w:tcPr>
          <w:p w14:paraId="4C508054" w14:textId="732CFE16" w:rsidR="00A01BAC" w:rsidRPr="00D867CD" w:rsidRDefault="00085BCA" w:rsidP="00585776">
            <w:pPr>
              <w:pStyle w:val="TableParagraph"/>
              <w:ind w:left="0"/>
            </w:pPr>
            <w:r>
              <w:t>R</w:t>
            </w:r>
            <w:r w:rsidR="00341B61" w:rsidRPr="00D867CD">
              <w:t>etas</w:t>
            </w:r>
            <w:r>
              <w:t xml:space="preserve"> </w:t>
            </w:r>
            <w:r w:rsidR="00341B61" w:rsidRPr="00085BCA">
              <w:t>#</w:t>
            </w:r>
          </w:p>
        </w:tc>
      </w:tr>
      <w:tr w:rsidR="00A01BAC" w:rsidRPr="00D867CD" w14:paraId="4C508058" w14:textId="77777777" w:rsidTr="00473545">
        <w:trPr>
          <w:trHeight w:val="251"/>
        </w:trPr>
        <w:tc>
          <w:tcPr>
            <w:tcW w:w="4916" w:type="dxa"/>
          </w:tcPr>
          <w:p w14:paraId="4C508056" w14:textId="77777777" w:rsidR="00A01BAC" w:rsidRPr="00D867CD" w:rsidRDefault="00341B61" w:rsidP="00D867CD">
            <w:pPr>
              <w:pStyle w:val="TableParagraph"/>
              <w:ind w:left="0"/>
              <w:jc w:val="left"/>
              <w:rPr>
                <w:b/>
              </w:rPr>
            </w:pPr>
            <w:r w:rsidRPr="00D867CD">
              <w:rPr>
                <w:b/>
              </w:rPr>
              <w:t>Tyrimai</w:t>
            </w:r>
          </w:p>
        </w:tc>
        <w:tc>
          <w:tcPr>
            <w:tcW w:w="4148" w:type="dxa"/>
            <w:vAlign w:val="center"/>
          </w:tcPr>
          <w:p w14:paraId="4C508057" w14:textId="77777777" w:rsidR="00A01BAC" w:rsidRPr="00D867CD" w:rsidRDefault="00A01BAC" w:rsidP="00585776">
            <w:pPr>
              <w:pStyle w:val="TableParagraph"/>
              <w:ind w:left="0"/>
            </w:pPr>
          </w:p>
        </w:tc>
      </w:tr>
      <w:tr w:rsidR="00A01BAC" w:rsidRPr="00D867CD" w14:paraId="4C50805B" w14:textId="77777777" w:rsidTr="00473545">
        <w:trPr>
          <w:trHeight w:val="253"/>
        </w:trPr>
        <w:tc>
          <w:tcPr>
            <w:tcW w:w="4916" w:type="dxa"/>
          </w:tcPr>
          <w:p w14:paraId="4C508059" w14:textId="77777777" w:rsidR="00A01BAC" w:rsidRPr="00D867CD" w:rsidRDefault="00341B61" w:rsidP="00D867CD">
            <w:pPr>
              <w:pStyle w:val="TableParagraph"/>
              <w:ind w:left="0"/>
              <w:jc w:val="left"/>
            </w:pPr>
            <w:r w:rsidRPr="00D867CD">
              <w:t xml:space="preserve">Padidėjęs </w:t>
            </w:r>
            <w:proofErr w:type="spellStart"/>
            <w:r w:rsidRPr="00D867CD">
              <w:t>amilazės</w:t>
            </w:r>
            <w:proofErr w:type="spellEnd"/>
            <w:r w:rsidRPr="00D867CD">
              <w:t xml:space="preserve"> aktyvumas</w:t>
            </w:r>
          </w:p>
        </w:tc>
        <w:tc>
          <w:tcPr>
            <w:tcW w:w="4148" w:type="dxa"/>
            <w:vAlign w:val="center"/>
          </w:tcPr>
          <w:p w14:paraId="4C50805A" w14:textId="0052BA3F" w:rsidR="00A01BAC" w:rsidRPr="00D867CD" w:rsidRDefault="00085BCA" w:rsidP="00585776">
            <w:pPr>
              <w:pStyle w:val="TableParagraph"/>
              <w:ind w:left="0"/>
            </w:pPr>
            <w:r>
              <w:t>N</w:t>
            </w:r>
            <w:r w:rsidR="00341B61" w:rsidRPr="00D867CD">
              <w:t>edažnas</w:t>
            </w:r>
          </w:p>
        </w:tc>
      </w:tr>
      <w:tr w:rsidR="00A01BAC" w:rsidRPr="00D867CD" w14:paraId="4C50805E" w14:textId="77777777" w:rsidTr="00473545">
        <w:trPr>
          <w:trHeight w:val="254"/>
        </w:trPr>
        <w:tc>
          <w:tcPr>
            <w:tcW w:w="4916" w:type="dxa"/>
          </w:tcPr>
          <w:p w14:paraId="4C50805C" w14:textId="77777777" w:rsidR="00A01BAC" w:rsidRPr="00D867CD" w:rsidRDefault="00341B61" w:rsidP="00D867CD">
            <w:pPr>
              <w:pStyle w:val="TableParagraph"/>
              <w:ind w:left="0"/>
              <w:jc w:val="left"/>
            </w:pPr>
            <w:r w:rsidRPr="00D867CD">
              <w:t>Padidėjęs lipazės aktyvumas**</w:t>
            </w:r>
          </w:p>
        </w:tc>
        <w:tc>
          <w:tcPr>
            <w:tcW w:w="4148" w:type="dxa"/>
            <w:vAlign w:val="center"/>
          </w:tcPr>
          <w:p w14:paraId="4C50805D" w14:textId="55E93DC7" w:rsidR="00A01BAC" w:rsidRPr="00D867CD" w:rsidRDefault="00085BCA" w:rsidP="00585776">
            <w:pPr>
              <w:pStyle w:val="TableParagraph"/>
              <w:ind w:left="0"/>
            </w:pPr>
            <w:r>
              <w:t>D</w:t>
            </w:r>
            <w:r w:rsidR="00341B61" w:rsidRPr="00D867CD">
              <w:t>ažnas</w:t>
            </w:r>
          </w:p>
        </w:tc>
      </w:tr>
    </w:tbl>
    <w:p w14:paraId="4C50805F" w14:textId="2DBF177F" w:rsidR="00A01BAC" w:rsidRPr="00B87A46" w:rsidRDefault="00341B61" w:rsidP="00585776">
      <w:pPr>
        <w:ind w:left="567" w:hanging="567"/>
        <w:rPr>
          <w:sz w:val="16"/>
          <w:szCs w:val="16"/>
        </w:rPr>
      </w:pPr>
      <w:r w:rsidRPr="00B87A46">
        <w:rPr>
          <w:sz w:val="16"/>
          <w:szCs w:val="16"/>
        </w:rPr>
        <w:t>*</w:t>
      </w:r>
      <w:r w:rsidR="00585776" w:rsidRPr="00B87A46">
        <w:rPr>
          <w:sz w:val="16"/>
          <w:szCs w:val="16"/>
        </w:rPr>
        <w:tab/>
      </w:r>
      <w:r w:rsidRPr="00B87A46">
        <w:rPr>
          <w:sz w:val="16"/>
          <w:szCs w:val="16"/>
        </w:rPr>
        <w:t>Remiantis duomenimis, gautais vaistin</w:t>
      </w:r>
      <w:r w:rsidR="00552350">
        <w:rPr>
          <w:sz w:val="16"/>
          <w:szCs w:val="16"/>
        </w:rPr>
        <w:t>iam</w:t>
      </w:r>
      <w:r w:rsidRPr="00B87A46">
        <w:rPr>
          <w:sz w:val="16"/>
          <w:szCs w:val="16"/>
        </w:rPr>
        <w:t xml:space="preserve"> preparat</w:t>
      </w:r>
      <w:r w:rsidR="00552350">
        <w:rPr>
          <w:sz w:val="16"/>
          <w:szCs w:val="16"/>
        </w:rPr>
        <w:t>ui</w:t>
      </w:r>
      <w:r w:rsidRPr="00B87A46">
        <w:rPr>
          <w:sz w:val="16"/>
          <w:szCs w:val="16"/>
        </w:rPr>
        <w:t xml:space="preserve"> </w:t>
      </w:r>
      <w:r w:rsidR="00552350">
        <w:rPr>
          <w:sz w:val="16"/>
          <w:szCs w:val="16"/>
        </w:rPr>
        <w:t>esant</w:t>
      </w:r>
      <w:r w:rsidRPr="00B87A46">
        <w:rPr>
          <w:sz w:val="16"/>
          <w:szCs w:val="16"/>
        </w:rPr>
        <w:t xml:space="preserve"> rink</w:t>
      </w:r>
      <w:r w:rsidR="00552350">
        <w:rPr>
          <w:sz w:val="16"/>
          <w:szCs w:val="16"/>
        </w:rPr>
        <w:t>oje</w:t>
      </w:r>
    </w:p>
    <w:p w14:paraId="4C508060" w14:textId="5259A7F6" w:rsidR="00A01BAC" w:rsidRPr="00B87A46" w:rsidRDefault="00341B61" w:rsidP="00585776">
      <w:pPr>
        <w:ind w:left="567" w:hanging="567"/>
        <w:rPr>
          <w:sz w:val="16"/>
          <w:szCs w:val="16"/>
        </w:rPr>
      </w:pPr>
      <w:r w:rsidRPr="00B87A46">
        <w:rPr>
          <w:sz w:val="16"/>
          <w:szCs w:val="16"/>
        </w:rPr>
        <w:t>**</w:t>
      </w:r>
      <w:r w:rsidR="00585776" w:rsidRPr="00B87A46">
        <w:rPr>
          <w:sz w:val="16"/>
          <w:szCs w:val="16"/>
        </w:rPr>
        <w:tab/>
      </w:r>
      <w:r w:rsidRPr="00B87A46">
        <w:rPr>
          <w:sz w:val="16"/>
          <w:szCs w:val="16"/>
        </w:rPr>
        <w:t>Remiantis klinikiniuose tyrimuose pastebėtu lipazės aktyvumo padidėjimu &gt; 3</w:t>
      </w:r>
      <w:r w:rsidR="001A23BB" w:rsidRPr="00B87A46">
        <w:rPr>
          <w:sz w:val="16"/>
          <w:szCs w:val="16"/>
        </w:rPr>
        <w:t> × </w:t>
      </w:r>
      <w:r w:rsidRPr="00B87A46">
        <w:rPr>
          <w:sz w:val="16"/>
          <w:szCs w:val="16"/>
        </w:rPr>
        <w:t>VNR</w:t>
      </w:r>
    </w:p>
    <w:p w14:paraId="4C508061" w14:textId="16F52B4C" w:rsidR="00A01BAC" w:rsidRPr="00B87A46" w:rsidRDefault="00341B61" w:rsidP="00585776">
      <w:pPr>
        <w:tabs>
          <w:tab w:val="left" w:pos="567"/>
        </w:tabs>
        <w:ind w:left="567" w:hanging="567"/>
        <w:rPr>
          <w:sz w:val="16"/>
          <w:szCs w:val="16"/>
        </w:rPr>
      </w:pPr>
      <w:r w:rsidRPr="00B87A46">
        <w:rPr>
          <w:sz w:val="16"/>
          <w:szCs w:val="16"/>
          <w:vertAlign w:val="superscript"/>
        </w:rPr>
        <w:t>#</w:t>
      </w:r>
      <w:r w:rsidRPr="00B87A46">
        <w:rPr>
          <w:sz w:val="16"/>
          <w:szCs w:val="16"/>
        </w:rPr>
        <w:tab/>
        <w:t xml:space="preserve">Remiantis </w:t>
      </w:r>
      <w:proofErr w:type="spellStart"/>
      <w:r w:rsidRPr="00C24D1C">
        <w:rPr>
          <w:iCs/>
          <w:sz w:val="16"/>
          <w:szCs w:val="16"/>
        </w:rPr>
        <w:t>Linagliptino</w:t>
      </w:r>
      <w:proofErr w:type="spellEnd"/>
      <w:r w:rsidRPr="00C24D1C">
        <w:rPr>
          <w:iCs/>
          <w:sz w:val="16"/>
          <w:szCs w:val="16"/>
        </w:rPr>
        <w:t xml:space="preserve"> saugumo širdies ir kraujagyslių </w:t>
      </w:r>
      <w:r w:rsidR="00471969">
        <w:rPr>
          <w:iCs/>
          <w:sz w:val="16"/>
          <w:szCs w:val="16"/>
        </w:rPr>
        <w:t xml:space="preserve">bei inkstų </w:t>
      </w:r>
      <w:r w:rsidRPr="00C24D1C">
        <w:rPr>
          <w:iCs/>
          <w:sz w:val="16"/>
          <w:szCs w:val="16"/>
        </w:rPr>
        <w:t>sistemai tyrimu (CARMELINA),</w:t>
      </w:r>
      <w:r w:rsidRPr="00B87A46">
        <w:rPr>
          <w:sz w:val="16"/>
          <w:szCs w:val="16"/>
        </w:rPr>
        <w:t xml:space="preserve"> išsamiau žr. toliau.</w:t>
      </w:r>
    </w:p>
    <w:p w14:paraId="4C508062" w14:textId="77777777" w:rsidR="00A01BAC" w:rsidRPr="00B87A46" w:rsidRDefault="00341B61" w:rsidP="00585776">
      <w:pPr>
        <w:tabs>
          <w:tab w:val="left" w:pos="567"/>
        </w:tabs>
        <w:ind w:left="567" w:hanging="567"/>
        <w:rPr>
          <w:sz w:val="16"/>
          <w:szCs w:val="16"/>
        </w:rPr>
      </w:pPr>
      <w:r w:rsidRPr="00B87A46">
        <w:rPr>
          <w:sz w:val="16"/>
          <w:szCs w:val="16"/>
          <w:vertAlign w:val="superscript"/>
        </w:rPr>
        <w:t>1</w:t>
      </w:r>
      <w:r w:rsidRPr="00B87A46">
        <w:rPr>
          <w:sz w:val="16"/>
          <w:szCs w:val="16"/>
        </w:rPr>
        <w:tab/>
        <w:t xml:space="preserve">Nepageidaujama reakcija stebėta skiriant kartu su </w:t>
      </w:r>
      <w:proofErr w:type="spellStart"/>
      <w:r w:rsidRPr="00B87A46">
        <w:rPr>
          <w:sz w:val="16"/>
          <w:szCs w:val="16"/>
        </w:rPr>
        <w:t>metforminu</w:t>
      </w:r>
      <w:proofErr w:type="spellEnd"/>
      <w:r w:rsidRPr="00B87A46">
        <w:rPr>
          <w:sz w:val="16"/>
          <w:szCs w:val="16"/>
        </w:rPr>
        <w:t xml:space="preserve"> ir </w:t>
      </w:r>
      <w:proofErr w:type="spellStart"/>
      <w:r w:rsidRPr="00B87A46">
        <w:rPr>
          <w:sz w:val="16"/>
          <w:szCs w:val="16"/>
        </w:rPr>
        <w:t>sulfonilurėjos</w:t>
      </w:r>
      <w:proofErr w:type="spellEnd"/>
      <w:r w:rsidRPr="00B87A46">
        <w:rPr>
          <w:sz w:val="16"/>
          <w:szCs w:val="16"/>
        </w:rPr>
        <w:t xml:space="preserve"> dariniu</w:t>
      </w:r>
    </w:p>
    <w:p w14:paraId="4C508063" w14:textId="77777777" w:rsidR="00A01BAC" w:rsidRPr="00B87A46" w:rsidRDefault="00341B61" w:rsidP="00585776">
      <w:pPr>
        <w:tabs>
          <w:tab w:val="left" w:pos="567"/>
        </w:tabs>
        <w:ind w:left="567" w:hanging="567"/>
        <w:rPr>
          <w:sz w:val="16"/>
          <w:szCs w:val="16"/>
        </w:rPr>
      </w:pPr>
      <w:r w:rsidRPr="00B87A46">
        <w:rPr>
          <w:sz w:val="16"/>
          <w:szCs w:val="16"/>
          <w:vertAlign w:val="superscript"/>
        </w:rPr>
        <w:t>2</w:t>
      </w:r>
      <w:r w:rsidRPr="00B87A46">
        <w:rPr>
          <w:sz w:val="16"/>
          <w:szCs w:val="16"/>
        </w:rPr>
        <w:tab/>
        <w:t>Nepageidaujama reakcija stebėta skiriant kartu su insulinu</w:t>
      </w:r>
    </w:p>
    <w:p w14:paraId="4C508064" w14:textId="77777777" w:rsidR="00A01BAC" w:rsidRPr="00D867CD" w:rsidRDefault="00A01BAC" w:rsidP="00D867CD">
      <w:pPr>
        <w:pStyle w:val="Pagrindinistekstas"/>
      </w:pPr>
    </w:p>
    <w:p w14:paraId="721BEC60" w14:textId="1D76ECB6" w:rsidR="003E64C4" w:rsidRDefault="00341B61" w:rsidP="00D867CD">
      <w:pPr>
        <w:pStyle w:val="Pagrindinistekstas"/>
      </w:pPr>
      <w:proofErr w:type="spellStart"/>
      <w:r w:rsidRPr="00D867CD">
        <w:rPr>
          <w:u w:val="single"/>
        </w:rPr>
        <w:t>Linagliptino</w:t>
      </w:r>
      <w:proofErr w:type="spellEnd"/>
      <w:r w:rsidRPr="00D867CD">
        <w:rPr>
          <w:u w:val="single"/>
        </w:rPr>
        <w:t xml:space="preserve"> saugumo širdies ir kraujagyslių </w:t>
      </w:r>
      <w:r w:rsidR="00966EC0">
        <w:rPr>
          <w:u w:val="single"/>
        </w:rPr>
        <w:t xml:space="preserve">bei inkstų </w:t>
      </w:r>
      <w:r w:rsidRPr="00D867CD">
        <w:rPr>
          <w:u w:val="single"/>
        </w:rPr>
        <w:t>sistemai tyrimas (CARMELINA)</w:t>
      </w:r>
    </w:p>
    <w:p w14:paraId="4C508065" w14:textId="220260F8" w:rsidR="00A01BAC" w:rsidRDefault="00341B61" w:rsidP="00D867CD">
      <w:pPr>
        <w:pStyle w:val="Pagrindinistekstas"/>
      </w:pPr>
      <w:r w:rsidRPr="00D867CD">
        <w:t xml:space="preserve">CARMELINA tyrimo metu buvo vertinamas </w:t>
      </w:r>
      <w:proofErr w:type="spellStart"/>
      <w:r w:rsidRPr="00D867CD">
        <w:t>linagliptino</w:t>
      </w:r>
      <w:proofErr w:type="spellEnd"/>
      <w:r w:rsidRPr="00D867CD">
        <w:t xml:space="preserve"> saugumas širdies ir kraujagyslių </w:t>
      </w:r>
      <w:r w:rsidR="000160FD">
        <w:t xml:space="preserve">bei inkstų </w:t>
      </w:r>
      <w:r w:rsidRPr="00D867CD">
        <w:t xml:space="preserve">sistemai, palyginti su placebu, pacientams, sergantiems </w:t>
      </w:r>
      <w:r>
        <w:t>2 tipo</w:t>
      </w:r>
      <w:r w:rsidRPr="00D867CD">
        <w:t xml:space="preserve"> cukriniu diabetu ir turintiems padidintą su širdies ir kraujagyslių sistema (ŠKS) susijusią riziką, kurią parodė nustatyta </w:t>
      </w:r>
      <w:proofErr w:type="spellStart"/>
      <w:r w:rsidRPr="00D867CD">
        <w:t>makrovaskulinė</w:t>
      </w:r>
      <w:proofErr w:type="spellEnd"/>
      <w:r w:rsidRPr="00D867CD">
        <w:t xml:space="preserve"> arba inkstų liga (</w:t>
      </w:r>
      <w:r>
        <w:t>žr. </w:t>
      </w:r>
      <w:r w:rsidRPr="00D867CD">
        <w:t>5.1</w:t>
      </w:r>
      <w:r>
        <w:t> skyrių</w:t>
      </w:r>
      <w:r w:rsidRPr="00D867CD">
        <w:t>). Šiame tyrime dalyvavo 3</w:t>
      </w:r>
      <w:r w:rsidR="00C22A31">
        <w:t> </w:t>
      </w:r>
      <w:r w:rsidRPr="00D867CD">
        <w:t>494</w:t>
      </w:r>
      <w:r w:rsidR="00C22A31">
        <w:t> </w:t>
      </w:r>
      <w:r w:rsidRPr="00D867CD">
        <w:t xml:space="preserve">pacientai, kurie buvo gydomi </w:t>
      </w:r>
      <w:proofErr w:type="spellStart"/>
      <w:r w:rsidRPr="00D867CD">
        <w:t>linagliptinu</w:t>
      </w:r>
      <w:proofErr w:type="spellEnd"/>
      <w:r w:rsidRPr="00D867CD">
        <w:t xml:space="preserve"> (5</w:t>
      </w:r>
      <w:r>
        <w:t> mg</w:t>
      </w:r>
      <w:r w:rsidRPr="00D867CD">
        <w:t>), ir 3</w:t>
      </w:r>
      <w:r w:rsidR="00C22A31">
        <w:t> </w:t>
      </w:r>
      <w:r w:rsidRPr="00D867CD">
        <w:t>485</w:t>
      </w:r>
      <w:r w:rsidR="00C22A31">
        <w:t> </w:t>
      </w:r>
      <w:r w:rsidRPr="00D867CD">
        <w:t xml:space="preserve">pacientai, gydomi placebu. Abu </w:t>
      </w:r>
      <w:r w:rsidR="001651C9">
        <w:t xml:space="preserve">tiriamieji preparatai </w:t>
      </w:r>
      <w:r w:rsidRPr="00D867CD">
        <w:t>buvo skiriami papildomai prie standartinio gydymo, taikomo atsižvelgiant į regionui nustatytą HbA</w:t>
      </w:r>
      <w:r w:rsidRPr="00341B61">
        <w:rPr>
          <w:vertAlign w:val="subscript"/>
        </w:rPr>
        <w:t>1c</w:t>
      </w:r>
      <w:r w:rsidRPr="00D867CD">
        <w:t xml:space="preserve"> normą ir su ŠKS susijusius rizikos veiksnius. Bendras nepageidaujamų reiškinių ir sunkių nepageidaujamų reiškinių, pasireiškusių </w:t>
      </w:r>
      <w:proofErr w:type="spellStart"/>
      <w:r w:rsidRPr="00D867CD">
        <w:t>linagliptin</w:t>
      </w:r>
      <w:r w:rsidR="00BE2268">
        <w:t>o</w:t>
      </w:r>
      <w:proofErr w:type="spellEnd"/>
      <w:r w:rsidRPr="00D867CD">
        <w:t xml:space="preserve"> vartojusiems pacientams, dažnis buvo panašus į pacientų, vartojusių placeb</w:t>
      </w:r>
      <w:r w:rsidR="009F16DB">
        <w:t>ą</w:t>
      </w:r>
      <w:r w:rsidRPr="00D867CD">
        <w:t xml:space="preserve">. Šiuo tyrimu gauti saugumo duomenys atitiko anksčiau nustatytą </w:t>
      </w:r>
      <w:proofErr w:type="spellStart"/>
      <w:r w:rsidRPr="00D867CD">
        <w:t>linagliptino</w:t>
      </w:r>
      <w:proofErr w:type="spellEnd"/>
      <w:r w:rsidRPr="00D867CD">
        <w:t xml:space="preserve"> saugumo profilį.</w:t>
      </w:r>
    </w:p>
    <w:p w14:paraId="60B09B51" w14:textId="77777777" w:rsidR="00585776" w:rsidRPr="00D867CD" w:rsidRDefault="00585776" w:rsidP="00D867CD">
      <w:pPr>
        <w:pStyle w:val="Pagrindinistekstas"/>
      </w:pPr>
    </w:p>
    <w:p w14:paraId="4C508068" w14:textId="23325153" w:rsidR="00A01BAC" w:rsidRPr="00D867CD" w:rsidRDefault="00341B61" w:rsidP="00D867CD">
      <w:pPr>
        <w:pStyle w:val="Pagrindinistekstas"/>
      </w:pPr>
      <w:r w:rsidRPr="00D867CD">
        <w:t>Iš gydytos populiacijos gauta pranešimų apie sunkius hipoglikemijos atvejus (kai reikėjo pagalbos), kurie pasireiškė 3</w:t>
      </w:r>
      <w:r>
        <w:t> %</w:t>
      </w:r>
      <w:r w:rsidRPr="00D867CD">
        <w:t xml:space="preserve"> pacientų, vartojusių </w:t>
      </w:r>
      <w:proofErr w:type="spellStart"/>
      <w:r w:rsidRPr="00D867CD">
        <w:t>linagliptin</w:t>
      </w:r>
      <w:r w:rsidR="00300932">
        <w:t>o</w:t>
      </w:r>
      <w:proofErr w:type="spellEnd"/>
      <w:r w:rsidRPr="00D867CD">
        <w:t>, ir 3,1</w:t>
      </w:r>
      <w:r>
        <w:t> %</w:t>
      </w:r>
      <w:r w:rsidRPr="00D867CD">
        <w:t xml:space="preserve"> pacientų, vartojusių placeb</w:t>
      </w:r>
      <w:r w:rsidR="00082CE8">
        <w:t>ą</w:t>
      </w:r>
      <w:r w:rsidRPr="00D867CD">
        <w:t>.</w:t>
      </w:r>
      <w:r w:rsidR="00300932">
        <w:t xml:space="preserve"> </w:t>
      </w:r>
      <w:r w:rsidRPr="00D867CD">
        <w:t xml:space="preserve">Pacientams, </w:t>
      </w:r>
      <w:r w:rsidR="000448BD">
        <w:t xml:space="preserve">tyrimo pradžioje </w:t>
      </w:r>
      <w:r w:rsidRPr="00D867CD">
        <w:t xml:space="preserve">vartojusiems </w:t>
      </w:r>
      <w:proofErr w:type="spellStart"/>
      <w:r w:rsidRPr="00D867CD">
        <w:t>sulfonilurėj</w:t>
      </w:r>
      <w:r w:rsidR="00CA033D">
        <w:t>os</w:t>
      </w:r>
      <w:proofErr w:type="spellEnd"/>
      <w:r w:rsidRPr="00D867CD">
        <w:t xml:space="preserve"> darin</w:t>
      </w:r>
      <w:r w:rsidR="00CA033D">
        <w:t>io</w:t>
      </w:r>
      <w:r w:rsidRPr="00D867CD">
        <w:t>, sunkios hipoglikemijos dažnis siekė 2</w:t>
      </w:r>
      <w:r>
        <w:t> %</w:t>
      </w:r>
      <w:r w:rsidRPr="00D867CD">
        <w:t xml:space="preserve"> </w:t>
      </w:r>
      <w:proofErr w:type="spellStart"/>
      <w:r w:rsidRPr="00D867CD">
        <w:t>linagliptino</w:t>
      </w:r>
      <w:proofErr w:type="spellEnd"/>
      <w:r w:rsidRPr="00D867CD">
        <w:t xml:space="preserve"> grupėje ir 1,7</w:t>
      </w:r>
      <w:r>
        <w:t> %</w:t>
      </w:r>
      <w:r w:rsidRPr="00D867CD">
        <w:t xml:space="preserve"> placebo grupėje. Pacientams, </w:t>
      </w:r>
      <w:r w:rsidR="00EC62F4">
        <w:t xml:space="preserve">tyrimo pradžioje </w:t>
      </w:r>
      <w:r w:rsidRPr="00D867CD">
        <w:t>vartojusiems insulin</w:t>
      </w:r>
      <w:r w:rsidR="00CA033D">
        <w:t>o</w:t>
      </w:r>
      <w:r w:rsidRPr="00D867CD">
        <w:t xml:space="preserve">, </w:t>
      </w:r>
      <w:r w:rsidRPr="00D867CD">
        <w:lastRenderedPageBreak/>
        <w:t>sunkios hipoglikemijos dažnis siekė 4,4</w:t>
      </w:r>
      <w:r>
        <w:t> %</w:t>
      </w:r>
      <w:r w:rsidRPr="00D867CD">
        <w:t xml:space="preserve"> </w:t>
      </w:r>
      <w:proofErr w:type="spellStart"/>
      <w:r w:rsidRPr="00D867CD">
        <w:t>linagliptino</w:t>
      </w:r>
      <w:proofErr w:type="spellEnd"/>
      <w:r w:rsidRPr="00D867CD">
        <w:t xml:space="preserve"> grupėje ir 4,9</w:t>
      </w:r>
      <w:r>
        <w:t> %</w:t>
      </w:r>
      <w:r w:rsidRPr="00D867CD">
        <w:t xml:space="preserve"> placebo grupėje.</w:t>
      </w:r>
    </w:p>
    <w:p w14:paraId="4C508069" w14:textId="77777777" w:rsidR="00A01BAC" w:rsidRPr="00D867CD" w:rsidRDefault="00A01BAC" w:rsidP="00D867CD">
      <w:pPr>
        <w:pStyle w:val="Pagrindinistekstas"/>
      </w:pPr>
    </w:p>
    <w:p w14:paraId="4C50806A" w14:textId="5C66AC80" w:rsidR="00A01BAC" w:rsidRDefault="00341B61" w:rsidP="00D867CD">
      <w:pPr>
        <w:pStyle w:val="Pagrindinistekstas"/>
      </w:pPr>
      <w:r w:rsidRPr="00D867CD">
        <w:t>Per visą tyrimo stebėjimo laikotarpį gauta pranešimų apie ūminį pankreatitą</w:t>
      </w:r>
      <w:r w:rsidR="009C2C4F">
        <w:t xml:space="preserve">, </w:t>
      </w:r>
      <w:r w:rsidRPr="00D867CD">
        <w:t>pasireiškusį 0,3</w:t>
      </w:r>
      <w:r>
        <w:t> %</w:t>
      </w:r>
      <w:r w:rsidRPr="00D867CD">
        <w:t xml:space="preserve"> pacientų, vartojusių </w:t>
      </w:r>
      <w:proofErr w:type="spellStart"/>
      <w:r w:rsidRPr="00D867CD">
        <w:t>linagliptin</w:t>
      </w:r>
      <w:r w:rsidR="009C2C4F">
        <w:t>o</w:t>
      </w:r>
      <w:proofErr w:type="spellEnd"/>
      <w:r w:rsidRPr="00D867CD">
        <w:t>, ir 0,1</w:t>
      </w:r>
      <w:r>
        <w:t> %</w:t>
      </w:r>
      <w:r w:rsidRPr="00D867CD">
        <w:t xml:space="preserve"> pacientų, vartojusių placeb</w:t>
      </w:r>
      <w:r w:rsidR="00D1398B">
        <w:t>ą</w:t>
      </w:r>
      <w:r w:rsidRPr="00D867CD">
        <w:t>.</w:t>
      </w:r>
    </w:p>
    <w:p w14:paraId="5D820E9C" w14:textId="77777777" w:rsidR="00585776" w:rsidRPr="00D867CD" w:rsidRDefault="00585776" w:rsidP="00D867CD">
      <w:pPr>
        <w:pStyle w:val="Pagrindinistekstas"/>
      </w:pPr>
    </w:p>
    <w:p w14:paraId="4C50806B" w14:textId="504ECCA1" w:rsidR="00A01BAC" w:rsidRPr="00D867CD" w:rsidRDefault="00341B61" w:rsidP="00D867CD">
      <w:pPr>
        <w:pStyle w:val="Pagrindinistekstas"/>
      </w:pPr>
      <w:r w:rsidRPr="00D867CD">
        <w:t xml:space="preserve">Tyrimo CARMELINA metu gauta pranešimų apie </w:t>
      </w:r>
      <w:proofErr w:type="spellStart"/>
      <w:r w:rsidRPr="00D867CD">
        <w:t>pūslinį</w:t>
      </w:r>
      <w:proofErr w:type="spellEnd"/>
      <w:r w:rsidRPr="00D867CD">
        <w:t xml:space="preserve"> </w:t>
      </w:r>
      <w:proofErr w:type="spellStart"/>
      <w:r w:rsidRPr="00D867CD">
        <w:t>pemfigoidą</w:t>
      </w:r>
      <w:proofErr w:type="spellEnd"/>
      <w:r w:rsidRPr="00D867CD">
        <w:t>, pasireiškusį 0,2</w:t>
      </w:r>
      <w:r>
        <w:t> %</w:t>
      </w:r>
      <w:r w:rsidRPr="00D867CD">
        <w:t xml:space="preserve"> pacientų, vartojusių </w:t>
      </w:r>
      <w:proofErr w:type="spellStart"/>
      <w:r w:rsidRPr="00D867CD">
        <w:t>linagliptin</w:t>
      </w:r>
      <w:r w:rsidR="009003F5">
        <w:t>ą</w:t>
      </w:r>
      <w:proofErr w:type="spellEnd"/>
      <w:r w:rsidR="009003F5">
        <w:t xml:space="preserve"> </w:t>
      </w:r>
      <w:r w:rsidR="00232D9B">
        <w:t>ir nė vienam placebu gydytam pacientui</w:t>
      </w:r>
      <w:r w:rsidRPr="00D867CD">
        <w:t>.</w:t>
      </w:r>
    </w:p>
    <w:p w14:paraId="4C50806C" w14:textId="77777777" w:rsidR="00A01BAC" w:rsidRPr="00D867CD" w:rsidRDefault="00A01BAC" w:rsidP="00D867CD">
      <w:pPr>
        <w:pStyle w:val="Pagrindinistekstas"/>
      </w:pPr>
    </w:p>
    <w:p w14:paraId="4C50806D" w14:textId="77777777" w:rsidR="00A01BAC" w:rsidRPr="00D867CD" w:rsidRDefault="00341B61" w:rsidP="00D867CD">
      <w:pPr>
        <w:pStyle w:val="Pagrindinistekstas"/>
      </w:pPr>
      <w:r w:rsidRPr="00D867CD">
        <w:rPr>
          <w:u w:val="single"/>
        </w:rPr>
        <w:t>Vaikų populiacija</w:t>
      </w:r>
    </w:p>
    <w:p w14:paraId="4C50806E" w14:textId="51263193" w:rsidR="00A01BAC" w:rsidRPr="00D867CD" w:rsidRDefault="00341B61" w:rsidP="00D867CD">
      <w:pPr>
        <w:pStyle w:val="Pagrindinistekstas"/>
      </w:pPr>
      <w:r w:rsidRPr="00D867CD">
        <w:t>Klinikini</w:t>
      </w:r>
      <w:r w:rsidR="00B4792D">
        <w:t>uose</w:t>
      </w:r>
      <w:r w:rsidRPr="00D867CD">
        <w:t xml:space="preserve"> tyrim</w:t>
      </w:r>
      <w:r w:rsidR="00B4792D">
        <w:t>uose</w:t>
      </w:r>
      <w:r w:rsidRPr="00D867CD">
        <w:t>, kuriuose dalyvavo 10</w:t>
      </w:r>
      <w:r w:rsidR="004C4ED1">
        <w:noBreakHyphen/>
      </w:r>
      <w:r w:rsidRPr="00D867CD">
        <w:t>17</w:t>
      </w:r>
      <w:r>
        <w:t> metų</w:t>
      </w:r>
      <w:r w:rsidRPr="00D867CD">
        <w:t xml:space="preserve"> </w:t>
      </w:r>
      <w:r w:rsidR="00DB12AD">
        <w:t xml:space="preserve">vaikai </w:t>
      </w:r>
      <w:r w:rsidR="00B4792D">
        <w:t xml:space="preserve">ir paaugliai, sergantys </w:t>
      </w:r>
      <w:r>
        <w:t>2 tipo</w:t>
      </w:r>
      <w:r w:rsidRPr="00D867CD">
        <w:t xml:space="preserve"> cukriniu diabetu</w:t>
      </w:r>
      <w:r w:rsidR="00CB4515">
        <w:t>,</w:t>
      </w:r>
      <w:r w:rsidRPr="00D867CD">
        <w:t xml:space="preserve"> </w:t>
      </w:r>
      <w:proofErr w:type="spellStart"/>
      <w:r w:rsidRPr="00D867CD">
        <w:t>linagliptino</w:t>
      </w:r>
      <w:proofErr w:type="spellEnd"/>
      <w:r w:rsidRPr="00D867CD">
        <w:t xml:space="preserve"> saugumo duomenys iš esmės buvo panašūs į stebėtus suaugusiųjų populiacijoje.</w:t>
      </w:r>
    </w:p>
    <w:p w14:paraId="4C50806F" w14:textId="77777777" w:rsidR="00A01BAC" w:rsidRPr="00D867CD" w:rsidRDefault="00A01BAC" w:rsidP="00D867CD">
      <w:pPr>
        <w:pStyle w:val="Pagrindinistekstas"/>
      </w:pPr>
    </w:p>
    <w:p w14:paraId="4C508070" w14:textId="77777777" w:rsidR="00A01BAC" w:rsidRPr="00D867CD" w:rsidRDefault="00341B61" w:rsidP="00D867CD">
      <w:pPr>
        <w:pStyle w:val="Pagrindinistekstas"/>
      </w:pPr>
      <w:r w:rsidRPr="00D867CD">
        <w:rPr>
          <w:u w:val="single"/>
        </w:rPr>
        <w:t>Pranešimas apie įtariamas nepageidaujamas reakcijas</w:t>
      </w:r>
    </w:p>
    <w:p w14:paraId="4C508071" w14:textId="70A50374" w:rsidR="00A01BAC" w:rsidRPr="00D867CD" w:rsidRDefault="00474949" w:rsidP="00D867CD">
      <w:pPr>
        <w:pStyle w:val="Pagrindinistekstas"/>
      </w:pPr>
      <w:r>
        <w:rPr>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u w:val="single"/>
          <w:lang w:eastAsia="lt-LT"/>
        </w:rPr>
        <w:t>https://vvkt.lrv.lt/lt/</w:t>
      </w:r>
      <w:r>
        <w:rPr>
          <w:lang w:eastAsia="lt-LT"/>
        </w:rPr>
        <w:t xml:space="preserve"> nurodytais būdais.</w:t>
      </w:r>
    </w:p>
    <w:p w14:paraId="4C508072" w14:textId="77777777" w:rsidR="00A01BAC" w:rsidRPr="00D867CD" w:rsidRDefault="00A01BAC" w:rsidP="00D867CD">
      <w:pPr>
        <w:pStyle w:val="Pagrindinistekstas"/>
      </w:pPr>
    </w:p>
    <w:p w14:paraId="4C508073" w14:textId="77777777" w:rsidR="00A01BAC" w:rsidRPr="00D867CD" w:rsidRDefault="00341B61" w:rsidP="00474949">
      <w:pPr>
        <w:pStyle w:val="Antrat2"/>
        <w:numPr>
          <w:ilvl w:val="1"/>
          <w:numId w:val="13"/>
        </w:numPr>
        <w:tabs>
          <w:tab w:val="left" w:pos="567"/>
        </w:tabs>
        <w:ind w:left="567"/>
      </w:pPr>
      <w:r w:rsidRPr="00D867CD">
        <w:t>Perdozavimas</w:t>
      </w:r>
    </w:p>
    <w:p w14:paraId="4C508074" w14:textId="77777777" w:rsidR="00A01BAC" w:rsidRPr="00D867CD" w:rsidRDefault="00A01BAC" w:rsidP="00D867CD">
      <w:pPr>
        <w:pStyle w:val="Pagrindinistekstas"/>
        <w:rPr>
          <w:b/>
        </w:rPr>
      </w:pPr>
    </w:p>
    <w:p w14:paraId="4C508075" w14:textId="77777777" w:rsidR="00A01BAC" w:rsidRPr="00D867CD" w:rsidRDefault="00341B61" w:rsidP="00D867CD">
      <w:pPr>
        <w:pStyle w:val="Pagrindinistekstas"/>
      </w:pPr>
      <w:r w:rsidRPr="00D867CD">
        <w:rPr>
          <w:u w:val="single"/>
        </w:rPr>
        <w:t>Simptomai</w:t>
      </w:r>
    </w:p>
    <w:p w14:paraId="4C508076" w14:textId="48B9D273" w:rsidR="00A01BAC" w:rsidRDefault="00341B61" w:rsidP="00D867CD">
      <w:pPr>
        <w:pStyle w:val="Pagrindinistekstas"/>
      </w:pPr>
      <w:r w:rsidRPr="00D867CD">
        <w:t>Kontroliuojamų klinikinių tyrimų</w:t>
      </w:r>
      <w:r w:rsidR="00562367">
        <w:t xml:space="preserve"> su sveikais tiriamaisiais metu vienkartinės iki 600 mg </w:t>
      </w:r>
      <w:proofErr w:type="spellStart"/>
      <w:r w:rsidR="00562367">
        <w:t>linagliptino</w:t>
      </w:r>
      <w:proofErr w:type="spellEnd"/>
      <w:r w:rsidR="00562367">
        <w:t xml:space="preserve"> dozės (atitinkančios 120 kartų didesnę už rekomenduojamą dozę) paprastai buvo toleruojamos gerai. Žmonių, pavartojusių didesnes kaip 600 mg dozes, patirties nėra</w:t>
      </w:r>
      <w:r w:rsidRPr="00D867CD">
        <w:t>.</w:t>
      </w:r>
    </w:p>
    <w:p w14:paraId="20D99208" w14:textId="77777777" w:rsidR="00474949" w:rsidRPr="00D867CD" w:rsidRDefault="00474949" w:rsidP="00D867CD">
      <w:pPr>
        <w:pStyle w:val="Pagrindinistekstas"/>
      </w:pPr>
    </w:p>
    <w:p w14:paraId="4C508077" w14:textId="77777777" w:rsidR="00A01BAC" w:rsidRPr="00D867CD" w:rsidRDefault="00341B61" w:rsidP="00D867CD">
      <w:pPr>
        <w:pStyle w:val="Pagrindinistekstas"/>
      </w:pPr>
      <w:r w:rsidRPr="00D867CD">
        <w:rPr>
          <w:u w:val="single"/>
        </w:rPr>
        <w:t>Gydymas</w:t>
      </w:r>
    </w:p>
    <w:p w14:paraId="4C508078" w14:textId="77777777" w:rsidR="00A01BAC" w:rsidRPr="00D867CD" w:rsidRDefault="00341B61" w:rsidP="00D867CD">
      <w:pPr>
        <w:pStyle w:val="Pagrindinistekstas"/>
      </w:pPr>
      <w:r w:rsidRPr="00D867CD">
        <w:t>Perdozavimo atveju reikia imtis įprastinių palaikomųjų gydymo priemonių, pvz., pašalinti iš virškinimo trakto neabsorbuotą vaistinio preparato dalį, pradėti klinikinę stebėseną, prireikus imtis klinikinių gydymo priemonių.</w:t>
      </w:r>
    </w:p>
    <w:p w14:paraId="4C508079" w14:textId="77777777" w:rsidR="00A01BAC" w:rsidRPr="00D867CD" w:rsidRDefault="00A01BAC" w:rsidP="00D867CD">
      <w:pPr>
        <w:pStyle w:val="Pagrindinistekstas"/>
      </w:pPr>
    </w:p>
    <w:p w14:paraId="4C50807A" w14:textId="77777777" w:rsidR="00A01BAC" w:rsidRPr="00D867CD" w:rsidRDefault="00A01BAC" w:rsidP="00D867CD">
      <w:pPr>
        <w:pStyle w:val="Pagrindinistekstas"/>
      </w:pPr>
    </w:p>
    <w:p w14:paraId="4C50807B" w14:textId="77777777" w:rsidR="00A01BAC" w:rsidRPr="00D867CD" w:rsidRDefault="00341B61" w:rsidP="00474949">
      <w:pPr>
        <w:pStyle w:val="Antrat1"/>
        <w:numPr>
          <w:ilvl w:val="0"/>
          <w:numId w:val="13"/>
        </w:numPr>
        <w:tabs>
          <w:tab w:val="left" w:pos="567"/>
        </w:tabs>
        <w:spacing w:before="0"/>
        <w:ind w:left="567"/>
      </w:pPr>
      <w:r w:rsidRPr="00D867CD">
        <w:t>FARMAKOLOGINĖS SAVYBĖS</w:t>
      </w:r>
    </w:p>
    <w:p w14:paraId="4C50807C" w14:textId="77777777" w:rsidR="00A01BAC" w:rsidRPr="00D867CD" w:rsidRDefault="00A01BAC" w:rsidP="00D867CD">
      <w:pPr>
        <w:pStyle w:val="Pagrindinistekstas"/>
        <w:rPr>
          <w:b/>
        </w:rPr>
      </w:pPr>
    </w:p>
    <w:p w14:paraId="4C50807D" w14:textId="77777777" w:rsidR="00A01BAC" w:rsidRDefault="00341B61" w:rsidP="00474949">
      <w:pPr>
        <w:pStyle w:val="Antrat2"/>
        <w:numPr>
          <w:ilvl w:val="1"/>
          <w:numId w:val="13"/>
        </w:numPr>
        <w:tabs>
          <w:tab w:val="left" w:pos="567"/>
        </w:tabs>
        <w:ind w:left="567"/>
      </w:pPr>
      <w:proofErr w:type="spellStart"/>
      <w:r w:rsidRPr="00D867CD">
        <w:t>Farmakodinaminės</w:t>
      </w:r>
      <w:proofErr w:type="spellEnd"/>
      <w:r w:rsidRPr="00D867CD">
        <w:t xml:space="preserve"> savybės</w:t>
      </w:r>
    </w:p>
    <w:p w14:paraId="7121909F" w14:textId="77777777" w:rsidR="00474949" w:rsidRPr="00D867CD" w:rsidRDefault="00474949" w:rsidP="00474949">
      <w:pPr>
        <w:pStyle w:val="Antrat2"/>
        <w:tabs>
          <w:tab w:val="left" w:pos="710"/>
        </w:tabs>
        <w:ind w:left="0"/>
      </w:pPr>
    </w:p>
    <w:p w14:paraId="4C50807E" w14:textId="05A385B8" w:rsidR="00A01BAC" w:rsidRPr="00D867CD" w:rsidRDefault="00341B61" w:rsidP="00D867CD">
      <w:pPr>
        <w:pStyle w:val="Pagrindinistekstas"/>
      </w:pPr>
      <w:proofErr w:type="spellStart"/>
      <w:r w:rsidRPr="00D867CD">
        <w:t>Farmakoterapinė</w:t>
      </w:r>
      <w:proofErr w:type="spellEnd"/>
      <w:r w:rsidRPr="00D867CD">
        <w:t xml:space="preserve"> grupė</w:t>
      </w:r>
      <w:r w:rsidR="00BE3405">
        <w:t xml:space="preserve">: </w:t>
      </w:r>
      <w:r w:rsidRPr="00D867CD">
        <w:t>vaist</w:t>
      </w:r>
      <w:r w:rsidR="00924BCE">
        <w:t>iniai preparatai skirti</w:t>
      </w:r>
      <w:r w:rsidRPr="00D867CD">
        <w:t xml:space="preserve"> diabetui gydyti, </w:t>
      </w:r>
      <w:proofErr w:type="spellStart"/>
      <w:r w:rsidRPr="00D867CD">
        <w:t>dipeptidilpeptidazės</w:t>
      </w:r>
      <w:proofErr w:type="spellEnd"/>
      <w:r w:rsidR="00924BCE">
        <w:t> </w:t>
      </w:r>
      <w:r w:rsidRPr="00D867CD">
        <w:t>4 (DDP</w:t>
      </w:r>
      <w:r w:rsidR="00924BCE">
        <w:noBreakHyphen/>
      </w:r>
      <w:r w:rsidRPr="00D867CD">
        <w:t>4) inhibitoriai, ATC kodas</w:t>
      </w:r>
      <w:r w:rsidR="00BE3405">
        <w:t xml:space="preserve">: </w:t>
      </w:r>
      <w:r w:rsidRPr="00D867CD">
        <w:t>A10BH05.</w:t>
      </w:r>
    </w:p>
    <w:p w14:paraId="4C50807F" w14:textId="77777777" w:rsidR="00A01BAC" w:rsidRPr="00D867CD" w:rsidRDefault="00A01BAC" w:rsidP="00D867CD">
      <w:pPr>
        <w:pStyle w:val="Pagrindinistekstas"/>
      </w:pPr>
    </w:p>
    <w:p w14:paraId="4C508080" w14:textId="77777777" w:rsidR="00A01BAC" w:rsidRPr="00D867CD" w:rsidRDefault="00341B61" w:rsidP="00D867CD">
      <w:pPr>
        <w:pStyle w:val="Pagrindinistekstas"/>
      </w:pPr>
      <w:r w:rsidRPr="00D867CD">
        <w:rPr>
          <w:u w:val="single"/>
        </w:rPr>
        <w:t>Veikimo mechanizmas</w:t>
      </w:r>
    </w:p>
    <w:p w14:paraId="4C508081" w14:textId="4F10826B" w:rsidR="00A01BAC" w:rsidRPr="00D867CD" w:rsidRDefault="00341B61" w:rsidP="00D867CD">
      <w:pPr>
        <w:pStyle w:val="Pagrindinistekstas"/>
      </w:pPr>
      <w:proofErr w:type="spellStart"/>
      <w:r w:rsidRPr="00D867CD">
        <w:t>Linagliptinas</w:t>
      </w:r>
      <w:proofErr w:type="spellEnd"/>
      <w:r w:rsidRPr="00D867CD">
        <w:t xml:space="preserve"> yra fermento DPP</w:t>
      </w:r>
      <w:r w:rsidR="00924BCE">
        <w:noBreakHyphen/>
      </w:r>
      <w:r w:rsidRPr="00D867CD">
        <w:t>4 (</w:t>
      </w:r>
      <w:proofErr w:type="spellStart"/>
      <w:r w:rsidRPr="00D867CD">
        <w:t>dipeptidilpeptidazės</w:t>
      </w:r>
      <w:proofErr w:type="spellEnd"/>
      <w:r w:rsidR="00924BCE">
        <w:t> </w:t>
      </w:r>
      <w:r w:rsidRPr="00D867CD">
        <w:t xml:space="preserve">4, EC 3.4.14.5), kuris dalyvauja </w:t>
      </w:r>
      <w:proofErr w:type="spellStart"/>
      <w:r w:rsidRPr="00D867CD">
        <w:t>inaktyvuojant</w:t>
      </w:r>
      <w:proofErr w:type="spellEnd"/>
      <w:r w:rsidRPr="00D867CD">
        <w:t xml:space="preserve"> </w:t>
      </w:r>
      <w:proofErr w:type="spellStart"/>
      <w:r w:rsidRPr="00D867CD">
        <w:t>inkrecinius</w:t>
      </w:r>
      <w:proofErr w:type="spellEnd"/>
      <w:r w:rsidRPr="00D867CD">
        <w:t xml:space="preserve"> hormonus GLP</w:t>
      </w:r>
      <w:r w:rsidR="001D5117">
        <w:noBreakHyphen/>
      </w:r>
      <w:r w:rsidRPr="00D867CD">
        <w:t xml:space="preserve">1 (į </w:t>
      </w:r>
      <w:proofErr w:type="spellStart"/>
      <w:r w:rsidRPr="00D867CD">
        <w:t>gliukagoną</w:t>
      </w:r>
      <w:proofErr w:type="spellEnd"/>
      <w:r w:rsidRPr="00D867CD">
        <w:t xml:space="preserve"> panašų peptidą</w:t>
      </w:r>
      <w:r w:rsidR="001D5117">
        <w:t> </w:t>
      </w:r>
      <w:r w:rsidRPr="00D867CD">
        <w:t xml:space="preserve">1) ir GIP (nuo gliukozės priklausomą </w:t>
      </w:r>
      <w:proofErr w:type="spellStart"/>
      <w:r w:rsidRPr="00D867CD">
        <w:t>insulinotropinį</w:t>
      </w:r>
      <w:proofErr w:type="spellEnd"/>
      <w:r w:rsidRPr="00D867CD">
        <w:t xml:space="preserve"> </w:t>
      </w:r>
      <w:proofErr w:type="spellStart"/>
      <w:r w:rsidRPr="00D867CD">
        <w:t>polipeptidą</w:t>
      </w:r>
      <w:proofErr w:type="spellEnd"/>
      <w:r w:rsidRPr="00D867CD">
        <w:t>), inhibitorius. Šiuos hormonus DPP</w:t>
      </w:r>
      <w:r w:rsidR="00B44E42">
        <w:noBreakHyphen/>
      </w:r>
      <w:r w:rsidRPr="00D867CD">
        <w:t xml:space="preserve">4 fermentas greitai suskaldo. Abu </w:t>
      </w:r>
      <w:proofErr w:type="spellStart"/>
      <w:r w:rsidRPr="00D867CD">
        <w:t>inkreciniai</w:t>
      </w:r>
      <w:proofErr w:type="spellEnd"/>
      <w:r w:rsidRPr="00D867CD">
        <w:t xml:space="preserve"> hormonai dalyvauja gliukozės homeostazės fiziologinėje reguliacijoje. Šiek tiek </w:t>
      </w:r>
      <w:proofErr w:type="spellStart"/>
      <w:r w:rsidRPr="00D867CD">
        <w:t>inkrecinių</w:t>
      </w:r>
      <w:proofErr w:type="spellEnd"/>
      <w:r w:rsidRPr="00D867CD">
        <w:t xml:space="preserve"> hormonų išskiriama per visą dieną, pavalgius jų kiekis </w:t>
      </w:r>
      <w:r w:rsidR="00F6217B">
        <w:t>staigiai</w:t>
      </w:r>
      <w:r w:rsidRPr="00D867CD">
        <w:t xml:space="preserve"> padidėja. GLP</w:t>
      </w:r>
      <w:r w:rsidR="00F6217B">
        <w:noBreakHyphen/>
      </w:r>
      <w:r w:rsidRPr="00D867CD">
        <w:t xml:space="preserve">1 ir GIP didina insulino </w:t>
      </w:r>
      <w:proofErr w:type="spellStart"/>
      <w:r w:rsidRPr="00D867CD">
        <w:t>biosintezę</w:t>
      </w:r>
      <w:proofErr w:type="spellEnd"/>
      <w:r w:rsidRPr="00D867CD">
        <w:t xml:space="preserve"> kasos beta</w:t>
      </w:r>
      <w:r w:rsidR="00607F0E">
        <w:t> </w:t>
      </w:r>
      <w:r w:rsidRPr="00D867CD">
        <w:t>ląstelėse ir išskyrimą iš jų tiek esant normaliam, tiek padidėjusiam gliukozės kiekiui kraujyje. Be to, GLP</w:t>
      </w:r>
      <w:r w:rsidR="00607F0E">
        <w:noBreakHyphen/>
      </w:r>
      <w:r w:rsidRPr="00D867CD">
        <w:t xml:space="preserve">1 mažina </w:t>
      </w:r>
      <w:proofErr w:type="spellStart"/>
      <w:r w:rsidRPr="00D867CD">
        <w:t>gliukagono</w:t>
      </w:r>
      <w:proofErr w:type="spellEnd"/>
      <w:r w:rsidRPr="00D867CD">
        <w:t xml:space="preserve"> išsiskyrimą iš kasos alfa</w:t>
      </w:r>
      <w:r w:rsidR="00607F0E">
        <w:t> </w:t>
      </w:r>
      <w:r w:rsidRPr="00D867CD">
        <w:t xml:space="preserve">ląstelių, todėl mažėja gliukozės gamyba kepenyse. </w:t>
      </w:r>
      <w:proofErr w:type="spellStart"/>
      <w:r w:rsidRPr="00D867CD">
        <w:t>Linagliptinas</w:t>
      </w:r>
      <w:proofErr w:type="spellEnd"/>
      <w:r w:rsidRPr="00D867CD">
        <w:t xml:space="preserve"> labai veiksmingai laikinai prisijungia prie DPP</w:t>
      </w:r>
      <w:r w:rsidR="007F08CA" w:rsidRPr="007833F0">
        <w:noBreakHyphen/>
      </w:r>
      <w:r w:rsidRPr="00D867CD">
        <w:t xml:space="preserve">4 ir tai lemia ilgalaikį aktyvių </w:t>
      </w:r>
      <w:proofErr w:type="spellStart"/>
      <w:r w:rsidRPr="00D867CD">
        <w:t>inkrecinių</w:t>
      </w:r>
      <w:proofErr w:type="spellEnd"/>
      <w:r w:rsidRPr="00D867CD">
        <w:t xml:space="preserve"> hormonų </w:t>
      </w:r>
      <w:r w:rsidR="00C42466">
        <w:t>koncentracijos</w:t>
      </w:r>
      <w:r w:rsidRPr="00D867CD">
        <w:t xml:space="preserve"> didėjimą ir jų </w:t>
      </w:r>
      <w:r w:rsidR="00C42466">
        <w:t>veikimo</w:t>
      </w:r>
      <w:r w:rsidRPr="00D867CD">
        <w:t xml:space="preserve"> prailginimą. </w:t>
      </w:r>
      <w:proofErr w:type="spellStart"/>
      <w:r w:rsidRPr="00D867CD">
        <w:t>Linagliptinas</w:t>
      </w:r>
      <w:proofErr w:type="spellEnd"/>
      <w:r w:rsidRPr="00D867CD">
        <w:t xml:space="preserve">, priklausomai nuo gliukozės kiekio, insulino sekreciją didina, o </w:t>
      </w:r>
      <w:proofErr w:type="spellStart"/>
      <w:r w:rsidRPr="00D867CD">
        <w:t>gliukagono</w:t>
      </w:r>
      <w:proofErr w:type="spellEnd"/>
      <w:r w:rsidRPr="00D867CD">
        <w:t xml:space="preserve"> išsiskyrimą mažina, dėl to pagerėja visa gliukozės homeostazė. Prie DPP</w:t>
      </w:r>
      <w:r w:rsidR="003E6009">
        <w:noBreakHyphen/>
      </w:r>
      <w:r w:rsidRPr="00D867CD">
        <w:t xml:space="preserve">4 </w:t>
      </w:r>
      <w:proofErr w:type="spellStart"/>
      <w:r w:rsidRPr="00D867CD">
        <w:t>linagliptinas</w:t>
      </w:r>
      <w:proofErr w:type="spellEnd"/>
      <w:r w:rsidRPr="00D867CD">
        <w:t xml:space="preserve"> prisijungia selektyviai, jo selektyvumas yra </w:t>
      </w:r>
      <w:r>
        <w:t>&gt; 10 000</w:t>
      </w:r>
      <w:r w:rsidR="003E6009">
        <w:t> </w:t>
      </w:r>
      <w:r w:rsidRPr="00D867CD">
        <w:t>kartų didesnis negu DPP</w:t>
      </w:r>
      <w:r w:rsidR="003E6009">
        <w:noBreakHyphen/>
      </w:r>
      <w:r w:rsidRPr="00D867CD">
        <w:t>8 ar DPP</w:t>
      </w:r>
      <w:r w:rsidR="003E6009">
        <w:noBreakHyphen/>
      </w:r>
      <w:r w:rsidRPr="00D867CD">
        <w:t xml:space="preserve">9 aktyvumas </w:t>
      </w:r>
      <w:proofErr w:type="spellStart"/>
      <w:r w:rsidRPr="00D867CD">
        <w:rPr>
          <w:i/>
        </w:rPr>
        <w:t>in</w:t>
      </w:r>
      <w:proofErr w:type="spellEnd"/>
      <w:r w:rsidRPr="00D867CD">
        <w:rPr>
          <w:i/>
        </w:rPr>
        <w:t xml:space="preserve"> </w:t>
      </w:r>
      <w:proofErr w:type="spellStart"/>
      <w:r w:rsidRPr="00D867CD">
        <w:rPr>
          <w:i/>
        </w:rPr>
        <w:t>vitro</w:t>
      </w:r>
      <w:proofErr w:type="spellEnd"/>
      <w:r w:rsidRPr="00D867CD">
        <w:t>.</w:t>
      </w:r>
    </w:p>
    <w:p w14:paraId="1313958A" w14:textId="77777777" w:rsidR="00A01BAC" w:rsidRDefault="00A01BAC" w:rsidP="00D867CD">
      <w:pPr>
        <w:pStyle w:val="Pagrindinistekstas"/>
      </w:pPr>
    </w:p>
    <w:p w14:paraId="4C508083" w14:textId="77777777" w:rsidR="00A01BAC" w:rsidRPr="00D867CD" w:rsidRDefault="00341B61" w:rsidP="00DD75D3">
      <w:pPr>
        <w:pStyle w:val="Pagrindinistekstas"/>
        <w:keepNext/>
      </w:pPr>
      <w:r w:rsidRPr="00D867CD">
        <w:rPr>
          <w:u w:val="single"/>
        </w:rPr>
        <w:t>Klinikinis veiksmingumas ir saugumas</w:t>
      </w:r>
    </w:p>
    <w:p w14:paraId="4C508087" w14:textId="5D3EE13B" w:rsidR="00A01BAC" w:rsidRPr="00D867CD" w:rsidRDefault="00341B61" w:rsidP="00DD75D3">
      <w:pPr>
        <w:pStyle w:val="Pagrindinistekstas"/>
        <w:keepNext/>
      </w:pPr>
      <w:r w:rsidRPr="00D867CD">
        <w:t>Atlikti 8 III</w:t>
      </w:r>
      <w:r w:rsidR="00A467EE">
        <w:t> </w:t>
      </w:r>
      <w:r w:rsidRPr="00D867CD">
        <w:t>fazės atsitiktinių imčių kontroliuojami klinikiniai tyrimai, kuriuose dalyvavo</w:t>
      </w:r>
      <w:r w:rsidR="00474949">
        <w:t xml:space="preserve"> </w:t>
      </w:r>
      <w:r w:rsidRPr="00D867CD">
        <w:t>5</w:t>
      </w:r>
      <w:r w:rsidR="00474949">
        <w:t> </w:t>
      </w:r>
      <w:r w:rsidRPr="00D867CD">
        <w:t>239</w:t>
      </w:r>
      <w:r w:rsidR="00474949">
        <w:t> </w:t>
      </w:r>
      <w:r w:rsidRPr="00D867CD">
        <w:t xml:space="preserve">pacientai, sergantys </w:t>
      </w:r>
      <w:r>
        <w:t>2 tipo</w:t>
      </w:r>
      <w:r w:rsidRPr="00D867CD">
        <w:t xml:space="preserve"> cukriniu diabetu, iš kurių 3</w:t>
      </w:r>
      <w:r w:rsidR="00A467EE">
        <w:t> </w:t>
      </w:r>
      <w:r w:rsidRPr="00D867CD">
        <w:t xml:space="preserve">319 buvo gydomi </w:t>
      </w:r>
      <w:proofErr w:type="spellStart"/>
      <w:r w:rsidRPr="00D867CD">
        <w:t>linagliptinu</w:t>
      </w:r>
      <w:proofErr w:type="spellEnd"/>
      <w:r w:rsidRPr="00D867CD">
        <w:t xml:space="preserve">, siekiant įvertinti jo veiksmingumą ir saugumą. 929 šių tyrimų metu </w:t>
      </w:r>
      <w:proofErr w:type="spellStart"/>
      <w:r w:rsidRPr="00D867CD">
        <w:t>linagliptinu</w:t>
      </w:r>
      <w:proofErr w:type="spellEnd"/>
      <w:r w:rsidRPr="00D867CD">
        <w:t xml:space="preserve"> gydyti pacientai buvo 65</w:t>
      </w:r>
      <w:r>
        <w:t> metų</w:t>
      </w:r>
      <w:r w:rsidRPr="00D867CD">
        <w:t xml:space="preserve"> </w:t>
      </w:r>
      <w:r w:rsidRPr="00D867CD">
        <w:lastRenderedPageBreak/>
        <w:t>arba vyresni. 1</w:t>
      </w:r>
      <w:r w:rsidR="001770FB">
        <w:t> </w:t>
      </w:r>
      <w:r w:rsidRPr="00D867CD">
        <w:t xml:space="preserve">238 </w:t>
      </w:r>
      <w:proofErr w:type="spellStart"/>
      <w:r w:rsidRPr="00D867CD">
        <w:t>linagliptinu</w:t>
      </w:r>
      <w:proofErr w:type="spellEnd"/>
      <w:r w:rsidRPr="00D867CD">
        <w:t xml:space="preserve"> gydomiems pacientams buvo lengvas inkstų funkcijos sutrikimas,</w:t>
      </w:r>
      <w:r w:rsidR="00474949">
        <w:t xml:space="preserve"> </w:t>
      </w:r>
      <w:r w:rsidRPr="00D867CD">
        <w:t>143</w:t>
      </w:r>
      <w:r w:rsidR="003758E0">
        <w:t> </w:t>
      </w:r>
      <w:r w:rsidRPr="00D867CD">
        <w:t xml:space="preserve">– vidutinio sunkumo inkstų funkcijos sutrikimas. Kartą per parą vartojamas </w:t>
      </w:r>
      <w:proofErr w:type="spellStart"/>
      <w:r w:rsidRPr="00D867CD">
        <w:t>linagliptinas</w:t>
      </w:r>
      <w:proofErr w:type="spellEnd"/>
      <w:r w:rsidRPr="00D867CD">
        <w:t xml:space="preserve"> kliniškai reikšmingai pagerino </w:t>
      </w:r>
      <w:proofErr w:type="spellStart"/>
      <w:r w:rsidRPr="00D867CD">
        <w:t>glikemijos</w:t>
      </w:r>
      <w:proofErr w:type="spellEnd"/>
      <w:r w:rsidRPr="00D867CD">
        <w:t xml:space="preserve"> kontrolę, nesukeldamas kliniškai reikšmingo kūno svorio pokyčio.</w:t>
      </w:r>
      <w:r w:rsidR="003758E0">
        <w:t xml:space="preserve"> </w:t>
      </w:r>
      <w:r w:rsidRPr="00D867CD">
        <w:t xml:space="preserve">Visų pogrupių tiriamiesiems, įskaitant sugrupuotus pagal lytį, amžių, inkstų funkcijos sutrikimą ir kūno masės indeksą (KMI), </w:t>
      </w:r>
      <w:proofErr w:type="spellStart"/>
      <w:r w:rsidRPr="00D867CD">
        <w:t>glikozilinto</w:t>
      </w:r>
      <w:proofErr w:type="spellEnd"/>
      <w:r w:rsidRPr="00D867CD">
        <w:t xml:space="preserve"> hemoglobino A</w:t>
      </w:r>
      <w:r w:rsidRPr="00341B61">
        <w:rPr>
          <w:vertAlign w:val="subscript"/>
        </w:rPr>
        <w:t>1c</w:t>
      </w:r>
      <w:r w:rsidRPr="00D867CD">
        <w:t xml:space="preserve"> (HbA</w:t>
      </w:r>
      <w:r w:rsidRPr="00341B61">
        <w:rPr>
          <w:vertAlign w:val="subscript"/>
        </w:rPr>
        <w:t>1c</w:t>
      </w:r>
      <w:r w:rsidRPr="00D867CD">
        <w:t>) kiekio sumažėjimas buvo panašus. Didesnis pradinis HbA</w:t>
      </w:r>
      <w:r w:rsidRPr="00341B61">
        <w:rPr>
          <w:vertAlign w:val="subscript"/>
        </w:rPr>
        <w:t>1c</w:t>
      </w:r>
      <w:r w:rsidRPr="00D867CD">
        <w:t xml:space="preserve"> kiekis buvo susijęs su didesniu HbA</w:t>
      </w:r>
      <w:r w:rsidRPr="00341B61">
        <w:rPr>
          <w:vertAlign w:val="subscript"/>
        </w:rPr>
        <w:t>1c</w:t>
      </w:r>
      <w:r w:rsidRPr="00D867CD">
        <w:t xml:space="preserve"> kiekio sumažėjimu. Visų tyrimų metu HbA</w:t>
      </w:r>
      <w:r w:rsidRPr="00341B61">
        <w:rPr>
          <w:vertAlign w:val="subscript"/>
        </w:rPr>
        <w:t>1c</w:t>
      </w:r>
      <w:r w:rsidRPr="00D867CD">
        <w:t xml:space="preserve"> kiekio sumažėjimas pacientams azijiečiams ir pacientams baltaodžiams skyrėsi reikšmingai (atitinkamai 0,8</w:t>
      </w:r>
      <w:r>
        <w:t> %</w:t>
      </w:r>
      <w:r w:rsidRPr="00D867CD">
        <w:t xml:space="preserve"> ir 0,5</w:t>
      </w:r>
      <w:r>
        <w:t> %</w:t>
      </w:r>
      <w:r w:rsidRPr="00D867CD">
        <w:t>).</w:t>
      </w:r>
    </w:p>
    <w:p w14:paraId="4C508088" w14:textId="77777777" w:rsidR="00A01BAC" w:rsidRPr="00D867CD" w:rsidRDefault="00A01BAC" w:rsidP="00D867CD">
      <w:pPr>
        <w:pStyle w:val="Pagrindinistekstas"/>
      </w:pPr>
    </w:p>
    <w:p w14:paraId="4C508089" w14:textId="091A7BAE" w:rsidR="00A01BAC" w:rsidRPr="00D867CD" w:rsidRDefault="00341B61" w:rsidP="00D867CD">
      <w:pPr>
        <w:rPr>
          <w:i/>
        </w:rPr>
      </w:pPr>
      <w:proofErr w:type="spellStart"/>
      <w:r w:rsidRPr="00D867CD">
        <w:rPr>
          <w:i/>
        </w:rPr>
        <w:t>Monoterapija</w:t>
      </w:r>
      <w:proofErr w:type="spellEnd"/>
      <w:r w:rsidRPr="00D867CD">
        <w:rPr>
          <w:i/>
        </w:rPr>
        <w:t xml:space="preserve"> </w:t>
      </w:r>
      <w:proofErr w:type="spellStart"/>
      <w:r w:rsidRPr="00D867CD">
        <w:rPr>
          <w:i/>
        </w:rPr>
        <w:t>linagliptinu</w:t>
      </w:r>
      <w:proofErr w:type="spellEnd"/>
      <w:r w:rsidRPr="00D867CD">
        <w:rPr>
          <w:i/>
        </w:rPr>
        <w:t xml:space="preserve"> pacientams, kurie</w:t>
      </w:r>
      <w:r w:rsidR="00A517A1">
        <w:rPr>
          <w:i/>
        </w:rPr>
        <w:t>ms</w:t>
      </w:r>
      <w:r w:rsidRPr="00D867CD">
        <w:rPr>
          <w:i/>
        </w:rPr>
        <w:t xml:space="preserve"> netinkam</w:t>
      </w:r>
      <w:r w:rsidR="00A517A1">
        <w:rPr>
          <w:i/>
        </w:rPr>
        <w:t>as</w:t>
      </w:r>
      <w:r w:rsidRPr="00D867CD">
        <w:rPr>
          <w:i/>
        </w:rPr>
        <w:t xml:space="preserve"> gydy</w:t>
      </w:r>
      <w:r w:rsidR="00A517A1">
        <w:rPr>
          <w:i/>
        </w:rPr>
        <w:t>mas</w:t>
      </w:r>
      <w:r w:rsidRPr="00D867CD">
        <w:rPr>
          <w:i/>
        </w:rPr>
        <w:t xml:space="preserve"> </w:t>
      </w:r>
      <w:proofErr w:type="spellStart"/>
      <w:r w:rsidRPr="00D867CD">
        <w:rPr>
          <w:i/>
        </w:rPr>
        <w:t>metforminu</w:t>
      </w:r>
      <w:proofErr w:type="spellEnd"/>
    </w:p>
    <w:p w14:paraId="4C50808B" w14:textId="35730F10" w:rsidR="00A01BAC" w:rsidRDefault="00341B61" w:rsidP="00D867CD">
      <w:pPr>
        <w:pStyle w:val="Pagrindinistekstas"/>
      </w:pPr>
      <w:proofErr w:type="spellStart"/>
      <w:r w:rsidRPr="00D867CD">
        <w:t>Monoterapijos</w:t>
      </w:r>
      <w:proofErr w:type="spellEnd"/>
      <w:r w:rsidRPr="00D867CD">
        <w:t xml:space="preserve"> </w:t>
      </w:r>
      <w:proofErr w:type="spellStart"/>
      <w:r w:rsidRPr="00D867CD">
        <w:t>linagliptinu</w:t>
      </w:r>
      <w:proofErr w:type="spellEnd"/>
      <w:r w:rsidRPr="00D867CD">
        <w:t xml:space="preserve"> veiksmingumas ir saugumas buvo tiriami 24</w:t>
      </w:r>
      <w:r w:rsidR="00A517A1">
        <w:t> </w:t>
      </w:r>
      <w:r w:rsidRPr="00D867CD">
        <w:t xml:space="preserve">savaičių trukmės dvigubai </w:t>
      </w:r>
      <w:r w:rsidR="00A517A1">
        <w:t>koduotu</w:t>
      </w:r>
      <w:r w:rsidRPr="00D867CD">
        <w:t>, placebu kontroliuojamu tyrimu. Gydant kartą per parą vartojama 5</w:t>
      </w:r>
      <w:r>
        <w:t> mg</w:t>
      </w:r>
      <w:r w:rsidRPr="00D867CD">
        <w:t xml:space="preserve"> </w:t>
      </w:r>
      <w:proofErr w:type="spellStart"/>
      <w:r w:rsidRPr="00D867CD">
        <w:t>linagliptino</w:t>
      </w:r>
      <w:proofErr w:type="spellEnd"/>
      <w:r w:rsidRPr="00D867CD">
        <w:t xml:space="preserve"> doze pacientams, kurių pradinis HbA</w:t>
      </w:r>
      <w:r w:rsidRPr="00341B61">
        <w:rPr>
          <w:vertAlign w:val="subscript"/>
        </w:rPr>
        <w:t>1c</w:t>
      </w:r>
      <w:r w:rsidRPr="00D867CD">
        <w:t xml:space="preserve"> kiekis buvo maždaug 8</w:t>
      </w:r>
      <w:r>
        <w:t> %</w:t>
      </w:r>
      <w:r w:rsidRPr="00D867CD">
        <w:t>, reikšmingai pagerėjo HbA</w:t>
      </w:r>
      <w:r w:rsidRPr="00341B61">
        <w:rPr>
          <w:vertAlign w:val="subscript"/>
        </w:rPr>
        <w:t>1c</w:t>
      </w:r>
      <w:r w:rsidRPr="00D867CD">
        <w:t xml:space="preserve"> kiekis</w:t>
      </w:r>
      <w:r w:rsidR="003758E0">
        <w:t xml:space="preserve"> </w:t>
      </w:r>
      <w:r w:rsidRPr="00D867CD">
        <w:t>(</w:t>
      </w:r>
      <w:r w:rsidR="003758E0">
        <w:noBreakHyphen/>
      </w:r>
      <w:r w:rsidRPr="00D867CD">
        <w:t>0,69</w:t>
      </w:r>
      <w:r>
        <w:t> %</w:t>
      </w:r>
      <w:r w:rsidRPr="00D867CD">
        <w:t xml:space="preserve"> pokytis, palyginti su placebu). Be to, gydant </w:t>
      </w:r>
      <w:proofErr w:type="spellStart"/>
      <w:r w:rsidRPr="00D867CD">
        <w:t>linagliptinu</w:t>
      </w:r>
      <w:proofErr w:type="spellEnd"/>
      <w:r w:rsidRPr="00D867CD">
        <w:t xml:space="preserve">, palyginti su placebu, reikšmingai pagerėjo gliukozės kiekis kraujo plazmoje nevalgius (GKPN) bei antrą valandą po valgio (GKPV). </w:t>
      </w:r>
      <w:proofErr w:type="spellStart"/>
      <w:r w:rsidRPr="00D867CD">
        <w:t>Linagliptinu</w:t>
      </w:r>
      <w:proofErr w:type="spellEnd"/>
      <w:r w:rsidRPr="00D867CD">
        <w:t xml:space="preserve"> gydomiems pacientams hipoglikemijos dažnis buvo panašus į dažnį placeb</w:t>
      </w:r>
      <w:r w:rsidR="005641C1">
        <w:t>o</w:t>
      </w:r>
      <w:r w:rsidRPr="00D867CD">
        <w:t xml:space="preserve"> vartojusiems pacientams.</w:t>
      </w:r>
    </w:p>
    <w:p w14:paraId="739E8082" w14:textId="77777777" w:rsidR="003758E0" w:rsidRPr="00D867CD" w:rsidRDefault="003758E0" w:rsidP="00D867CD">
      <w:pPr>
        <w:pStyle w:val="Pagrindinistekstas"/>
      </w:pPr>
    </w:p>
    <w:p w14:paraId="4C50808C" w14:textId="68C48C23" w:rsidR="00A01BAC" w:rsidRDefault="00341B61" w:rsidP="00D867CD">
      <w:pPr>
        <w:pStyle w:val="Pagrindinistekstas"/>
      </w:pPr>
      <w:proofErr w:type="spellStart"/>
      <w:r w:rsidRPr="00D867CD">
        <w:t>Monoterapijos</w:t>
      </w:r>
      <w:proofErr w:type="spellEnd"/>
      <w:r w:rsidRPr="00D867CD">
        <w:t xml:space="preserve"> </w:t>
      </w:r>
      <w:proofErr w:type="spellStart"/>
      <w:r w:rsidRPr="00D867CD">
        <w:t>linagliptinu</w:t>
      </w:r>
      <w:proofErr w:type="spellEnd"/>
      <w:r w:rsidRPr="00D867CD">
        <w:t xml:space="preserve"> veiksmingumas ir saugumas pacientams, kuriems gydymas </w:t>
      </w:r>
      <w:proofErr w:type="spellStart"/>
      <w:r w:rsidRPr="00D867CD">
        <w:t>metforminu</w:t>
      </w:r>
      <w:proofErr w:type="spellEnd"/>
      <w:r w:rsidRPr="00D867CD">
        <w:t xml:space="preserve"> netinka dėl netoleravimo arba </w:t>
      </w:r>
      <w:proofErr w:type="spellStart"/>
      <w:r w:rsidR="0058151A">
        <w:t>kontraindikuotinas</w:t>
      </w:r>
      <w:proofErr w:type="spellEnd"/>
      <w:r w:rsidRPr="00D867CD">
        <w:t xml:space="preserve"> dėl inkstų funkcijos sutrikimo, buvo tirti dvigubai </w:t>
      </w:r>
      <w:r w:rsidR="0058151A">
        <w:t>koduoto</w:t>
      </w:r>
      <w:r w:rsidRPr="00D867CD">
        <w:t>, placebu kontroliuojamo 18</w:t>
      </w:r>
      <w:r w:rsidR="00BD4DFD">
        <w:t> </w:t>
      </w:r>
      <w:r w:rsidRPr="00D867CD">
        <w:t xml:space="preserve">savaičių trukmės tyrimo metu. </w:t>
      </w:r>
      <w:proofErr w:type="spellStart"/>
      <w:r w:rsidRPr="00D867CD">
        <w:t>Linagliptinas</w:t>
      </w:r>
      <w:proofErr w:type="spellEnd"/>
      <w:r w:rsidRPr="00D867CD">
        <w:t xml:space="preserve"> reikšmingai pagerino HbA</w:t>
      </w:r>
      <w:r w:rsidRPr="00341B61">
        <w:rPr>
          <w:vertAlign w:val="subscript"/>
        </w:rPr>
        <w:t>1c</w:t>
      </w:r>
      <w:r w:rsidRPr="00D867CD">
        <w:t xml:space="preserve"> kiekį (-0,57</w:t>
      </w:r>
      <w:r>
        <w:t> %</w:t>
      </w:r>
      <w:r w:rsidRPr="00D867CD">
        <w:t xml:space="preserve"> pokytis, palyginti su placebu), palyginti su vidutiniu pradiniu 8,09</w:t>
      </w:r>
      <w:r>
        <w:t> %</w:t>
      </w:r>
      <w:r w:rsidRPr="00D867CD">
        <w:t xml:space="preserve"> HbA</w:t>
      </w:r>
      <w:r w:rsidRPr="00341B61">
        <w:rPr>
          <w:vertAlign w:val="subscript"/>
        </w:rPr>
        <w:t>1c</w:t>
      </w:r>
      <w:r w:rsidRPr="00D867CD">
        <w:t xml:space="preserve"> kiekiu. Be to, gydant </w:t>
      </w:r>
      <w:proofErr w:type="spellStart"/>
      <w:r w:rsidRPr="00D867CD">
        <w:t>linagliptinu</w:t>
      </w:r>
      <w:proofErr w:type="spellEnd"/>
      <w:r w:rsidRPr="00D867CD">
        <w:t xml:space="preserve">, palyginti su placebu, reikšmingai pagerėjo gliukozės kiekis kraujo plazmoje nevalgius (GKPN). </w:t>
      </w:r>
      <w:proofErr w:type="spellStart"/>
      <w:r w:rsidRPr="00D867CD">
        <w:t>Linagliptinu</w:t>
      </w:r>
      <w:proofErr w:type="spellEnd"/>
      <w:r w:rsidRPr="00D867CD">
        <w:t xml:space="preserve"> gydomiems pacientams hipoglikemijos dažnis buvo panašus į dažnį placeb</w:t>
      </w:r>
      <w:r w:rsidR="00E91A71">
        <w:t>o</w:t>
      </w:r>
      <w:r w:rsidRPr="00D867CD">
        <w:t xml:space="preserve"> vartojusiems pacientams.</w:t>
      </w:r>
    </w:p>
    <w:p w14:paraId="6AD1F5BA" w14:textId="77777777" w:rsidR="003758E0" w:rsidRPr="00D867CD" w:rsidRDefault="003758E0" w:rsidP="00D867CD">
      <w:pPr>
        <w:pStyle w:val="Pagrindinistekstas"/>
      </w:pPr>
    </w:p>
    <w:p w14:paraId="4C50808D" w14:textId="77777777" w:rsidR="00A01BAC" w:rsidRPr="00D867CD" w:rsidRDefault="00341B61" w:rsidP="00D867CD">
      <w:pPr>
        <w:rPr>
          <w:i/>
        </w:rPr>
      </w:pPr>
      <w:r w:rsidRPr="00D867CD">
        <w:rPr>
          <w:i/>
        </w:rPr>
        <w:t xml:space="preserve">Gydymo </w:t>
      </w:r>
      <w:proofErr w:type="spellStart"/>
      <w:r w:rsidRPr="00D867CD">
        <w:rPr>
          <w:i/>
        </w:rPr>
        <w:t>metforminu</w:t>
      </w:r>
      <w:proofErr w:type="spellEnd"/>
      <w:r w:rsidRPr="00D867CD">
        <w:rPr>
          <w:i/>
        </w:rPr>
        <w:t xml:space="preserve"> papildymas </w:t>
      </w:r>
      <w:proofErr w:type="spellStart"/>
      <w:r w:rsidRPr="00D867CD">
        <w:rPr>
          <w:i/>
        </w:rPr>
        <w:t>linagliptinu</w:t>
      </w:r>
      <w:proofErr w:type="spellEnd"/>
    </w:p>
    <w:p w14:paraId="4C50808E" w14:textId="72A539DA" w:rsidR="00A01BAC" w:rsidRDefault="00341B61" w:rsidP="00D867CD">
      <w:pPr>
        <w:pStyle w:val="Pagrindinistekstas"/>
      </w:pPr>
      <w:proofErr w:type="spellStart"/>
      <w:r w:rsidRPr="00D867CD">
        <w:t>Linagliptino</w:t>
      </w:r>
      <w:proofErr w:type="spellEnd"/>
      <w:r w:rsidRPr="00D867CD">
        <w:t xml:space="preserve"> ir </w:t>
      </w:r>
      <w:proofErr w:type="spellStart"/>
      <w:r w:rsidRPr="00D867CD">
        <w:t>metformino</w:t>
      </w:r>
      <w:proofErr w:type="spellEnd"/>
      <w:r w:rsidRPr="00D867CD">
        <w:t xml:space="preserve"> derinio veiksmingumas ir saugumas buvo tirti dvigubai </w:t>
      </w:r>
      <w:r w:rsidR="00E91A71">
        <w:t>koduoto</w:t>
      </w:r>
      <w:r w:rsidRPr="00D867CD">
        <w:t xml:space="preserve">, placebu </w:t>
      </w:r>
      <w:r w:rsidRPr="00083C43">
        <w:t>kontroliuojamo 24</w:t>
      </w:r>
      <w:r w:rsidR="00E91A71" w:rsidRPr="00083C43">
        <w:t> </w:t>
      </w:r>
      <w:r w:rsidRPr="00083C43">
        <w:t xml:space="preserve">savaičių trukmės tyrimo metu. </w:t>
      </w:r>
      <w:proofErr w:type="spellStart"/>
      <w:r w:rsidRPr="00083C43">
        <w:t>Linagliptinas</w:t>
      </w:r>
      <w:proofErr w:type="spellEnd"/>
      <w:r w:rsidRPr="00083C43">
        <w:t xml:space="preserve"> reikšmingai sumažino HbA</w:t>
      </w:r>
      <w:r w:rsidRPr="00083C43">
        <w:rPr>
          <w:vertAlign w:val="subscript"/>
        </w:rPr>
        <w:t>1c</w:t>
      </w:r>
      <w:r w:rsidRPr="00083C43">
        <w:t xml:space="preserve"> kiekį (</w:t>
      </w:r>
      <w:r w:rsidR="008E6216" w:rsidRPr="00083C43">
        <w:noBreakHyphen/>
      </w:r>
      <w:r w:rsidRPr="00083C43">
        <w:t>0,64</w:t>
      </w:r>
      <w:r w:rsidR="00B93DC0" w:rsidRPr="00083C43">
        <w:t> %</w:t>
      </w:r>
      <w:r w:rsidRPr="00083C43">
        <w:t xml:space="preserve"> pokytis, palyginti su placebu), palyginti su vidutiniu pradiniu 8 % HbA</w:t>
      </w:r>
      <w:r w:rsidRPr="00083C43">
        <w:rPr>
          <w:vertAlign w:val="subscript"/>
        </w:rPr>
        <w:t>1c</w:t>
      </w:r>
      <w:r w:rsidRPr="00083C43">
        <w:t xml:space="preserve"> kiekiu. Be to, gydant </w:t>
      </w:r>
      <w:proofErr w:type="spellStart"/>
      <w:r w:rsidRPr="00083C43">
        <w:t>linagliptinu</w:t>
      </w:r>
      <w:proofErr w:type="spellEnd"/>
      <w:r w:rsidRPr="00083C43">
        <w:t>, palyginti su placebu, reikšmingai sumažėjo gliukozės kiekis kraujo plazmoje nevalgius (GKPN) bei antrą valandą po valgio (GKPV).</w:t>
      </w:r>
      <w:r w:rsidRPr="00D867CD">
        <w:t xml:space="preserve"> </w:t>
      </w:r>
      <w:proofErr w:type="spellStart"/>
      <w:r w:rsidRPr="00D867CD">
        <w:t>Linagliptinu</w:t>
      </w:r>
      <w:proofErr w:type="spellEnd"/>
      <w:r w:rsidRPr="00D867CD">
        <w:t xml:space="preserve"> gydomiems pacientams hipoglikemijos dažnis buvo panašus į dažnį placeb</w:t>
      </w:r>
      <w:r w:rsidR="00D411BA">
        <w:t>o</w:t>
      </w:r>
      <w:r w:rsidRPr="00D867CD">
        <w:t xml:space="preserve"> vartojusiems pacientams.</w:t>
      </w:r>
    </w:p>
    <w:p w14:paraId="770151E1" w14:textId="77777777" w:rsidR="003758E0" w:rsidRPr="00D867CD" w:rsidRDefault="003758E0" w:rsidP="00D867CD">
      <w:pPr>
        <w:pStyle w:val="Pagrindinistekstas"/>
      </w:pPr>
    </w:p>
    <w:p w14:paraId="4C50808F" w14:textId="1C86E967" w:rsidR="00A01BAC" w:rsidRPr="00D867CD" w:rsidRDefault="00341B61" w:rsidP="00D867CD">
      <w:pPr>
        <w:rPr>
          <w:i/>
        </w:rPr>
      </w:pPr>
      <w:r w:rsidRPr="00D867CD">
        <w:rPr>
          <w:i/>
        </w:rPr>
        <w:t xml:space="preserve">Gydymo </w:t>
      </w:r>
      <w:proofErr w:type="spellStart"/>
      <w:r w:rsidRPr="00D867CD">
        <w:rPr>
          <w:i/>
        </w:rPr>
        <w:t>metformino</w:t>
      </w:r>
      <w:proofErr w:type="spellEnd"/>
      <w:r w:rsidRPr="00D867CD">
        <w:rPr>
          <w:i/>
        </w:rPr>
        <w:t xml:space="preserve"> ir </w:t>
      </w:r>
      <w:proofErr w:type="spellStart"/>
      <w:r w:rsidRPr="00D867CD">
        <w:rPr>
          <w:i/>
        </w:rPr>
        <w:t>sulfonilurėjos</w:t>
      </w:r>
      <w:proofErr w:type="spellEnd"/>
      <w:r w:rsidRPr="00D867CD">
        <w:rPr>
          <w:i/>
        </w:rPr>
        <w:t xml:space="preserve"> derini</w:t>
      </w:r>
      <w:r w:rsidR="00D411BA">
        <w:rPr>
          <w:i/>
        </w:rPr>
        <w:t>o</w:t>
      </w:r>
      <w:r w:rsidRPr="00D867CD">
        <w:rPr>
          <w:i/>
        </w:rPr>
        <w:t xml:space="preserve"> papildymas </w:t>
      </w:r>
      <w:proofErr w:type="spellStart"/>
      <w:r w:rsidRPr="00D867CD">
        <w:rPr>
          <w:i/>
        </w:rPr>
        <w:t>linagliptinu</w:t>
      </w:r>
      <w:proofErr w:type="spellEnd"/>
    </w:p>
    <w:p w14:paraId="4C508090" w14:textId="443AE4F6" w:rsidR="00A01BAC" w:rsidRDefault="00341B61" w:rsidP="00D867CD">
      <w:pPr>
        <w:pStyle w:val="Pagrindinistekstas"/>
      </w:pPr>
      <w:proofErr w:type="spellStart"/>
      <w:r w:rsidRPr="00D867CD">
        <w:t>Linagliptino</w:t>
      </w:r>
      <w:proofErr w:type="spellEnd"/>
      <w:r w:rsidRPr="00D867CD">
        <w:t xml:space="preserve"> 5</w:t>
      </w:r>
      <w:r>
        <w:t> mg</w:t>
      </w:r>
      <w:r w:rsidRPr="00D867CD">
        <w:t xml:space="preserve"> paros dozės, palyginti su placebu, veiksmingumas ir saugumas pacientams, kuriems gydymas </w:t>
      </w:r>
      <w:proofErr w:type="spellStart"/>
      <w:r w:rsidRPr="00D867CD">
        <w:t>metformino</w:t>
      </w:r>
      <w:proofErr w:type="spellEnd"/>
      <w:r w:rsidRPr="00D867CD">
        <w:t xml:space="preserve"> ir </w:t>
      </w:r>
      <w:proofErr w:type="spellStart"/>
      <w:r w:rsidRPr="00D867CD">
        <w:t>sulfonilurėjos</w:t>
      </w:r>
      <w:proofErr w:type="spellEnd"/>
      <w:r w:rsidRPr="00D867CD">
        <w:t xml:space="preserve"> deriniu nebuvo pakankamai veiksmingas, buvo tirti placebu kontroliuojamo 24</w:t>
      </w:r>
      <w:r w:rsidR="002051E9">
        <w:t> </w:t>
      </w:r>
      <w:r w:rsidRPr="00D867CD">
        <w:t xml:space="preserve">savaičių trukmės tyrimo metu. </w:t>
      </w:r>
      <w:proofErr w:type="spellStart"/>
      <w:r w:rsidRPr="00D867CD">
        <w:t>Linagliptinas</w:t>
      </w:r>
      <w:proofErr w:type="spellEnd"/>
      <w:r w:rsidRPr="00D867CD">
        <w:t xml:space="preserve"> reikšmingai pagerino HbA</w:t>
      </w:r>
      <w:r w:rsidRPr="00341B61">
        <w:rPr>
          <w:vertAlign w:val="subscript"/>
        </w:rPr>
        <w:t>1c</w:t>
      </w:r>
      <w:r w:rsidRPr="00D867CD">
        <w:t xml:space="preserve"> kiekį (</w:t>
      </w:r>
      <w:r w:rsidR="008E6216">
        <w:noBreakHyphen/>
      </w:r>
      <w:r w:rsidRPr="00D867CD">
        <w:t>0,62</w:t>
      </w:r>
      <w:r>
        <w:t> %</w:t>
      </w:r>
      <w:r w:rsidRPr="00D867CD">
        <w:t xml:space="preserve"> pokytis, palyginti su placebu), lyginant su vidutiniu pradiniu 8,14</w:t>
      </w:r>
      <w:r>
        <w:t> %</w:t>
      </w:r>
      <w:r w:rsidRPr="00D867CD">
        <w:t xml:space="preserve"> HbA</w:t>
      </w:r>
      <w:r w:rsidRPr="00341B61">
        <w:rPr>
          <w:vertAlign w:val="subscript"/>
        </w:rPr>
        <w:t>1c</w:t>
      </w:r>
      <w:r w:rsidRPr="00D867CD">
        <w:t xml:space="preserve"> kiekiu. Be to, gydant </w:t>
      </w:r>
      <w:proofErr w:type="spellStart"/>
      <w:r w:rsidRPr="00D867CD">
        <w:t>linagliptinu</w:t>
      </w:r>
      <w:proofErr w:type="spellEnd"/>
      <w:r w:rsidRPr="00D867CD">
        <w:t>, palyginti su placebu, reikšmingai pagerėjo gliukozės kiekis kraujo plazmoje nevalgius (GKPN) bei antrą valandą po valgio (GKPV).</w:t>
      </w:r>
    </w:p>
    <w:p w14:paraId="40E9F194" w14:textId="77777777" w:rsidR="003758E0" w:rsidRPr="00D867CD" w:rsidRDefault="003758E0" w:rsidP="00D867CD">
      <w:pPr>
        <w:pStyle w:val="Pagrindinistekstas"/>
      </w:pPr>
    </w:p>
    <w:p w14:paraId="4C508091" w14:textId="01D621C9" w:rsidR="00A01BAC" w:rsidRPr="00D867CD" w:rsidRDefault="00341B61" w:rsidP="00D867CD">
      <w:pPr>
        <w:rPr>
          <w:i/>
        </w:rPr>
      </w:pPr>
      <w:r w:rsidRPr="00D867CD">
        <w:rPr>
          <w:i/>
        </w:rPr>
        <w:t xml:space="preserve">Gydymo </w:t>
      </w:r>
      <w:proofErr w:type="spellStart"/>
      <w:r w:rsidRPr="00D867CD">
        <w:rPr>
          <w:i/>
        </w:rPr>
        <w:t>metformino</w:t>
      </w:r>
      <w:proofErr w:type="spellEnd"/>
      <w:r w:rsidRPr="00D867CD">
        <w:rPr>
          <w:i/>
        </w:rPr>
        <w:t xml:space="preserve"> ir </w:t>
      </w:r>
      <w:proofErr w:type="spellStart"/>
      <w:r w:rsidRPr="00D867CD">
        <w:rPr>
          <w:i/>
        </w:rPr>
        <w:t>empagliflozino</w:t>
      </w:r>
      <w:proofErr w:type="spellEnd"/>
      <w:r w:rsidRPr="00D867CD">
        <w:rPr>
          <w:i/>
        </w:rPr>
        <w:t xml:space="preserve"> derini</w:t>
      </w:r>
      <w:r w:rsidR="00F647B0">
        <w:rPr>
          <w:i/>
        </w:rPr>
        <w:t>o</w:t>
      </w:r>
      <w:r w:rsidRPr="00D867CD">
        <w:rPr>
          <w:i/>
        </w:rPr>
        <w:t xml:space="preserve"> papildymas </w:t>
      </w:r>
      <w:proofErr w:type="spellStart"/>
      <w:r w:rsidRPr="00D867CD">
        <w:rPr>
          <w:i/>
        </w:rPr>
        <w:t>linagliptinu</w:t>
      </w:r>
      <w:proofErr w:type="spellEnd"/>
    </w:p>
    <w:p w14:paraId="4C508092" w14:textId="133D5B2E" w:rsidR="00A01BAC" w:rsidRPr="00D867CD" w:rsidRDefault="00341B61" w:rsidP="00D867CD">
      <w:pPr>
        <w:pStyle w:val="Pagrindinistekstas"/>
      </w:pPr>
      <w:r w:rsidRPr="00D867CD">
        <w:t xml:space="preserve">Pacientams, kuriems gydymas </w:t>
      </w:r>
      <w:proofErr w:type="spellStart"/>
      <w:r w:rsidRPr="00D867CD">
        <w:t>metforminu</w:t>
      </w:r>
      <w:proofErr w:type="spellEnd"/>
      <w:r w:rsidRPr="00D867CD">
        <w:t xml:space="preserve"> ir </w:t>
      </w:r>
      <w:proofErr w:type="spellStart"/>
      <w:r w:rsidRPr="00D867CD">
        <w:t>empagliflozinu</w:t>
      </w:r>
      <w:proofErr w:type="spellEnd"/>
      <w:r w:rsidRPr="00D867CD">
        <w:t xml:space="preserve"> (10</w:t>
      </w:r>
      <w:r>
        <w:t> mg</w:t>
      </w:r>
      <w:r w:rsidRPr="00D867CD">
        <w:t xml:space="preserve"> (n</w:t>
      </w:r>
      <w:r w:rsidR="00031D19">
        <w:t> </w:t>
      </w:r>
      <w:r w:rsidRPr="00D867CD">
        <w:t>=</w:t>
      </w:r>
      <w:r w:rsidR="00031D19">
        <w:t> </w:t>
      </w:r>
      <w:r w:rsidRPr="00D867CD">
        <w:t>247) arba 25</w:t>
      </w:r>
      <w:r>
        <w:t> mg</w:t>
      </w:r>
      <w:r w:rsidRPr="00D867CD">
        <w:t xml:space="preserve"> (n</w:t>
      </w:r>
      <w:r w:rsidR="00031D19">
        <w:t> </w:t>
      </w:r>
      <w:r w:rsidRPr="00D867CD">
        <w:t>=</w:t>
      </w:r>
      <w:r w:rsidR="00031D19">
        <w:t> </w:t>
      </w:r>
      <w:r w:rsidRPr="00D867CD">
        <w:t xml:space="preserve">217)) nepakankamai kontroliavo </w:t>
      </w:r>
      <w:proofErr w:type="spellStart"/>
      <w:r w:rsidRPr="00D867CD">
        <w:t>glikemiją</w:t>
      </w:r>
      <w:proofErr w:type="spellEnd"/>
      <w:r w:rsidRPr="00D867CD">
        <w:t>, 24</w:t>
      </w:r>
      <w:r w:rsidR="00032CE2">
        <w:t> </w:t>
      </w:r>
      <w:r w:rsidRPr="00D867CD">
        <w:t>savaičių gydymas papildžius 5</w:t>
      </w:r>
      <w:r>
        <w:t> mg</w:t>
      </w:r>
      <w:r w:rsidRPr="00D867CD">
        <w:t xml:space="preserve"> </w:t>
      </w:r>
      <w:proofErr w:type="spellStart"/>
      <w:r w:rsidRPr="00D867CD">
        <w:t>linagliptino</w:t>
      </w:r>
      <w:proofErr w:type="spellEnd"/>
      <w:r w:rsidRPr="00D867CD">
        <w:t xml:space="preserve"> sąlygojo koreguoto HbA</w:t>
      </w:r>
      <w:r w:rsidRPr="00341B61">
        <w:rPr>
          <w:vertAlign w:val="subscript"/>
        </w:rPr>
        <w:t>1c</w:t>
      </w:r>
      <w:r w:rsidRPr="00D867CD">
        <w:t xml:space="preserve"> vidurkio sumažėjimą nuo pradinio lygio atitinkamai </w:t>
      </w:r>
      <w:r w:rsidR="00032CE2">
        <w:noBreakHyphen/>
      </w:r>
      <w:r w:rsidRPr="00D867CD">
        <w:t>0,53</w:t>
      </w:r>
      <w:r>
        <w:t> %</w:t>
      </w:r>
      <w:r w:rsidRPr="00D867CD">
        <w:t xml:space="preserve"> (reikšmingas skirtumas lyginant su papildymu placebu </w:t>
      </w:r>
      <w:r w:rsidR="00535470">
        <w:noBreakHyphen/>
      </w:r>
      <w:r w:rsidRPr="00D867CD">
        <w:t>0,32</w:t>
      </w:r>
      <w:r>
        <w:t> %</w:t>
      </w:r>
      <w:r w:rsidRPr="00D867CD">
        <w:t xml:space="preserve"> (PI 95</w:t>
      </w:r>
      <w:r>
        <w:t> %</w:t>
      </w:r>
      <w:r w:rsidRPr="00D867CD">
        <w:t xml:space="preserve"> </w:t>
      </w:r>
      <w:r w:rsidR="00535470">
        <w:noBreakHyphen/>
      </w:r>
      <w:r w:rsidRPr="00D867CD">
        <w:t xml:space="preserve">0,52, </w:t>
      </w:r>
      <w:r w:rsidR="00535470">
        <w:noBreakHyphen/>
      </w:r>
      <w:r w:rsidRPr="00D867CD">
        <w:t xml:space="preserve">0,13) ir </w:t>
      </w:r>
      <w:r w:rsidR="00535470">
        <w:noBreakHyphen/>
      </w:r>
      <w:r w:rsidRPr="00D867CD">
        <w:t>0,58</w:t>
      </w:r>
      <w:r>
        <w:t> %</w:t>
      </w:r>
      <w:r w:rsidRPr="00D867CD">
        <w:t xml:space="preserve"> (reikšmingas skirtumas lyginant su papildymu placebu </w:t>
      </w:r>
      <w:r w:rsidR="00535470">
        <w:noBreakHyphen/>
      </w:r>
      <w:r w:rsidRPr="00D867CD">
        <w:t>0,47</w:t>
      </w:r>
      <w:r>
        <w:t> %</w:t>
      </w:r>
      <w:r w:rsidRPr="00D867CD">
        <w:t xml:space="preserve"> (PI 95</w:t>
      </w:r>
      <w:r>
        <w:t> %</w:t>
      </w:r>
      <w:r w:rsidRPr="00D867CD">
        <w:t xml:space="preserve"> </w:t>
      </w:r>
      <w:r w:rsidR="00535470">
        <w:noBreakHyphen/>
      </w:r>
      <w:r w:rsidRPr="00D867CD">
        <w:t xml:space="preserve">0,66; </w:t>
      </w:r>
      <w:r w:rsidR="00535470">
        <w:noBreakHyphen/>
      </w:r>
      <w:r w:rsidRPr="00D867CD">
        <w:t>0,28). Tikslinį HbA</w:t>
      </w:r>
      <w:r w:rsidRPr="00341B61">
        <w:rPr>
          <w:vertAlign w:val="subscript"/>
        </w:rPr>
        <w:t>1c</w:t>
      </w:r>
      <w:r w:rsidRPr="00D867CD">
        <w:t xml:space="preserve"> </w:t>
      </w:r>
      <w:r>
        <w:t>&lt; </w:t>
      </w:r>
      <w:r w:rsidRPr="00D867CD">
        <w:t>7</w:t>
      </w:r>
      <w:r w:rsidR="00CC2E5D">
        <w:t>,0</w:t>
      </w:r>
      <w:r>
        <w:t> %</w:t>
      </w:r>
      <w:r w:rsidRPr="00D867CD">
        <w:t xml:space="preserve"> lygį pasiekė statistiškai reikšmingai didesnė dalis pacientų, kurių pradinis HbA</w:t>
      </w:r>
      <w:r w:rsidRPr="00341B61">
        <w:rPr>
          <w:vertAlign w:val="subscript"/>
        </w:rPr>
        <w:t>1c</w:t>
      </w:r>
      <w:r w:rsidRPr="00D867CD">
        <w:t xml:space="preserve"> buvo </w:t>
      </w:r>
      <w:r>
        <w:t>≥ </w:t>
      </w:r>
      <w:r w:rsidRPr="00D867CD">
        <w:t>7,0</w:t>
      </w:r>
      <w:r>
        <w:t> %</w:t>
      </w:r>
      <w:r w:rsidRPr="00D867CD">
        <w:t xml:space="preserve"> ir kurie buvo gydyti 5</w:t>
      </w:r>
      <w:r>
        <w:t> mg</w:t>
      </w:r>
      <w:r w:rsidRPr="00D867CD">
        <w:t xml:space="preserve"> </w:t>
      </w:r>
      <w:proofErr w:type="spellStart"/>
      <w:r w:rsidRPr="00D867CD">
        <w:t>linagliptino</w:t>
      </w:r>
      <w:proofErr w:type="spellEnd"/>
      <w:r w:rsidRPr="00D867CD">
        <w:t>, palyginti su placebu.</w:t>
      </w:r>
    </w:p>
    <w:p w14:paraId="4C508093" w14:textId="77777777" w:rsidR="00A01BAC" w:rsidRPr="00D867CD" w:rsidRDefault="00A01BAC" w:rsidP="00D867CD">
      <w:pPr>
        <w:pStyle w:val="Pagrindinistekstas"/>
      </w:pPr>
    </w:p>
    <w:p w14:paraId="4C508094" w14:textId="77777777" w:rsidR="00A01BAC" w:rsidRPr="00D867CD" w:rsidRDefault="00341B61" w:rsidP="00D867CD">
      <w:pPr>
        <w:rPr>
          <w:i/>
        </w:rPr>
      </w:pPr>
      <w:r w:rsidRPr="00D867CD">
        <w:rPr>
          <w:i/>
        </w:rPr>
        <w:t xml:space="preserve">Gydymo insulinu papildymas </w:t>
      </w:r>
      <w:proofErr w:type="spellStart"/>
      <w:r w:rsidRPr="00D867CD">
        <w:rPr>
          <w:i/>
        </w:rPr>
        <w:t>linagliptinu</w:t>
      </w:r>
      <w:proofErr w:type="spellEnd"/>
    </w:p>
    <w:p w14:paraId="4C508097" w14:textId="0CB5472F" w:rsidR="00A01BAC" w:rsidRDefault="00341B61" w:rsidP="00D867CD">
      <w:pPr>
        <w:pStyle w:val="Pagrindinistekstas"/>
      </w:pPr>
      <w:r w:rsidRPr="00D867CD">
        <w:t xml:space="preserve">Dvigubai </w:t>
      </w:r>
      <w:r w:rsidR="00614973">
        <w:t>koduotu</w:t>
      </w:r>
      <w:r w:rsidRPr="00D867CD">
        <w:t>, placebu kontroliuojamu, 24</w:t>
      </w:r>
      <w:r w:rsidR="00614973">
        <w:t> </w:t>
      </w:r>
      <w:r w:rsidRPr="00D867CD">
        <w:t>savaičių trukmės tyrimu įvertinti gydymo vien insulinu ar</w:t>
      </w:r>
      <w:r w:rsidR="003758E0">
        <w:t xml:space="preserve"> </w:t>
      </w:r>
      <w:r w:rsidRPr="00D867CD">
        <w:t xml:space="preserve">insulino deriniu su </w:t>
      </w:r>
      <w:proofErr w:type="spellStart"/>
      <w:r w:rsidRPr="00D867CD">
        <w:t>metforminu</w:t>
      </w:r>
      <w:proofErr w:type="spellEnd"/>
      <w:r w:rsidRPr="00D867CD">
        <w:t xml:space="preserve"> ir (arba) </w:t>
      </w:r>
      <w:proofErr w:type="spellStart"/>
      <w:r w:rsidRPr="00D867CD">
        <w:t>pioglitazonu</w:t>
      </w:r>
      <w:proofErr w:type="spellEnd"/>
      <w:r w:rsidRPr="00D867CD">
        <w:t xml:space="preserve"> papildymo 5</w:t>
      </w:r>
      <w:r>
        <w:t> mg</w:t>
      </w:r>
      <w:r w:rsidRPr="00D867CD">
        <w:t xml:space="preserve"> </w:t>
      </w:r>
      <w:proofErr w:type="spellStart"/>
      <w:r w:rsidRPr="00D867CD">
        <w:t>linagliptino</w:t>
      </w:r>
      <w:proofErr w:type="spellEnd"/>
      <w:r w:rsidRPr="00D867CD">
        <w:t xml:space="preserve"> veiksmingumas ir saugumas. </w:t>
      </w:r>
      <w:proofErr w:type="spellStart"/>
      <w:r w:rsidRPr="00D867CD">
        <w:t>Li</w:t>
      </w:r>
      <w:r w:rsidR="00E227A7">
        <w:t>n</w:t>
      </w:r>
      <w:r w:rsidRPr="00D867CD">
        <w:t>a</w:t>
      </w:r>
      <w:r w:rsidR="00E227A7">
        <w:t>g</w:t>
      </w:r>
      <w:r w:rsidRPr="00D867CD">
        <w:t>liptinas</w:t>
      </w:r>
      <w:proofErr w:type="spellEnd"/>
      <w:r w:rsidRPr="00D867CD">
        <w:t xml:space="preserve"> reikšmingai sumažino </w:t>
      </w:r>
      <w:proofErr w:type="spellStart"/>
      <w:r w:rsidRPr="00D867CD">
        <w:t>HbA</w:t>
      </w:r>
      <w:r w:rsidRPr="00B43EE2">
        <w:rPr>
          <w:vertAlign w:val="subscript"/>
        </w:rPr>
        <w:t>lc</w:t>
      </w:r>
      <w:proofErr w:type="spellEnd"/>
      <w:r w:rsidRPr="00D867CD">
        <w:t xml:space="preserve"> (</w:t>
      </w:r>
      <w:r w:rsidR="00B43EE2">
        <w:noBreakHyphen/>
      </w:r>
      <w:r w:rsidRPr="00D867CD">
        <w:t>0,65</w:t>
      </w:r>
      <w:r>
        <w:t> %</w:t>
      </w:r>
      <w:r w:rsidRPr="00D867CD">
        <w:t xml:space="preserve">, palyginti su placebu), palyginti su vidutiniu pradiniu </w:t>
      </w:r>
      <w:proofErr w:type="spellStart"/>
      <w:r w:rsidRPr="00D867CD">
        <w:t>HbA</w:t>
      </w:r>
      <w:r w:rsidRPr="00B43EE2">
        <w:rPr>
          <w:vertAlign w:val="subscript"/>
        </w:rPr>
        <w:t>lc</w:t>
      </w:r>
      <w:proofErr w:type="spellEnd"/>
      <w:r w:rsidRPr="00D867CD">
        <w:t xml:space="preserve"> 8,3</w:t>
      </w:r>
      <w:r>
        <w:t> %</w:t>
      </w:r>
      <w:r w:rsidRPr="00D867CD">
        <w:t xml:space="preserve"> kiekiu. Be to, vartojant </w:t>
      </w:r>
      <w:proofErr w:type="spellStart"/>
      <w:r w:rsidRPr="00D867CD">
        <w:t>linagliptino</w:t>
      </w:r>
      <w:proofErr w:type="spellEnd"/>
      <w:r w:rsidRPr="00D867CD">
        <w:t xml:space="preserve">, palyginti su placebu, reikšmingai sumažėjo gliukozės kiekis kraujo plazmoje nevalgius (GKPN) ir, palyginti su placebu, didesnė dalis </w:t>
      </w:r>
      <w:r w:rsidRPr="00D867CD">
        <w:lastRenderedPageBreak/>
        <w:t xml:space="preserve">pacientų pasiekė </w:t>
      </w:r>
      <w:r>
        <w:t>&lt; </w:t>
      </w:r>
      <w:r w:rsidRPr="00D867CD">
        <w:t>7,0</w:t>
      </w:r>
      <w:r>
        <w:t> %</w:t>
      </w:r>
      <w:r w:rsidRPr="00D867CD">
        <w:t xml:space="preserve"> tikslinį </w:t>
      </w:r>
      <w:proofErr w:type="spellStart"/>
      <w:r w:rsidRPr="00D867CD">
        <w:t>HbA</w:t>
      </w:r>
      <w:r w:rsidRPr="00BC57C5">
        <w:rPr>
          <w:vertAlign w:val="subscript"/>
        </w:rPr>
        <w:t>lc</w:t>
      </w:r>
      <w:proofErr w:type="spellEnd"/>
      <w:r w:rsidRPr="00D867CD">
        <w:t>. Tai buvo pasiekta, esant stabiliai insulino dozei (40,1</w:t>
      </w:r>
      <w:r w:rsidR="00BC57C5">
        <w:t> </w:t>
      </w:r>
      <w:r w:rsidRPr="00D867CD">
        <w:t xml:space="preserve">TV). Tiriamųjų pacientų svoris grupėse reikšmingai nesiskyrė. Poveikis kraujo plazmos lipidams buvo nedidelis. Pastebėtas hipoglikemijos atvejų skaičius gydytiems </w:t>
      </w:r>
      <w:proofErr w:type="spellStart"/>
      <w:r w:rsidRPr="00D867CD">
        <w:t>linagliptinu</w:t>
      </w:r>
      <w:proofErr w:type="spellEnd"/>
      <w:r w:rsidRPr="00D867CD">
        <w:t xml:space="preserve"> ar vartojusiems placebą pacientams buvo panašus (22,2</w:t>
      </w:r>
      <w:r>
        <w:t> %</w:t>
      </w:r>
      <w:r w:rsidRPr="00D867CD">
        <w:t xml:space="preserve"> </w:t>
      </w:r>
      <w:proofErr w:type="spellStart"/>
      <w:r w:rsidRPr="00D867CD">
        <w:t>linagliptinui</w:t>
      </w:r>
      <w:proofErr w:type="spellEnd"/>
      <w:r w:rsidRPr="00D867CD">
        <w:t>; 21,2</w:t>
      </w:r>
      <w:r>
        <w:t> %</w:t>
      </w:r>
      <w:r w:rsidRPr="00D867CD">
        <w:t xml:space="preserve"> placebui).</w:t>
      </w:r>
    </w:p>
    <w:p w14:paraId="6D4BC492" w14:textId="77777777" w:rsidR="003758E0" w:rsidRPr="00D867CD" w:rsidRDefault="003758E0" w:rsidP="00D867CD">
      <w:pPr>
        <w:pStyle w:val="Pagrindinistekstas"/>
      </w:pPr>
    </w:p>
    <w:p w14:paraId="3EFC4F41" w14:textId="77777777" w:rsidR="00044185" w:rsidRDefault="00341B61" w:rsidP="00D867CD">
      <w:pPr>
        <w:pStyle w:val="Pagrindinistekstas"/>
        <w:rPr>
          <w:i/>
        </w:rPr>
      </w:pPr>
      <w:r w:rsidRPr="00D867CD">
        <w:rPr>
          <w:i/>
        </w:rPr>
        <w:t xml:space="preserve">Gydymo </w:t>
      </w:r>
      <w:proofErr w:type="spellStart"/>
      <w:r w:rsidRPr="00D867CD">
        <w:rPr>
          <w:i/>
        </w:rPr>
        <w:t>metforminu</w:t>
      </w:r>
      <w:proofErr w:type="spellEnd"/>
      <w:r w:rsidRPr="00D867CD">
        <w:rPr>
          <w:i/>
        </w:rPr>
        <w:t xml:space="preserve"> papildymas </w:t>
      </w:r>
      <w:proofErr w:type="spellStart"/>
      <w:r w:rsidRPr="00D867CD">
        <w:rPr>
          <w:i/>
        </w:rPr>
        <w:t>linagliptinu</w:t>
      </w:r>
      <w:proofErr w:type="spellEnd"/>
      <w:r w:rsidRPr="00D867CD">
        <w:rPr>
          <w:i/>
        </w:rPr>
        <w:t xml:space="preserve"> arba </w:t>
      </w:r>
      <w:proofErr w:type="spellStart"/>
      <w:r w:rsidRPr="00D867CD">
        <w:rPr>
          <w:i/>
        </w:rPr>
        <w:t>glimepiridu</w:t>
      </w:r>
      <w:proofErr w:type="spellEnd"/>
      <w:r w:rsidRPr="00D867CD">
        <w:rPr>
          <w:i/>
        </w:rPr>
        <w:t xml:space="preserve"> (24</w:t>
      </w:r>
      <w:r w:rsidR="00044185">
        <w:rPr>
          <w:i/>
        </w:rPr>
        <w:t> </w:t>
      </w:r>
      <w:r w:rsidRPr="00D867CD">
        <w:rPr>
          <w:i/>
        </w:rPr>
        <w:t>mėnesių tyrimo duomenys)</w:t>
      </w:r>
    </w:p>
    <w:p w14:paraId="4C508099" w14:textId="54B01697" w:rsidR="00A01BAC" w:rsidRDefault="00341B61" w:rsidP="00D867CD">
      <w:pPr>
        <w:pStyle w:val="Pagrindinistekstas"/>
      </w:pPr>
      <w:r w:rsidRPr="00D867CD">
        <w:t xml:space="preserve">Tyrimo, kuriuo buvo lyginami gydymo </w:t>
      </w:r>
      <w:proofErr w:type="spellStart"/>
      <w:r w:rsidRPr="00D867CD">
        <w:t>metforminu</w:t>
      </w:r>
      <w:proofErr w:type="spellEnd"/>
      <w:r w:rsidRPr="00D867CD">
        <w:t xml:space="preserve"> papildymo </w:t>
      </w:r>
      <w:proofErr w:type="spellStart"/>
      <w:r w:rsidRPr="00D867CD">
        <w:t>linagliptino</w:t>
      </w:r>
      <w:proofErr w:type="spellEnd"/>
      <w:r w:rsidRPr="00D867CD">
        <w:t xml:space="preserve"> 5</w:t>
      </w:r>
      <w:r>
        <w:t> mg</w:t>
      </w:r>
      <w:r w:rsidRPr="00D867CD">
        <w:t xml:space="preserve"> doze arba </w:t>
      </w:r>
      <w:proofErr w:type="spellStart"/>
      <w:r w:rsidRPr="00D867CD">
        <w:t>glimepiridu</w:t>
      </w:r>
      <w:proofErr w:type="spellEnd"/>
      <w:r w:rsidRPr="00D867CD">
        <w:t xml:space="preserve"> (vidutinė dozė – 3</w:t>
      </w:r>
      <w:r>
        <w:t> mg</w:t>
      </w:r>
      <w:r w:rsidRPr="00D867CD">
        <w:t xml:space="preserve">) veiksmingumas ir saugumas pacientams, kuriems </w:t>
      </w:r>
      <w:proofErr w:type="spellStart"/>
      <w:r w:rsidRPr="00D867CD">
        <w:t>monoterapija</w:t>
      </w:r>
      <w:proofErr w:type="spellEnd"/>
      <w:r w:rsidRPr="00D867CD">
        <w:t xml:space="preserve"> </w:t>
      </w:r>
      <w:proofErr w:type="spellStart"/>
      <w:r w:rsidRPr="00D867CD">
        <w:t>metforminu</w:t>
      </w:r>
      <w:proofErr w:type="spellEnd"/>
      <w:r w:rsidRPr="00D867CD">
        <w:t xml:space="preserve"> </w:t>
      </w:r>
      <w:proofErr w:type="spellStart"/>
      <w:r w:rsidRPr="00D867CD">
        <w:t>glikemiją</w:t>
      </w:r>
      <w:proofErr w:type="spellEnd"/>
      <w:r w:rsidRPr="00D867CD">
        <w:t xml:space="preserve"> kontroliavo nepakankamai, metu </w:t>
      </w:r>
      <w:proofErr w:type="spellStart"/>
      <w:r w:rsidRPr="00D867CD">
        <w:t>linagliptinu</w:t>
      </w:r>
      <w:proofErr w:type="spellEnd"/>
      <w:r w:rsidRPr="00D867CD">
        <w:t xml:space="preserve"> gydomiems pacientams vidutinis HbA</w:t>
      </w:r>
      <w:r w:rsidRPr="00341B61">
        <w:rPr>
          <w:vertAlign w:val="subscript"/>
        </w:rPr>
        <w:t>1c</w:t>
      </w:r>
      <w:r w:rsidRPr="00D867CD">
        <w:t xml:space="preserve"> kiekio sumažėjimas buvo </w:t>
      </w:r>
      <w:r w:rsidR="0090676D">
        <w:noBreakHyphen/>
      </w:r>
      <w:r w:rsidRPr="00D867CD">
        <w:t>0,16</w:t>
      </w:r>
      <w:r>
        <w:t> %</w:t>
      </w:r>
      <w:r w:rsidRPr="00D867CD">
        <w:t xml:space="preserve"> (vidutinis pradinis HbA</w:t>
      </w:r>
      <w:r w:rsidRPr="00341B61">
        <w:rPr>
          <w:vertAlign w:val="subscript"/>
        </w:rPr>
        <w:t>1c</w:t>
      </w:r>
      <w:r w:rsidRPr="00D867CD">
        <w:t xml:space="preserve"> kiekis buvo 7,69</w:t>
      </w:r>
      <w:r>
        <w:t> %</w:t>
      </w:r>
      <w:r w:rsidRPr="00D867CD">
        <w:t xml:space="preserve">), </w:t>
      </w:r>
      <w:proofErr w:type="spellStart"/>
      <w:r w:rsidRPr="00D867CD">
        <w:t>glimepiridu</w:t>
      </w:r>
      <w:proofErr w:type="spellEnd"/>
      <w:r w:rsidRPr="00D867CD">
        <w:t xml:space="preserve"> </w:t>
      </w:r>
      <w:r w:rsidRPr="007A7293">
        <w:t xml:space="preserve">gydomiems pacientams </w:t>
      </w:r>
      <w:r w:rsidR="00C34A42" w:rsidRPr="007A7293">
        <w:t>-</w:t>
      </w:r>
      <w:r w:rsidRPr="007A7293">
        <w:t xml:space="preserve"> </w:t>
      </w:r>
      <w:r w:rsidR="00C34A42" w:rsidRPr="007A7293">
        <w:noBreakHyphen/>
      </w:r>
      <w:r w:rsidRPr="007A7293">
        <w:t>0,36 % (vidutinis pradinis HbA</w:t>
      </w:r>
      <w:r w:rsidRPr="007A7293">
        <w:rPr>
          <w:vertAlign w:val="subscript"/>
        </w:rPr>
        <w:t>1c</w:t>
      </w:r>
      <w:r w:rsidRPr="007A7293">
        <w:t xml:space="preserve"> kiekis buvo 7,69 %), vidutinis gydymo skirtumas 0,20 % (97</w:t>
      </w:r>
      <w:r w:rsidRPr="00D867CD">
        <w:t>,5</w:t>
      </w:r>
      <w:r>
        <w:t> %</w:t>
      </w:r>
      <w:r w:rsidRPr="00D867CD">
        <w:t xml:space="preserve"> PI: 0,09; 0,299). </w:t>
      </w:r>
      <w:proofErr w:type="spellStart"/>
      <w:r w:rsidRPr="00D867CD">
        <w:t>Linagliptinu</w:t>
      </w:r>
      <w:proofErr w:type="spellEnd"/>
      <w:r w:rsidRPr="00D867CD">
        <w:t xml:space="preserve"> gydomos grupės pacientams hipoglikemijos dažnis buvo reikšmingai mažesnis (7,5</w:t>
      </w:r>
      <w:r>
        <w:t> %</w:t>
      </w:r>
      <w:r w:rsidRPr="00D867CD">
        <w:t xml:space="preserve">) negu </w:t>
      </w:r>
      <w:proofErr w:type="spellStart"/>
      <w:r w:rsidRPr="00D867CD">
        <w:t>glimepiridu</w:t>
      </w:r>
      <w:proofErr w:type="spellEnd"/>
      <w:r w:rsidRPr="00D867CD">
        <w:t xml:space="preserve"> gydomos grupės pacientams (36,1</w:t>
      </w:r>
      <w:r>
        <w:t> %</w:t>
      </w:r>
      <w:r w:rsidRPr="00D867CD">
        <w:t>).</w:t>
      </w:r>
      <w:r w:rsidR="003758E0">
        <w:t xml:space="preserve"> </w:t>
      </w:r>
      <w:proofErr w:type="spellStart"/>
      <w:r w:rsidRPr="00D867CD">
        <w:t>Linagliptinu</w:t>
      </w:r>
      <w:proofErr w:type="spellEnd"/>
      <w:r w:rsidRPr="00D867CD">
        <w:t xml:space="preserve"> gydomų pacientų vidutinis kūno svoris, palyginti su pradiniu, reikšmingai sumažėjo, </w:t>
      </w:r>
      <w:proofErr w:type="spellStart"/>
      <w:r w:rsidRPr="00D867CD">
        <w:t>glimepiridu</w:t>
      </w:r>
      <w:proofErr w:type="spellEnd"/>
      <w:r w:rsidRPr="00D867CD">
        <w:t xml:space="preserve"> gydomų pacientų reikšmingai padidėjo (atitinkamai </w:t>
      </w:r>
      <w:r w:rsidR="00373ACE">
        <w:noBreakHyphen/>
      </w:r>
      <w:r w:rsidRPr="00D867CD">
        <w:t>1,39</w:t>
      </w:r>
      <w:r w:rsidR="00373ACE">
        <w:t> </w:t>
      </w:r>
      <w:r w:rsidRPr="00D867CD">
        <w:t>kg ir +1,29</w:t>
      </w:r>
      <w:r w:rsidR="00373ACE">
        <w:t> </w:t>
      </w:r>
      <w:r w:rsidRPr="00D867CD">
        <w:t>kg).</w:t>
      </w:r>
    </w:p>
    <w:p w14:paraId="2058BD46" w14:textId="77777777" w:rsidR="003758E0" w:rsidRPr="00D867CD" w:rsidRDefault="003758E0" w:rsidP="00D867CD">
      <w:pPr>
        <w:pStyle w:val="Pagrindinistekstas"/>
      </w:pPr>
    </w:p>
    <w:p w14:paraId="4C50809B" w14:textId="42A76FDC" w:rsidR="00A01BAC" w:rsidRPr="00D867CD" w:rsidRDefault="00341B61" w:rsidP="00D867CD">
      <w:pPr>
        <w:rPr>
          <w:i/>
        </w:rPr>
      </w:pPr>
      <w:r w:rsidRPr="00D867CD">
        <w:rPr>
          <w:i/>
        </w:rPr>
        <w:t xml:space="preserve">Gydymo papildymas </w:t>
      </w:r>
      <w:proofErr w:type="spellStart"/>
      <w:r w:rsidRPr="00D867CD">
        <w:rPr>
          <w:i/>
        </w:rPr>
        <w:t>linagliptinu</w:t>
      </w:r>
      <w:proofErr w:type="spellEnd"/>
      <w:r w:rsidRPr="00D867CD">
        <w:rPr>
          <w:i/>
        </w:rPr>
        <w:t xml:space="preserve"> pacientams, kuriems yra sunkus inkstų funkcijos sutrikimas.</w:t>
      </w:r>
      <w:r w:rsidR="00FA0C2B">
        <w:rPr>
          <w:i/>
        </w:rPr>
        <w:t xml:space="preserve"> </w:t>
      </w:r>
      <w:r w:rsidRPr="00D867CD">
        <w:rPr>
          <w:i/>
        </w:rPr>
        <w:t>12</w:t>
      </w:r>
      <w:r w:rsidR="00FA0C2B">
        <w:rPr>
          <w:i/>
        </w:rPr>
        <w:t> </w:t>
      </w:r>
      <w:r w:rsidRPr="00D867CD">
        <w:rPr>
          <w:i/>
        </w:rPr>
        <w:t>savaičių placebu kontroliuojamo tyrimo (foninis gydymas buvo stabilus) ir 40</w:t>
      </w:r>
      <w:r w:rsidR="004F4620">
        <w:rPr>
          <w:i/>
        </w:rPr>
        <w:t> </w:t>
      </w:r>
      <w:r w:rsidRPr="00D867CD">
        <w:rPr>
          <w:i/>
        </w:rPr>
        <w:t>savaičių placebu kontroliuojamo tęstinio tyrimo (foninį gydymą buvo leista reguliuoti) duomenys</w:t>
      </w:r>
    </w:p>
    <w:p w14:paraId="4C50809C" w14:textId="4B1474C4" w:rsidR="00A01BAC" w:rsidRPr="00D867CD" w:rsidRDefault="00341B61" w:rsidP="00D867CD">
      <w:pPr>
        <w:pStyle w:val="Pagrindinistekstas"/>
      </w:pPr>
      <w:proofErr w:type="spellStart"/>
      <w:r w:rsidRPr="00D867CD">
        <w:t>Linagliptino</w:t>
      </w:r>
      <w:proofErr w:type="spellEnd"/>
      <w:r w:rsidRPr="00D867CD">
        <w:t xml:space="preserve"> veiksmingumas ir saugumas </w:t>
      </w:r>
      <w:r>
        <w:t>2 tipo</w:t>
      </w:r>
      <w:r w:rsidRPr="00D867CD">
        <w:t xml:space="preserve"> cukriniu diabetu sergantiems pacientams, </w:t>
      </w:r>
      <w:r w:rsidR="004F4620">
        <w:t>kuriems buvo</w:t>
      </w:r>
      <w:r w:rsidRPr="00D867CD">
        <w:t xml:space="preserve"> sunkus inkstų funkcijos sutrikimas, buvo vertinti dvigubai </w:t>
      </w:r>
      <w:r w:rsidR="00FA1EBC">
        <w:t>koduotu</w:t>
      </w:r>
      <w:r w:rsidRPr="00D867CD">
        <w:t>, placebu kontroliuojamu 12</w:t>
      </w:r>
      <w:r w:rsidR="00FA1EBC">
        <w:t> </w:t>
      </w:r>
      <w:r w:rsidRPr="00D867CD">
        <w:t xml:space="preserve">savaičių </w:t>
      </w:r>
      <w:r w:rsidR="0013562F">
        <w:t xml:space="preserve">trukmės </w:t>
      </w:r>
      <w:r w:rsidRPr="00D867CD">
        <w:t xml:space="preserve">tyrimu, kurio metu foninis </w:t>
      </w:r>
      <w:proofErr w:type="spellStart"/>
      <w:r w:rsidRPr="00D867CD">
        <w:t>glikemijos</w:t>
      </w:r>
      <w:proofErr w:type="spellEnd"/>
      <w:r w:rsidRPr="00D867CD">
        <w:t xml:space="preserve"> gydymas buvo stabilus. Daugumai pacientų (80,5</w:t>
      </w:r>
      <w:r>
        <w:t> %</w:t>
      </w:r>
      <w:r w:rsidRPr="00D867CD">
        <w:t xml:space="preserve">) foninis gydymas buvo taikomas vien insulinu arba insulino deriniu su geriamaisiais antidiabetiniais vaistiniais preparatais, tokiais kaip </w:t>
      </w:r>
      <w:proofErr w:type="spellStart"/>
      <w:r w:rsidRPr="00D867CD">
        <w:t>sulfonilurėjos</w:t>
      </w:r>
      <w:proofErr w:type="spellEnd"/>
      <w:r w:rsidRPr="00D867CD">
        <w:t xml:space="preserve"> dariniai, </w:t>
      </w:r>
      <w:proofErr w:type="spellStart"/>
      <w:r w:rsidRPr="00D867CD">
        <w:t>glinidas</w:t>
      </w:r>
      <w:proofErr w:type="spellEnd"/>
      <w:r w:rsidRPr="00D867CD">
        <w:t xml:space="preserve"> ir </w:t>
      </w:r>
      <w:proofErr w:type="spellStart"/>
      <w:r w:rsidRPr="00D867CD">
        <w:t>pioglitazonas</w:t>
      </w:r>
      <w:proofErr w:type="spellEnd"/>
      <w:r w:rsidRPr="00D867CD">
        <w:t>. Tęstinio 40</w:t>
      </w:r>
      <w:r w:rsidR="00E614F3">
        <w:t> </w:t>
      </w:r>
      <w:r w:rsidRPr="00D867CD">
        <w:t>savaičių tyrimo metu buvo leista reguliuoti foninio antidiabetinio gydymo vaistinių preparatų dozes.</w:t>
      </w:r>
    </w:p>
    <w:p w14:paraId="4C50809D" w14:textId="77777777" w:rsidR="00A01BAC" w:rsidRPr="00D867CD" w:rsidRDefault="00A01BAC" w:rsidP="00D867CD">
      <w:pPr>
        <w:pStyle w:val="Pagrindinistekstas"/>
      </w:pPr>
    </w:p>
    <w:p w14:paraId="4C50809E" w14:textId="05819AF6" w:rsidR="00A01BAC" w:rsidRDefault="00341B61" w:rsidP="00D867CD">
      <w:pPr>
        <w:pStyle w:val="Pagrindinistekstas"/>
      </w:pPr>
      <w:proofErr w:type="spellStart"/>
      <w:r w:rsidRPr="00D867CD">
        <w:t>Linagliptinas</w:t>
      </w:r>
      <w:proofErr w:type="spellEnd"/>
      <w:r w:rsidRPr="00D867CD">
        <w:t xml:space="preserve"> reikšmingai sumažino HbA</w:t>
      </w:r>
      <w:r w:rsidRPr="00341B61">
        <w:rPr>
          <w:vertAlign w:val="subscript"/>
        </w:rPr>
        <w:t>1c</w:t>
      </w:r>
      <w:r w:rsidRPr="00D867CD">
        <w:t xml:space="preserve"> kiekį (</w:t>
      </w:r>
      <w:r w:rsidR="00E614F3">
        <w:noBreakHyphen/>
      </w:r>
      <w:r w:rsidRPr="00D867CD">
        <w:t>0,59</w:t>
      </w:r>
      <w:r>
        <w:t> %</w:t>
      </w:r>
      <w:r w:rsidRPr="00D867CD">
        <w:t xml:space="preserve"> pokytis, palyginti su placebu, po 12</w:t>
      </w:r>
      <w:r w:rsidR="00E614F3">
        <w:t> </w:t>
      </w:r>
      <w:r w:rsidRPr="00D867CD">
        <w:t>savaičių gydymo), lyginant su vidutiniu pradiniu HbA</w:t>
      </w:r>
      <w:r w:rsidRPr="00341B61">
        <w:rPr>
          <w:vertAlign w:val="subscript"/>
        </w:rPr>
        <w:t>1c</w:t>
      </w:r>
      <w:r w:rsidRPr="00D867CD">
        <w:t xml:space="preserve"> 8,2</w:t>
      </w:r>
      <w:r>
        <w:t> %</w:t>
      </w:r>
      <w:r w:rsidRPr="00D867CD">
        <w:t xml:space="preserve"> kiekiu. Po 52</w:t>
      </w:r>
      <w:r w:rsidR="00E614F3">
        <w:t> </w:t>
      </w:r>
      <w:r w:rsidRPr="00D867CD">
        <w:t xml:space="preserve">gydymo savaičių </w:t>
      </w:r>
      <w:proofErr w:type="spellStart"/>
      <w:r w:rsidRPr="00D867CD">
        <w:t>linagliptino</w:t>
      </w:r>
      <w:proofErr w:type="spellEnd"/>
      <w:r w:rsidRPr="00D867CD">
        <w:t>, palyginti su placebu, sukelto HbA</w:t>
      </w:r>
      <w:r w:rsidRPr="00341B61">
        <w:rPr>
          <w:vertAlign w:val="subscript"/>
        </w:rPr>
        <w:t>1c</w:t>
      </w:r>
      <w:r w:rsidRPr="00D867CD">
        <w:t xml:space="preserve"> kiekio sumažėjimo skirtumas buvo </w:t>
      </w:r>
      <w:r w:rsidR="00E614F3">
        <w:noBreakHyphen/>
      </w:r>
      <w:r w:rsidRPr="00D867CD">
        <w:t>0,72</w:t>
      </w:r>
      <w:r>
        <w:t> %</w:t>
      </w:r>
      <w:r w:rsidRPr="00D867CD">
        <w:t>.</w:t>
      </w:r>
    </w:p>
    <w:p w14:paraId="0020140C" w14:textId="77777777" w:rsidR="00FA0C2B" w:rsidRPr="00D867CD" w:rsidRDefault="00FA0C2B" w:rsidP="00D867CD">
      <w:pPr>
        <w:pStyle w:val="Pagrindinistekstas"/>
      </w:pPr>
    </w:p>
    <w:p w14:paraId="4C50809F" w14:textId="484C8260" w:rsidR="00A01BAC" w:rsidRDefault="0062477B" w:rsidP="00D867CD">
      <w:pPr>
        <w:pStyle w:val="Pagrindinistekstas"/>
      </w:pPr>
      <w:r>
        <w:t>K</w:t>
      </w:r>
      <w:r w:rsidR="00341B61" w:rsidRPr="00D867CD">
        <w:t xml:space="preserve">ūno svoris </w:t>
      </w:r>
      <w:r w:rsidR="001479DC">
        <w:t xml:space="preserve">tarp grupių </w:t>
      </w:r>
      <w:r w:rsidR="00341B61" w:rsidRPr="00D867CD">
        <w:t>reikšmingai nesiskyrė.</w:t>
      </w:r>
      <w:r w:rsidR="00B7625F">
        <w:t xml:space="preserve"> Stebėtas hipoglikemijos pasireiškimo dažnis pacientams, gydytiems </w:t>
      </w:r>
      <w:proofErr w:type="spellStart"/>
      <w:r w:rsidR="00B7625F">
        <w:t>linagliptinu</w:t>
      </w:r>
      <w:proofErr w:type="spellEnd"/>
      <w:r w:rsidR="00B7625F">
        <w:t xml:space="preserve">, buvo didesnis, palyginti su vartojusiais placebą, dėl padažnėjusių </w:t>
      </w:r>
      <w:proofErr w:type="spellStart"/>
      <w:r w:rsidR="00B7625F">
        <w:t>besimptomių</w:t>
      </w:r>
      <w:proofErr w:type="spellEnd"/>
      <w:r w:rsidR="00B7625F">
        <w:t xml:space="preserve"> hipoglikemijos reiškinių</w:t>
      </w:r>
      <w:r w:rsidR="00341B61" w:rsidRPr="00D867CD">
        <w:t>. Sunkių hipoglikemijos reiškinių dažnis tarp grupių nesiskyrė.</w:t>
      </w:r>
    </w:p>
    <w:p w14:paraId="4A8C56EC" w14:textId="77777777" w:rsidR="00FA0C2B" w:rsidRPr="00D867CD" w:rsidRDefault="00FA0C2B" w:rsidP="00D867CD">
      <w:pPr>
        <w:pStyle w:val="Pagrindinistekstas"/>
      </w:pPr>
    </w:p>
    <w:p w14:paraId="4C5080A0" w14:textId="64DAD9CE" w:rsidR="00A01BAC" w:rsidRPr="00D867CD" w:rsidRDefault="00341B61" w:rsidP="00D867CD">
      <w:pPr>
        <w:rPr>
          <w:i/>
        </w:rPr>
      </w:pPr>
      <w:r w:rsidRPr="00D867CD">
        <w:rPr>
          <w:i/>
        </w:rPr>
        <w:t>Senyv</w:t>
      </w:r>
      <w:r w:rsidR="00A922D1">
        <w:rPr>
          <w:i/>
        </w:rPr>
        <w:t xml:space="preserve">ų pacientų </w:t>
      </w:r>
      <w:r w:rsidRPr="00D867CD">
        <w:rPr>
          <w:i/>
        </w:rPr>
        <w:t>(70</w:t>
      </w:r>
      <w:r>
        <w:rPr>
          <w:i/>
        </w:rPr>
        <w:t> metų</w:t>
      </w:r>
      <w:r w:rsidRPr="00D867CD">
        <w:rPr>
          <w:i/>
        </w:rPr>
        <w:t xml:space="preserve"> ir vyresnių), sergančių </w:t>
      </w:r>
      <w:r>
        <w:rPr>
          <w:i/>
        </w:rPr>
        <w:t>2 tipo</w:t>
      </w:r>
      <w:r w:rsidRPr="00D867CD">
        <w:rPr>
          <w:i/>
        </w:rPr>
        <w:t xml:space="preserve"> cukriniu diabetu, gydymo papildymas </w:t>
      </w:r>
      <w:proofErr w:type="spellStart"/>
      <w:r w:rsidRPr="00D867CD">
        <w:rPr>
          <w:i/>
        </w:rPr>
        <w:t>linagliptinu</w:t>
      </w:r>
      <w:proofErr w:type="spellEnd"/>
    </w:p>
    <w:p w14:paraId="4C5080A3" w14:textId="20DF4B96" w:rsidR="00A01BAC" w:rsidRDefault="00341B61" w:rsidP="00D867CD">
      <w:pPr>
        <w:pStyle w:val="Pagrindinistekstas"/>
      </w:pPr>
      <w:proofErr w:type="spellStart"/>
      <w:r w:rsidRPr="00D867CD">
        <w:t>Linagliptino</w:t>
      </w:r>
      <w:proofErr w:type="spellEnd"/>
      <w:r w:rsidRPr="00D867CD">
        <w:t xml:space="preserve"> veiksmingumas ir saugumas </w:t>
      </w:r>
      <w:r>
        <w:t>2 tipo</w:t>
      </w:r>
      <w:r w:rsidRPr="00D867CD">
        <w:t xml:space="preserve"> cukriniu diabetu sergantiems senyv</w:t>
      </w:r>
      <w:r w:rsidR="00FB217A">
        <w:t xml:space="preserve">iems pacientams </w:t>
      </w:r>
      <w:r w:rsidRPr="00D867CD">
        <w:t>(70</w:t>
      </w:r>
      <w:r>
        <w:t> metų</w:t>
      </w:r>
      <w:r w:rsidRPr="00D867CD">
        <w:t xml:space="preserve"> ir vyresniems) buvo vertinti dvigubai </w:t>
      </w:r>
      <w:r w:rsidR="00FB217A">
        <w:t>koduotu</w:t>
      </w:r>
      <w:r w:rsidRPr="00D867CD">
        <w:t xml:space="preserve"> 24</w:t>
      </w:r>
      <w:r w:rsidR="00FB217A">
        <w:t> </w:t>
      </w:r>
      <w:r w:rsidRPr="00D867CD">
        <w:t xml:space="preserve">savaičių trukmės tyrimu. Foninis gydymas buvo taikomas </w:t>
      </w:r>
      <w:proofErr w:type="spellStart"/>
      <w:r w:rsidRPr="00D867CD">
        <w:t>metforminu</w:t>
      </w:r>
      <w:proofErr w:type="spellEnd"/>
      <w:r w:rsidRPr="00D867CD">
        <w:t xml:space="preserve"> ir (arba) </w:t>
      </w:r>
      <w:proofErr w:type="spellStart"/>
      <w:r w:rsidRPr="00D867CD">
        <w:t>sulfonilurėjos</w:t>
      </w:r>
      <w:proofErr w:type="spellEnd"/>
      <w:r w:rsidRPr="00D867CD">
        <w:t xml:space="preserve"> dariniais ir (arba) insulinu. Pirmųjų</w:t>
      </w:r>
      <w:r w:rsidR="00FA0C2B">
        <w:t xml:space="preserve"> </w:t>
      </w:r>
      <w:r w:rsidRPr="00D867CD">
        <w:t>12</w:t>
      </w:r>
      <w:r w:rsidR="0013562F">
        <w:t> </w:t>
      </w:r>
      <w:r w:rsidRPr="00D867CD">
        <w:t xml:space="preserve">savaičių foninio antidiabetinio gydymo vaistiniais preparatais dozavimas išliko stabilus, po to buvo leidžiama dozes koreguoti. </w:t>
      </w:r>
      <w:proofErr w:type="spellStart"/>
      <w:r w:rsidRPr="00D867CD">
        <w:t>Linagliptinas</w:t>
      </w:r>
      <w:proofErr w:type="spellEnd"/>
      <w:r w:rsidRPr="00D867CD">
        <w:t xml:space="preserve"> reikšmingai pagerino HbA</w:t>
      </w:r>
      <w:r w:rsidRPr="00341B61">
        <w:rPr>
          <w:vertAlign w:val="subscript"/>
        </w:rPr>
        <w:t>1c</w:t>
      </w:r>
      <w:r w:rsidRPr="00D867CD">
        <w:t xml:space="preserve"> kiekį (</w:t>
      </w:r>
      <w:r w:rsidR="007858D0">
        <w:noBreakHyphen/>
      </w:r>
      <w:r w:rsidRPr="00D867CD">
        <w:t>0,64</w:t>
      </w:r>
      <w:r>
        <w:t> %</w:t>
      </w:r>
      <w:r w:rsidRPr="00D867CD">
        <w:t xml:space="preserve"> pokytis, palyginti su placebu, po 24</w:t>
      </w:r>
      <w:r w:rsidR="007858D0">
        <w:t> </w:t>
      </w:r>
      <w:r w:rsidRPr="00D867CD">
        <w:t>savaičių gydymo), lyginant su vidutiniu pradiniu HbA</w:t>
      </w:r>
      <w:r w:rsidRPr="00341B61">
        <w:rPr>
          <w:vertAlign w:val="subscript"/>
        </w:rPr>
        <w:t>1c</w:t>
      </w:r>
      <w:r w:rsidRPr="00D867CD">
        <w:t xml:space="preserve"> 7,8</w:t>
      </w:r>
      <w:r>
        <w:t> %</w:t>
      </w:r>
      <w:r w:rsidRPr="00D867CD">
        <w:t xml:space="preserve"> kiekiu. Be to, gydant </w:t>
      </w:r>
      <w:proofErr w:type="spellStart"/>
      <w:r w:rsidRPr="00D867CD">
        <w:t>linagliptinu</w:t>
      </w:r>
      <w:proofErr w:type="spellEnd"/>
      <w:r w:rsidRPr="00D867CD">
        <w:t>, palyginti su placebu, reikšmingai pagerėjo gliukozės kiekis kraujo plazmoje nevalgius (GKPN). Gydomų grupių pacientų kūno svoris reikšmingai nesiskyrė.</w:t>
      </w:r>
    </w:p>
    <w:p w14:paraId="74279B6C" w14:textId="77777777" w:rsidR="00FA0C2B" w:rsidRPr="00D867CD" w:rsidRDefault="00FA0C2B" w:rsidP="00D867CD">
      <w:pPr>
        <w:pStyle w:val="Pagrindinistekstas"/>
      </w:pPr>
    </w:p>
    <w:p w14:paraId="4C5080A6" w14:textId="6D04F61A" w:rsidR="00A01BAC" w:rsidRDefault="00341B61" w:rsidP="00D867CD">
      <w:pPr>
        <w:pStyle w:val="Pagrindinistekstas"/>
      </w:pPr>
      <w:proofErr w:type="spellStart"/>
      <w:r w:rsidRPr="00D867CD">
        <w:rPr>
          <w:i/>
        </w:rPr>
        <w:t>Linagliptino</w:t>
      </w:r>
      <w:proofErr w:type="spellEnd"/>
      <w:r w:rsidRPr="00D867CD">
        <w:rPr>
          <w:i/>
        </w:rPr>
        <w:t xml:space="preserve"> saugumo širdies ir kraujagyslių sistemai bei inkstams tyrimas (CARMELINA) </w:t>
      </w:r>
      <w:r w:rsidRPr="00D867CD">
        <w:t>CARMELINA buvo atsitiktinių imčių tyrimas, kuriame dalyvavo 6</w:t>
      </w:r>
      <w:r w:rsidR="008750B7">
        <w:t> </w:t>
      </w:r>
      <w:r w:rsidRPr="00D867CD">
        <w:t>979</w:t>
      </w:r>
      <w:r w:rsidR="008750B7">
        <w:t> </w:t>
      </w:r>
      <w:r w:rsidRPr="00D867CD">
        <w:t xml:space="preserve">pacientai, sergantys </w:t>
      </w:r>
      <w:r>
        <w:t>2 tipo</w:t>
      </w:r>
      <w:r w:rsidRPr="00D867CD">
        <w:t xml:space="preserve"> cukriniu diabetu ir turintys padidintą su ŠKS susijusią riziką, kurią parodė nustatyta </w:t>
      </w:r>
      <w:proofErr w:type="spellStart"/>
      <w:r w:rsidRPr="00D867CD">
        <w:t>makrovaskulinė</w:t>
      </w:r>
      <w:proofErr w:type="spellEnd"/>
      <w:r w:rsidRPr="00D867CD">
        <w:t xml:space="preserve"> arba inkstų liga anamnezėje. Pacientai vartojo 5</w:t>
      </w:r>
      <w:r>
        <w:t> mg</w:t>
      </w:r>
      <w:r w:rsidRPr="00D867CD">
        <w:t xml:space="preserve"> </w:t>
      </w:r>
      <w:proofErr w:type="spellStart"/>
      <w:r w:rsidRPr="00D867CD">
        <w:t>linagliptino</w:t>
      </w:r>
      <w:proofErr w:type="spellEnd"/>
      <w:r w:rsidRPr="00D867CD">
        <w:t xml:space="preserve"> (3</w:t>
      </w:r>
      <w:r w:rsidR="000447D3">
        <w:t> </w:t>
      </w:r>
      <w:r w:rsidRPr="00D867CD">
        <w:t>494) arba placeb</w:t>
      </w:r>
      <w:r w:rsidR="000447D3">
        <w:t>o</w:t>
      </w:r>
      <w:r w:rsidRPr="00D867CD">
        <w:t xml:space="preserve"> (3</w:t>
      </w:r>
      <w:r w:rsidR="000447D3">
        <w:t> </w:t>
      </w:r>
      <w:r w:rsidRPr="00D867CD">
        <w:t>485), šiuos vaistinius preparatus skiriant papildomai prie standartinio gydymo, taikomo atsižvelgiant į regionui nustatytą HbA</w:t>
      </w:r>
      <w:r w:rsidRPr="00341B61">
        <w:rPr>
          <w:vertAlign w:val="subscript"/>
        </w:rPr>
        <w:t>1c</w:t>
      </w:r>
      <w:r w:rsidRPr="00D867CD">
        <w:t xml:space="preserve"> normą, su ŠKS susijusius rizikos veiksnius ir inkstų ligą. Tyrimo populiaciją sudarė 1</w:t>
      </w:r>
      <w:r w:rsidR="007B6BC9">
        <w:t> </w:t>
      </w:r>
      <w:r w:rsidRPr="00D867CD">
        <w:t>211 (17,4</w:t>
      </w:r>
      <w:r>
        <w:t> %</w:t>
      </w:r>
      <w:r w:rsidRPr="00D867CD">
        <w:t xml:space="preserve">) pacientų, kurių amžius buvo </w:t>
      </w:r>
      <w:r>
        <w:t>≥ </w:t>
      </w:r>
      <w:r w:rsidRPr="00D867CD">
        <w:t>75</w:t>
      </w:r>
      <w:r>
        <w:t> metų</w:t>
      </w:r>
      <w:r w:rsidRPr="00D867CD">
        <w:t>, ir 4</w:t>
      </w:r>
      <w:r w:rsidR="007B6BC9">
        <w:t> </w:t>
      </w:r>
      <w:r w:rsidRPr="00D867CD">
        <w:t>348 (62,3</w:t>
      </w:r>
      <w:r>
        <w:t> %</w:t>
      </w:r>
      <w:r w:rsidRPr="00D867CD">
        <w:t>) pacientai, kurių inkstų funkcija</w:t>
      </w:r>
      <w:r w:rsidR="007B6BC9">
        <w:t xml:space="preserve"> sutrikusi</w:t>
      </w:r>
      <w:r w:rsidRPr="00D867CD">
        <w:t>. Maždaug 19</w:t>
      </w:r>
      <w:r>
        <w:t> %</w:t>
      </w:r>
      <w:r w:rsidRPr="00D867CD">
        <w:t xml:space="preserve"> populiacijos </w:t>
      </w:r>
      <w:proofErr w:type="spellStart"/>
      <w:r w:rsidRPr="00D867CD">
        <w:t>aGFG</w:t>
      </w:r>
      <w:proofErr w:type="spellEnd"/>
      <w:r w:rsidRPr="00D867CD">
        <w:t xml:space="preserve"> buvo nuo </w:t>
      </w:r>
      <w:r>
        <w:t>≥ </w:t>
      </w:r>
      <w:r w:rsidRPr="00D867CD">
        <w:t xml:space="preserve">45 iki </w:t>
      </w:r>
      <w:r>
        <w:t>&lt; </w:t>
      </w:r>
      <w:r w:rsidRPr="00D867CD">
        <w:t>60</w:t>
      </w:r>
      <w:r>
        <w:t> ml</w:t>
      </w:r>
      <w:r w:rsidRPr="00D867CD">
        <w:t>/min./1,73 m</w:t>
      </w:r>
      <w:r w:rsidRPr="00D867CD">
        <w:rPr>
          <w:vertAlign w:val="superscript"/>
        </w:rPr>
        <w:t>2</w:t>
      </w:r>
      <w:r w:rsidRPr="00D867CD">
        <w:t>, 28</w:t>
      </w:r>
      <w:r>
        <w:t> %</w:t>
      </w:r>
      <w:r w:rsidRPr="00D867CD">
        <w:t xml:space="preserve"> populiacijos </w:t>
      </w:r>
      <w:proofErr w:type="spellStart"/>
      <w:r w:rsidRPr="00D867CD">
        <w:t>aGFG</w:t>
      </w:r>
      <w:proofErr w:type="spellEnd"/>
      <w:r w:rsidRPr="00D867CD">
        <w:t xml:space="preserve"> buvo nuo </w:t>
      </w:r>
      <w:r>
        <w:t>≥ </w:t>
      </w:r>
      <w:r w:rsidRPr="00D867CD">
        <w:t xml:space="preserve">30 iki </w:t>
      </w:r>
      <w:r>
        <w:t>&lt; </w:t>
      </w:r>
      <w:r w:rsidRPr="00D867CD">
        <w:t>45</w:t>
      </w:r>
      <w:r>
        <w:t> ml</w:t>
      </w:r>
      <w:r w:rsidRPr="00D867CD">
        <w:t>/min./1,73 m</w:t>
      </w:r>
      <w:r w:rsidRPr="00D867CD">
        <w:rPr>
          <w:vertAlign w:val="superscript"/>
        </w:rPr>
        <w:t>2</w:t>
      </w:r>
      <w:r w:rsidRPr="00D867CD">
        <w:t>, o 15</w:t>
      </w:r>
      <w:r>
        <w:t> %</w:t>
      </w:r>
      <w:r w:rsidRPr="00D867CD">
        <w:t xml:space="preserve"> </w:t>
      </w:r>
      <w:proofErr w:type="spellStart"/>
      <w:r w:rsidRPr="00D867CD">
        <w:t>aGFG</w:t>
      </w:r>
      <w:proofErr w:type="spellEnd"/>
      <w:r w:rsidRPr="00D867CD">
        <w:t xml:space="preserve"> buvo </w:t>
      </w:r>
      <w:r>
        <w:t>&lt; </w:t>
      </w:r>
      <w:r w:rsidRPr="00D867CD">
        <w:t>30</w:t>
      </w:r>
      <w:r>
        <w:t> ml</w:t>
      </w:r>
      <w:r w:rsidRPr="00D867CD">
        <w:t>/min./1,73 m</w:t>
      </w:r>
      <w:r w:rsidRPr="00D867CD">
        <w:rPr>
          <w:vertAlign w:val="superscript"/>
        </w:rPr>
        <w:t>2</w:t>
      </w:r>
      <w:r w:rsidRPr="00D867CD">
        <w:t>. HbA</w:t>
      </w:r>
      <w:r w:rsidRPr="00341B61">
        <w:rPr>
          <w:vertAlign w:val="subscript"/>
        </w:rPr>
        <w:t>1c</w:t>
      </w:r>
      <w:r w:rsidRPr="00D867CD">
        <w:t xml:space="preserve"> vidurkis pradinio vertinimo metu siekė 8</w:t>
      </w:r>
      <w:r w:rsidR="00CD427E">
        <w:t>,0</w:t>
      </w:r>
      <w:r>
        <w:t> %</w:t>
      </w:r>
      <w:r w:rsidRPr="00D867CD">
        <w:t>.</w:t>
      </w:r>
    </w:p>
    <w:p w14:paraId="28425ED7" w14:textId="77777777" w:rsidR="00FA0C2B" w:rsidRPr="00D867CD" w:rsidRDefault="00FA0C2B" w:rsidP="00D867CD">
      <w:pPr>
        <w:pStyle w:val="Pagrindinistekstas"/>
      </w:pPr>
    </w:p>
    <w:p w14:paraId="4C5080A7" w14:textId="4185DA9F" w:rsidR="00A01BAC" w:rsidRPr="00D867CD" w:rsidRDefault="00341B61" w:rsidP="00D867CD">
      <w:pPr>
        <w:pStyle w:val="Pagrindinistekstas"/>
      </w:pPr>
      <w:r w:rsidRPr="00D867CD">
        <w:lastRenderedPageBreak/>
        <w:t>Tyrimo struktūra sudaryta siekiant parodyti ne prastesnį rezultatą, vertinant pagal pagrindinę sudėtinę vertinamąją baigtį (poveikį širdies ir kraujagyslių sistemai), kurią sudarė pirmosios mirties dėl priežasčių, susijusių su širdies ir kraujagyslių ligomis, atvejis, arba nemirtinas miokardo infarktas (MI), arba nemirtinas insultas (3P</w:t>
      </w:r>
      <w:r w:rsidR="00616B7B">
        <w:noBreakHyphen/>
      </w:r>
      <w:r w:rsidRPr="00D867CD">
        <w:t xml:space="preserve">MACE). Poveikio inkstams sudėtinė vertinamoji baigtis apibūdinta kaip mirtis dėl inkstų ligos, ilgalaikė galutinės stadijos inkstų liga arba ilgalaikis </w:t>
      </w:r>
      <w:proofErr w:type="spellStart"/>
      <w:r w:rsidRPr="00D867CD">
        <w:t>aGFG</w:t>
      </w:r>
      <w:proofErr w:type="spellEnd"/>
      <w:r w:rsidRPr="00D867CD">
        <w:t xml:space="preserve"> sumažėjimas 40</w:t>
      </w:r>
      <w:r>
        <w:t> %</w:t>
      </w:r>
      <w:r w:rsidRPr="00D867CD">
        <w:t xml:space="preserve"> arba daugiau.</w:t>
      </w:r>
    </w:p>
    <w:p w14:paraId="4C5080A8" w14:textId="77777777" w:rsidR="00A01BAC" w:rsidRPr="00D867CD" w:rsidRDefault="00A01BAC" w:rsidP="00D867CD">
      <w:pPr>
        <w:pStyle w:val="Pagrindinistekstas"/>
      </w:pPr>
    </w:p>
    <w:p w14:paraId="4C5080A9" w14:textId="64D35287" w:rsidR="00A01BAC" w:rsidRPr="00D867CD" w:rsidRDefault="00341B61" w:rsidP="00D867CD">
      <w:pPr>
        <w:pStyle w:val="Pagrindinistekstas"/>
      </w:pPr>
      <w:r w:rsidRPr="00D867CD">
        <w:t xml:space="preserve">Po stebėjimo laikotarpio, kurio </w:t>
      </w:r>
      <w:r w:rsidR="00552BEE">
        <w:t xml:space="preserve">trukmės </w:t>
      </w:r>
      <w:r w:rsidRPr="00D867CD">
        <w:t>mediana buvo 2,2</w:t>
      </w:r>
      <w:r w:rsidR="005523D1">
        <w:t> </w:t>
      </w:r>
      <w:r w:rsidRPr="00D867CD">
        <w:t>met</w:t>
      </w:r>
      <w:r w:rsidR="00552BEE">
        <w:t>ų</w:t>
      </w:r>
      <w:r w:rsidRPr="00D867CD">
        <w:t xml:space="preserve">, </w:t>
      </w:r>
      <w:proofErr w:type="spellStart"/>
      <w:r w:rsidRPr="00D867CD">
        <w:t>linagliptinas</w:t>
      </w:r>
      <w:proofErr w:type="spellEnd"/>
      <w:r w:rsidRPr="00D867CD">
        <w:t xml:space="preserve">, </w:t>
      </w:r>
      <w:r w:rsidR="00F91A5B">
        <w:t>skirtas papildomai prie įprastinio gydymo</w:t>
      </w:r>
      <w:r w:rsidRPr="00D867CD">
        <w:t xml:space="preserve">, </w:t>
      </w:r>
      <w:r w:rsidR="00C25270">
        <w:t xml:space="preserve">nepadidino </w:t>
      </w:r>
      <w:r w:rsidRPr="00D867CD">
        <w:t>sunkiųjų nepageidaujamų širdies ir kraujagyslių reiškinių ar</w:t>
      </w:r>
      <w:r w:rsidR="00D2506C">
        <w:t xml:space="preserve"> inkstų ligos baigčių rizikos</w:t>
      </w:r>
      <w:r w:rsidRPr="00D867CD">
        <w:t xml:space="preserve">. Lyginant su įprastu </w:t>
      </w:r>
      <w:r>
        <w:t>2 tipo</w:t>
      </w:r>
      <w:r w:rsidRPr="00D867CD">
        <w:t xml:space="preserve"> cukrinio diabeto gydymu be </w:t>
      </w:r>
      <w:proofErr w:type="spellStart"/>
      <w:r w:rsidRPr="00D867CD">
        <w:t>linagliptino</w:t>
      </w:r>
      <w:proofErr w:type="spellEnd"/>
      <w:r w:rsidRPr="00D867CD">
        <w:t>, hospitalizacijos dėl širdies nepakankamumo rizikos, kuri buvo papildoma vertinamoji baigtis, padidėjimo nestebėta (</w:t>
      </w:r>
      <w:r>
        <w:t>žr. </w:t>
      </w:r>
      <w:r w:rsidRPr="00D867CD">
        <w:t>2 lentelę).</w:t>
      </w:r>
    </w:p>
    <w:p w14:paraId="4C5080AA" w14:textId="77777777" w:rsidR="00A01BAC" w:rsidRPr="00D867CD" w:rsidRDefault="00A01BAC" w:rsidP="00D867CD">
      <w:pPr>
        <w:pStyle w:val="Pagrindinistekstas"/>
      </w:pPr>
    </w:p>
    <w:p w14:paraId="4C5080AB" w14:textId="1A11F85C" w:rsidR="00A01BAC" w:rsidRPr="00D867CD" w:rsidRDefault="00341B61" w:rsidP="00FA0C2B">
      <w:pPr>
        <w:pStyle w:val="Pagrindinistekstas"/>
        <w:tabs>
          <w:tab w:val="left" w:pos="1134"/>
        </w:tabs>
        <w:ind w:left="1134" w:hanging="1134"/>
      </w:pPr>
      <w:r w:rsidRPr="00D867CD">
        <w:t>2</w:t>
      </w:r>
      <w:r w:rsidR="005E326B">
        <w:t> </w:t>
      </w:r>
      <w:r w:rsidRPr="00D867CD">
        <w:t>lentelė</w:t>
      </w:r>
      <w:r w:rsidRPr="00D867CD">
        <w:tab/>
      </w:r>
      <w:r w:rsidR="0033143B">
        <w:t>Š</w:t>
      </w:r>
      <w:r w:rsidRPr="00D867CD">
        <w:t>irdi</w:t>
      </w:r>
      <w:r w:rsidR="0033143B">
        <w:t>es</w:t>
      </w:r>
      <w:r w:rsidRPr="00D867CD">
        <w:t xml:space="preserve"> ir kraujagysl</w:t>
      </w:r>
      <w:r w:rsidR="0033143B">
        <w:t>ių</w:t>
      </w:r>
      <w:r w:rsidRPr="00D867CD">
        <w:t xml:space="preserve"> bei inkst</w:t>
      </w:r>
      <w:r w:rsidR="0033143B">
        <w:t>ų</w:t>
      </w:r>
      <w:r w:rsidRPr="00D867CD">
        <w:t xml:space="preserve"> </w:t>
      </w:r>
      <w:r w:rsidR="0033143B">
        <w:t xml:space="preserve">baigtys </w:t>
      </w:r>
      <w:r w:rsidRPr="00D867CD">
        <w:t>pagal gydymo grupę CARMELINA tyrim</w:t>
      </w:r>
      <w:r w:rsidR="00EE192E">
        <w:t>e</w:t>
      </w:r>
    </w:p>
    <w:p w14:paraId="4C5080AC" w14:textId="77777777" w:rsidR="00A01BAC" w:rsidRPr="00D867CD" w:rsidRDefault="00A01BAC" w:rsidP="00D867CD">
      <w:pPr>
        <w:pStyle w:val="Pagrindinistekstas"/>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1147"/>
        <w:gridCol w:w="1336"/>
        <w:gridCol w:w="1133"/>
        <w:gridCol w:w="1425"/>
        <w:gridCol w:w="1183"/>
      </w:tblGrid>
      <w:tr w:rsidR="00A01BAC" w:rsidRPr="00D867CD" w14:paraId="4C5080B1" w14:textId="77777777" w:rsidTr="00FA0C2B">
        <w:trPr>
          <w:trHeight w:val="505"/>
        </w:trPr>
        <w:tc>
          <w:tcPr>
            <w:tcW w:w="2837" w:type="dxa"/>
            <w:vMerge w:val="restart"/>
          </w:tcPr>
          <w:p w14:paraId="4C5080AD" w14:textId="77777777" w:rsidR="00A01BAC" w:rsidRPr="00D867CD" w:rsidRDefault="00A01BAC" w:rsidP="00D867CD">
            <w:pPr>
              <w:pStyle w:val="TableParagraph"/>
              <w:ind w:left="0"/>
              <w:jc w:val="left"/>
            </w:pPr>
          </w:p>
        </w:tc>
        <w:tc>
          <w:tcPr>
            <w:tcW w:w="2483" w:type="dxa"/>
            <w:gridSpan w:val="2"/>
          </w:tcPr>
          <w:p w14:paraId="4C5080AE" w14:textId="2F2E2651" w:rsidR="00A01BAC" w:rsidRPr="00D867CD" w:rsidRDefault="00341B61" w:rsidP="00FA0C2B">
            <w:pPr>
              <w:pStyle w:val="TableParagraph"/>
              <w:ind w:left="0"/>
              <w:rPr>
                <w:b/>
              </w:rPr>
            </w:pPr>
            <w:proofErr w:type="spellStart"/>
            <w:r w:rsidRPr="00D867CD">
              <w:rPr>
                <w:b/>
              </w:rPr>
              <w:t>Linagliptinas</w:t>
            </w:r>
            <w:proofErr w:type="spellEnd"/>
            <w:r w:rsidRPr="00D867CD">
              <w:rPr>
                <w:b/>
              </w:rPr>
              <w:t xml:space="preserve"> 5</w:t>
            </w:r>
            <w:r>
              <w:rPr>
                <w:b/>
              </w:rPr>
              <w:t> mg</w:t>
            </w:r>
          </w:p>
        </w:tc>
        <w:tc>
          <w:tcPr>
            <w:tcW w:w="2558" w:type="dxa"/>
            <w:gridSpan w:val="2"/>
          </w:tcPr>
          <w:p w14:paraId="4C5080AF" w14:textId="77777777" w:rsidR="00A01BAC" w:rsidRPr="00D867CD" w:rsidRDefault="00341B61" w:rsidP="00FA0C2B">
            <w:pPr>
              <w:pStyle w:val="TableParagraph"/>
              <w:ind w:left="0"/>
              <w:rPr>
                <w:b/>
              </w:rPr>
            </w:pPr>
            <w:r w:rsidRPr="00D867CD">
              <w:rPr>
                <w:b/>
              </w:rPr>
              <w:t>Placebas</w:t>
            </w:r>
          </w:p>
        </w:tc>
        <w:tc>
          <w:tcPr>
            <w:tcW w:w="1183" w:type="dxa"/>
          </w:tcPr>
          <w:p w14:paraId="4C5080B0" w14:textId="77777777" w:rsidR="00A01BAC" w:rsidRPr="00D867CD" w:rsidRDefault="00341B61" w:rsidP="00FA0C2B">
            <w:pPr>
              <w:pStyle w:val="TableParagraph"/>
              <w:ind w:left="0"/>
              <w:rPr>
                <w:b/>
              </w:rPr>
            </w:pPr>
            <w:r w:rsidRPr="00D867CD">
              <w:rPr>
                <w:b/>
              </w:rPr>
              <w:t>Rizikos santykis</w:t>
            </w:r>
          </w:p>
        </w:tc>
      </w:tr>
      <w:tr w:rsidR="00A01BAC" w:rsidRPr="00D867CD" w14:paraId="4C5080BC" w14:textId="77777777" w:rsidTr="00FA0C2B">
        <w:trPr>
          <w:trHeight w:val="758"/>
        </w:trPr>
        <w:tc>
          <w:tcPr>
            <w:tcW w:w="2837" w:type="dxa"/>
            <w:vMerge/>
            <w:tcBorders>
              <w:top w:val="nil"/>
            </w:tcBorders>
          </w:tcPr>
          <w:p w14:paraId="4C5080B2" w14:textId="77777777" w:rsidR="00A01BAC" w:rsidRPr="00D867CD" w:rsidRDefault="00A01BAC" w:rsidP="00D867CD">
            <w:pPr>
              <w:rPr>
                <w:szCs w:val="2"/>
              </w:rPr>
            </w:pPr>
          </w:p>
        </w:tc>
        <w:tc>
          <w:tcPr>
            <w:tcW w:w="1147" w:type="dxa"/>
          </w:tcPr>
          <w:p w14:paraId="4C5080B4" w14:textId="5A3A1776" w:rsidR="00A01BAC" w:rsidRPr="00D867CD" w:rsidRDefault="00341B61" w:rsidP="005E326B">
            <w:pPr>
              <w:pStyle w:val="TableParagraph"/>
              <w:ind w:left="0"/>
            </w:pPr>
            <w:r w:rsidRPr="00D867CD">
              <w:t>Tiriamųjų skaičius</w:t>
            </w:r>
            <w:r w:rsidR="005E326B">
              <w:t xml:space="preserve"> </w:t>
            </w:r>
            <w:r w:rsidRPr="00D867CD">
              <w:t>(</w:t>
            </w:r>
            <w:r>
              <w:t> %</w:t>
            </w:r>
            <w:r w:rsidRPr="00D867CD">
              <w:t>)</w:t>
            </w:r>
          </w:p>
        </w:tc>
        <w:tc>
          <w:tcPr>
            <w:tcW w:w="1336" w:type="dxa"/>
          </w:tcPr>
          <w:p w14:paraId="4C5080B6" w14:textId="50D81E40" w:rsidR="00A01BAC" w:rsidRPr="00D867CD" w:rsidRDefault="00341B61" w:rsidP="00FA0C2B">
            <w:pPr>
              <w:pStyle w:val="TableParagraph"/>
              <w:ind w:left="0"/>
            </w:pPr>
            <w:r w:rsidRPr="00D867CD">
              <w:t>Įvykių dažnis per</w:t>
            </w:r>
            <w:r w:rsidR="00FA0C2B">
              <w:t xml:space="preserve"> </w:t>
            </w:r>
            <w:r>
              <w:t>1 000</w:t>
            </w:r>
            <w:r w:rsidRPr="00D867CD">
              <w:t xml:space="preserve"> SPM*</w:t>
            </w:r>
          </w:p>
        </w:tc>
        <w:tc>
          <w:tcPr>
            <w:tcW w:w="1133" w:type="dxa"/>
          </w:tcPr>
          <w:p w14:paraId="4C5080B8" w14:textId="6A9FD30E" w:rsidR="00A01BAC" w:rsidRPr="00D867CD" w:rsidRDefault="00341B61" w:rsidP="005E326B">
            <w:pPr>
              <w:pStyle w:val="TableParagraph"/>
              <w:ind w:left="0"/>
            </w:pPr>
            <w:r w:rsidRPr="00D867CD">
              <w:t>Tiriamųjų skaičius</w:t>
            </w:r>
            <w:r w:rsidR="005E326B">
              <w:t xml:space="preserve"> </w:t>
            </w:r>
            <w:r w:rsidRPr="00D867CD">
              <w:t>(</w:t>
            </w:r>
            <w:r>
              <w:t> %</w:t>
            </w:r>
            <w:r w:rsidRPr="00D867CD">
              <w:t>)</w:t>
            </w:r>
          </w:p>
        </w:tc>
        <w:tc>
          <w:tcPr>
            <w:tcW w:w="1425" w:type="dxa"/>
          </w:tcPr>
          <w:p w14:paraId="4C5080BA" w14:textId="309F215B" w:rsidR="00A01BAC" w:rsidRPr="00D867CD" w:rsidRDefault="00341B61" w:rsidP="00FA0C2B">
            <w:pPr>
              <w:pStyle w:val="TableParagraph"/>
              <w:ind w:left="0"/>
            </w:pPr>
            <w:r w:rsidRPr="00D867CD">
              <w:t xml:space="preserve">Įvykių dažnis </w:t>
            </w:r>
            <w:proofErr w:type="spellStart"/>
            <w:r w:rsidRPr="00D867CD">
              <w:t>dažnis</w:t>
            </w:r>
            <w:proofErr w:type="spellEnd"/>
            <w:r w:rsidRPr="00D867CD">
              <w:t xml:space="preserve"> per</w:t>
            </w:r>
            <w:r w:rsidR="00FA0C2B">
              <w:t xml:space="preserve"> </w:t>
            </w:r>
            <w:r>
              <w:t>1 000</w:t>
            </w:r>
            <w:r w:rsidRPr="00D867CD">
              <w:t xml:space="preserve"> SPM*</w:t>
            </w:r>
          </w:p>
        </w:tc>
        <w:tc>
          <w:tcPr>
            <w:tcW w:w="1183" w:type="dxa"/>
          </w:tcPr>
          <w:p w14:paraId="4C5080BB" w14:textId="1B5CB6EB" w:rsidR="00A01BAC" w:rsidRPr="00D867CD" w:rsidRDefault="00341B61" w:rsidP="00FA0C2B">
            <w:pPr>
              <w:pStyle w:val="TableParagraph"/>
              <w:ind w:left="0"/>
            </w:pPr>
            <w:r w:rsidRPr="00D867CD">
              <w:t>(95</w:t>
            </w:r>
            <w:r>
              <w:t> %</w:t>
            </w:r>
            <w:r w:rsidRPr="00D867CD">
              <w:t xml:space="preserve"> PI)</w:t>
            </w:r>
          </w:p>
        </w:tc>
      </w:tr>
      <w:tr w:rsidR="00A01BAC" w:rsidRPr="00D867CD" w14:paraId="4C5080C3" w14:textId="77777777" w:rsidTr="00FA0C2B">
        <w:trPr>
          <w:trHeight w:val="253"/>
        </w:trPr>
        <w:tc>
          <w:tcPr>
            <w:tcW w:w="2837" w:type="dxa"/>
          </w:tcPr>
          <w:p w14:paraId="4C5080BD" w14:textId="77777777" w:rsidR="00A01BAC" w:rsidRPr="00D867CD" w:rsidRDefault="00341B61" w:rsidP="00D867CD">
            <w:pPr>
              <w:pStyle w:val="TableParagraph"/>
              <w:ind w:left="0"/>
              <w:jc w:val="left"/>
            </w:pPr>
            <w:r w:rsidRPr="00D867CD">
              <w:t>Pacientų skaičius</w:t>
            </w:r>
          </w:p>
        </w:tc>
        <w:tc>
          <w:tcPr>
            <w:tcW w:w="1147" w:type="dxa"/>
          </w:tcPr>
          <w:p w14:paraId="4C5080BE" w14:textId="0438F5C2" w:rsidR="00A01BAC" w:rsidRPr="00D867CD" w:rsidRDefault="00341B61" w:rsidP="00FA0C2B">
            <w:pPr>
              <w:pStyle w:val="TableParagraph"/>
              <w:ind w:left="0"/>
            </w:pPr>
            <w:r w:rsidRPr="00D867CD">
              <w:t>3</w:t>
            </w:r>
            <w:r w:rsidR="00F56A52">
              <w:t> </w:t>
            </w:r>
            <w:r w:rsidRPr="00D867CD">
              <w:t>494</w:t>
            </w:r>
          </w:p>
        </w:tc>
        <w:tc>
          <w:tcPr>
            <w:tcW w:w="1336" w:type="dxa"/>
          </w:tcPr>
          <w:p w14:paraId="4C5080BF" w14:textId="77777777" w:rsidR="00A01BAC" w:rsidRPr="00D867CD" w:rsidRDefault="00A01BAC" w:rsidP="00FA0C2B">
            <w:pPr>
              <w:pStyle w:val="TableParagraph"/>
              <w:ind w:left="0"/>
            </w:pPr>
          </w:p>
        </w:tc>
        <w:tc>
          <w:tcPr>
            <w:tcW w:w="1133" w:type="dxa"/>
          </w:tcPr>
          <w:p w14:paraId="4C5080C0" w14:textId="5793D506" w:rsidR="00A01BAC" w:rsidRPr="00D867CD" w:rsidRDefault="00341B61" w:rsidP="00FA0C2B">
            <w:pPr>
              <w:pStyle w:val="TableParagraph"/>
              <w:ind w:left="0"/>
            </w:pPr>
            <w:r w:rsidRPr="00D867CD">
              <w:t>3</w:t>
            </w:r>
            <w:r w:rsidR="00F56A52">
              <w:t> </w:t>
            </w:r>
            <w:r w:rsidRPr="00D867CD">
              <w:t>485</w:t>
            </w:r>
          </w:p>
        </w:tc>
        <w:tc>
          <w:tcPr>
            <w:tcW w:w="1425" w:type="dxa"/>
          </w:tcPr>
          <w:p w14:paraId="4C5080C1" w14:textId="77777777" w:rsidR="00A01BAC" w:rsidRPr="00D867CD" w:rsidRDefault="00A01BAC" w:rsidP="00FA0C2B">
            <w:pPr>
              <w:pStyle w:val="TableParagraph"/>
              <w:ind w:left="0"/>
            </w:pPr>
          </w:p>
        </w:tc>
        <w:tc>
          <w:tcPr>
            <w:tcW w:w="1183" w:type="dxa"/>
          </w:tcPr>
          <w:p w14:paraId="4C5080C2" w14:textId="77777777" w:rsidR="00A01BAC" w:rsidRPr="00D867CD" w:rsidRDefault="00A01BAC" w:rsidP="00FA0C2B">
            <w:pPr>
              <w:pStyle w:val="TableParagraph"/>
              <w:ind w:left="0"/>
            </w:pPr>
          </w:p>
        </w:tc>
      </w:tr>
      <w:tr w:rsidR="00A01BAC" w:rsidRPr="00D867CD" w14:paraId="4C5080CC" w14:textId="77777777" w:rsidTr="00FA0C2B">
        <w:trPr>
          <w:trHeight w:val="1516"/>
        </w:trPr>
        <w:tc>
          <w:tcPr>
            <w:tcW w:w="2837" w:type="dxa"/>
          </w:tcPr>
          <w:p w14:paraId="4C5080C5" w14:textId="0AF386C1" w:rsidR="00A01BAC" w:rsidRPr="00D867CD" w:rsidRDefault="009D2813" w:rsidP="00FA0C2B">
            <w:pPr>
              <w:pStyle w:val="TableParagraph"/>
              <w:ind w:left="0"/>
              <w:jc w:val="left"/>
            </w:pPr>
            <w:r>
              <w:t xml:space="preserve">Pagrindinė sudėtinė </w:t>
            </w:r>
            <w:r w:rsidR="00341B61" w:rsidRPr="00D867CD">
              <w:t xml:space="preserve">ŠKS </w:t>
            </w:r>
            <w:r w:rsidR="002D2B00">
              <w:t xml:space="preserve">vertinamoji baigtis </w:t>
            </w:r>
            <w:r w:rsidR="00341B61" w:rsidRPr="00D867CD">
              <w:t xml:space="preserve">(mirtis </w:t>
            </w:r>
            <w:r w:rsidR="00563585">
              <w:t xml:space="preserve">nuo </w:t>
            </w:r>
            <w:r w:rsidR="00341B61" w:rsidRPr="00D867CD">
              <w:t>širdies ir kraujagyslių ligos, nemirtinas MI,</w:t>
            </w:r>
            <w:r w:rsidR="00FA0C2B">
              <w:t xml:space="preserve"> </w:t>
            </w:r>
            <w:r w:rsidR="00341B61" w:rsidRPr="00D867CD">
              <w:t>nemirtinas insultas)</w:t>
            </w:r>
          </w:p>
        </w:tc>
        <w:tc>
          <w:tcPr>
            <w:tcW w:w="1147" w:type="dxa"/>
          </w:tcPr>
          <w:p w14:paraId="4C5080C6" w14:textId="77777777" w:rsidR="00A01BAC" w:rsidRPr="00D867CD" w:rsidRDefault="00341B61" w:rsidP="00FA0C2B">
            <w:pPr>
              <w:pStyle w:val="TableParagraph"/>
              <w:ind w:left="0"/>
            </w:pPr>
            <w:r w:rsidRPr="00D867CD">
              <w:t>434 (12,4)</w:t>
            </w:r>
          </w:p>
        </w:tc>
        <w:tc>
          <w:tcPr>
            <w:tcW w:w="1336" w:type="dxa"/>
          </w:tcPr>
          <w:p w14:paraId="4C5080C7" w14:textId="77777777" w:rsidR="00A01BAC" w:rsidRPr="00D867CD" w:rsidRDefault="00341B61" w:rsidP="00FA0C2B">
            <w:pPr>
              <w:pStyle w:val="TableParagraph"/>
              <w:ind w:left="0"/>
            </w:pPr>
            <w:r w:rsidRPr="00D867CD">
              <w:t>57,7</w:t>
            </w:r>
          </w:p>
        </w:tc>
        <w:tc>
          <w:tcPr>
            <w:tcW w:w="1133" w:type="dxa"/>
          </w:tcPr>
          <w:p w14:paraId="4C5080C8" w14:textId="77777777" w:rsidR="00A01BAC" w:rsidRPr="00D867CD" w:rsidRDefault="00341B61" w:rsidP="00FA0C2B">
            <w:pPr>
              <w:pStyle w:val="TableParagraph"/>
              <w:ind w:left="0"/>
            </w:pPr>
            <w:r w:rsidRPr="00D867CD">
              <w:t>420 (12,1)</w:t>
            </w:r>
          </w:p>
        </w:tc>
        <w:tc>
          <w:tcPr>
            <w:tcW w:w="1425" w:type="dxa"/>
          </w:tcPr>
          <w:p w14:paraId="4C5080C9" w14:textId="77777777" w:rsidR="00A01BAC" w:rsidRPr="00D867CD" w:rsidRDefault="00341B61" w:rsidP="00FA0C2B">
            <w:pPr>
              <w:pStyle w:val="TableParagraph"/>
              <w:ind w:left="0"/>
            </w:pPr>
            <w:r w:rsidRPr="00D867CD">
              <w:t>56,3</w:t>
            </w:r>
          </w:p>
        </w:tc>
        <w:tc>
          <w:tcPr>
            <w:tcW w:w="1183" w:type="dxa"/>
          </w:tcPr>
          <w:p w14:paraId="4C5080CB" w14:textId="08183032" w:rsidR="00A01BAC" w:rsidRPr="00D867CD" w:rsidRDefault="00341B61" w:rsidP="00FA0C2B">
            <w:pPr>
              <w:pStyle w:val="TableParagraph"/>
              <w:ind w:left="0"/>
            </w:pPr>
            <w:r w:rsidRPr="00D867CD">
              <w:t>1,02 (0,89;</w:t>
            </w:r>
            <w:r w:rsidR="00FA0C2B">
              <w:t xml:space="preserve"> </w:t>
            </w:r>
            <w:r w:rsidRPr="00D867CD">
              <w:t>1,17)**</w:t>
            </w:r>
          </w:p>
        </w:tc>
      </w:tr>
      <w:tr w:rsidR="00A01BAC" w:rsidRPr="00D867CD" w14:paraId="4C5080D5" w14:textId="77777777" w:rsidTr="00FA0C2B">
        <w:trPr>
          <w:trHeight w:val="1012"/>
        </w:trPr>
        <w:tc>
          <w:tcPr>
            <w:tcW w:w="2837" w:type="dxa"/>
          </w:tcPr>
          <w:p w14:paraId="4C5080CE" w14:textId="7C47AAF4" w:rsidR="00A01BAC" w:rsidRPr="00D867CD" w:rsidRDefault="00405027" w:rsidP="00FA0C2B">
            <w:pPr>
              <w:pStyle w:val="TableParagraph"/>
              <w:ind w:left="0"/>
              <w:jc w:val="left"/>
            </w:pPr>
            <w:r>
              <w:t xml:space="preserve">Antrinė sudėtinė </w:t>
            </w:r>
            <w:r w:rsidR="00341B61" w:rsidRPr="00D867CD">
              <w:t xml:space="preserve">inkstų </w:t>
            </w:r>
            <w:r w:rsidR="0041140C">
              <w:t xml:space="preserve">vertinamoji baigtis </w:t>
            </w:r>
            <w:r w:rsidR="00341B61" w:rsidRPr="00D867CD">
              <w:t>(</w:t>
            </w:r>
            <w:r w:rsidR="00881A5F">
              <w:t>mirtis nuo inkstų ligos</w:t>
            </w:r>
            <w:r w:rsidR="00341B61" w:rsidRPr="00D867CD">
              <w:t xml:space="preserve">, </w:t>
            </w:r>
            <w:r w:rsidR="000D7BA1">
              <w:t>IV st. Inkstų liga</w:t>
            </w:r>
            <w:r w:rsidR="00341B61" w:rsidRPr="00D867CD">
              <w:t>, ilgalaikis 40</w:t>
            </w:r>
            <w:r w:rsidR="00341B61">
              <w:t> %</w:t>
            </w:r>
            <w:r w:rsidR="00FA0C2B">
              <w:t xml:space="preserve"> </w:t>
            </w:r>
            <w:proofErr w:type="spellStart"/>
            <w:r w:rsidR="00341B61" w:rsidRPr="00D867CD">
              <w:t>aGFG</w:t>
            </w:r>
            <w:proofErr w:type="spellEnd"/>
            <w:r w:rsidR="00341B61" w:rsidRPr="00D867CD">
              <w:t xml:space="preserve"> sumažėjimas)</w:t>
            </w:r>
          </w:p>
        </w:tc>
        <w:tc>
          <w:tcPr>
            <w:tcW w:w="1147" w:type="dxa"/>
          </w:tcPr>
          <w:p w14:paraId="4C5080CF" w14:textId="77777777" w:rsidR="00A01BAC" w:rsidRPr="00D867CD" w:rsidRDefault="00341B61" w:rsidP="00FA0C2B">
            <w:pPr>
              <w:pStyle w:val="TableParagraph"/>
              <w:ind w:left="0"/>
            </w:pPr>
            <w:r w:rsidRPr="00D867CD">
              <w:t>327 (9,4)</w:t>
            </w:r>
          </w:p>
        </w:tc>
        <w:tc>
          <w:tcPr>
            <w:tcW w:w="1336" w:type="dxa"/>
          </w:tcPr>
          <w:p w14:paraId="4C5080D0" w14:textId="77777777" w:rsidR="00A01BAC" w:rsidRPr="00D867CD" w:rsidRDefault="00341B61" w:rsidP="00FA0C2B">
            <w:pPr>
              <w:pStyle w:val="TableParagraph"/>
              <w:ind w:left="0"/>
            </w:pPr>
            <w:r w:rsidRPr="00D867CD">
              <w:t>48,9</w:t>
            </w:r>
          </w:p>
        </w:tc>
        <w:tc>
          <w:tcPr>
            <w:tcW w:w="1133" w:type="dxa"/>
          </w:tcPr>
          <w:p w14:paraId="4C5080D1" w14:textId="77777777" w:rsidR="00A01BAC" w:rsidRPr="00D867CD" w:rsidRDefault="00341B61" w:rsidP="00FA0C2B">
            <w:pPr>
              <w:pStyle w:val="TableParagraph"/>
              <w:ind w:left="0"/>
            </w:pPr>
            <w:r w:rsidRPr="00D867CD">
              <w:t>306 (8,8)</w:t>
            </w:r>
          </w:p>
        </w:tc>
        <w:tc>
          <w:tcPr>
            <w:tcW w:w="1425" w:type="dxa"/>
          </w:tcPr>
          <w:p w14:paraId="4C5080D2" w14:textId="77777777" w:rsidR="00A01BAC" w:rsidRPr="00D867CD" w:rsidRDefault="00341B61" w:rsidP="00FA0C2B">
            <w:pPr>
              <w:pStyle w:val="TableParagraph"/>
              <w:ind w:left="0"/>
            </w:pPr>
            <w:r w:rsidRPr="00D867CD">
              <w:t>46,6</w:t>
            </w:r>
          </w:p>
        </w:tc>
        <w:tc>
          <w:tcPr>
            <w:tcW w:w="1183" w:type="dxa"/>
          </w:tcPr>
          <w:p w14:paraId="4C5080D4" w14:textId="259E15A6" w:rsidR="00A01BAC" w:rsidRPr="00D867CD" w:rsidRDefault="00341B61" w:rsidP="00FA0C2B">
            <w:pPr>
              <w:pStyle w:val="TableParagraph"/>
              <w:ind w:left="0"/>
            </w:pPr>
            <w:r w:rsidRPr="00D867CD">
              <w:t>1,04 (0,89;</w:t>
            </w:r>
            <w:r w:rsidR="00FA0C2B">
              <w:t xml:space="preserve"> </w:t>
            </w:r>
            <w:r w:rsidRPr="00D867CD">
              <w:t>1,22)</w:t>
            </w:r>
          </w:p>
        </w:tc>
      </w:tr>
      <w:tr w:rsidR="00A01BAC" w:rsidRPr="00D867CD" w14:paraId="4C5080DD" w14:textId="77777777" w:rsidTr="00FA0C2B">
        <w:trPr>
          <w:trHeight w:val="505"/>
        </w:trPr>
        <w:tc>
          <w:tcPr>
            <w:tcW w:w="2837" w:type="dxa"/>
          </w:tcPr>
          <w:p w14:paraId="4C5080D6" w14:textId="64763CAA" w:rsidR="00A01BAC" w:rsidRPr="00D867CD" w:rsidRDefault="00341B61" w:rsidP="00D867CD">
            <w:pPr>
              <w:pStyle w:val="TableParagraph"/>
              <w:ind w:left="0"/>
              <w:jc w:val="left"/>
            </w:pPr>
            <w:r w:rsidRPr="00D867CD">
              <w:t xml:space="preserve">Mirštamumas dėl </w:t>
            </w:r>
            <w:r w:rsidR="00127BE9">
              <w:t xml:space="preserve">visų </w:t>
            </w:r>
            <w:r w:rsidRPr="00D867CD">
              <w:t>priežas</w:t>
            </w:r>
            <w:r w:rsidR="00127BE9">
              <w:t>čių</w:t>
            </w:r>
          </w:p>
        </w:tc>
        <w:tc>
          <w:tcPr>
            <w:tcW w:w="1147" w:type="dxa"/>
          </w:tcPr>
          <w:p w14:paraId="4C5080D7" w14:textId="77777777" w:rsidR="00A01BAC" w:rsidRPr="00D867CD" w:rsidRDefault="00341B61" w:rsidP="00FA0C2B">
            <w:pPr>
              <w:pStyle w:val="TableParagraph"/>
              <w:ind w:left="0"/>
            </w:pPr>
            <w:r w:rsidRPr="00D867CD">
              <w:t>367 (10,5)</w:t>
            </w:r>
          </w:p>
        </w:tc>
        <w:tc>
          <w:tcPr>
            <w:tcW w:w="1336" w:type="dxa"/>
          </w:tcPr>
          <w:p w14:paraId="4C5080D8" w14:textId="77777777" w:rsidR="00A01BAC" w:rsidRPr="00D867CD" w:rsidRDefault="00341B61" w:rsidP="00FA0C2B">
            <w:pPr>
              <w:pStyle w:val="TableParagraph"/>
              <w:ind w:left="0"/>
            </w:pPr>
            <w:r w:rsidRPr="00D867CD">
              <w:t>46,9</w:t>
            </w:r>
          </w:p>
        </w:tc>
        <w:tc>
          <w:tcPr>
            <w:tcW w:w="1133" w:type="dxa"/>
          </w:tcPr>
          <w:p w14:paraId="4C5080D9" w14:textId="77777777" w:rsidR="00A01BAC" w:rsidRPr="00D867CD" w:rsidRDefault="00341B61" w:rsidP="00FA0C2B">
            <w:pPr>
              <w:pStyle w:val="TableParagraph"/>
              <w:ind w:left="0"/>
            </w:pPr>
            <w:r w:rsidRPr="00D867CD">
              <w:t>373 (10,7)</w:t>
            </w:r>
          </w:p>
        </w:tc>
        <w:tc>
          <w:tcPr>
            <w:tcW w:w="1425" w:type="dxa"/>
          </w:tcPr>
          <w:p w14:paraId="4C5080DA" w14:textId="77777777" w:rsidR="00A01BAC" w:rsidRPr="00D867CD" w:rsidRDefault="00341B61" w:rsidP="00FA0C2B">
            <w:pPr>
              <w:pStyle w:val="TableParagraph"/>
              <w:ind w:left="0"/>
            </w:pPr>
            <w:r w:rsidRPr="00D867CD">
              <w:t>48</w:t>
            </w:r>
          </w:p>
        </w:tc>
        <w:tc>
          <w:tcPr>
            <w:tcW w:w="1183" w:type="dxa"/>
          </w:tcPr>
          <w:p w14:paraId="4C5080DC" w14:textId="404AE0E9" w:rsidR="00A01BAC" w:rsidRPr="00D867CD" w:rsidRDefault="00341B61" w:rsidP="00FA0C2B">
            <w:pPr>
              <w:pStyle w:val="TableParagraph"/>
              <w:ind w:left="0"/>
            </w:pPr>
            <w:r w:rsidRPr="00D867CD">
              <w:t>0,98 (0,84;</w:t>
            </w:r>
            <w:r w:rsidR="00FA0C2B">
              <w:t xml:space="preserve"> </w:t>
            </w:r>
            <w:r w:rsidRPr="00D867CD">
              <w:t>1,13)</w:t>
            </w:r>
          </w:p>
        </w:tc>
      </w:tr>
      <w:tr w:rsidR="00A01BAC" w:rsidRPr="00D867CD" w14:paraId="4C5080E6" w14:textId="77777777" w:rsidTr="00FA0C2B">
        <w:trPr>
          <w:trHeight w:val="755"/>
        </w:trPr>
        <w:tc>
          <w:tcPr>
            <w:tcW w:w="2837" w:type="dxa"/>
          </w:tcPr>
          <w:p w14:paraId="4C5080DF" w14:textId="49C5859E" w:rsidR="00A01BAC" w:rsidRPr="00D867CD" w:rsidRDefault="00341B61" w:rsidP="00FA0C2B">
            <w:pPr>
              <w:pStyle w:val="TableParagraph"/>
              <w:ind w:left="0"/>
              <w:jc w:val="left"/>
            </w:pPr>
            <w:r w:rsidRPr="00D867CD">
              <w:t>Mirtis dėl priežasčių,</w:t>
            </w:r>
            <w:r w:rsidR="00FA0C2B">
              <w:t xml:space="preserve"> </w:t>
            </w:r>
            <w:r w:rsidRPr="00D867CD">
              <w:t>susijusių su širdies ir kraujagyslių ligomis</w:t>
            </w:r>
          </w:p>
        </w:tc>
        <w:tc>
          <w:tcPr>
            <w:tcW w:w="1147" w:type="dxa"/>
          </w:tcPr>
          <w:p w14:paraId="4C5080E0" w14:textId="77777777" w:rsidR="00A01BAC" w:rsidRPr="00D867CD" w:rsidRDefault="00341B61" w:rsidP="00FA0C2B">
            <w:pPr>
              <w:pStyle w:val="TableParagraph"/>
              <w:ind w:left="0"/>
            </w:pPr>
            <w:r w:rsidRPr="00D867CD">
              <w:t>255 (7,3)</w:t>
            </w:r>
          </w:p>
        </w:tc>
        <w:tc>
          <w:tcPr>
            <w:tcW w:w="1336" w:type="dxa"/>
          </w:tcPr>
          <w:p w14:paraId="4C5080E1" w14:textId="77777777" w:rsidR="00A01BAC" w:rsidRPr="00D867CD" w:rsidRDefault="00341B61" w:rsidP="00FA0C2B">
            <w:pPr>
              <w:pStyle w:val="TableParagraph"/>
              <w:ind w:left="0"/>
            </w:pPr>
            <w:r w:rsidRPr="00D867CD">
              <w:t>32,6</w:t>
            </w:r>
          </w:p>
        </w:tc>
        <w:tc>
          <w:tcPr>
            <w:tcW w:w="1133" w:type="dxa"/>
          </w:tcPr>
          <w:p w14:paraId="4C5080E2" w14:textId="77777777" w:rsidR="00A01BAC" w:rsidRPr="00D867CD" w:rsidRDefault="00341B61" w:rsidP="00FA0C2B">
            <w:pPr>
              <w:pStyle w:val="TableParagraph"/>
              <w:ind w:left="0"/>
            </w:pPr>
            <w:r w:rsidRPr="00D867CD">
              <w:t>264 (7,6)</w:t>
            </w:r>
          </w:p>
        </w:tc>
        <w:tc>
          <w:tcPr>
            <w:tcW w:w="1425" w:type="dxa"/>
          </w:tcPr>
          <w:p w14:paraId="4C5080E3" w14:textId="77777777" w:rsidR="00A01BAC" w:rsidRPr="00D867CD" w:rsidRDefault="00341B61" w:rsidP="00FA0C2B">
            <w:pPr>
              <w:pStyle w:val="TableParagraph"/>
              <w:ind w:left="0"/>
            </w:pPr>
            <w:r w:rsidRPr="00D867CD">
              <w:t>34</w:t>
            </w:r>
          </w:p>
        </w:tc>
        <w:tc>
          <w:tcPr>
            <w:tcW w:w="1183" w:type="dxa"/>
          </w:tcPr>
          <w:p w14:paraId="4C5080E5" w14:textId="33594441" w:rsidR="00A01BAC" w:rsidRPr="00D867CD" w:rsidRDefault="00341B61" w:rsidP="00FA0C2B">
            <w:pPr>
              <w:pStyle w:val="TableParagraph"/>
              <w:ind w:left="0"/>
            </w:pPr>
            <w:r w:rsidRPr="00D867CD">
              <w:t>0,96 (0,81;</w:t>
            </w:r>
            <w:r w:rsidR="00FA0C2B">
              <w:t xml:space="preserve"> </w:t>
            </w:r>
            <w:r w:rsidRPr="00D867CD">
              <w:t>1,14)</w:t>
            </w:r>
          </w:p>
        </w:tc>
      </w:tr>
      <w:tr w:rsidR="00A01BAC" w:rsidRPr="00D867CD" w14:paraId="4C5080EE" w14:textId="77777777" w:rsidTr="00FA0C2B">
        <w:trPr>
          <w:trHeight w:val="509"/>
        </w:trPr>
        <w:tc>
          <w:tcPr>
            <w:tcW w:w="2837" w:type="dxa"/>
          </w:tcPr>
          <w:p w14:paraId="4C5080E7" w14:textId="77777777" w:rsidR="00A01BAC" w:rsidRPr="00D867CD" w:rsidRDefault="00341B61" w:rsidP="00D867CD">
            <w:pPr>
              <w:pStyle w:val="TableParagraph"/>
              <w:ind w:left="0"/>
              <w:jc w:val="left"/>
            </w:pPr>
            <w:r w:rsidRPr="00D867CD">
              <w:t>Hospitalizacija dėl širdies nepakankamumo</w:t>
            </w:r>
          </w:p>
        </w:tc>
        <w:tc>
          <w:tcPr>
            <w:tcW w:w="1147" w:type="dxa"/>
          </w:tcPr>
          <w:p w14:paraId="4C5080E8" w14:textId="77777777" w:rsidR="00A01BAC" w:rsidRPr="00D867CD" w:rsidRDefault="00341B61" w:rsidP="00FA0C2B">
            <w:pPr>
              <w:pStyle w:val="TableParagraph"/>
              <w:ind w:left="0"/>
            </w:pPr>
            <w:r w:rsidRPr="00D867CD">
              <w:t>209 (6)</w:t>
            </w:r>
          </w:p>
        </w:tc>
        <w:tc>
          <w:tcPr>
            <w:tcW w:w="1336" w:type="dxa"/>
          </w:tcPr>
          <w:p w14:paraId="4C5080E9" w14:textId="77777777" w:rsidR="00A01BAC" w:rsidRPr="00D867CD" w:rsidRDefault="00341B61" w:rsidP="00FA0C2B">
            <w:pPr>
              <w:pStyle w:val="TableParagraph"/>
              <w:ind w:left="0"/>
            </w:pPr>
            <w:r w:rsidRPr="00D867CD">
              <w:t>27,7</w:t>
            </w:r>
          </w:p>
        </w:tc>
        <w:tc>
          <w:tcPr>
            <w:tcW w:w="1133" w:type="dxa"/>
          </w:tcPr>
          <w:p w14:paraId="4C5080EA" w14:textId="77777777" w:rsidR="00A01BAC" w:rsidRPr="00D867CD" w:rsidRDefault="00341B61" w:rsidP="00FA0C2B">
            <w:pPr>
              <w:pStyle w:val="TableParagraph"/>
              <w:ind w:left="0"/>
            </w:pPr>
            <w:r w:rsidRPr="00D867CD">
              <w:t>226 (6,5)</w:t>
            </w:r>
          </w:p>
        </w:tc>
        <w:tc>
          <w:tcPr>
            <w:tcW w:w="1425" w:type="dxa"/>
          </w:tcPr>
          <w:p w14:paraId="4C5080EB" w14:textId="77777777" w:rsidR="00A01BAC" w:rsidRPr="00D867CD" w:rsidRDefault="00341B61" w:rsidP="00FA0C2B">
            <w:pPr>
              <w:pStyle w:val="TableParagraph"/>
              <w:ind w:left="0"/>
            </w:pPr>
            <w:r w:rsidRPr="00D867CD">
              <w:t>30,4</w:t>
            </w:r>
          </w:p>
        </w:tc>
        <w:tc>
          <w:tcPr>
            <w:tcW w:w="1183" w:type="dxa"/>
          </w:tcPr>
          <w:p w14:paraId="4C5080ED" w14:textId="42FB1BE6" w:rsidR="00A01BAC" w:rsidRPr="00D867CD" w:rsidRDefault="00341B61" w:rsidP="00FA0C2B">
            <w:pPr>
              <w:pStyle w:val="TableParagraph"/>
              <w:ind w:left="0"/>
            </w:pPr>
            <w:r w:rsidRPr="00D867CD">
              <w:t>0,9</w:t>
            </w:r>
            <w:r w:rsidR="00CB46EC">
              <w:t>0</w:t>
            </w:r>
            <w:r w:rsidRPr="00D867CD">
              <w:t xml:space="preserve"> (0,74;</w:t>
            </w:r>
            <w:r w:rsidR="00FA0C2B">
              <w:t xml:space="preserve"> </w:t>
            </w:r>
            <w:r w:rsidRPr="00D867CD">
              <w:t>1,08)</w:t>
            </w:r>
          </w:p>
        </w:tc>
      </w:tr>
    </w:tbl>
    <w:p w14:paraId="4C5080EF" w14:textId="5FB2D5A7" w:rsidR="00A01BAC" w:rsidRPr="00BF1491" w:rsidRDefault="00341B61" w:rsidP="00FA0C2B">
      <w:pPr>
        <w:ind w:left="567" w:hanging="567"/>
        <w:rPr>
          <w:sz w:val="16"/>
          <w:szCs w:val="16"/>
        </w:rPr>
      </w:pPr>
      <w:r w:rsidRPr="00BF1491">
        <w:rPr>
          <w:sz w:val="16"/>
          <w:szCs w:val="16"/>
        </w:rPr>
        <w:t>*</w:t>
      </w:r>
      <w:r w:rsidR="00FA0C2B" w:rsidRPr="00BF1491">
        <w:rPr>
          <w:sz w:val="16"/>
          <w:szCs w:val="16"/>
        </w:rPr>
        <w:tab/>
      </w:r>
      <w:r w:rsidRPr="00BF1491">
        <w:rPr>
          <w:sz w:val="16"/>
          <w:szCs w:val="16"/>
        </w:rPr>
        <w:t>SPM = sutartiniai pacientų metai</w:t>
      </w:r>
    </w:p>
    <w:p w14:paraId="4C5080F0" w14:textId="55164C6D" w:rsidR="00A01BAC" w:rsidRPr="00BF1491" w:rsidRDefault="00341B61" w:rsidP="00FA0C2B">
      <w:pPr>
        <w:ind w:left="567" w:hanging="567"/>
        <w:rPr>
          <w:sz w:val="16"/>
          <w:szCs w:val="16"/>
        </w:rPr>
      </w:pPr>
      <w:r w:rsidRPr="00BF1491">
        <w:rPr>
          <w:sz w:val="16"/>
          <w:szCs w:val="16"/>
        </w:rPr>
        <w:t>**</w:t>
      </w:r>
      <w:r w:rsidR="00FA0C2B" w:rsidRPr="00BF1491">
        <w:rPr>
          <w:sz w:val="16"/>
          <w:szCs w:val="16"/>
        </w:rPr>
        <w:tab/>
      </w:r>
      <w:r w:rsidR="00D938BC">
        <w:rPr>
          <w:sz w:val="16"/>
          <w:szCs w:val="16"/>
        </w:rPr>
        <w:t xml:space="preserve"> Ne</w:t>
      </w:r>
      <w:r w:rsidR="004D6CEF">
        <w:rPr>
          <w:sz w:val="16"/>
          <w:szCs w:val="16"/>
        </w:rPr>
        <w:t xml:space="preserve"> </w:t>
      </w:r>
      <w:r w:rsidR="00D938BC">
        <w:rPr>
          <w:sz w:val="16"/>
          <w:szCs w:val="16"/>
        </w:rPr>
        <w:t>blogesnio po</w:t>
      </w:r>
      <w:r w:rsidR="004D6CEF">
        <w:rPr>
          <w:sz w:val="16"/>
          <w:szCs w:val="16"/>
        </w:rPr>
        <w:t>veikio tyrimas</w:t>
      </w:r>
      <w:r w:rsidRPr="00BF1491">
        <w:rPr>
          <w:sz w:val="16"/>
          <w:szCs w:val="16"/>
        </w:rPr>
        <w:t>, skirtas parodyti, kad viršutinė 95 % PI rizikos santykio riba yra mažesnė kaip 1,3</w:t>
      </w:r>
    </w:p>
    <w:p w14:paraId="4C5080F1" w14:textId="77777777" w:rsidR="00A01BAC" w:rsidRPr="00D867CD" w:rsidRDefault="00A01BAC" w:rsidP="00D867CD">
      <w:pPr>
        <w:pStyle w:val="Pagrindinistekstas"/>
      </w:pPr>
    </w:p>
    <w:p w14:paraId="4C5080F2" w14:textId="3DE12FE5" w:rsidR="00A01BAC" w:rsidRPr="00D867CD" w:rsidRDefault="00341B61" w:rsidP="00D867CD">
      <w:pPr>
        <w:pStyle w:val="Pagrindinistekstas"/>
      </w:pPr>
      <w:r w:rsidRPr="00D867CD">
        <w:t xml:space="preserve">Analizuojant </w:t>
      </w:r>
      <w:proofErr w:type="spellStart"/>
      <w:r w:rsidRPr="00D867CD">
        <w:t>albuminurijos</w:t>
      </w:r>
      <w:proofErr w:type="spellEnd"/>
      <w:r w:rsidRPr="00D867CD">
        <w:t xml:space="preserve"> progresavimą (pokytį iš </w:t>
      </w:r>
      <w:proofErr w:type="spellStart"/>
      <w:r w:rsidRPr="00D867CD">
        <w:t>normoalbuminurijos</w:t>
      </w:r>
      <w:proofErr w:type="spellEnd"/>
      <w:r w:rsidRPr="00D867CD">
        <w:t xml:space="preserve"> į </w:t>
      </w:r>
      <w:proofErr w:type="spellStart"/>
      <w:r w:rsidRPr="00D867CD">
        <w:t>mikroalbuminuriją</w:t>
      </w:r>
      <w:proofErr w:type="spellEnd"/>
      <w:r w:rsidRPr="00D867CD">
        <w:t xml:space="preserve"> ar </w:t>
      </w:r>
      <w:proofErr w:type="spellStart"/>
      <w:r w:rsidRPr="00D867CD">
        <w:t>makroalbuminuriją</w:t>
      </w:r>
      <w:proofErr w:type="spellEnd"/>
      <w:r w:rsidRPr="00D867CD">
        <w:t xml:space="preserve"> arba iš </w:t>
      </w:r>
      <w:proofErr w:type="spellStart"/>
      <w:r w:rsidRPr="00D867CD">
        <w:t>mikroalbuminurijos</w:t>
      </w:r>
      <w:proofErr w:type="spellEnd"/>
      <w:r w:rsidRPr="00D867CD">
        <w:t xml:space="preserve"> į </w:t>
      </w:r>
      <w:proofErr w:type="spellStart"/>
      <w:r w:rsidRPr="00D867CD">
        <w:t>makroalbuminuriją</w:t>
      </w:r>
      <w:proofErr w:type="spellEnd"/>
      <w:r w:rsidRPr="00D867CD">
        <w:t>), apskaičiuotas rizikos santykis siekė 0,86 (95</w:t>
      </w:r>
      <w:r>
        <w:t> %</w:t>
      </w:r>
      <w:r w:rsidRPr="00D867CD">
        <w:t xml:space="preserve"> PI 0,78; 0,95) </w:t>
      </w:r>
      <w:proofErr w:type="spellStart"/>
      <w:r w:rsidRPr="00D867CD">
        <w:t>linagliptiną</w:t>
      </w:r>
      <w:proofErr w:type="spellEnd"/>
      <w:r w:rsidRPr="00D867CD">
        <w:t xml:space="preserve"> lyginant su placebu.</w:t>
      </w:r>
    </w:p>
    <w:p w14:paraId="4C5080F3" w14:textId="77777777" w:rsidR="00A01BAC" w:rsidRPr="00D867CD" w:rsidRDefault="00A01BAC" w:rsidP="00D867CD">
      <w:pPr>
        <w:pStyle w:val="Pagrindinistekstas"/>
      </w:pPr>
    </w:p>
    <w:p w14:paraId="4C5080F4" w14:textId="77777777" w:rsidR="00A01BAC" w:rsidRPr="00D867CD" w:rsidRDefault="00341B61" w:rsidP="00D867CD">
      <w:pPr>
        <w:rPr>
          <w:i/>
        </w:rPr>
      </w:pPr>
      <w:proofErr w:type="spellStart"/>
      <w:r w:rsidRPr="00D867CD">
        <w:rPr>
          <w:i/>
        </w:rPr>
        <w:t>Linagliptino</w:t>
      </w:r>
      <w:proofErr w:type="spellEnd"/>
      <w:r w:rsidRPr="00D867CD">
        <w:rPr>
          <w:i/>
        </w:rPr>
        <w:t xml:space="preserve"> saugumo širdies ir kraujagyslių sistemai tyrimas (CAROLINA)</w:t>
      </w:r>
    </w:p>
    <w:p w14:paraId="4C5080F8" w14:textId="1B1F0B2E" w:rsidR="00A01BAC" w:rsidRPr="00D867CD" w:rsidRDefault="00341B61" w:rsidP="00416027">
      <w:pPr>
        <w:pStyle w:val="Pagrindinistekstas"/>
      </w:pPr>
      <w:r w:rsidRPr="00D867CD">
        <w:t>CAROLINA buvo atsitiktinių imčių tyrimas, kuriame dalyvavo 6</w:t>
      </w:r>
      <w:r w:rsidR="001B18ED">
        <w:t> </w:t>
      </w:r>
      <w:r w:rsidRPr="00D867CD">
        <w:t>033</w:t>
      </w:r>
      <w:r w:rsidR="001B18ED">
        <w:t> </w:t>
      </w:r>
      <w:r w:rsidRPr="00D867CD">
        <w:t xml:space="preserve">pacientai, sergantys ankstyvuoju </w:t>
      </w:r>
      <w:r>
        <w:t>2 tipo</w:t>
      </w:r>
      <w:r w:rsidRPr="00D867CD">
        <w:t xml:space="preserve"> cukriniu diabetu ir turintys padidintą su ŠKS susijusią riziką arba nustatytų komplikacijų. Pacientai vartojo 5</w:t>
      </w:r>
      <w:r>
        <w:t> mg</w:t>
      </w:r>
      <w:r w:rsidRPr="00D867CD">
        <w:t xml:space="preserve"> </w:t>
      </w:r>
      <w:proofErr w:type="spellStart"/>
      <w:r w:rsidRPr="00D867CD">
        <w:t>linagliptino</w:t>
      </w:r>
      <w:proofErr w:type="spellEnd"/>
      <w:r w:rsidRPr="00D867CD">
        <w:t xml:space="preserve"> (3</w:t>
      </w:r>
      <w:r w:rsidR="009D2379">
        <w:t> </w:t>
      </w:r>
      <w:r w:rsidRPr="00D867CD">
        <w:t>023) arba 1</w:t>
      </w:r>
      <w:r w:rsidR="009D2379">
        <w:noBreakHyphen/>
      </w:r>
      <w:r w:rsidRPr="00D867CD">
        <w:t>4</w:t>
      </w:r>
      <w:r>
        <w:t> mg</w:t>
      </w:r>
      <w:r w:rsidRPr="00D867CD">
        <w:t xml:space="preserve"> </w:t>
      </w:r>
      <w:proofErr w:type="spellStart"/>
      <w:r w:rsidRPr="00D867CD">
        <w:t>glimepirido</w:t>
      </w:r>
      <w:proofErr w:type="spellEnd"/>
      <w:r w:rsidRPr="00D867CD">
        <w:t xml:space="preserve"> (3</w:t>
      </w:r>
      <w:r w:rsidR="009D2379">
        <w:t> </w:t>
      </w:r>
      <w:r w:rsidRPr="00D867CD">
        <w:t xml:space="preserve">010), šiuos vaistinius preparatus skiriant papildomai prie standartinio gydymo (įskaitant foninį gydymą </w:t>
      </w:r>
      <w:proofErr w:type="spellStart"/>
      <w:r w:rsidRPr="00D867CD">
        <w:t>metforminu</w:t>
      </w:r>
      <w:proofErr w:type="spellEnd"/>
      <w:r w:rsidRPr="00D867CD">
        <w:t>, kuris taikytas 83</w:t>
      </w:r>
      <w:r>
        <w:t> %</w:t>
      </w:r>
      <w:r w:rsidRPr="00D867CD">
        <w:t xml:space="preserve"> pacientų), taikomo atsižvelgiant į regionui nustatytą HbA</w:t>
      </w:r>
      <w:r w:rsidRPr="00341B61">
        <w:rPr>
          <w:vertAlign w:val="subscript"/>
        </w:rPr>
        <w:t>1c</w:t>
      </w:r>
      <w:r w:rsidRPr="00D867CD">
        <w:t xml:space="preserve"> normą ir</w:t>
      </w:r>
      <w:r w:rsidR="00416027">
        <w:t xml:space="preserve"> </w:t>
      </w:r>
      <w:r w:rsidRPr="00D867CD">
        <w:t>su ŠKS susijusius rizikos veiksnius. Tyrimo populiacijos amžiaus vidurkis siekė 64</w:t>
      </w:r>
      <w:r w:rsidR="009D2379">
        <w:t> </w:t>
      </w:r>
      <w:r w:rsidRPr="00D867CD">
        <w:t>metus ir tyrime dalyvavo 2</w:t>
      </w:r>
      <w:r w:rsidR="009D2379">
        <w:t> </w:t>
      </w:r>
      <w:r w:rsidRPr="00D867CD">
        <w:t>030 (34</w:t>
      </w:r>
      <w:r>
        <w:t> %</w:t>
      </w:r>
      <w:r w:rsidRPr="00D867CD">
        <w:t xml:space="preserve">) pacientų, kurių amžius buvo </w:t>
      </w:r>
      <w:r>
        <w:t>≥ </w:t>
      </w:r>
      <w:r w:rsidRPr="00D867CD">
        <w:t>70</w:t>
      </w:r>
      <w:r>
        <w:t> metų</w:t>
      </w:r>
      <w:r w:rsidRPr="00D867CD">
        <w:t>. Tyrimo populiaciją sudarė</w:t>
      </w:r>
      <w:r w:rsidR="00416027">
        <w:t xml:space="preserve"> </w:t>
      </w:r>
      <w:r w:rsidR="007E5915">
        <w:t>2 </w:t>
      </w:r>
      <w:r w:rsidRPr="00D867CD">
        <w:t>089 (35</w:t>
      </w:r>
      <w:r>
        <w:t> %</w:t>
      </w:r>
      <w:r w:rsidRPr="00D867CD">
        <w:t>) pacientai, sirgę širdies ir kraujagyslių liga, ir 1</w:t>
      </w:r>
      <w:r w:rsidR="007E5915">
        <w:t> </w:t>
      </w:r>
      <w:r w:rsidRPr="00D867CD">
        <w:t>130 (19</w:t>
      </w:r>
      <w:r>
        <w:t> %</w:t>
      </w:r>
      <w:r w:rsidRPr="00D867CD">
        <w:t xml:space="preserve">) pacientų, kurių inkstų funkcija </w:t>
      </w:r>
      <w:r w:rsidR="007E5915">
        <w:t xml:space="preserve">sutrikusi </w:t>
      </w:r>
      <w:r w:rsidRPr="00D867CD">
        <w:t>(</w:t>
      </w:r>
      <w:proofErr w:type="spellStart"/>
      <w:r w:rsidRPr="00D867CD">
        <w:t>aGFG</w:t>
      </w:r>
      <w:proofErr w:type="spellEnd"/>
      <w:r w:rsidRPr="00D867CD">
        <w:t xml:space="preserve"> </w:t>
      </w:r>
      <w:r>
        <w:t>&lt; </w:t>
      </w:r>
      <w:r w:rsidRPr="00D867CD">
        <w:t>60</w:t>
      </w:r>
      <w:r>
        <w:t> ml</w:t>
      </w:r>
      <w:r w:rsidRPr="00D867CD">
        <w:t>/min./1,73 m</w:t>
      </w:r>
      <w:r w:rsidRPr="00D867CD">
        <w:rPr>
          <w:vertAlign w:val="superscript"/>
        </w:rPr>
        <w:t>2</w:t>
      </w:r>
      <w:r w:rsidRPr="00D867CD">
        <w:t xml:space="preserve"> pradinio vertinimo metu). HbA</w:t>
      </w:r>
      <w:r w:rsidRPr="00341B61">
        <w:rPr>
          <w:vertAlign w:val="subscript"/>
        </w:rPr>
        <w:t>1c</w:t>
      </w:r>
      <w:r w:rsidRPr="00D867CD">
        <w:t xml:space="preserve"> vidurkis pradinio vertinimo metu siekė 7,15</w:t>
      </w:r>
      <w:r>
        <w:t> %</w:t>
      </w:r>
      <w:r w:rsidRPr="00D867CD">
        <w:t>.</w:t>
      </w:r>
    </w:p>
    <w:p w14:paraId="4C5080F9" w14:textId="77777777" w:rsidR="00A01BAC" w:rsidRPr="00D867CD" w:rsidRDefault="00A01BAC" w:rsidP="00D867CD">
      <w:pPr>
        <w:pStyle w:val="Pagrindinistekstas"/>
      </w:pPr>
    </w:p>
    <w:p w14:paraId="4C5080FA" w14:textId="2702207F" w:rsidR="00A01BAC" w:rsidRPr="00D867CD" w:rsidRDefault="00341B61" w:rsidP="00D867CD">
      <w:pPr>
        <w:pStyle w:val="Pagrindinistekstas"/>
      </w:pPr>
      <w:r w:rsidRPr="00D867CD">
        <w:lastRenderedPageBreak/>
        <w:t xml:space="preserve">Tyrimas buvo skirtas įrodyti ne </w:t>
      </w:r>
      <w:r w:rsidR="0004130E">
        <w:t>blogesn</w:t>
      </w:r>
      <w:r w:rsidR="007041C7">
        <w:t>į</w:t>
      </w:r>
      <w:r w:rsidR="00CB14EE">
        <w:t xml:space="preserve"> poveik</w:t>
      </w:r>
      <w:r w:rsidR="007041C7">
        <w:t>į</w:t>
      </w:r>
      <w:r w:rsidR="00CB14EE">
        <w:t xml:space="preserve"> </w:t>
      </w:r>
      <w:r w:rsidR="007041C7">
        <w:t xml:space="preserve">pagrindinei </w:t>
      </w:r>
      <w:r w:rsidRPr="00D867CD">
        <w:t>širdies ir kraujagyslių sistemai</w:t>
      </w:r>
      <w:r w:rsidR="007041C7">
        <w:t xml:space="preserve"> verti</w:t>
      </w:r>
      <w:r w:rsidR="000D7E48">
        <w:t>namajai baigčiai</w:t>
      </w:r>
      <w:r w:rsidRPr="00D867CD">
        <w:t xml:space="preserve">, kuri </w:t>
      </w:r>
      <w:r w:rsidR="0037506A">
        <w:t xml:space="preserve">buvo sudėtinė ir apėmė </w:t>
      </w:r>
      <w:r w:rsidR="00C51495">
        <w:t xml:space="preserve">pirmąjį </w:t>
      </w:r>
      <w:r w:rsidRPr="00D867CD">
        <w:t xml:space="preserve">mirties </w:t>
      </w:r>
      <w:r w:rsidR="00C51495">
        <w:t xml:space="preserve">nuo </w:t>
      </w:r>
      <w:r w:rsidRPr="00D867CD">
        <w:t>širdies ir kraujagyslių lig</w:t>
      </w:r>
      <w:r w:rsidR="00CC6B44">
        <w:t>ų</w:t>
      </w:r>
      <w:r w:rsidRPr="00D867CD">
        <w:t>, nemirtin</w:t>
      </w:r>
      <w:r w:rsidR="00BA76BA">
        <w:t>o</w:t>
      </w:r>
      <w:r w:rsidRPr="00D867CD">
        <w:t xml:space="preserve"> miokardo infarkt</w:t>
      </w:r>
      <w:r w:rsidR="00BA76BA">
        <w:t>o</w:t>
      </w:r>
      <w:r w:rsidRPr="00D867CD">
        <w:t xml:space="preserve"> (MI), arba nemirtin</w:t>
      </w:r>
      <w:r w:rsidR="00BA76BA">
        <w:t>o</w:t>
      </w:r>
      <w:r w:rsidRPr="00D867CD">
        <w:t xml:space="preserve"> insult</w:t>
      </w:r>
      <w:r w:rsidR="00BA76BA">
        <w:t>o</w:t>
      </w:r>
      <w:r w:rsidRPr="00D867CD">
        <w:t xml:space="preserve"> </w:t>
      </w:r>
      <w:r w:rsidR="00BA76BA">
        <w:t xml:space="preserve">pasireiškimą </w:t>
      </w:r>
      <w:r w:rsidRPr="00D867CD">
        <w:t>(3P</w:t>
      </w:r>
      <w:r w:rsidR="00E6326A">
        <w:noBreakHyphen/>
      </w:r>
      <w:r w:rsidRPr="00D867CD">
        <w:t>MACE).</w:t>
      </w:r>
    </w:p>
    <w:p w14:paraId="4C5080FB" w14:textId="77777777" w:rsidR="00A01BAC" w:rsidRPr="00D867CD" w:rsidRDefault="00A01BAC" w:rsidP="00D867CD">
      <w:pPr>
        <w:pStyle w:val="Pagrindinistekstas"/>
      </w:pPr>
    </w:p>
    <w:p w14:paraId="4C5080FC" w14:textId="22171110" w:rsidR="00A01BAC" w:rsidRPr="00D867CD" w:rsidRDefault="00341B61" w:rsidP="00D867CD">
      <w:pPr>
        <w:pStyle w:val="Pagrindinistekstas"/>
      </w:pPr>
      <w:r w:rsidRPr="00D867CD">
        <w:t xml:space="preserve">Po stebėjimo laikotarpio, kurio </w:t>
      </w:r>
      <w:r w:rsidR="00012BE7">
        <w:t xml:space="preserve">trukmės </w:t>
      </w:r>
      <w:r w:rsidRPr="00D867CD">
        <w:t>mediana buvo 6,25</w:t>
      </w:r>
      <w:r>
        <w:t> metų</w:t>
      </w:r>
      <w:r w:rsidRPr="00D867CD">
        <w:t xml:space="preserve">, </w:t>
      </w:r>
      <w:proofErr w:type="spellStart"/>
      <w:r w:rsidRPr="00D867CD">
        <w:t>linagliptinas</w:t>
      </w:r>
      <w:proofErr w:type="spellEnd"/>
      <w:r w:rsidRPr="00D867CD">
        <w:t xml:space="preserve"> pagrindinių nepageidaujamų širdies ir kraujagyslių reiškinių rizikos (</w:t>
      </w:r>
      <w:r>
        <w:t>žr. </w:t>
      </w:r>
      <w:r w:rsidRPr="00D867CD">
        <w:t>3</w:t>
      </w:r>
      <w:r w:rsidR="00DA3F70">
        <w:t> </w:t>
      </w:r>
      <w:r w:rsidRPr="00D867CD">
        <w:t xml:space="preserve">lentelę), palyginti su </w:t>
      </w:r>
      <w:proofErr w:type="spellStart"/>
      <w:r w:rsidRPr="00D867CD">
        <w:t>glimepiridu</w:t>
      </w:r>
      <w:proofErr w:type="spellEnd"/>
      <w:r w:rsidRPr="00D867CD">
        <w:t xml:space="preserve">, nedidino. Nuoseklūs rezultatai gauti nepriklausomai nuo to, ar pacientai vartojo </w:t>
      </w:r>
      <w:proofErr w:type="spellStart"/>
      <w:r w:rsidRPr="00D867CD">
        <w:t>metforminą</w:t>
      </w:r>
      <w:proofErr w:type="spellEnd"/>
      <w:r w:rsidRPr="00D867CD">
        <w:t>, ar ne.</w:t>
      </w:r>
    </w:p>
    <w:p w14:paraId="4C5080FD" w14:textId="77777777" w:rsidR="00A01BAC" w:rsidRPr="00D867CD" w:rsidRDefault="00A01BAC" w:rsidP="00D867CD">
      <w:pPr>
        <w:pStyle w:val="Pagrindinistekstas"/>
      </w:pPr>
    </w:p>
    <w:p w14:paraId="4C5080FE" w14:textId="17A580B4" w:rsidR="00A01BAC" w:rsidRPr="00D867CD" w:rsidRDefault="00DA3F70" w:rsidP="00DA3F70">
      <w:pPr>
        <w:tabs>
          <w:tab w:val="left" w:pos="1134"/>
        </w:tabs>
        <w:ind w:left="1134" w:hanging="1157"/>
      </w:pPr>
      <w:r>
        <w:t>3 </w:t>
      </w:r>
      <w:r w:rsidR="00341B61" w:rsidRPr="00D867CD">
        <w:t>lentelė</w:t>
      </w:r>
      <w:r w:rsidR="00341B61" w:rsidRPr="00D867CD">
        <w:tab/>
        <w:t xml:space="preserve">Pagrindiniai </w:t>
      </w:r>
      <w:r w:rsidR="00E07CE5">
        <w:t xml:space="preserve">nepageidaujami </w:t>
      </w:r>
      <w:r w:rsidR="00341B61" w:rsidRPr="00D867CD">
        <w:t>širdies ir kraujagyslių reiškiniai (MACE) ir</w:t>
      </w:r>
      <w:r w:rsidR="00E07CE5">
        <w:t xml:space="preserve"> mirtingumas</w:t>
      </w:r>
      <w:r w:rsidR="00341B61" w:rsidRPr="00D867CD">
        <w:t xml:space="preserve"> pagal gydymo grupę CAROLINA tyrimo metu</w:t>
      </w:r>
    </w:p>
    <w:p w14:paraId="4C5080FF" w14:textId="77777777" w:rsidR="00A01BAC" w:rsidRPr="00D867CD" w:rsidRDefault="00A01BAC" w:rsidP="00D867CD">
      <w:pPr>
        <w:pStyle w:val="Pagrindinistekstas"/>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7"/>
        <w:gridCol w:w="1164"/>
        <w:gridCol w:w="1330"/>
        <w:gridCol w:w="1145"/>
        <w:gridCol w:w="1357"/>
        <w:gridCol w:w="1762"/>
      </w:tblGrid>
      <w:tr w:rsidR="00A01BAC" w:rsidRPr="00D867CD" w14:paraId="4C508104" w14:textId="77777777" w:rsidTr="005928C7">
        <w:trPr>
          <w:trHeight w:val="251"/>
        </w:trPr>
        <w:tc>
          <w:tcPr>
            <w:tcW w:w="2307" w:type="dxa"/>
            <w:vMerge w:val="restart"/>
          </w:tcPr>
          <w:p w14:paraId="4C508100" w14:textId="77777777" w:rsidR="00A01BAC" w:rsidRPr="00D867CD" w:rsidRDefault="00A01BAC" w:rsidP="00D867CD">
            <w:pPr>
              <w:pStyle w:val="TableParagraph"/>
              <w:ind w:left="0"/>
              <w:jc w:val="left"/>
            </w:pPr>
          </w:p>
        </w:tc>
        <w:tc>
          <w:tcPr>
            <w:tcW w:w="2494" w:type="dxa"/>
            <w:gridSpan w:val="2"/>
          </w:tcPr>
          <w:p w14:paraId="4C508101" w14:textId="1C305515" w:rsidR="00A01BAC" w:rsidRPr="00D867CD" w:rsidRDefault="00341B61" w:rsidP="00416027">
            <w:pPr>
              <w:pStyle w:val="TableParagraph"/>
              <w:ind w:left="0"/>
              <w:rPr>
                <w:b/>
              </w:rPr>
            </w:pPr>
            <w:proofErr w:type="spellStart"/>
            <w:r w:rsidRPr="00D867CD">
              <w:rPr>
                <w:b/>
              </w:rPr>
              <w:t>Linagliptinas</w:t>
            </w:r>
            <w:proofErr w:type="spellEnd"/>
            <w:r w:rsidRPr="00D867CD">
              <w:rPr>
                <w:b/>
              </w:rPr>
              <w:t xml:space="preserve"> 5</w:t>
            </w:r>
            <w:r>
              <w:rPr>
                <w:b/>
              </w:rPr>
              <w:t> mg</w:t>
            </w:r>
          </w:p>
        </w:tc>
        <w:tc>
          <w:tcPr>
            <w:tcW w:w="2502" w:type="dxa"/>
            <w:gridSpan w:val="2"/>
          </w:tcPr>
          <w:p w14:paraId="4C508102" w14:textId="31F6391F" w:rsidR="00A01BAC" w:rsidRPr="00D867CD" w:rsidRDefault="00341B61" w:rsidP="00416027">
            <w:pPr>
              <w:pStyle w:val="TableParagraph"/>
              <w:ind w:left="0"/>
              <w:rPr>
                <w:b/>
              </w:rPr>
            </w:pPr>
            <w:proofErr w:type="spellStart"/>
            <w:r w:rsidRPr="00D867CD">
              <w:rPr>
                <w:b/>
              </w:rPr>
              <w:t>Glimepiridas</w:t>
            </w:r>
            <w:proofErr w:type="spellEnd"/>
            <w:r w:rsidRPr="00D867CD">
              <w:rPr>
                <w:b/>
              </w:rPr>
              <w:t xml:space="preserve"> (1</w:t>
            </w:r>
            <w:r w:rsidR="001256EF">
              <w:rPr>
                <w:b/>
              </w:rPr>
              <w:noBreakHyphen/>
            </w:r>
            <w:r w:rsidRPr="00D867CD">
              <w:rPr>
                <w:b/>
              </w:rPr>
              <w:t>4</w:t>
            </w:r>
            <w:r>
              <w:rPr>
                <w:b/>
              </w:rPr>
              <w:t> mg</w:t>
            </w:r>
            <w:r w:rsidRPr="00D867CD">
              <w:rPr>
                <w:b/>
              </w:rPr>
              <w:t>)</w:t>
            </w:r>
          </w:p>
        </w:tc>
        <w:tc>
          <w:tcPr>
            <w:tcW w:w="1762" w:type="dxa"/>
          </w:tcPr>
          <w:p w14:paraId="4C508103" w14:textId="77777777" w:rsidR="00A01BAC" w:rsidRPr="00D867CD" w:rsidRDefault="00341B61" w:rsidP="00416027">
            <w:pPr>
              <w:pStyle w:val="TableParagraph"/>
              <w:ind w:left="0"/>
              <w:rPr>
                <w:b/>
              </w:rPr>
            </w:pPr>
            <w:r w:rsidRPr="00D867CD">
              <w:rPr>
                <w:b/>
              </w:rPr>
              <w:t>Rizikos santykis</w:t>
            </w:r>
          </w:p>
        </w:tc>
      </w:tr>
      <w:tr w:rsidR="00A01BAC" w:rsidRPr="00D867CD" w14:paraId="4C50810D" w14:textId="77777777" w:rsidTr="005928C7">
        <w:trPr>
          <w:trHeight w:val="760"/>
        </w:trPr>
        <w:tc>
          <w:tcPr>
            <w:tcW w:w="2307" w:type="dxa"/>
            <w:vMerge/>
            <w:tcBorders>
              <w:top w:val="nil"/>
            </w:tcBorders>
          </w:tcPr>
          <w:p w14:paraId="4C508105" w14:textId="77777777" w:rsidR="00A01BAC" w:rsidRPr="00D867CD" w:rsidRDefault="00A01BAC" w:rsidP="00D867CD">
            <w:pPr>
              <w:rPr>
                <w:szCs w:val="2"/>
              </w:rPr>
            </w:pPr>
          </w:p>
        </w:tc>
        <w:tc>
          <w:tcPr>
            <w:tcW w:w="1164" w:type="dxa"/>
          </w:tcPr>
          <w:p w14:paraId="4C508106" w14:textId="7B1E1DC4" w:rsidR="00A01BAC" w:rsidRPr="00D867CD" w:rsidRDefault="00341B61" w:rsidP="00416027">
            <w:pPr>
              <w:pStyle w:val="TableParagraph"/>
              <w:ind w:left="0"/>
            </w:pPr>
            <w:r w:rsidRPr="00D867CD">
              <w:t>Tiriamųjų skaičius (</w:t>
            </w:r>
            <w:r>
              <w:t> %</w:t>
            </w:r>
            <w:r w:rsidRPr="00D867CD">
              <w:t>)</w:t>
            </w:r>
          </w:p>
        </w:tc>
        <w:tc>
          <w:tcPr>
            <w:tcW w:w="1330" w:type="dxa"/>
          </w:tcPr>
          <w:p w14:paraId="4C508108" w14:textId="29114367" w:rsidR="00A01BAC" w:rsidRPr="00D867CD" w:rsidRDefault="00341B61" w:rsidP="00416027">
            <w:pPr>
              <w:pStyle w:val="TableParagraph"/>
              <w:ind w:left="0"/>
            </w:pPr>
            <w:r w:rsidRPr="00D867CD">
              <w:t>Įvykių dažnis per</w:t>
            </w:r>
            <w:r w:rsidR="00416027">
              <w:t xml:space="preserve"> </w:t>
            </w:r>
            <w:r>
              <w:t>1 000</w:t>
            </w:r>
            <w:r w:rsidRPr="00D867CD">
              <w:t xml:space="preserve"> SPM*</w:t>
            </w:r>
          </w:p>
        </w:tc>
        <w:tc>
          <w:tcPr>
            <w:tcW w:w="1145" w:type="dxa"/>
          </w:tcPr>
          <w:p w14:paraId="4C508109" w14:textId="4E801A51" w:rsidR="00A01BAC" w:rsidRPr="00D867CD" w:rsidRDefault="00341B61" w:rsidP="00416027">
            <w:pPr>
              <w:pStyle w:val="TableParagraph"/>
              <w:ind w:left="0"/>
            </w:pPr>
            <w:r w:rsidRPr="00D867CD">
              <w:t>Tiriamųjų skaičius (</w:t>
            </w:r>
            <w:r>
              <w:t> %</w:t>
            </w:r>
            <w:r w:rsidRPr="00D867CD">
              <w:t>)</w:t>
            </w:r>
          </w:p>
        </w:tc>
        <w:tc>
          <w:tcPr>
            <w:tcW w:w="1357" w:type="dxa"/>
          </w:tcPr>
          <w:p w14:paraId="4C50810B" w14:textId="1D1BC4FC" w:rsidR="00A01BAC" w:rsidRPr="00D867CD" w:rsidRDefault="00341B61" w:rsidP="00416027">
            <w:pPr>
              <w:pStyle w:val="TableParagraph"/>
              <w:ind w:left="0"/>
            </w:pPr>
            <w:r w:rsidRPr="00D867CD">
              <w:t>Įvykių dažnis per</w:t>
            </w:r>
            <w:r w:rsidR="00416027">
              <w:t xml:space="preserve"> </w:t>
            </w:r>
            <w:r>
              <w:t>1 000</w:t>
            </w:r>
            <w:r w:rsidRPr="00D867CD">
              <w:t xml:space="preserve"> SPM*</w:t>
            </w:r>
          </w:p>
        </w:tc>
        <w:tc>
          <w:tcPr>
            <w:tcW w:w="1762" w:type="dxa"/>
          </w:tcPr>
          <w:p w14:paraId="4C50810C" w14:textId="0D990CEA" w:rsidR="00A01BAC" w:rsidRPr="00D867CD" w:rsidRDefault="00341B61" w:rsidP="00416027">
            <w:pPr>
              <w:pStyle w:val="TableParagraph"/>
              <w:ind w:left="0"/>
            </w:pPr>
            <w:r w:rsidRPr="00D867CD">
              <w:t>(95</w:t>
            </w:r>
            <w:r>
              <w:t> %</w:t>
            </w:r>
            <w:r w:rsidRPr="00D867CD">
              <w:t xml:space="preserve"> PI)</w:t>
            </w:r>
          </w:p>
        </w:tc>
      </w:tr>
      <w:tr w:rsidR="00A01BAC" w:rsidRPr="00D867CD" w14:paraId="4C508112" w14:textId="77777777" w:rsidTr="005928C7">
        <w:trPr>
          <w:trHeight w:val="251"/>
        </w:trPr>
        <w:tc>
          <w:tcPr>
            <w:tcW w:w="2307" w:type="dxa"/>
          </w:tcPr>
          <w:p w14:paraId="4C50810E" w14:textId="77777777" w:rsidR="00A01BAC" w:rsidRPr="00D867CD" w:rsidRDefault="00341B61" w:rsidP="00D867CD">
            <w:pPr>
              <w:pStyle w:val="TableParagraph"/>
              <w:ind w:left="0"/>
              <w:jc w:val="left"/>
            </w:pPr>
            <w:r w:rsidRPr="00D867CD">
              <w:t>Pacientų skaičius</w:t>
            </w:r>
          </w:p>
        </w:tc>
        <w:tc>
          <w:tcPr>
            <w:tcW w:w="2494" w:type="dxa"/>
            <w:gridSpan w:val="2"/>
          </w:tcPr>
          <w:p w14:paraId="4C50810F" w14:textId="0B06AC97" w:rsidR="00A01BAC" w:rsidRPr="00D867CD" w:rsidRDefault="00341B61" w:rsidP="00416027">
            <w:pPr>
              <w:pStyle w:val="TableParagraph"/>
              <w:ind w:left="0"/>
            </w:pPr>
            <w:r w:rsidRPr="00D867CD">
              <w:t>3</w:t>
            </w:r>
            <w:r w:rsidR="001256EF">
              <w:t> </w:t>
            </w:r>
            <w:r w:rsidRPr="00D867CD">
              <w:t>023</w:t>
            </w:r>
          </w:p>
        </w:tc>
        <w:tc>
          <w:tcPr>
            <w:tcW w:w="2502" w:type="dxa"/>
            <w:gridSpan w:val="2"/>
          </w:tcPr>
          <w:p w14:paraId="4C508110" w14:textId="20664A1F" w:rsidR="00A01BAC" w:rsidRPr="00D867CD" w:rsidRDefault="00341B61" w:rsidP="00416027">
            <w:pPr>
              <w:pStyle w:val="TableParagraph"/>
              <w:ind w:left="0"/>
            </w:pPr>
            <w:r w:rsidRPr="00D867CD">
              <w:t>3</w:t>
            </w:r>
            <w:r w:rsidR="001256EF">
              <w:t> </w:t>
            </w:r>
            <w:r w:rsidRPr="00D867CD">
              <w:t>010</w:t>
            </w:r>
          </w:p>
        </w:tc>
        <w:tc>
          <w:tcPr>
            <w:tcW w:w="1762" w:type="dxa"/>
          </w:tcPr>
          <w:p w14:paraId="4C508111" w14:textId="77777777" w:rsidR="00A01BAC" w:rsidRPr="00D867CD" w:rsidRDefault="00A01BAC" w:rsidP="00416027">
            <w:pPr>
              <w:pStyle w:val="TableParagraph"/>
              <w:ind w:left="0"/>
            </w:pPr>
          </w:p>
        </w:tc>
      </w:tr>
      <w:tr w:rsidR="00A01BAC" w:rsidRPr="00D867CD" w14:paraId="4C50811B" w14:textId="77777777" w:rsidTr="005928C7">
        <w:trPr>
          <w:trHeight w:val="1519"/>
        </w:trPr>
        <w:tc>
          <w:tcPr>
            <w:tcW w:w="2307" w:type="dxa"/>
          </w:tcPr>
          <w:p w14:paraId="4C508114" w14:textId="0C639EF4" w:rsidR="00A01BAC" w:rsidRPr="00D867CD" w:rsidRDefault="005928C7" w:rsidP="00771114">
            <w:pPr>
              <w:pStyle w:val="TableParagraph"/>
              <w:ind w:left="0"/>
              <w:jc w:val="left"/>
            </w:pPr>
            <w:r>
              <w:t xml:space="preserve">Pagrindinė sudėtinė </w:t>
            </w:r>
            <w:r w:rsidRPr="00D867CD">
              <w:t xml:space="preserve">ŠKS </w:t>
            </w:r>
            <w:r>
              <w:t xml:space="preserve">vertinamoji baigtis </w:t>
            </w:r>
            <w:r w:rsidRPr="00D867CD">
              <w:t xml:space="preserve">(mirtis </w:t>
            </w:r>
            <w:r>
              <w:t xml:space="preserve">nuo </w:t>
            </w:r>
            <w:r w:rsidRPr="00D867CD">
              <w:t>širdies ir kraujagyslių ligos, nemirtinas MI,</w:t>
            </w:r>
            <w:r>
              <w:t xml:space="preserve"> </w:t>
            </w:r>
            <w:r w:rsidRPr="00D867CD">
              <w:t>nemirtinas insultas)</w:t>
            </w:r>
          </w:p>
        </w:tc>
        <w:tc>
          <w:tcPr>
            <w:tcW w:w="1164" w:type="dxa"/>
          </w:tcPr>
          <w:p w14:paraId="4C508115" w14:textId="77777777" w:rsidR="00A01BAC" w:rsidRPr="00D867CD" w:rsidRDefault="00341B61" w:rsidP="00416027">
            <w:pPr>
              <w:pStyle w:val="TableParagraph"/>
              <w:ind w:left="0"/>
            </w:pPr>
            <w:r w:rsidRPr="00D867CD">
              <w:t>356 (11,8)</w:t>
            </w:r>
          </w:p>
        </w:tc>
        <w:tc>
          <w:tcPr>
            <w:tcW w:w="1330" w:type="dxa"/>
          </w:tcPr>
          <w:p w14:paraId="4C508116" w14:textId="77777777" w:rsidR="00A01BAC" w:rsidRPr="00D867CD" w:rsidRDefault="00341B61" w:rsidP="00416027">
            <w:pPr>
              <w:pStyle w:val="TableParagraph"/>
              <w:ind w:left="0"/>
            </w:pPr>
            <w:r w:rsidRPr="00D867CD">
              <w:t>20,7</w:t>
            </w:r>
          </w:p>
        </w:tc>
        <w:tc>
          <w:tcPr>
            <w:tcW w:w="1145" w:type="dxa"/>
          </w:tcPr>
          <w:p w14:paraId="4C508117" w14:textId="77777777" w:rsidR="00A01BAC" w:rsidRPr="00D867CD" w:rsidRDefault="00341B61" w:rsidP="00416027">
            <w:pPr>
              <w:pStyle w:val="TableParagraph"/>
              <w:ind w:left="0"/>
            </w:pPr>
            <w:r w:rsidRPr="00D867CD">
              <w:t>362 (12,0)</w:t>
            </w:r>
          </w:p>
        </w:tc>
        <w:tc>
          <w:tcPr>
            <w:tcW w:w="1357" w:type="dxa"/>
          </w:tcPr>
          <w:p w14:paraId="4C508118" w14:textId="77777777" w:rsidR="00A01BAC" w:rsidRPr="00D867CD" w:rsidRDefault="00341B61" w:rsidP="00416027">
            <w:pPr>
              <w:pStyle w:val="TableParagraph"/>
              <w:ind w:left="0"/>
            </w:pPr>
            <w:r w:rsidRPr="00D867CD">
              <w:t>21,2</w:t>
            </w:r>
          </w:p>
        </w:tc>
        <w:tc>
          <w:tcPr>
            <w:tcW w:w="1762" w:type="dxa"/>
          </w:tcPr>
          <w:p w14:paraId="4C50811A" w14:textId="6077F53E" w:rsidR="00A01BAC" w:rsidRPr="00D867CD" w:rsidRDefault="00341B61" w:rsidP="00A9034F">
            <w:pPr>
              <w:pStyle w:val="TableParagraph"/>
              <w:ind w:left="0"/>
            </w:pPr>
            <w:r w:rsidRPr="00D867CD">
              <w:t>0,98 (0,84;</w:t>
            </w:r>
            <w:r w:rsidR="00A9034F">
              <w:t xml:space="preserve"> </w:t>
            </w:r>
            <w:r w:rsidRPr="00D867CD">
              <w:t>1,14)**</w:t>
            </w:r>
          </w:p>
        </w:tc>
      </w:tr>
      <w:tr w:rsidR="00A01BAC" w:rsidRPr="00D867CD" w14:paraId="4C508122" w14:textId="77777777" w:rsidTr="005928C7">
        <w:trPr>
          <w:trHeight w:val="505"/>
        </w:trPr>
        <w:tc>
          <w:tcPr>
            <w:tcW w:w="2307" w:type="dxa"/>
          </w:tcPr>
          <w:p w14:paraId="4C50811C" w14:textId="4E023046" w:rsidR="00A01BAC" w:rsidRPr="00D867CD" w:rsidRDefault="00341B61" w:rsidP="00D867CD">
            <w:pPr>
              <w:pStyle w:val="TableParagraph"/>
              <w:ind w:left="0"/>
              <w:jc w:val="left"/>
            </w:pPr>
            <w:r w:rsidRPr="00D867CD">
              <w:t xml:space="preserve">Mirštamumas dėl </w:t>
            </w:r>
            <w:r w:rsidR="00836D37">
              <w:t xml:space="preserve">visų </w:t>
            </w:r>
            <w:r w:rsidRPr="00D867CD">
              <w:t>priežas</w:t>
            </w:r>
            <w:r w:rsidR="00836D37">
              <w:t>čių</w:t>
            </w:r>
          </w:p>
        </w:tc>
        <w:tc>
          <w:tcPr>
            <w:tcW w:w="1164" w:type="dxa"/>
          </w:tcPr>
          <w:p w14:paraId="4C50811D" w14:textId="77777777" w:rsidR="00A01BAC" w:rsidRPr="00D867CD" w:rsidRDefault="00341B61" w:rsidP="00416027">
            <w:pPr>
              <w:pStyle w:val="TableParagraph"/>
              <w:ind w:left="0"/>
            </w:pPr>
            <w:r w:rsidRPr="00D867CD">
              <w:t>308 (10,2)</w:t>
            </w:r>
          </w:p>
        </w:tc>
        <w:tc>
          <w:tcPr>
            <w:tcW w:w="1330" w:type="dxa"/>
          </w:tcPr>
          <w:p w14:paraId="4C50811E" w14:textId="77777777" w:rsidR="00A01BAC" w:rsidRPr="00D867CD" w:rsidRDefault="00341B61" w:rsidP="00416027">
            <w:pPr>
              <w:pStyle w:val="TableParagraph"/>
              <w:ind w:left="0"/>
            </w:pPr>
            <w:r w:rsidRPr="00D867CD">
              <w:t>16,8</w:t>
            </w:r>
          </w:p>
        </w:tc>
        <w:tc>
          <w:tcPr>
            <w:tcW w:w="1145" w:type="dxa"/>
          </w:tcPr>
          <w:p w14:paraId="4C50811F" w14:textId="77777777" w:rsidR="00A01BAC" w:rsidRPr="00D867CD" w:rsidRDefault="00341B61" w:rsidP="00416027">
            <w:pPr>
              <w:pStyle w:val="TableParagraph"/>
              <w:ind w:left="0"/>
            </w:pPr>
            <w:r w:rsidRPr="00D867CD">
              <w:t>336 (11,2)</w:t>
            </w:r>
          </w:p>
        </w:tc>
        <w:tc>
          <w:tcPr>
            <w:tcW w:w="1357" w:type="dxa"/>
          </w:tcPr>
          <w:p w14:paraId="4C508120" w14:textId="77777777" w:rsidR="00A01BAC" w:rsidRPr="00D867CD" w:rsidRDefault="00341B61" w:rsidP="00416027">
            <w:pPr>
              <w:pStyle w:val="TableParagraph"/>
              <w:ind w:left="0"/>
            </w:pPr>
            <w:r w:rsidRPr="00D867CD">
              <w:t>18,4</w:t>
            </w:r>
          </w:p>
        </w:tc>
        <w:tc>
          <w:tcPr>
            <w:tcW w:w="1762" w:type="dxa"/>
          </w:tcPr>
          <w:p w14:paraId="4C508121" w14:textId="77777777" w:rsidR="00A01BAC" w:rsidRPr="00D867CD" w:rsidRDefault="00341B61" w:rsidP="00416027">
            <w:pPr>
              <w:pStyle w:val="TableParagraph"/>
              <w:ind w:left="0"/>
            </w:pPr>
            <w:r w:rsidRPr="00D867CD">
              <w:t>0,91 (0,78; 1,06)</w:t>
            </w:r>
          </w:p>
        </w:tc>
      </w:tr>
      <w:tr w:rsidR="00A01BAC" w:rsidRPr="00D867CD" w14:paraId="4C50812A" w14:textId="77777777" w:rsidTr="005928C7">
        <w:trPr>
          <w:trHeight w:val="756"/>
        </w:trPr>
        <w:tc>
          <w:tcPr>
            <w:tcW w:w="2307" w:type="dxa"/>
          </w:tcPr>
          <w:p w14:paraId="4C508124" w14:textId="6B96A1FF" w:rsidR="00A01BAC" w:rsidRPr="00D867CD" w:rsidRDefault="00341B61" w:rsidP="00416027">
            <w:pPr>
              <w:pStyle w:val="TableParagraph"/>
              <w:ind w:left="0"/>
              <w:jc w:val="left"/>
            </w:pPr>
            <w:r w:rsidRPr="00D867CD">
              <w:t>Mirtis dėl priežasčių,</w:t>
            </w:r>
            <w:r w:rsidR="00416027">
              <w:t xml:space="preserve"> </w:t>
            </w:r>
            <w:r w:rsidRPr="00D867CD">
              <w:t>susijusių su širdies ir kraujagyslių ligomis</w:t>
            </w:r>
          </w:p>
        </w:tc>
        <w:tc>
          <w:tcPr>
            <w:tcW w:w="1164" w:type="dxa"/>
          </w:tcPr>
          <w:p w14:paraId="4C508125" w14:textId="77777777" w:rsidR="00A01BAC" w:rsidRPr="00D867CD" w:rsidRDefault="00341B61" w:rsidP="00416027">
            <w:pPr>
              <w:pStyle w:val="TableParagraph"/>
              <w:ind w:left="0"/>
            </w:pPr>
            <w:r w:rsidRPr="00D867CD">
              <w:t>169 (5,6)</w:t>
            </w:r>
          </w:p>
        </w:tc>
        <w:tc>
          <w:tcPr>
            <w:tcW w:w="1330" w:type="dxa"/>
          </w:tcPr>
          <w:p w14:paraId="4C508126" w14:textId="77777777" w:rsidR="00A01BAC" w:rsidRPr="00D867CD" w:rsidRDefault="00341B61" w:rsidP="00416027">
            <w:pPr>
              <w:pStyle w:val="TableParagraph"/>
              <w:ind w:left="0"/>
            </w:pPr>
            <w:r w:rsidRPr="00D867CD">
              <w:t>9,2</w:t>
            </w:r>
          </w:p>
        </w:tc>
        <w:tc>
          <w:tcPr>
            <w:tcW w:w="1145" w:type="dxa"/>
          </w:tcPr>
          <w:p w14:paraId="4C508127" w14:textId="77777777" w:rsidR="00A01BAC" w:rsidRPr="00D867CD" w:rsidRDefault="00341B61" w:rsidP="00416027">
            <w:pPr>
              <w:pStyle w:val="TableParagraph"/>
              <w:ind w:left="0"/>
            </w:pPr>
            <w:r w:rsidRPr="00D867CD">
              <w:t>168 (5,6)</w:t>
            </w:r>
          </w:p>
        </w:tc>
        <w:tc>
          <w:tcPr>
            <w:tcW w:w="1357" w:type="dxa"/>
          </w:tcPr>
          <w:p w14:paraId="4C508128" w14:textId="77777777" w:rsidR="00A01BAC" w:rsidRPr="00D867CD" w:rsidRDefault="00341B61" w:rsidP="00416027">
            <w:pPr>
              <w:pStyle w:val="TableParagraph"/>
              <w:ind w:left="0"/>
            </w:pPr>
            <w:r w:rsidRPr="00D867CD">
              <w:t>9,2</w:t>
            </w:r>
          </w:p>
        </w:tc>
        <w:tc>
          <w:tcPr>
            <w:tcW w:w="1762" w:type="dxa"/>
          </w:tcPr>
          <w:p w14:paraId="4C508129" w14:textId="77777777" w:rsidR="00A01BAC" w:rsidRPr="00D867CD" w:rsidRDefault="00341B61" w:rsidP="00416027">
            <w:pPr>
              <w:pStyle w:val="TableParagraph"/>
              <w:ind w:left="0"/>
            </w:pPr>
            <w:r w:rsidRPr="00D867CD">
              <w:t>1,00 (0,81; 1,24)</w:t>
            </w:r>
          </w:p>
        </w:tc>
      </w:tr>
      <w:tr w:rsidR="00A01BAC" w:rsidRPr="00D867CD" w14:paraId="4C508132" w14:textId="77777777" w:rsidTr="005928C7">
        <w:trPr>
          <w:trHeight w:val="455"/>
        </w:trPr>
        <w:tc>
          <w:tcPr>
            <w:tcW w:w="2307" w:type="dxa"/>
          </w:tcPr>
          <w:p w14:paraId="4C50812C" w14:textId="5D6D61B1" w:rsidR="00A01BAC" w:rsidRPr="00D867CD" w:rsidRDefault="00341B61" w:rsidP="00416027">
            <w:pPr>
              <w:pStyle w:val="TableParagraph"/>
              <w:ind w:left="0"/>
              <w:jc w:val="left"/>
            </w:pPr>
            <w:r w:rsidRPr="00D867CD">
              <w:t>Hospitalizacija dėl širdies nepakankamumo</w:t>
            </w:r>
            <w:r w:rsidR="00416027">
              <w:t xml:space="preserve"> </w:t>
            </w:r>
            <w:r w:rsidRPr="00D867CD">
              <w:t>(HŠN)</w:t>
            </w:r>
          </w:p>
        </w:tc>
        <w:tc>
          <w:tcPr>
            <w:tcW w:w="1164" w:type="dxa"/>
          </w:tcPr>
          <w:p w14:paraId="4C50812D" w14:textId="77777777" w:rsidR="00A01BAC" w:rsidRPr="00D867CD" w:rsidRDefault="00341B61" w:rsidP="00416027">
            <w:pPr>
              <w:pStyle w:val="TableParagraph"/>
              <w:ind w:left="0"/>
            </w:pPr>
            <w:r w:rsidRPr="00D867CD">
              <w:t>112 (3,7)</w:t>
            </w:r>
          </w:p>
        </w:tc>
        <w:tc>
          <w:tcPr>
            <w:tcW w:w="1330" w:type="dxa"/>
          </w:tcPr>
          <w:p w14:paraId="4C50812E" w14:textId="77777777" w:rsidR="00A01BAC" w:rsidRPr="00D867CD" w:rsidRDefault="00341B61" w:rsidP="00416027">
            <w:pPr>
              <w:pStyle w:val="TableParagraph"/>
              <w:ind w:left="0"/>
            </w:pPr>
            <w:r w:rsidRPr="00D867CD">
              <w:t>6,4</w:t>
            </w:r>
          </w:p>
        </w:tc>
        <w:tc>
          <w:tcPr>
            <w:tcW w:w="1145" w:type="dxa"/>
          </w:tcPr>
          <w:p w14:paraId="4C50812F" w14:textId="77777777" w:rsidR="00A01BAC" w:rsidRPr="00D867CD" w:rsidRDefault="00341B61" w:rsidP="00416027">
            <w:pPr>
              <w:pStyle w:val="TableParagraph"/>
              <w:ind w:left="0"/>
            </w:pPr>
            <w:r w:rsidRPr="00D867CD">
              <w:t>92 (3,1)</w:t>
            </w:r>
          </w:p>
        </w:tc>
        <w:tc>
          <w:tcPr>
            <w:tcW w:w="1357" w:type="dxa"/>
          </w:tcPr>
          <w:p w14:paraId="4C508130" w14:textId="77777777" w:rsidR="00A01BAC" w:rsidRPr="00D867CD" w:rsidRDefault="00341B61" w:rsidP="00416027">
            <w:pPr>
              <w:pStyle w:val="TableParagraph"/>
              <w:ind w:left="0"/>
            </w:pPr>
            <w:r w:rsidRPr="00D867CD">
              <w:t>5,3</w:t>
            </w:r>
          </w:p>
        </w:tc>
        <w:tc>
          <w:tcPr>
            <w:tcW w:w="1762" w:type="dxa"/>
          </w:tcPr>
          <w:p w14:paraId="4C508131" w14:textId="77777777" w:rsidR="00A01BAC" w:rsidRPr="00D867CD" w:rsidRDefault="00341B61" w:rsidP="00416027">
            <w:pPr>
              <w:pStyle w:val="TableParagraph"/>
              <w:ind w:left="0"/>
            </w:pPr>
            <w:r w:rsidRPr="00D867CD">
              <w:t>1,21 (0,92; 1,59)</w:t>
            </w:r>
          </w:p>
        </w:tc>
      </w:tr>
    </w:tbl>
    <w:p w14:paraId="4C508133" w14:textId="1549EBFB" w:rsidR="00A01BAC" w:rsidRPr="00A9034F" w:rsidRDefault="00341B61" w:rsidP="00416027">
      <w:pPr>
        <w:ind w:left="567" w:hanging="567"/>
        <w:rPr>
          <w:sz w:val="16"/>
          <w:szCs w:val="16"/>
        </w:rPr>
      </w:pPr>
      <w:r w:rsidRPr="00A9034F">
        <w:rPr>
          <w:sz w:val="16"/>
          <w:szCs w:val="16"/>
        </w:rPr>
        <w:t>*</w:t>
      </w:r>
      <w:r w:rsidR="00416027" w:rsidRPr="00A9034F">
        <w:rPr>
          <w:sz w:val="16"/>
          <w:szCs w:val="16"/>
        </w:rPr>
        <w:tab/>
      </w:r>
      <w:r w:rsidRPr="00A9034F">
        <w:rPr>
          <w:sz w:val="16"/>
          <w:szCs w:val="16"/>
        </w:rPr>
        <w:t>SPM = sutartiniai pacientų metai</w:t>
      </w:r>
    </w:p>
    <w:p w14:paraId="4C508134" w14:textId="4502CC37" w:rsidR="00A01BAC" w:rsidRPr="00A9034F" w:rsidRDefault="00341B61" w:rsidP="00416027">
      <w:pPr>
        <w:ind w:left="567" w:hanging="567"/>
        <w:rPr>
          <w:sz w:val="16"/>
          <w:szCs w:val="16"/>
        </w:rPr>
      </w:pPr>
      <w:r w:rsidRPr="00A9034F">
        <w:rPr>
          <w:sz w:val="16"/>
          <w:szCs w:val="16"/>
        </w:rPr>
        <w:t>**</w:t>
      </w:r>
      <w:r w:rsidR="00416027" w:rsidRPr="00A9034F">
        <w:rPr>
          <w:sz w:val="16"/>
          <w:szCs w:val="16"/>
        </w:rPr>
        <w:tab/>
      </w:r>
      <w:r w:rsidR="0034664B">
        <w:rPr>
          <w:sz w:val="16"/>
          <w:szCs w:val="16"/>
        </w:rPr>
        <w:t>Ne blogesnio poveikio tyrimas</w:t>
      </w:r>
      <w:r w:rsidRPr="00A9034F">
        <w:rPr>
          <w:sz w:val="16"/>
          <w:szCs w:val="16"/>
        </w:rPr>
        <w:t>, skirtas parodyti, kad viršutinė 95 % PI rizikos santykio riba yra mažesnė kaip 1,3</w:t>
      </w:r>
    </w:p>
    <w:p w14:paraId="4C508135" w14:textId="77777777" w:rsidR="00A01BAC" w:rsidRPr="00D867CD" w:rsidRDefault="00A01BAC" w:rsidP="00D867CD">
      <w:pPr>
        <w:pStyle w:val="Pagrindinistekstas"/>
      </w:pPr>
    </w:p>
    <w:p w14:paraId="4C508136" w14:textId="17612B35" w:rsidR="00A01BAC" w:rsidRPr="00D867CD" w:rsidRDefault="00341B61" w:rsidP="00D867CD">
      <w:pPr>
        <w:pStyle w:val="Pagrindinistekstas"/>
      </w:pPr>
      <w:r w:rsidRPr="00D867CD">
        <w:t xml:space="preserve">Visą gydymo laikotarpį (gydymo </w:t>
      </w:r>
      <w:r w:rsidR="00372D02">
        <w:t xml:space="preserve">trukmės </w:t>
      </w:r>
      <w:r w:rsidRPr="00D867CD">
        <w:t>mediana siekė 5,9</w:t>
      </w:r>
      <w:r>
        <w:t> metų</w:t>
      </w:r>
      <w:r w:rsidRPr="00D867CD">
        <w:t xml:space="preserve">) pacientų, patyrusių vidutinio sunkumo arba sunkią hipoglikemiją, rodiklis </w:t>
      </w:r>
      <w:proofErr w:type="spellStart"/>
      <w:r w:rsidRPr="00D867CD">
        <w:t>linagliptino</w:t>
      </w:r>
      <w:proofErr w:type="spellEnd"/>
      <w:r w:rsidRPr="00D867CD">
        <w:t xml:space="preserve"> grupėje buvo 6,5</w:t>
      </w:r>
      <w:r>
        <w:t> %</w:t>
      </w:r>
      <w:r w:rsidRPr="00D867CD">
        <w:t>, palyginti su 30,9</w:t>
      </w:r>
      <w:r>
        <w:t> %</w:t>
      </w:r>
      <w:r w:rsidRPr="00D867CD">
        <w:t xml:space="preserve"> </w:t>
      </w:r>
      <w:proofErr w:type="spellStart"/>
      <w:r w:rsidRPr="00D867CD">
        <w:t>glimepirido</w:t>
      </w:r>
      <w:proofErr w:type="spellEnd"/>
      <w:r w:rsidRPr="00D867CD">
        <w:t xml:space="preserve"> grupėje; sunki hipoglikemija </w:t>
      </w:r>
      <w:r w:rsidR="00A436C9">
        <w:t>pasireiškė</w:t>
      </w:r>
      <w:r w:rsidRPr="00D867CD">
        <w:t xml:space="preserve"> 0,3</w:t>
      </w:r>
      <w:r>
        <w:t> %</w:t>
      </w:r>
      <w:r w:rsidRPr="00D867CD">
        <w:t xml:space="preserve"> pacientų, vartojusių </w:t>
      </w:r>
      <w:proofErr w:type="spellStart"/>
      <w:r w:rsidRPr="00D867CD">
        <w:t>linagliptin</w:t>
      </w:r>
      <w:r w:rsidR="00A436C9">
        <w:t>o</w:t>
      </w:r>
      <w:proofErr w:type="spellEnd"/>
      <w:r w:rsidRPr="00D867CD">
        <w:t>, palyginti su 2,2</w:t>
      </w:r>
      <w:r>
        <w:t> %</w:t>
      </w:r>
      <w:r w:rsidRPr="00D867CD">
        <w:t xml:space="preserve"> pacientų, vartojusių </w:t>
      </w:r>
      <w:proofErr w:type="spellStart"/>
      <w:r w:rsidRPr="00D867CD">
        <w:t>glimepirid</w:t>
      </w:r>
      <w:r w:rsidR="00A436C9">
        <w:t>o</w:t>
      </w:r>
      <w:proofErr w:type="spellEnd"/>
      <w:r w:rsidRPr="00D867CD">
        <w:t>.</w:t>
      </w:r>
    </w:p>
    <w:p w14:paraId="4C508137" w14:textId="77777777" w:rsidR="00A01BAC" w:rsidRPr="00D867CD" w:rsidRDefault="00A01BAC" w:rsidP="00D867CD">
      <w:pPr>
        <w:pStyle w:val="Pagrindinistekstas"/>
      </w:pPr>
    </w:p>
    <w:p w14:paraId="4C508138" w14:textId="77777777" w:rsidR="00A01BAC" w:rsidRPr="00D867CD" w:rsidRDefault="00341B61" w:rsidP="00D867CD">
      <w:pPr>
        <w:rPr>
          <w:i/>
        </w:rPr>
      </w:pPr>
      <w:r w:rsidRPr="00D867CD">
        <w:rPr>
          <w:i/>
        </w:rPr>
        <w:t>Vaikų populiacija</w:t>
      </w:r>
    </w:p>
    <w:p w14:paraId="4C50813D" w14:textId="3FAB714D" w:rsidR="00A01BAC" w:rsidRPr="00D867CD" w:rsidRDefault="00341B61" w:rsidP="00D867CD">
      <w:pPr>
        <w:pStyle w:val="Pagrindinistekstas"/>
      </w:pPr>
      <w:r w:rsidRPr="00D867CD">
        <w:t>Atliekant 26</w:t>
      </w:r>
      <w:r w:rsidR="00410571">
        <w:t> </w:t>
      </w:r>
      <w:r w:rsidRPr="00D867CD">
        <w:t xml:space="preserve">savaičių trukmės dvigubai </w:t>
      </w:r>
      <w:r w:rsidR="00410571">
        <w:t>koduotą</w:t>
      </w:r>
      <w:r w:rsidRPr="00D867CD">
        <w:t>, atsitiktinių imčių, placebu kontroliuojamą, lygiagrečių grupių tyrimą (DINAMO) su iki 52</w:t>
      </w:r>
      <w:r w:rsidR="00410571">
        <w:t> </w:t>
      </w:r>
      <w:r w:rsidRPr="00D867CD">
        <w:t xml:space="preserve">savaičių trukmės dvigubai </w:t>
      </w:r>
      <w:r w:rsidR="006F4C56">
        <w:t>koduotu</w:t>
      </w:r>
      <w:r w:rsidRPr="00D867CD">
        <w:t xml:space="preserve"> gydymo veikliąja medžiaga saugumo tęstiniu periodu, tirti 10</w:t>
      </w:r>
      <w:r>
        <w:t> mg</w:t>
      </w:r>
      <w:r w:rsidRPr="00D867CD">
        <w:t xml:space="preserve"> </w:t>
      </w:r>
      <w:proofErr w:type="spellStart"/>
      <w:r w:rsidRPr="00D867CD">
        <w:t>empagliflozino</w:t>
      </w:r>
      <w:proofErr w:type="spellEnd"/>
      <w:r w:rsidRPr="00D867CD">
        <w:t xml:space="preserve"> su galimybe padidinti iki 25</w:t>
      </w:r>
      <w:r>
        <w:t> mg</w:t>
      </w:r>
      <w:r w:rsidRPr="00D867CD">
        <w:t>, arba 5</w:t>
      </w:r>
      <w:r>
        <w:t> mg</w:t>
      </w:r>
      <w:r w:rsidRPr="00D867CD">
        <w:t xml:space="preserve"> </w:t>
      </w:r>
      <w:proofErr w:type="spellStart"/>
      <w:r w:rsidRPr="00D867CD">
        <w:t>linagliptino</w:t>
      </w:r>
      <w:proofErr w:type="spellEnd"/>
      <w:r w:rsidRPr="00D867CD">
        <w:t>, vartojamų vieną kartą per parą, klinikinis veiksmingumas ir saugumas 10</w:t>
      </w:r>
      <w:r w:rsidR="006F4C56">
        <w:noBreakHyphen/>
      </w:r>
      <w:r w:rsidRPr="00D867CD">
        <w:t>17</w:t>
      </w:r>
      <w:r>
        <w:t> metų</w:t>
      </w:r>
      <w:r w:rsidRPr="00D867CD">
        <w:t xml:space="preserve"> vaikams ir paaugliams, sergantiems </w:t>
      </w:r>
      <w:r>
        <w:t>2 tipo</w:t>
      </w:r>
      <w:r w:rsidRPr="00D867CD">
        <w:t xml:space="preserve"> cukriniu diabetu.</w:t>
      </w:r>
      <w:r w:rsidR="006F4C56">
        <w:t xml:space="preserve"> </w:t>
      </w:r>
      <w:r w:rsidRPr="00D867CD">
        <w:t>Pradinio vertinimo metu vidutinis HbA</w:t>
      </w:r>
      <w:r w:rsidRPr="00341B61">
        <w:rPr>
          <w:vertAlign w:val="subscript"/>
        </w:rPr>
        <w:t>1c</w:t>
      </w:r>
      <w:r w:rsidRPr="00D867CD">
        <w:t xml:space="preserve"> buvo 8,03</w:t>
      </w:r>
      <w:r>
        <w:t> %</w:t>
      </w:r>
      <w:r w:rsidRPr="00D867CD">
        <w:t>. Gydymas 5</w:t>
      </w:r>
      <w:r>
        <w:t> mg</w:t>
      </w:r>
      <w:r w:rsidRPr="00D867CD">
        <w:t xml:space="preserve"> </w:t>
      </w:r>
      <w:proofErr w:type="spellStart"/>
      <w:r w:rsidRPr="00D867CD">
        <w:t>linagliptino</w:t>
      </w:r>
      <w:proofErr w:type="spellEnd"/>
      <w:r w:rsidRPr="00D867CD">
        <w:t xml:space="preserve"> reikšmingai nepagerino HbA</w:t>
      </w:r>
      <w:r w:rsidRPr="00341B61">
        <w:rPr>
          <w:vertAlign w:val="subscript"/>
        </w:rPr>
        <w:t>1c</w:t>
      </w:r>
      <w:r w:rsidRPr="00D867CD">
        <w:t xml:space="preserve">. Gydymo </w:t>
      </w:r>
      <w:proofErr w:type="spellStart"/>
      <w:r w:rsidRPr="00D867CD">
        <w:t>linagliptinu</w:t>
      </w:r>
      <w:proofErr w:type="spellEnd"/>
      <w:r w:rsidRPr="00D867CD">
        <w:t xml:space="preserve"> ir placebu skirtumas pagal koreguotąjį vidutinį HbA</w:t>
      </w:r>
      <w:r w:rsidRPr="00341B61">
        <w:rPr>
          <w:vertAlign w:val="subscript"/>
        </w:rPr>
        <w:t>1c</w:t>
      </w:r>
      <w:r w:rsidRPr="00D867CD">
        <w:t xml:space="preserve"> po</w:t>
      </w:r>
      <w:r w:rsidR="00416027">
        <w:t xml:space="preserve"> </w:t>
      </w:r>
      <w:r w:rsidRPr="00D867CD">
        <w:t>26</w:t>
      </w:r>
      <w:r w:rsidR="00206DEF">
        <w:t> </w:t>
      </w:r>
      <w:r w:rsidRPr="00D867CD">
        <w:t xml:space="preserve">savaičių buvo </w:t>
      </w:r>
      <w:r w:rsidR="00206DEF">
        <w:noBreakHyphen/>
      </w:r>
      <w:r w:rsidRPr="00D867CD">
        <w:t>0,34</w:t>
      </w:r>
      <w:r>
        <w:t> %</w:t>
      </w:r>
      <w:r w:rsidRPr="00D867CD">
        <w:t xml:space="preserve"> (95</w:t>
      </w:r>
      <w:r>
        <w:t> %</w:t>
      </w:r>
      <w:r w:rsidRPr="00D867CD">
        <w:t xml:space="preserve"> PI: </w:t>
      </w:r>
      <w:r w:rsidR="00206DEF">
        <w:noBreakHyphen/>
      </w:r>
      <w:r w:rsidRPr="00D867CD">
        <w:t>0,99; 0,3</w:t>
      </w:r>
      <w:r w:rsidR="00206DEF">
        <w:t>0</w:t>
      </w:r>
      <w:r w:rsidRPr="00D867CD">
        <w:t>; p</w:t>
      </w:r>
      <w:r w:rsidR="00206DEF">
        <w:t> </w:t>
      </w:r>
      <w:r w:rsidRPr="00D867CD">
        <w:t>=</w:t>
      </w:r>
      <w:r w:rsidR="00206DEF">
        <w:t> </w:t>
      </w:r>
      <w:r w:rsidRPr="00D867CD">
        <w:t>0,2935). Koreguotasis vidutinis HbA</w:t>
      </w:r>
      <w:r w:rsidRPr="00341B61">
        <w:rPr>
          <w:vertAlign w:val="subscript"/>
        </w:rPr>
        <w:t>1c</w:t>
      </w:r>
      <w:r w:rsidRPr="00D867CD">
        <w:t xml:space="preserve"> pokytis nuo pradinio vertinimo buvo 0,33</w:t>
      </w:r>
      <w:r>
        <w:t> %</w:t>
      </w:r>
      <w:r w:rsidRPr="00D867CD">
        <w:t xml:space="preserve"> pacientams, vartojusiems </w:t>
      </w:r>
      <w:proofErr w:type="spellStart"/>
      <w:r w:rsidRPr="00D867CD">
        <w:t>linagliptin</w:t>
      </w:r>
      <w:r w:rsidR="00547FA0">
        <w:t>o</w:t>
      </w:r>
      <w:proofErr w:type="spellEnd"/>
      <w:r w:rsidRPr="00D867CD">
        <w:t>, ir 0,68</w:t>
      </w:r>
      <w:r>
        <w:t> %</w:t>
      </w:r>
      <w:r w:rsidRPr="00D867CD">
        <w:t xml:space="preserve"> pacientams,</w:t>
      </w:r>
      <w:r w:rsidR="00416027">
        <w:t xml:space="preserve"> </w:t>
      </w:r>
      <w:r w:rsidRPr="00D867CD">
        <w:t>vartojusiems placeb</w:t>
      </w:r>
      <w:r w:rsidR="00547FA0">
        <w:t>o</w:t>
      </w:r>
      <w:r w:rsidRPr="00D867CD">
        <w:t xml:space="preserve"> (</w:t>
      </w:r>
      <w:r>
        <w:t>žr. </w:t>
      </w:r>
      <w:r w:rsidRPr="00D867CD">
        <w:t>4.2</w:t>
      </w:r>
      <w:r>
        <w:t> skyrių</w:t>
      </w:r>
      <w:r w:rsidRPr="00D867CD">
        <w:t>).</w:t>
      </w:r>
    </w:p>
    <w:p w14:paraId="4C50813E" w14:textId="77777777" w:rsidR="00A01BAC" w:rsidRPr="00D867CD" w:rsidRDefault="00A01BAC" w:rsidP="00D867CD">
      <w:pPr>
        <w:pStyle w:val="Pagrindinistekstas"/>
      </w:pPr>
    </w:p>
    <w:p w14:paraId="4C50813F" w14:textId="77777777" w:rsidR="00A01BAC" w:rsidRPr="00D867CD" w:rsidRDefault="00341B61" w:rsidP="00416027">
      <w:pPr>
        <w:pStyle w:val="Antrat2"/>
        <w:numPr>
          <w:ilvl w:val="1"/>
          <w:numId w:val="13"/>
        </w:numPr>
        <w:tabs>
          <w:tab w:val="left" w:pos="567"/>
        </w:tabs>
        <w:ind w:left="567"/>
      </w:pPr>
      <w:proofErr w:type="spellStart"/>
      <w:r w:rsidRPr="00D867CD">
        <w:t>Farmakokinetinės</w:t>
      </w:r>
      <w:proofErr w:type="spellEnd"/>
      <w:r w:rsidRPr="00D867CD">
        <w:t xml:space="preserve"> savybės</w:t>
      </w:r>
    </w:p>
    <w:p w14:paraId="4C508140" w14:textId="77777777" w:rsidR="00A01BAC" w:rsidRPr="00D867CD" w:rsidRDefault="00A01BAC" w:rsidP="00D867CD">
      <w:pPr>
        <w:pStyle w:val="Pagrindinistekstas"/>
        <w:rPr>
          <w:b/>
        </w:rPr>
      </w:pPr>
    </w:p>
    <w:p w14:paraId="4C508141" w14:textId="6BB16DAE" w:rsidR="00A01BAC" w:rsidRDefault="00341B61" w:rsidP="00D867CD">
      <w:pPr>
        <w:pStyle w:val="Pagrindinistekstas"/>
      </w:pPr>
      <w:proofErr w:type="spellStart"/>
      <w:r w:rsidRPr="006B7FF9">
        <w:t>Linagliptino</w:t>
      </w:r>
      <w:proofErr w:type="spellEnd"/>
      <w:r w:rsidRPr="006B7FF9">
        <w:t xml:space="preserve"> farmakokinetika plačiai buvo tirta sveikų savanorių ir 2 tipo cukriniu diabetu sergančių pacientų organizme. 5 mg dozę išgėrusių sveikų savanorių ar pacientų organizme </w:t>
      </w:r>
      <w:proofErr w:type="spellStart"/>
      <w:r w:rsidRPr="006B7FF9">
        <w:t>linagliptino</w:t>
      </w:r>
      <w:proofErr w:type="spellEnd"/>
      <w:r w:rsidRPr="006B7FF9">
        <w:t xml:space="preserve"> absorbcija buvo greita, didžiausia koncentracija</w:t>
      </w:r>
      <w:r w:rsidRPr="00D867CD">
        <w:t xml:space="preserve"> kraujo plazmoje (</w:t>
      </w:r>
      <w:proofErr w:type="spellStart"/>
      <w:r w:rsidRPr="00D867CD">
        <w:t>t</w:t>
      </w:r>
      <w:r w:rsidRPr="00341B61">
        <w:rPr>
          <w:vertAlign w:val="subscript"/>
        </w:rPr>
        <w:t>max</w:t>
      </w:r>
      <w:proofErr w:type="spellEnd"/>
      <w:r w:rsidRPr="00D867CD">
        <w:t xml:space="preserve"> mediana) atsirado po 1,5</w:t>
      </w:r>
      <w:r w:rsidR="00303D9C">
        <w:t> </w:t>
      </w:r>
      <w:r w:rsidRPr="00D867CD">
        <w:t>val.</w:t>
      </w:r>
    </w:p>
    <w:p w14:paraId="7E167BF4" w14:textId="77777777" w:rsidR="00416027" w:rsidRPr="00D867CD" w:rsidRDefault="00416027" w:rsidP="00D867CD">
      <w:pPr>
        <w:pStyle w:val="Pagrindinistekstas"/>
      </w:pPr>
    </w:p>
    <w:p w14:paraId="4C508142" w14:textId="1405E188" w:rsidR="00A01BAC" w:rsidRPr="00D867CD" w:rsidRDefault="00341B61" w:rsidP="00D867CD">
      <w:pPr>
        <w:pStyle w:val="Pagrindinistekstas"/>
      </w:pPr>
      <w:proofErr w:type="spellStart"/>
      <w:r w:rsidRPr="00D867CD">
        <w:t>Linagliptino</w:t>
      </w:r>
      <w:proofErr w:type="spellEnd"/>
      <w:r w:rsidRPr="00D867CD">
        <w:t xml:space="preserve"> koncentracijos mažėjimas kraujo plazmoje yra trifazis, galutinės fazės metu pusinės eliminacijos laikas yra ilgas (galutinė </w:t>
      </w:r>
      <w:proofErr w:type="spellStart"/>
      <w:r w:rsidRPr="00D867CD">
        <w:t>linagliptino</w:t>
      </w:r>
      <w:proofErr w:type="spellEnd"/>
      <w:r w:rsidRPr="00D867CD">
        <w:t xml:space="preserve"> pusinė eliminacija trunka ilgiau negu 100</w:t>
      </w:r>
      <w:r w:rsidR="007E3CD3">
        <w:t> </w:t>
      </w:r>
      <w:r w:rsidRPr="00D867CD">
        <w:t xml:space="preserve">val.) ir daugiausiai priklauso nuo </w:t>
      </w:r>
      <w:proofErr w:type="spellStart"/>
      <w:r w:rsidRPr="00D867CD">
        <w:t>linagliptino</w:t>
      </w:r>
      <w:proofErr w:type="spellEnd"/>
      <w:r w:rsidRPr="00D867CD">
        <w:t xml:space="preserve"> įsotinamojo, tvirto prisijungimo prie DPP</w:t>
      </w:r>
      <w:r w:rsidR="003D4711">
        <w:noBreakHyphen/>
      </w:r>
      <w:r w:rsidRPr="00D867CD">
        <w:t xml:space="preserve">4, o vaistinio </w:t>
      </w:r>
      <w:r w:rsidRPr="00D867CD">
        <w:lastRenderedPageBreak/>
        <w:t xml:space="preserve">preparato kaupimuisi organizme įtakos nedaro. </w:t>
      </w:r>
      <w:proofErr w:type="spellStart"/>
      <w:r w:rsidRPr="00D867CD">
        <w:t>Linagliptino</w:t>
      </w:r>
      <w:proofErr w:type="spellEnd"/>
      <w:r w:rsidRPr="00D867CD">
        <w:t xml:space="preserve"> kaupimosi efektyvus laikas, nustatytas daugkartinių 5</w:t>
      </w:r>
      <w:r>
        <w:t> mg</w:t>
      </w:r>
      <w:r w:rsidRPr="00D867CD">
        <w:t xml:space="preserve"> dozių vartojimo per burną metu, yra maždaug 12</w:t>
      </w:r>
      <w:r w:rsidR="003D4711">
        <w:t> </w:t>
      </w:r>
      <w:r w:rsidRPr="00D867CD">
        <w:t>val. Vartojant po vieną 5</w:t>
      </w:r>
      <w:r>
        <w:t> mg</w:t>
      </w:r>
      <w:r w:rsidRPr="00D867CD">
        <w:t xml:space="preserve"> </w:t>
      </w:r>
      <w:proofErr w:type="spellStart"/>
      <w:r w:rsidRPr="00D867CD">
        <w:t>linagliptino</w:t>
      </w:r>
      <w:proofErr w:type="spellEnd"/>
      <w:r w:rsidRPr="00D867CD">
        <w:t xml:space="preserve"> dozę per parą, </w:t>
      </w:r>
      <w:proofErr w:type="spellStart"/>
      <w:r w:rsidRPr="00D867CD">
        <w:t>pusiausvyrinė</w:t>
      </w:r>
      <w:proofErr w:type="spellEnd"/>
      <w:r w:rsidRPr="00D867CD">
        <w:t xml:space="preserve"> koncentracija kraujo plazmoje nusistovi po trečiosios dozės pavartojimo. 5</w:t>
      </w:r>
      <w:r>
        <w:t> mg</w:t>
      </w:r>
      <w:r w:rsidRPr="00D867CD">
        <w:t xml:space="preserve"> dozę vartojant tuo metu, kai koncentracija </w:t>
      </w:r>
      <w:proofErr w:type="spellStart"/>
      <w:r w:rsidRPr="00D867CD">
        <w:t>pusiausvyrinė</w:t>
      </w:r>
      <w:proofErr w:type="spellEnd"/>
      <w:r w:rsidRPr="00D867CD">
        <w:t xml:space="preserve">, </w:t>
      </w:r>
      <w:proofErr w:type="spellStart"/>
      <w:r w:rsidRPr="00D867CD">
        <w:t>linagliptino</w:t>
      </w:r>
      <w:proofErr w:type="spellEnd"/>
      <w:r w:rsidRPr="00D867CD">
        <w:t xml:space="preserve"> AUC būna maždaug 33</w:t>
      </w:r>
      <w:r>
        <w:t> %</w:t>
      </w:r>
      <w:r w:rsidRPr="00D867CD">
        <w:t xml:space="preserve"> didesnis negu po pirmosios dozės pavartojimo. Atskirų ir to paties paciento organizme </w:t>
      </w:r>
      <w:proofErr w:type="spellStart"/>
      <w:r w:rsidRPr="00D867CD">
        <w:t>linagliptino</w:t>
      </w:r>
      <w:proofErr w:type="spellEnd"/>
      <w:r w:rsidRPr="00D867CD">
        <w:t xml:space="preserve"> AUC variacijos koeficientas buvo mažas (atitinkamai 12,6</w:t>
      </w:r>
      <w:r>
        <w:t> %</w:t>
      </w:r>
      <w:r w:rsidRPr="00D867CD">
        <w:t xml:space="preserve"> ir 28,5</w:t>
      </w:r>
      <w:r>
        <w:t> %</w:t>
      </w:r>
      <w:r w:rsidRPr="00D867CD">
        <w:t xml:space="preserve">). Dėl nuo koncentracijos priklausomo </w:t>
      </w:r>
      <w:proofErr w:type="spellStart"/>
      <w:r w:rsidRPr="00D867CD">
        <w:t>linagliptino</w:t>
      </w:r>
      <w:proofErr w:type="spellEnd"/>
      <w:r w:rsidRPr="00D867CD">
        <w:t xml:space="preserve"> prisijungimo prie DPP-4 </w:t>
      </w:r>
      <w:proofErr w:type="spellStart"/>
      <w:r w:rsidRPr="00D867CD">
        <w:t>linagliptino</w:t>
      </w:r>
      <w:proofErr w:type="spellEnd"/>
      <w:r w:rsidRPr="00D867CD">
        <w:t xml:space="preserve"> farmakokinetika, remiantis bendra ekspozicija, nėra tiesinė: bendro </w:t>
      </w:r>
      <w:proofErr w:type="spellStart"/>
      <w:r w:rsidRPr="00D867CD">
        <w:t>linagliptino</w:t>
      </w:r>
      <w:proofErr w:type="spellEnd"/>
      <w:r w:rsidRPr="00D867CD">
        <w:t xml:space="preserve"> AUC kraujo plazmoje didėja mažiau negu dozei proporcingai, neprisijungusio </w:t>
      </w:r>
      <w:proofErr w:type="spellStart"/>
      <w:r w:rsidRPr="00D867CD">
        <w:t>linagliptino</w:t>
      </w:r>
      <w:proofErr w:type="spellEnd"/>
      <w:r w:rsidRPr="00D867CD">
        <w:t xml:space="preserve"> AUC </w:t>
      </w:r>
      <w:r w:rsidR="00416027">
        <w:t>-</w:t>
      </w:r>
      <w:r w:rsidRPr="00D867CD">
        <w:t xml:space="preserve"> apytikriai proporcingai dozės dydžiui. Sveikų asmenų ir </w:t>
      </w:r>
      <w:r>
        <w:t>2 tipo</w:t>
      </w:r>
      <w:r w:rsidRPr="00D867CD">
        <w:t xml:space="preserve"> cukriniu diabetu sergančių pacientų organizme </w:t>
      </w:r>
      <w:proofErr w:type="spellStart"/>
      <w:r w:rsidRPr="00D867CD">
        <w:t>linagliptino</w:t>
      </w:r>
      <w:proofErr w:type="spellEnd"/>
      <w:r w:rsidRPr="00D867CD">
        <w:t xml:space="preserve"> farmakokinetika paprastai buvo panaši.</w:t>
      </w:r>
    </w:p>
    <w:p w14:paraId="4C508143" w14:textId="77777777" w:rsidR="00A01BAC" w:rsidRPr="00D867CD" w:rsidRDefault="00A01BAC" w:rsidP="00D867CD">
      <w:pPr>
        <w:pStyle w:val="Pagrindinistekstas"/>
      </w:pPr>
    </w:p>
    <w:p w14:paraId="4C508144" w14:textId="77777777" w:rsidR="00A01BAC" w:rsidRPr="00D867CD" w:rsidRDefault="00341B61" w:rsidP="00D867CD">
      <w:pPr>
        <w:pStyle w:val="Pagrindinistekstas"/>
      </w:pPr>
      <w:r w:rsidRPr="00D867CD">
        <w:rPr>
          <w:u w:val="single"/>
        </w:rPr>
        <w:t>Absorbcija</w:t>
      </w:r>
    </w:p>
    <w:p w14:paraId="4C508145" w14:textId="78F60E71" w:rsidR="00A01BAC" w:rsidRDefault="00341B61" w:rsidP="00D867CD">
      <w:pPr>
        <w:pStyle w:val="Pagrindinistekstas"/>
      </w:pPr>
      <w:r w:rsidRPr="00D867CD">
        <w:t xml:space="preserve">Absoliutus </w:t>
      </w:r>
      <w:proofErr w:type="spellStart"/>
      <w:r w:rsidRPr="00D867CD">
        <w:t>linagliptino</w:t>
      </w:r>
      <w:proofErr w:type="spellEnd"/>
      <w:r w:rsidRPr="00D867CD">
        <w:t xml:space="preserve"> biologinis prieinamumas yra maždaug 30</w:t>
      </w:r>
      <w:r>
        <w:t> %</w:t>
      </w:r>
      <w:r w:rsidRPr="00D867CD">
        <w:t xml:space="preserve">. Labai riebus maistas kartu pavartoto </w:t>
      </w:r>
      <w:proofErr w:type="spellStart"/>
      <w:r w:rsidRPr="00D867CD">
        <w:t>linagliptino</w:t>
      </w:r>
      <w:proofErr w:type="spellEnd"/>
      <w:r w:rsidRPr="00D867CD">
        <w:t xml:space="preserve"> laiką iki tol, kol koncentracija kraujo plazmoje tampa didžiausia, pailgino 2</w:t>
      </w:r>
      <w:r w:rsidR="00542BA5">
        <w:t> </w:t>
      </w:r>
      <w:r w:rsidRPr="00D867CD">
        <w:t xml:space="preserve">val. ir </w:t>
      </w:r>
      <w:proofErr w:type="spellStart"/>
      <w:r w:rsidRPr="00D867CD">
        <w:t>C</w:t>
      </w:r>
      <w:r w:rsidRPr="00341B61">
        <w:rPr>
          <w:vertAlign w:val="subscript"/>
        </w:rPr>
        <w:t>max</w:t>
      </w:r>
      <w:proofErr w:type="spellEnd"/>
      <w:r w:rsidRPr="00D867CD">
        <w:t xml:space="preserve"> sumažino 15</w:t>
      </w:r>
      <w:r>
        <w:t> %</w:t>
      </w:r>
      <w:r w:rsidRPr="00D867CD">
        <w:t>, tačiau AUC</w:t>
      </w:r>
      <w:r w:rsidRPr="00D263AA">
        <w:rPr>
          <w:vertAlign w:val="subscript"/>
        </w:rPr>
        <w:t>0-72 val</w:t>
      </w:r>
      <w:r w:rsidRPr="00341B61">
        <w:rPr>
          <w:vertAlign w:val="subscript"/>
        </w:rPr>
        <w:t>.</w:t>
      </w:r>
      <w:r w:rsidRPr="00D867CD">
        <w:t xml:space="preserve"> poveikio nedarė. Kliniškai reikšmingas poveikis </w:t>
      </w:r>
      <w:proofErr w:type="spellStart"/>
      <w:r w:rsidRPr="00D867CD">
        <w:t>C</w:t>
      </w:r>
      <w:r w:rsidRPr="00341B61">
        <w:rPr>
          <w:vertAlign w:val="subscript"/>
        </w:rPr>
        <w:t>max</w:t>
      </w:r>
      <w:proofErr w:type="spellEnd"/>
      <w:r w:rsidRPr="00D867CD">
        <w:t xml:space="preserve"> ir </w:t>
      </w:r>
      <w:proofErr w:type="spellStart"/>
      <w:r w:rsidRPr="00D867CD">
        <w:t>t</w:t>
      </w:r>
      <w:r w:rsidRPr="00341B61">
        <w:rPr>
          <w:vertAlign w:val="subscript"/>
        </w:rPr>
        <w:t>max</w:t>
      </w:r>
      <w:proofErr w:type="spellEnd"/>
      <w:r w:rsidRPr="00D867CD">
        <w:t xml:space="preserve"> nėra tikėtinas, todėl </w:t>
      </w:r>
      <w:proofErr w:type="spellStart"/>
      <w:r w:rsidRPr="00D867CD">
        <w:t>linagliptino</w:t>
      </w:r>
      <w:proofErr w:type="spellEnd"/>
      <w:r w:rsidRPr="00D867CD">
        <w:t xml:space="preserve"> galima gerti su maistu arba nevalgius.</w:t>
      </w:r>
    </w:p>
    <w:p w14:paraId="232AE846" w14:textId="77777777" w:rsidR="00416027" w:rsidRPr="00D867CD" w:rsidRDefault="00416027" w:rsidP="00D867CD">
      <w:pPr>
        <w:pStyle w:val="Pagrindinistekstas"/>
      </w:pPr>
    </w:p>
    <w:p w14:paraId="4C508146" w14:textId="77777777" w:rsidR="00A01BAC" w:rsidRPr="00D867CD" w:rsidRDefault="00341B61" w:rsidP="00D867CD">
      <w:pPr>
        <w:pStyle w:val="Pagrindinistekstas"/>
      </w:pPr>
      <w:r w:rsidRPr="00D867CD">
        <w:rPr>
          <w:u w:val="single"/>
        </w:rPr>
        <w:t>Pasiskirstymas</w:t>
      </w:r>
    </w:p>
    <w:p w14:paraId="4C508147" w14:textId="59A93A2C" w:rsidR="00A01BAC" w:rsidRPr="00D867CD" w:rsidRDefault="00341B61" w:rsidP="00D867CD">
      <w:pPr>
        <w:pStyle w:val="Pagrindinistekstas"/>
      </w:pPr>
      <w:r w:rsidRPr="00D867CD">
        <w:t>Sveikų asmenų organizme į veną suleistos 5</w:t>
      </w:r>
      <w:r>
        <w:t> mg</w:t>
      </w:r>
      <w:r w:rsidRPr="00D867CD">
        <w:t xml:space="preserve"> </w:t>
      </w:r>
      <w:proofErr w:type="spellStart"/>
      <w:r w:rsidRPr="00D867CD">
        <w:t>linagliptino</w:t>
      </w:r>
      <w:proofErr w:type="spellEnd"/>
      <w:r w:rsidRPr="00D867CD">
        <w:t xml:space="preserve"> dozės vidutinis tariamasis pasiskirstymo tūris tuo metu, kai apykaita </w:t>
      </w:r>
      <w:proofErr w:type="spellStart"/>
      <w:r w:rsidRPr="00D867CD">
        <w:t>pusiausvyrinė</w:t>
      </w:r>
      <w:proofErr w:type="spellEnd"/>
      <w:r w:rsidRPr="00D867CD">
        <w:t>, dėl prisijungimo prie audinių yra maždaug 1</w:t>
      </w:r>
      <w:r w:rsidR="00D95A6F">
        <w:t> </w:t>
      </w:r>
      <w:r w:rsidRPr="00D867CD">
        <w:t>110</w:t>
      </w:r>
      <w:r w:rsidR="00D95A6F">
        <w:t> </w:t>
      </w:r>
      <w:r w:rsidRPr="00D867CD">
        <w:t>litrų</w:t>
      </w:r>
      <w:r w:rsidR="001D6CAF">
        <w:t>, t</w:t>
      </w:r>
      <w:r w:rsidRPr="00D867CD">
        <w:t xml:space="preserve">ai rodo, kad </w:t>
      </w:r>
      <w:proofErr w:type="spellStart"/>
      <w:r w:rsidRPr="00D867CD">
        <w:t>linagliptinas</w:t>
      </w:r>
      <w:proofErr w:type="spellEnd"/>
      <w:r w:rsidRPr="00D867CD">
        <w:t xml:space="preserve"> plačiai pasiskirsto audiniuose. </w:t>
      </w:r>
      <w:proofErr w:type="spellStart"/>
      <w:r w:rsidRPr="00D867CD">
        <w:t>Linagliptino</w:t>
      </w:r>
      <w:proofErr w:type="spellEnd"/>
      <w:r w:rsidRPr="00D867CD">
        <w:t xml:space="preserve"> prisijungimas prie kraujo plazmos baltymų priklauso nuo jo koncentracijos kraujyje: jei koncentracija yra 1</w:t>
      </w:r>
      <w:r>
        <w:t> </w:t>
      </w:r>
      <w:proofErr w:type="spellStart"/>
      <w:r>
        <w:t>nmol</w:t>
      </w:r>
      <w:proofErr w:type="spellEnd"/>
      <w:r w:rsidRPr="00D867CD">
        <w:t>/l, prisijungia maždaug 99</w:t>
      </w:r>
      <w:r>
        <w:t> %</w:t>
      </w:r>
      <w:r w:rsidRPr="00D867CD">
        <w:t xml:space="preserve">, jei </w:t>
      </w:r>
      <w:r>
        <w:t>≥ </w:t>
      </w:r>
      <w:r w:rsidRPr="00D867CD">
        <w:t>30</w:t>
      </w:r>
      <w:r>
        <w:t> </w:t>
      </w:r>
      <w:proofErr w:type="spellStart"/>
      <w:r>
        <w:t>nmol</w:t>
      </w:r>
      <w:proofErr w:type="spellEnd"/>
      <w:r w:rsidRPr="00D867CD">
        <w:t xml:space="preserve">/l </w:t>
      </w:r>
      <w:r w:rsidR="001D6CAF">
        <w:t>-</w:t>
      </w:r>
      <w:r w:rsidRPr="00D867CD">
        <w:t xml:space="preserve"> 75</w:t>
      </w:r>
      <w:r w:rsidR="001D6CAF">
        <w:noBreakHyphen/>
      </w:r>
      <w:r w:rsidRPr="00D867CD">
        <w:t>89</w:t>
      </w:r>
      <w:r>
        <w:t> %</w:t>
      </w:r>
      <w:r w:rsidRPr="00D867CD">
        <w:t>. Tai rodo, kad prisijungimas prie DDP</w:t>
      </w:r>
      <w:r w:rsidR="00C74B2E">
        <w:noBreakHyphen/>
      </w:r>
      <w:r w:rsidRPr="00D867CD">
        <w:t xml:space="preserve">4 įsotinamas didėjant </w:t>
      </w:r>
      <w:proofErr w:type="spellStart"/>
      <w:r w:rsidRPr="00D867CD">
        <w:t>linagliptino</w:t>
      </w:r>
      <w:proofErr w:type="spellEnd"/>
      <w:r w:rsidRPr="00D867CD">
        <w:t xml:space="preserve"> koncentracijai kraujyje. Kai koncentracija didelė ir prisijungimas prie DPP</w:t>
      </w:r>
      <w:r w:rsidR="00C74B2E">
        <w:noBreakHyphen/>
      </w:r>
      <w:r w:rsidRPr="00D867CD">
        <w:t>4 visiškai įsotintas, prie kitokių (ne DPP</w:t>
      </w:r>
      <w:r w:rsidR="00C74B2E">
        <w:noBreakHyphen/>
      </w:r>
      <w:r w:rsidRPr="00D867CD">
        <w:t xml:space="preserve">4) kraujo plazmos baltymų </w:t>
      </w:r>
      <w:proofErr w:type="spellStart"/>
      <w:r w:rsidRPr="00D867CD">
        <w:t>linagliptino</w:t>
      </w:r>
      <w:proofErr w:type="spellEnd"/>
      <w:r w:rsidRPr="00D867CD">
        <w:t xml:space="preserve"> prisijungė 70</w:t>
      </w:r>
      <w:r w:rsidR="00C74B2E">
        <w:noBreakHyphen/>
      </w:r>
      <w:r w:rsidRPr="00D867CD">
        <w:t>80</w:t>
      </w:r>
      <w:r>
        <w:t> %</w:t>
      </w:r>
      <w:r w:rsidRPr="00D867CD">
        <w:t>, o neprisijungusių kraujo plazmoje buvo 30</w:t>
      </w:r>
      <w:r w:rsidR="009172E0">
        <w:noBreakHyphen/>
      </w:r>
      <w:r w:rsidRPr="00D867CD">
        <w:t>20</w:t>
      </w:r>
      <w:r>
        <w:t> %</w:t>
      </w:r>
      <w:r w:rsidRPr="00D867CD">
        <w:t>.</w:t>
      </w:r>
    </w:p>
    <w:p w14:paraId="4C508148" w14:textId="77777777" w:rsidR="00A01BAC" w:rsidRPr="00D867CD" w:rsidRDefault="00A01BAC" w:rsidP="00D867CD">
      <w:pPr>
        <w:pStyle w:val="Pagrindinistekstas"/>
      </w:pPr>
    </w:p>
    <w:p w14:paraId="4C508149" w14:textId="77777777" w:rsidR="00A01BAC" w:rsidRPr="00D867CD" w:rsidRDefault="00341B61" w:rsidP="00D867CD">
      <w:pPr>
        <w:pStyle w:val="Pagrindinistekstas"/>
      </w:pPr>
      <w:proofErr w:type="spellStart"/>
      <w:r w:rsidRPr="00D867CD">
        <w:rPr>
          <w:u w:val="single"/>
        </w:rPr>
        <w:t>Biotransformacija</w:t>
      </w:r>
      <w:proofErr w:type="spellEnd"/>
    </w:p>
    <w:p w14:paraId="4C50814B" w14:textId="41A968EA" w:rsidR="00A01BAC" w:rsidRDefault="00341B61" w:rsidP="00D867CD">
      <w:pPr>
        <w:pStyle w:val="Pagrindinistekstas"/>
      </w:pPr>
      <w:r w:rsidRPr="00D867CD">
        <w:t>Išgėrus 10</w:t>
      </w:r>
      <w:r>
        <w:t> mg</w:t>
      </w:r>
      <w:r w:rsidRPr="00D867CD">
        <w:t xml:space="preserve"> [</w:t>
      </w:r>
      <w:r w:rsidRPr="00D867CD">
        <w:rPr>
          <w:vertAlign w:val="superscript"/>
        </w:rPr>
        <w:t>14</w:t>
      </w:r>
      <w:r w:rsidRPr="00D867CD">
        <w:t xml:space="preserve">C] </w:t>
      </w:r>
      <w:proofErr w:type="spellStart"/>
      <w:r w:rsidRPr="00D867CD">
        <w:t>linagliptino</w:t>
      </w:r>
      <w:proofErr w:type="spellEnd"/>
      <w:r w:rsidRPr="00D867CD">
        <w:t xml:space="preserve"> dozę, maždaug 5</w:t>
      </w:r>
      <w:r>
        <w:t> %</w:t>
      </w:r>
      <w:r w:rsidRPr="00D867CD">
        <w:t xml:space="preserve"> radioaktyvumo iš organizmo išsiskyrė su šlapimu. Metabolizmas </w:t>
      </w:r>
      <w:proofErr w:type="spellStart"/>
      <w:r w:rsidRPr="00D867CD">
        <w:t>linagliptino</w:t>
      </w:r>
      <w:proofErr w:type="spellEnd"/>
      <w:r w:rsidRPr="00D867CD">
        <w:t xml:space="preserve"> eliminacijai nėra toks svarbus. Vieno svarbiausio metabolito santykinė</w:t>
      </w:r>
      <w:r w:rsidR="009172E0">
        <w:t xml:space="preserve"> </w:t>
      </w:r>
      <w:r w:rsidRPr="00D867CD">
        <w:t>13,3</w:t>
      </w:r>
      <w:r>
        <w:t> %</w:t>
      </w:r>
      <w:r w:rsidRPr="00D867CD">
        <w:t xml:space="preserve"> ekspozicija buvo nustatyta tada, kai </w:t>
      </w:r>
      <w:proofErr w:type="spellStart"/>
      <w:r w:rsidRPr="00D867CD">
        <w:t>linagliptino</w:t>
      </w:r>
      <w:proofErr w:type="spellEnd"/>
      <w:r w:rsidRPr="00D867CD">
        <w:t xml:space="preserve"> apykaita buvo </w:t>
      </w:r>
      <w:proofErr w:type="spellStart"/>
      <w:r w:rsidRPr="00D867CD">
        <w:t>pusiausvyrinė</w:t>
      </w:r>
      <w:proofErr w:type="spellEnd"/>
      <w:r w:rsidRPr="00D867CD">
        <w:t xml:space="preserve">, tačiau farmakologiškai šis metabolitas yra neveiklus, todėl neprisideda prie </w:t>
      </w:r>
      <w:proofErr w:type="spellStart"/>
      <w:r w:rsidRPr="00D867CD">
        <w:t>linagliptino</w:t>
      </w:r>
      <w:proofErr w:type="spellEnd"/>
      <w:r w:rsidRPr="00D867CD">
        <w:t xml:space="preserve"> sukeliamo DPP</w:t>
      </w:r>
      <w:r w:rsidR="0036702C">
        <w:noBreakHyphen/>
      </w:r>
      <w:r w:rsidRPr="00D867CD">
        <w:t>4 slopinimo kraujo plazmoje.</w:t>
      </w:r>
    </w:p>
    <w:p w14:paraId="4957840D" w14:textId="77777777" w:rsidR="00416027" w:rsidRPr="00D867CD" w:rsidRDefault="00416027" w:rsidP="00D867CD">
      <w:pPr>
        <w:pStyle w:val="Pagrindinistekstas"/>
      </w:pPr>
    </w:p>
    <w:p w14:paraId="4C50814C" w14:textId="77777777" w:rsidR="00A01BAC" w:rsidRPr="00D867CD" w:rsidRDefault="00341B61" w:rsidP="00D867CD">
      <w:pPr>
        <w:pStyle w:val="Pagrindinistekstas"/>
      </w:pPr>
      <w:r w:rsidRPr="00D867CD">
        <w:rPr>
          <w:u w:val="single"/>
        </w:rPr>
        <w:t>Eliminacija</w:t>
      </w:r>
    </w:p>
    <w:p w14:paraId="4C50814D" w14:textId="50835567" w:rsidR="00A01BAC" w:rsidRPr="00D867CD" w:rsidRDefault="00341B61" w:rsidP="00D867CD">
      <w:pPr>
        <w:pStyle w:val="Pagrindinistekstas"/>
      </w:pPr>
      <w:r w:rsidRPr="00D867CD">
        <w:t>Iš sveikų savanorių, išgėrusių 10</w:t>
      </w:r>
      <w:r>
        <w:t> mg</w:t>
      </w:r>
      <w:r w:rsidRPr="00D867CD">
        <w:t xml:space="preserve"> [</w:t>
      </w:r>
      <w:r w:rsidRPr="00D867CD">
        <w:rPr>
          <w:vertAlign w:val="superscript"/>
        </w:rPr>
        <w:t>14</w:t>
      </w:r>
      <w:r w:rsidRPr="00D867CD">
        <w:t xml:space="preserve">C] </w:t>
      </w:r>
      <w:proofErr w:type="spellStart"/>
      <w:r w:rsidRPr="00D867CD">
        <w:t>linagliptino</w:t>
      </w:r>
      <w:proofErr w:type="spellEnd"/>
      <w:r w:rsidRPr="00D867CD">
        <w:t xml:space="preserve"> dozę, organizmo maždaug 85</w:t>
      </w:r>
      <w:r w:rsidR="00F34B4E">
        <w:t> %</w:t>
      </w:r>
      <w:r w:rsidRPr="00D867CD">
        <w:t xml:space="preserve"> pavartoto radioaktyvumo išsiskyrė su išmatomis (80</w:t>
      </w:r>
      <w:r>
        <w:t> %</w:t>
      </w:r>
      <w:r w:rsidRPr="00D867CD">
        <w:t>) ir šlapimu (5</w:t>
      </w:r>
      <w:r>
        <w:t> %</w:t>
      </w:r>
      <w:r w:rsidRPr="00D867CD">
        <w:t>) per 4</w:t>
      </w:r>
      <w:r w:rsidR="00F34B4E">
        <w:t> </w:t>
      </w:r>
      <w:r w:rsidRPr="00D867CD">
        <w:t xml:space="preserve">paras. Klirensas inkstuose tuo metu, kai apykaita </w:t>
      </w:r>
      <w:proofErr w:type="spellStart"/>
      <w:r w:rsidRPr="00D867CD">
        <w:t>pusiausvyrinė</w:t>
      </w:r>
      <w:proofErr w:type="spellEnd"/>
      <w:r w:rsidRPr="00D867CD">
        <w:t>, buvo 70</w:t>
      </w:r>
      <w:r>
        <w:t> ml</w:t>
      </w:r>
      <w:r w:rsidRPr="00D867CD">
        <w:t>/min.</w:t>
      </w:r>
    </w:p>
    <w:p w14:paraId="4C50814E" w14:textId="77777777" w:rsidR="00A01BAC" w:rsidRPr="00D867CD" w:rsidRDefault="00A01BAC" w:rsidP="00D867CD">
      <w:pPr>
        <w:pStyle w:val="Pagrindinistekstas"/>
      </w:pPr>
    </w:p>
    <w:p w14:paraId="4C50814F" w14:textId="77777777" w:rsidR="00A01BAC" w:rsidRDefault="00341B61" w:rsidP="00D867CD">
      <w:pPr>
        <w:rPr>
          <w:i/>
          <w:u w:val="single"/>
        </w:rPr>
      </w:pPr>
      <w:r w:rsidRPr="00D867CD">
        <w:rPr>
          <w:i/>
          <w:u w:val="single"/>
        </w:rPr>
        <w:t>Ypatingos populiacijos</w:t>
      </w:r>
    </w:p>
    <w:p w14:paraId="50818B86" w14:textId="77777777" w:rsidR="00416027" w:rsidRPr="00D867CD" w:rsidRDefault="00416027" w:rsidP="00D867CD">
      <w:pPr>
        <w:rPr>
          <w:i/>
        </w:rPr>
      </w:pPr>
    </w:p>
    <w:p w14:paraId="4C508150" w14:textId="77777777" w:rsidR="00A01BAC" w:rsidRPr="00842DEB" w:rsidRDefault="00341B61" w:rsidP="00D867CD">
      <w:pPr>
        <w:rPr>
          <w:i/>
        </w:rPr>
      </w:pPr>
      <w:r w:rsidRPr="00842DEB">
        <w:rPr>
          <w:i/>
        </w:rPr>
        <w:t>Inkstų funkcijos sutrikimas</w:t>
      </w:r>
    </w:p>
    <w:p w14:paraId="4C508154" w14:textId="7FBFFF45" w:rsidR="00A01BAC" w:rsidRPr="00D867CD" w:rsidRDefault="00341B61" w:rsidP="00D867CD">
      <w:pPr>
        <w:pStyle w:val="Pagrindinistekstas"/>
      </w:pPr>
      <w:r w:rsidRPr="00842DEB">
        <w:t xml:space="preserve">Daugkartinių 5 mg </w:t>
      </w:r>
      <w:proofErr w:type="spellStart"/>
      <w:r w:rsidRPr="00842DEB">
        <w:t>linagliptino</w:t>
      </w:r>
      <w:proofErr w:type="spellEnd"/>
      <w:r w:rsidRPr="00842DEB">
        <w:t xml:space="preserve"> dozių farmakokinetika pacientų, sergančių įvairaus sunkumo lėtiniu inkstų nepakankamumu, palyginti</w:t>
      </w:r>
      <w:r w:rsidRPr="00D867CD">
        <w:t xml:space="preserve"> su kontrolinės grupės asmenų, kurių inkstų funkcija normali, organizme buvo tirta atviruoju būdu atliekamo tyrimo metu. Tyrime dalyvavo pacientai, kurių inkstų</w:t>
      </w:r>
      <w:r w:rsidR="00416027">
        <w:t xml:space="preserve"> </w:t>
      </w:r>
      <w:r w:rsidRPr="00D867CD">
        <w:t xml:space="preserve">nepakankamumo sunkumas buvo suklasifikuotas, atsižvelgiant į kreatinino klirensą, į lengvą (nuo 50 iki </w:t>
      </w:r>
      <w:r>
        <w:t>&lt; </w:t>
      </w:r>
      <w:r w:rsidRPr="00D867CD">
        <w:t>80</w:t>
      </w:r>
      <w:r>
        <w:t> ml</w:t>
      </w:r>
      <w:r w:rsidRPr="00D867CD">
        <w:t xml:space="preserve">/min.), vidutinio sunkumo (nuo 30 iki </w:t>
      </w:r>
      <w:r w:rsidR="00BB4790">
        <w:t>&lt; </w:t>
      </w:r>
      <w:r w:rsidRPr="00D867CD">
        <w:t>50</w:t>
      </w:r>
      <w:r>
        <w:t> ml</w:t>
      </w:r>
      <w:r w:rsidRPr="00D867CD">
        <w:t>/min.) ir sunkų (</w:t>
      </w:r>
      <w:r>
        <w:t>&lt; </w:t>
      </w:r>
      <w:r w:rsidRPr="00D867CD">
        <w:t>30</w:t>
      </w:r>
      <w:r>
        <w:t> ml</w:t>
      </w:r>
      <w:r w:rsidRPr="00D867CD">
        <w:t xml:space="preserve">/min.), bei </w:t>
      </w:r>
      <w:proofErr w:type="spellStart"/>
      <w:r w:rsidRPr="00D867CD">
        <w:t>hemodializuojami</w:t>
      </w:r>
      <w:proofErr w:type="spellEnd"/>
      <w:r w:rsidRPr="00D867CD">
        <w:t xml:space="preserve"> pacientai, kuriems buvo galutinė inkstų ligos stadija (GILS). Be to, pacient</w:t>
      </w:r>
      <w:r w:rsidR="00FB4805">
        <w:t>ai</w:t>
      </w:r>
      <w:r w:rsidRPr="00D867CD">
        <w:t xml:space="preserve">, kuriems yra </w:t>
      </w:r>
      <w:r>
        <w:t>2 tipo</w:t>
      </w:r>
      <w:r w:rsidRPr="00D867CD">
        <w:t xml:space="preserve"> cukrinis diabetas ir sunkus inkstų nepakankamumas (kreatinino klirensas</w:t>
      </w:r>
      <w:r w:rsidR="00416027">
        <w:t xml:space="preserve"> </w:t>
      </w:r>
      <w:r>
        <w:t>&lt; </w:t>
      </w:r>
      <w:r w:rsidRPr="00D867CD">
        <w:t>30</w:t>
      </w:r>
      <w:r>
        <w:t> ml</w:t>
      </w:r>
      <w:r w:rsidRPr="00D867CD">
        <w:t xml:space="preserve">/min.), buvo </w:t>
      </w:r>
      <w:r w:rsidR="00FB4805">
        <w:t>palyginti</w:t>
      </w:r>
      <w:r w:rsidRPr="00D867CD">
        <w:t xml:space="preserve"> su </w:t>
      </w:r>
      <w:r>
        <w:t>2 tipo</w:t>
      </w:r>
      <w:r w:rsidRPr="00D867CD">
        <w:t xml:space="preserve"> cukriniu diabetu serganči</w:t>
      </w:r>
      <w:r w:rsidR="00B40FEA">
        <w:t>ais</w:t>
      </w:r>
      <w:r w:rsidRPr="00D867CD">
        <w:t xml:space="preserve"> pacient</w:t>
      </w:r>
      <w:r w:rsidR="00B40FEA">
        <w:t>ais</w:t>
      </w:r>
      <w:r w:rsidRPr="00D867CD">
        <w:t>, kurių inkstų funkcija normali. Kreatinino klirensas buvo vertintas atsižvelgiant į su šlapimu išsiskyrusio kreatinino kiekį per 24</w:t>
      </w:r>
      <w:r w:rsidR="00B40FEA">
        <w:t> </w:t>
      </w:r>
      <w:r w:rsidRPr="00D867CD">
        <w:t xml:space="preserve">val. po pavartojimo arba kreatinino kraujo serume kiekį, apskaičiuotą pagal </w:t>
      </w:r>
      <w:proofErr w:type="spellStart"/>
      <w:r w:rsidRPr="00D867CD">
        <w:rPr>
          <w:i/>
        </w:rPr>
        <w:t>Cockcroft-Gault</w:t>
      </w:r>
      <w:proofErr w:type="spellEnd"/>
      <w:r w:rsidRPr="00D867CD">
        <w:rPr>
          <w:i/>
        </w:rPr>
        <w:t xml:space="preserve"> </w:t>
      </w:r>
      <w:r w:rsidRPr="00D867CD">
        <w:t xml:space="preserve">formulę </w:t>
      </w:r>
      <w:proofErr w:type="spellStart"/>
      <w:r w:rsidRPr="00D867CD">
        <w:t>KrKl</w:t>
      </w:r>
      <w:proofErr w:type="spellEnd"/>
      <w:r w:rsidR="005D21E6">
        <w:t> </w:t>
      </w:r>
      <w:r w:rsidR="005D21E6" w:rsidRPr="005D21E6">
        <w:t>= </w:t>
      </w:r>
      <w:r w:rsidRPr="005D21E6">
        <w:t>(140 - amžius)</w:t>
      </w:r>
      <w:r w:rsidR="001A23BB" w:rsidRPr="005D21E6">
        <w:t> × </w:t>
      </w:r>
      <w:r w:rsidRPr="005D21E6">
        <w:t>kūno svoris</w:t>
      </w:r>
      <w:r w:rsidRPr="00D867CD">
        <w:t>/72</w:t>
      </w:r>
      <w:r w:rsidR="001A23BB">
        <w:t> × </w:t>
      </w:r>
      <w:r w:rsidRPr="00D867CD">
        <w:t>kreatinino kiekis kraujo serume [×</w:t>
      </w:r>
      <w:r w:rsidR="00551AE8">
        <w:t> </w:t>
      </w:r>
      <w:r w:rsidRPr="00D867CD">
        <w:t xml:space="preserve">0,85 moterims], kai amžius nurodomas metais, kūno svoris </w:t>
      </w:r>
      <w:r w:rsidR="00416027">
        <w:t>-</w:t>
      </w:r>
      <w:r w:rsidRPr="00D867CD">
        <w:t xml:space="preserve"> kilogramais, kreatinino kiekis kraujo serume </w:t>
      </w:r>
      <w:r w:rsidR="00416027">
        <w:t>-</w:t>
      </w:r>
      <w:r>
        <w:t> mg</w:t>
      </w:r>
      <w:r w:rsidRPr="00D867CD">
        <w:t xml:space="preserve">/dl. Pacientų, sergančių lengvu inkstų nepakankamumu, organizme </w:t>
      </w:r>
      <w:proofErr w:type="spellStart"/>
      <w:r w:rsidRPr="00D867CD">
        <w:t>linagliptino</w:t>
      </w:r>
      <w:proofErr w:type="spellEnd"/>
      <w:r w:rsidRPr="00D867CD">
        <w:t xml:space="preserve"> ekspozicija tuo metu, kai apykaita </w:t>
      </w:r>
      <w:proofErr w:type="spellStart"/>
      <w:r w:rsidRPr="00D867CD">
        <w:t>pusiausvyrinė</w:t>
      </w:r>
      <w:proofErr w:type="spellEnd"/>
      <w:r w:rsidRPr="00D867CD">
        <w:t xml:space="preserve">, buvo panaši į ekspoziciją sveikų asmenų organizme. Pacientų, sergančių </w:t>
      </w:r>
      <w:r w:rsidRPr="00D867CD">
        <w:lastRenderedPageBreak/>
        <w:t>vidutinio sunkumo inkstų nepakankamumu, organizme ekspozicija buvo maždaug 1,7</w:t>
      </w:r>
      <w:r w:rsidR="006D3D27">
        <w:t> </w:t>
      </w:r>
      <w:r w:rsidRPr="00D867CD">
        <w:t xml:space="preserve">karto didesnė negu kontrolinės grupės tiriamųjų. </w:t>
      </w:r>
      <w:r>
        <w:t>2 tipo</w:t>
      </w:r>
      <w:r w:rsidRPr="00D867CD">
        <w:t xml:space="preserve"> cukriniu diabetu sergančių pacientų, kuriems yra sunkus inkstų funkcijos sutrikimas, organizme ekspozicija buvo maždaug 1,4</w:t>
      </w:r>
      <w:r w:rsidR="005200D4">
        <w:t> </w:t>
      </w:r>
      <w:r w:rsidRPr="00D867CD">
        <w:t xml:space="preserve">karto didesnė negu </w:t>
      </w:r>
      <w:r>
        <w:t>2 tipo</w:t>
      </w:r>
      <w:r w:rsidRPr="00D867CD">
        <w:t xml:space="preserve"> cukriniu diabetu sergančių pacientų, kurių inkstų funkcija normali. Pacientų, kuriems yra GILS, organizme apskaičiuotas </w:t>
      </w:r>
      <w:proofErr w:type="spellStart"/>
      <w:r w:rsidRPr="00D867CD">
        <w:t>linagliptino</w:t>
      </w:r>
      <w:proofErr w:type="spellEnd"/>
      <w:r w:rsidRPr="00D867CD">
        <w:t xml:space="preserve"> AUC tuo metu, kai apykaita </w:t>
      </w:r>
      <w:proofErr w:type="spellStart"/>
      <w:r w:rsidRPr="00D867CD">
        <w:t>pusiausvyrinė</w:t>
      </w:r>
      <w:proofErr w:type="spellEnd"/>
      <w:r w:rsidRPr="00D867CD">
        <w:t xml:space="preserve">, rodo, kad asmenų, kuriems yra vidutinio sunkumo arba sunkus inkstų funkcijos sutrikimas, organizme ekspozicija yra panaši. Be to, nėra tikėtina, kad </w:t>
      </w:r>
      <w:proofErr w:type="spellStart"/>
      <w:r w:rsidRPr="00D867CD">
        <w:t>linagliptino</w:t>
      </w:r>
      <w:proofErr w:type="spellEnd"/>
      <w:r w:rsidRPr="00D867CD">
        <w:t xml:space="preserve"> kiekį, kuris yra reikšmingas gydant, būtų galima pašalinti hemodialize ar peritonite dialize. Taigi pacientams, kuriems yra bet kokio sunkumo inkstų nepakankamumas, dozės koreguoti nėra būtina.</w:t>
      </w:r>
    </w:p>
    <w:p w14:paraId="4C508155" w14:textId="77777777" w:rsidR="00A01BAC" w:rsidRPr="00D867CD" w:rsidRDefault="00A01BAC" w:rsidP="00D867CD">
      <w:pPr>
        <w:pStyle w:val="Pagrindinistekstas"/>
      </w:pPr>
    </w:p>
    <w:p w14:paraId="4C508156" w14:textId="77777777" w:rsidR="00A01BAC" w:rsidRPr="00D867CD" w:rsidRDefault="00341B61" w:rsidP="00D867CD">
      <w:pPr>
        <w:rPr>
          <w:i/>
        </w:rPr>
      </w:pPr>
      <w:r w:rsidRPr="00D867CD">
        <w:rPr>
          <w:i/>
        </w:rPr>
        <w:t>Kepenų funkcijos sutrikimas</w:t>
      </w:r>
    </w:p>
    <w:p w14:paraId="4C508157" w14:textId="017DB5A5" w:rsidR="00A01BAC" w:rsidRDefault="00341B61" w:rsidP="00D867CD">
      <w:pPr>
        <w:pStyle w:val="Pagrindinistekstas"/>
      </w:pPr>
      <w:r w:rsidRPr="00D867CD">
        <w:t xml:space="preserve">Cukriniu diabetu nesergančių pacientų, kuriems yra lengvas, vidutinio sunkumo arba sunkus kepenų funkcijos nepakankamumas (pagal </w:t>
      </w:r>
      <w:proofErr w:type="spellStart"/>
      <w:r w:rsidRPr="00D867CD">
        <w:rPr>
          <w:i/>
        </w:rPr>
        <w:t>Child-Pugh</w:t>
      </w:r>
      <w:proofErr w:type="spellEnd"/>
      <w:r w:rsidRPr="00D867CD">
        <w:rPr>
          <w:i/>
        </w:rPr>
        <w:t xml:space="preserve"> </w:t>
      </w:r>
      <w:r w:rsidRPr="00D867CD">
        <w:t>klasifikaciją), organizme po daugkartinių 5</w:t>
      </w:r>
      <w:r>
        <w:t> mg</w:t>
      </w:r>
      <w:r w:rsidRPr="00D867CD">
        <w:t xml:space="preserve"> dozių vartojimo </w:t>
      </w:r>
      <w:proofErr w:type="spellStart"/>
      <w:r w:rsidRPr="00D867CD">
        <w:t>linagliptino</w:t>
      </w:r>
      <w:proofErr w:type="spellEnd"/>
      <w:r w:rsidRPr="00D867CD">
        <w:t xml:space="preserve"> AUC ir </w:t>
      </w:r>
      <w:proofErr w:type="spellStart"/>
      <w:r w:rsidRPr="00D867CD">
        <w:t>C</w:t>
      </w:r>
      <w:r w:rsidRPr="00341B61">
        <w:rPr>
          <w:vertAlign w:val="subscript"/>
        </w:rPr>
        <w:t>max</w:t>
      </w:r>
      <w:proofErr w:type="spellEnd"/>
      <w:r w:rsidRPr="00D867CD">
        <w:t xml:space="preserve"> vidurkiai buvo panašūs į nustatytus atitinkamos kontrolinės grupės tiriamųjų organizme</w:t>
      </w:r>
      <w:r w:rsidRPr="00E51B1F">
        <w:t xml:space="preserve">. Cukriniu diabetu sergantiems pacientams, kuriems yra lengvas, vidutinio sunkumo arba sunkus kepenų funkcijos sutrikimas, </w:t>
      </w:r>
      <w:proofErr w:type="spellStart"/>
      <w:r w:rsidRPr="00E51B1F">
        <w:t>linagliptino</w:t>
      </w:r>
      <w:proofErr w:type="spellEnd"/>
      <w:r w:rsidRPr="00E51B1F">
        <w:t xml:space="preserve"> dozės</w:t>
      </w:r>
      <w:r w:rsidR="00416376">
        <w:t xml:space="preserve"> </w:t>
      </w:r>
      <w:r w:rsidR="00677448">
        <w:t>keisti</w:t>
      </w:r>
      <w:r w:rsidR="00416376">
        <w:t xml:space="preserve"> nereikia</w:t>
      </w:r>
      <w:r w:rsidRPr="00E51B1F">
        <w:t>.</w:t>
      </w:r>
    </w:p>
    <w:p w14:paraId="79952F5B" w14:textId="77777777" w:rsidR="00416027" w:rsidRPr="00D867CD" w:rsidRDefault="00416027" w:rsidP="00D867CD">
      <w:pPr>
        <w:pStyle w:val="Pagrindinistekstas"/>
      </w:pPr>
    </w:p>
    <w:p w14:paraId="4C508158" w14:textId="77777777" w:rsidR="00A01BAC" w:rsidRPr="00D867CD" w:rsidRDefault="00341B61" w:rsidP="00D867CD">
      <w:pPr>
        <w:rPr>
          <w:i/>
        </w:rPr>
      </w:pPr>
      <w:r w:rsidRPr="00D867CD">
        <w:rPr>
          <w:i/>
        </w:rPr>
        <w:t>Kūno masės indeksas (KMI)</w:t>
      </w:r>
    </w:p>
    <w:p w14:paraId="4C508159" w14:textId="2F47A108" w:rsidR="00A01BAC" w:rsidRPr="00D867CD" w:rsidRDefault="00341B61" w:rsidP="00D867CD">
      <w:pPr>
        <w:pStyle w:val="Pagrindinistekstas"/>
      </w:pPr>
      <w:r w:rsidRPr="00D867CD">
        <w:t xml:space="preserve">Priklausomai nuo KMI </w:t>
      </w:r>
      <w:r w:rsidRPr="00677448">
        <w:t xml:space="preserve">dozės keisti </w:t>
      </w:r>
      <w:r w:rsidR="007D0A5D" w:rsidRPr="00677448">
        <w:t>nereikia</w:t>
      </w:r>
      <w:r w:rsidRPr="00677448">
        <w:t>. I ir II</w:t>
      </w:r>
      <w:r w:rsidR="00677448" w:rsidRPr="00677448">
        <w:t> </w:t>
      </w:r>
      <w:r w:rsidRPr="00677448">
        <w:t xml:space="preserve">fazės tyrimų populiacijos farmakokinetikos analizės duomenimis, KMI kliniškai reikšmingos įtakos </w:t>
      </w:r>
      <w:proofErr w:type="spellStart"/>
      <w:r w:rsidRPr="00677448">
        <w:t>linagliptino</w:t>
      </w:r>
      <w:proofErr w:type="spellEnd"/>
      <w:r w:rsidRPr="00677448">
        <w:t xml:space="preserve"> farmakokinetikai nedaro. Prieš vaistinio preparato registraciją klinikiniai tyrimai buvo atlikti su pacientais, kurių KMI buvo ne didesnis kaip 40</w:t>
      </w:r>
      <w:r w:rsidR="00866AA4">
        <w:t> </w:t>
      </w:r>
      <w:r w:rsidRPr="00677448">
        <w:t>kg/m</w:t>
      </w:r>
      <w:r w:rsidRPr="00677448">
        <w:rPr>
          <w:vertAlign w:val="superscript"/>
        </w:rPr>
        <w:t>2</w:t>
      </w:r>
      <w:r w:rsidRPr="00677448">
        <w:t>.</w:t>
      </w:r>
    </w:p>
    <w:p w14:paraId="4C50815A" w14:textId="77777777" w:rsidR="00A01BAC" w:rsidRPr="00D867CD" w:rsidRDefault="00A01BAC" w:rsidP="00D867CD">
      <w:pPr>
        <w:pStyle w:val="Pagrindinistekstas"/>
      </w:pPr>
    </w:p>
    <w:p w14:paraId="4C50815B" w14:textId="77777777" w:rsidR="00A01BAC" w:rsidRPr="00D867CD" w:rsidRDefault="00341B61" w:rsidP="00D867CD">
      <w:pPr>
        <w:rPr>
          <w:i/>
        </w:rPr>
      </w:pPr>
      <w:r w:rsidRPr="00D867CD">
        <w:rPr>
          <w:i/>
        </w:rPr>
        <w:t>Lytis</w:t>
      </w:r>
    </w:p>
    <w:p w14:paraId="4C50815C" w14:textId="7ED38034" w:rsidR="00A01BAC" w:rsidRDefault="00341B61" w:rsidP="00D867CD">
      <w:pPr>
        <w:pStyle w:val="Pagrindinistekstas"/>
      </w:pPr>
      <w:r w:rsidRPr="00D867CD">
        <w:t>Priklausomai nuo lyties dozės keisti n</w:t>
      </w:r>
      <w:r w:rsidR="00863714">
        <w:t>ereikia</w:t>
      </w:r>
      <w:r w:rsidRPr="00D867CD">
        <w:t>. I ir II</w:t>
      </w:r>
      <w:r w:rsidR="00863714">
        <w:t> </w:t>
      </w:r>
      <w:r w:rsidRPr="00D867CD">
        <w:t xml:space="preserve">fazės tyrimų populiacijos farmakokinetikos analizės duomenimis, lytis kliniškai reikšmingos įtakos </w:t>
      </w:r>
      <w:proofErr w:type="spellStart"/>
      <w:r w:rsidRPr="00D867CD">
        <w:t>linagliptino</w:t>
      </w:r>
      <w:proofErr w:type="spellEnd"/>
      <w:r w:rsidRPr="00D867CD">
        <w:t xml:space="preserve"> farmakokinetikai nedaro.</w:t>
      </w:r>
    </w:p>
    <w:p w14:paraId="132CB5B1" w14:textId="77777777" w:rsidR="00416027" w:rsidRPr="00D867CD" w:rsidRDefault="00416027" w:rsidP="00D867CD">
      <w:pPr>
        <w:pStyle w:val="Pagrindinistekstas"/>
      </w:pPr>
    </w:p>
    <w:p w14:paraId="4C50815D" w14:textId="77777777" w:rsidR="00A01BAC" w:rsidRPr="00E90DD4" w:rsidRDefault="00341B61" w:rsidP="00D867CD">
      <w:pPr>
        <w:rPr>
          <w:i/>
        </w:rPr>
      </w:pPr>
      <w:r w:rsidRPr="00E90DD4">
        <w:rPr>
          <w:i/>
        </w:rPr>
        <w:t>Senyvi pacientai</w:t>
      </w:r>
    </w:p>
    <w:p w14:paraId="4C50815E" w14:textId="290C1DBC" w:rsidR="00A01BAC" w:rsidRPr="00D867CD" w:rsidRDefault="00A030B8" w:rsidP="00D867CD">
      <w:pPr>
        <w:pStyle w:val="Pagrindinistekstas"/>
      </w:pPr>
      <w:r>
        <w:t>P</w:t>
      </w:r>
      <w:r w:rsidR="00341B61" w:rsidRPr="00E90DD4">
        <w:t xml:space="preserve">riklausomai nuo amžiaus </w:t>
      </w:r>
      <w:r w:rsidR="00A2091C">
        <w:t>(</w:t>
      </w:r>
      <w:r>
        <w:t>iki 80 metų</w:t>
      </w:r>
      <w:r w:rsidR="00A2091C">
        <w:t>)</w:t>
      </w:r>
      <w:r w:rsidR="00111B2A">
        <w:t>,</w:t>
      </w:r>
      <w:r>
        <w:t xml:space="preserve"> pacientams </w:t>
      </w:r>
      <w:r w:rsidR="00341B61" w:rsidRPr="00E90DD4">
        <w:t xml:space="preserve">dozės keisti </w:t>
      </w:r>
      <w:r>
        <w:t>nereikia</w:t>
      </w:r>
      <w:r w:rsidR="00341B61" w:rsidRPr="00E90DD4">
        <w:t>, kadangi I ir II</w:t>
      </w:r>
      <w:r>
        <w:t> </w:t>
      </w:r>
      <w:r w:rsidR="00341B61" w:rsidRPr="00E90DD4">
        <w:t xml:space="preserve">fazės tyrimų populiacijos farmakokinetikos analizės duomenys rodo, kad amžius kliniškai reikšmingos įtakos </w:t>
      </w:r>
      <w:proofErr w:type="spellStart"/>
      <w:r w:rsidR="00341B61" w:rsidRPr="00E90DD4">
        <w:t>linagliptino</w:t>
      </w:r>
      <w:proofErr w:type="spellEnd"/>
      <w:r w:rsidR="00341B61" w:rsidRPr="00E90DD4">
        <w:t xml:space="preserve"> farmakokinetikai nedaro. Senyvų (65</w:t>
      </w:r>
      <w:r w:rsidR="00C508A7">
        <w:noBreakHyphen/>
      </w:r>
      <w:r w:rsidR="00341B61" w:rsidRPr="00E90DD4">
        <w:t>80 metų pacientų grupės vyriausiam pacientui buvo</w:t>
      </w:r>
      <w:r w:rsidR="00341B61" w:rsidRPr="00D867CD">
        <w:t xml:space="preserve"> 78</w:t>
      </w:r>
      <w:r w:rsidR="00C508A7">
        <w:t> </w:t>
      </w:r>
      <w:r w:rsidR="00341B61" w:rsidRPr="00D867CD">
        <w:t>metai) asmenų kraujo plazmoje koncentracija buvo panaši į jaunesnių</w:t>
      </w:r>
      <w:r w:rsidR="00C113E3">
        <w:t xml:space="preserve"> tiriamųjų</w:t>
      </w:r>
      <w:r w:rsidR="00341B61" w:rsidRPr="00D867CD">
        <w:t>.</w:t>
      </w:r>
    </w:p>
    <w:p w14:paraId="4C50815F" w14:textId="77777777" w:rsidR="00A01BAC" w:rsidRPr="00D867CD" w:rsidRDefault="00A01BAC" w:rsidP="00D867CD">
      <w:pPr>
        <w:pStyle w:val="Pagrindinistekstas"/>
      </w:pPr>
    </w:p>
    <w:p w14:paraId="4C508160" w14:textId="77777777" w:rsidR="00A01BAC" w:rsidRPr="00D867CD" w:rsidRDefault="00341B61" w:rsidP="00D867CD">
      <w:pPr>
        <w:rPr>
          <w:i/>
        </w:rPr>
      </w:pPr>
      <w:r w:rsidRPr="00D867CD">
        <w:rPr>
          <w:i/>
        </w:rPr>
        <w:t>Vaikų populiacija</w:t>
      </w:r>
    </w:p>
    <w:p w14:paraId="4C508163" w14:textId="715BF07B" w:rsidR="00A01BAC" w:rsidRPr="00D867CD" w:rsidRDefault="00C508A7" w:rsidP="00C508A7">
      <w:pPr>
        <w:pStyle w:val="Sraopastraipa"/>
        <w:tabs>
          <w:tab w:val="left" w:pos="341"/>
        </w:tabs>
        <w:ind w:left="0" w:firstLine="0"/>
      </w:pPr>
      <w:r>
        <w:t>II </w:t>
      </w:r>
      <w:r w:rsidR="00341B61" w:rsidRPr="00D867CD">
        <w:t>fazės pediatrinio tyrimo metu buvo tiriama 1</w:t>
      </w:r>
      <w:r w:rsidR="00341B61">
        <w:t> mg</w:t>
      </w:r>
      <w:r w:rsidR="00341B61" w:rsidRPr="00D867CD">
        <w:t xml:space="preserve"> ir 5</w:t>
      </w:r>
      <w:r w:rsidR="00341B61">
        <w:t> mg</w:t>
      </w:r>
      <w:r w:rsidR="00341B61" w:rsidRPr="00D867CD">
        <w:t xml:space="preserve"> </w:t>
      </w:r>
      <w:proofErr w:type="spellStart"/>
      <w:r w:rsidR="00341B61" w:rsidRPr="00D867CD">
        <w:t>linagliptino</w:t>
      </w:r>
      <w:proofErr w:type="spellEnd"/>
      <w:r w:rsidR="00341B61" w:rsidRPr="00D867CD">
        <w:t xml:space="preserve"> farmakokinetika ir farmakodinamika </w:t>
      </w:r>
      <w:r w:rsidR="00341B61">
        <w:t>2 tipo</w:t>
      </w:r>
      <w:r w:rsidR="00341B61" w:rsidRPr="00D867CD">
        <w:t xml:space="preserve"> cukriniu diabetu sergančių vaikų ir paauglių, kurių amžius buvo nuo</w:t>
      </w:r>
      <w:r w:rsidR="00416027">
        <w:t xml:space="preserve"> </w:t>
      </w:r>
      <w:r w:rsidR="00341B61">
        <w:t>≥ </w:t>
      </w:r>
      <w:r w:rsidR="00341B61" w:rsidRPr="00D867CD">
        <w:t>10</w:t>
      </w:r>
      <w:r w:rsidR="00341B61">
        <w:t> metų</w:t>
      </w:r>
      <w:r w:rsidR="00341B61" w:rsidRPr="00D867CD">
        <w:t xml:space="preserve"> iki </w:t>
      </w:r>
      <w:r w:rsidR="00341B61">
        <w:t>&lt; </w:t>
      </w:r>
      <w:r w:rsidR="00341B61" w:rsidRPr="00D867CD">
        <w:t>18</w:t>
      </w:r>
      <w:r w:rsidR="00341B61">
        <w:t> metų</w:t>
      </w:r>
      <w:r w:rsidR="00341B61" w:rsidRPr="00D867CD">
        <w:t>, organizmuose. Gauti farmakokinetikos ir farmakodinamikos duomenys atitiko suaugusiųjų organizmuose nustatytus duomenis. 5</w:t>
      </w:r>
      <w:r w:rsidR="00341B61">
        <w:t> mg</w:t>
      </w:r>
      <w:r w:rsidR="00341B61" w:rsidRPr="00D867CD">
        <w:t xml:space="preserve"> </w:t>
      </w:r>
      <w:proofErr w:type="spellStart"/>
      <w:r w:rsidR="00341B61" w:rsidRPr="00D867CD">
        <w:t>linagliptino</w:t>
      </w:r>
      <w:proofErr w:type="spellEnd"/>
      <w:r w:rsidR="00341B61" w:rsidRPr="00D867CD">
        <w:t xml:space="preserve"> dozė buvo pranašesnė už 1</w:t>
      </w:r>
      <w:r w:rsidR="00341B61">
        <w:t> mg</w:t>
      </w:r>
      <w:r w:rsidR="00341B61" w:rsidRPr="00D867CD">
        <w:t>, vertinant pagal DDP</w:t>
      </w:r>
      <w:r w:rsidR="00FE044B">
        <w:noBreakHyphen/>
      </w:r>
      <w:r w:rsidR="00341B61" w:rsidRPr="00D867CD">
        <w:t>4 slopinimą (72</w:t>
      </w:r>
      <w:r w:rsidR="00341B61">
        <w:t> %</w:t>
      </w:r>
      <w:r w:rsidR="00341B61" w:rsidRPr="00D867CD">
        <w:t>, palyginti su 32</w:t>
      </w:r>
      <w:r w:rsidR="00341B61">
        <w:t> %</w:t>
      </w:r>
      <w:r w:rsidR="00341B61" w:rsidRPr="00D867CD">
        <w:t>, p</w:t>
      </w:r>
      <w:r w:rsidR="00FE044B">
        <w:t> </w:t>
      </w:r>
      <w:r w:rsidR="00341B61" w:rsidRPr="00D867CD">
        <w:t>=</w:t>
      </w:r>
      <w:r w:rsidR="00FE044B">
        <w:t> </w:t>
      </w:r>
      <w:r w:rsidR="00341B61" w:rsidRPr="00D867CD">
        <w:t>0,0050) ir pagal kiekybiškai didesnį koreguoto vidutinio HbA</w:t>
      </w:r>
      <w:r w:rsidR="00341B61" w:rsidRPr="00341B61">
        <w:rPr>
          <w:vertAlign w:val="subscript"/>
        </w:rPr>
        <w:t>1c</w:t>
      </w:r>
      <w:r w:rsidR="00341B61" w:rsidRPr="00D867CD">
        <w:t xml:space="preserve"> pokyčio nuo pradinės vertės sumažėjimą (</w:t>
      </w:r>
      <w:r w:rsidR="003172CD">
        <w:noBreakHyphen/>
      </w:r>
      <w:r w:rsidR="00341B61" w:rsidRPr="00D867CD">
        <w:t>0,63</w:t>
      </w:r>
      <w:r w:rsidR="00341B61">
        <w:t> %</w:t>
      </w:r>
      <w:r w:rsidR="00341B61" w:rsidRPr="00D867CD">
        <w:t>, palyginti</w:t>
      </w:r>
      <w:r w:rsidR="00416027">
        <w:t xml:space="preserve"> </w:t>
      </w:r>
      <w:r w:rsidR="00341B61" w:rsidRPr="00D867CD">
        <w:t xml:space="preserve">su </w:t>
      </w:r>
      <w:r w:rsidR="003172CD">
        <w:noBreakHyphen/>
      </w:r>
      <w:r w:rsidR="00341B61" w:rsidRPr="00D867CD">
        <w:t>0,48</w:t>
      </w:r>
      <w:r w:rsidR="00341B61">
        <w:t> %</w:t>
      </w:r>
      <w:r w:rsidR="00341B61" w:rsidRPr="00D867CD">
        <w:t>, nereikšminga). Dėl riboto duomenų pobūdžio šiuos rezultatus reikia vertinti atsargiai.</w:t>
      </w:r>
    </w:p>
    <w:p w14:paraId="4C508164" w14:textId="77777777" w:rsidR="00A01BAC" w:rsidRPr="00D867CD" w:rsidRDefault="00A01BAC" w:rsidP="00D867CD">
      <w:pPr>
        <w:pStyle w:val="Pagrindinistekstas"/>
      </w:pPr>
    </w:p>
    <w:p w14:paraId="4C508167" w14:textId="1048E15A" w:rsidR="00A01BAC" w:rsidRDefault="00416027" w:rsidP="00416027">
      <w:pPr>
        <w:pStyle w:val="Sraopastraipa"/>
        <w:tabs>
          <w:tab w:val="left" w:pos="414"/>
        </w:tabs>
        <w:ind w:left="0" w:firstLine="0"/>
      </w:pPr>
      <w:r>
        <w:t>III</w:t>
      </w:r>
      <w:r w:rsidR="003172CD">
        <w:t> </w:t>
      </w:r>
      <w:r w:rsidR="00341B61" w:rsidRPr="00D867CD">
        <w:t>fazės pediatrinio tyrimo metu buvo tiriama 5</w:t>
      </w:r>
      <w:r w:rsidR="00341B61">
        <w:t> mg</w:t>
      </w:r>
      <w:r w:rsidR="00341B61" w:rsidRPr="00D867CD">
        <w:t xml:space="preserve"> </w:t>
      </w:r>
      <w:proofErr w:type="spellStart"/>
      <w:r w:rsidR="00341B61" w:rsidRPr="00D867CD">
        <w:t>linagliptino</w:t>
      </w:r>
      <w:proofErr w:type="spellEnd"/>
      <w:r w:rsidR="00341B61" w:rsidRPr="00D867CD">
        <w:t xml:space="preserve"> farmakokinetika ir farmakodinamika (HbA</w:t>
      </w:r>
      <w:r w:rsidR="00341B61" w:rsidRPr="00341B61">
        <w:rPr>
          <w:vertAlign w:val="subscript"/>
        </w:rPr>
        <w:t>1c</w:t>
      </w:r>
      <w:r w:rsidR="00341B61" w:rsidRPr="00D867CD">
        <w:t xml:space="preserve"> pokytis nuo pradinio vertinimo) </w:t>
      </w:r>
      <w:r w:rsidR="00341B61">
        <w:t>2 tipo</w:t>
      </w:r>
      <w:r w:rsidR="00341B61" w:rsidRPr="00D867CD">
        <w:t xml:space="preserve"> cukriniu diabetu sergančių vaikų ir paauglių, kurių amžius buvo 10</w:t>
      </w:r>
      <w:r w:rsidR="003E5072">
        <w:noBreakHyphen/>
      </w:r>
      <w:r w:rsidR="00341B61" w:rsidRPr="00D867CD">
        <w:t>17</w:t>
      </w:r>
      <w:r w:rsidR="00341B61">
        <w:t> metų</w:t>
      </w:r>
      <w:r w:rsidR="00341B61" w:rsidRPr="00D867CD">
        <w:t>, organizmuose. Stebėtas ekspozicijos ir atsako santykis tarp pacientų vaikų ir suaugusiųjų buvo panašus, tačiau vaikams apskaičiuotas mažesnis vaistinio preparato poveikis. Per</w:t>
      </w:r>
      <w:r>
        <w:t xml:space="preserve"> </w:t>
      </w:r>
      <w:r w:rsidR="00341B61" w:rsidRPr="00D867CD">
        <w:t xml:space="preserve">burną vartojant </w:t>
      </w:r>
      <w:proofErr w:type="spellStart"/>
      <w:r w:rsidR="00341B61" w:rsidRPr="00D867CD">
        <w:t>linagliptin</w:t>
      </w:r>
      <w:r w:rsidR="00CB05AE">
        <w:t>o</w:t>
      </w:r>
      <w:proofErr w:type="spellEnd"/>
      <w:r w:rsidR="00341B61" w:rsidRPr="00D867CD">
        <w:t xml:space="preserve"> susidarė ekspozicija, kuri </w:t>
      </w:r>
      <w:r w:rsidR="00555F57">
        <w:t xml:space="preserve">buvo </w:t>
      </w:r>
      <w:r w:rsidR="00341B61" w:rsidRPr="00D867CD">
        <w:t>suaugusiems pacientams</w:t>
      </w:r>
      <w:r w:rsidR="00555F57">
        <w:t xml:space="preserve"> ste</w:t>
      </w:r>
      <w:r w:rsidR="00D74F2E">
        <w:t>bėtame diapazone</w:t>
      </w:r>
      <w:r w:rsidR="00341B61" w:rsidRPr="00D867CD">
        <w:t>. Stebėtas geometrinis mažiausių koncentracijų prieš vartojant vidurkis ir geometrinis koncentracijų vidurkis po suvartojimo praėjus 1,5</w:t>
      </w:r>
      <w:r w:rsidR="00E56750">
        <w:t> </w:t>
      </w:r>
      <w:r w:rsidR="00341B61" w:rsidRPr="00D867CD">
        <w:t xml:space="preserve">val. (atitinkantis koncentraciją, panašią į </w:t>
      </w:r>
      <w:proofErr w:type="spellStart"/>
      <w:r w:rsidR="00341B61" w:rsidRPr="00D867CD">
        <w:t>t</w:t>
      </w:r>
      <w:r w:rsidR="00341B61" w:rsidRPr="00341B61">
        <w:rPr>
          <w:vertAlign w:val="subscript"/>
        </w:rPr>
        <w:t>max</w:t>
      </w:r>
      <w:proofErr w:type="spellEnd"/>
      <w:r w:rsidR="00341B61" w:rsidRPr="00D867CD">
        <w:t xml:space="preserve">), kai apykaita </w:t>
      </w:r>
      <w:proofErr w:type="spellStart"/>
      <w:r w:rsidR="00341B61" w:rsidRPr="00D867CD">
        <w:t>pusiausvyrinė</w:t>
      </w:r>
      <w:proofErr w:type="spellEnd"/>
      <w:r w:rsidR="00341B61" w:rsidRPr="00D867CD">
        <w:t>, atitinkamai buvo 4,30</w:t>
      </w:r>
      <w:r w:rsidR="00341B61">
        <w:t> </w:t>
      </w:r>
      <w:proofErr w:type="spellStart"/>
      <w:r w:rsidR="00341B61">
        <w:t>nmol</w:t>
      </w:r>
      <w:proofErr w:type="spellEnd"/>
      <w:r w:rsidR="00341B61" w:rsidRPr="00D867CD">
        <w:t>/l ir 12,6</w:t>
      </w:r>
      <w:r w:rsidR="00341B61">
        <w:t> </w:t>
      </w:r>
      <w:proofErr w:type="spellStart"/>
      <w:r w:rsidR="00341B61">
        <w:t>nmol</w:t>
      </w:r>
      <w:proofErr w:type="spellEnd"/>
      <w:r w:rsidR="00341B61" w:rsidRPr="00D867CD">
        <w:t>/l. Atitinkama koncentracija kraujo plazmoje suaugusiems pacientams buvo 6,04</w:t>
      </w:r>
      <w:r w:rsidR="00341B61">
        <w:t> </w:t>
      </w:r>
      <w:proofErr w:type="spellStart"/>
      <w:r w:rsidR="00341B61">
        <w:t>nmol</w:t>
      </w:r>
      <w:proofErr w:type="spellEnd"/>
      <w:r w:rsidR="00341B61" w:rsidRPr="00D867CD">
        <w:t>/l ir 15,1</w:t>
      </w:r>
      <w:r w:rsidR="00341B61">
        <w:t> </w:t>
      </w:r>
      <w:proofErr w:type="spellStart"/>
      <w:r w:rsidR="00341B61">
        <w:t>nmol</w:t>
      </w:r>
      <w:proofErr w:type="spellEnd"/>
      <w:r w:rsidR="00341B61" w:rsidRPr="00D867CD">
        <w:t>/l.</w:t>
      </w:r>
    </w:p>
    <w:p w14:paraId="33F6DB63" w14:textId="77777777" w:rsidR="00416027" w:rsidRPr="00D867CD" w:rsidRDefault="00416027" w:rsidP="00416027">
      <w:pPr>
        <w:pStyle w:val="Sraopastraipa"/>
        <w:tabs>
          <w:tab w:val="left" w:pos="414"/>
        </w:tabs>
        <w:ind w:left="0" w:firstLine="0"/>
      </w:pPr>
    </w:p>
    <w:p w14:paraId="4C508168" w14:textId="77777777" w:rsidR="00A01BAC" w:rsidRPr="00D867CD" w:rsidRDefault="00341B61" w:rsidP="00D867CD">
      <w:pPr>
        <w:rPr>
          <w:i/>
        </w:rPr>
      </w:pPr>
      <w:r w:rsidRPr="00D867CD">
        <w:rPr>
          <w:i/>
        </w:rPr>
        <w:t>Rasė</w:t>
      </w:r>
    </w:p>
    <w:p w14:paraId="4C508169" w14:textId="5DA4CDEC" w:rsidR="00A01BAC" w:rsidRPr="00D867CD" w:rsidRDefault="00341B61" w:rsidP="00D867CD">
      <w:pPr>
        <w:pStyle w:val="Pagrindinistekstas"/>
      </w:pPr>
      <w:r w:rsidRPr="00D867CD">
        <w:t>Priklausomai nuo rasės dozės keisti n</w:t>
      </w:r>
      <w:r w:rsidR="00E56750">
        <w:t>ereikia</w:t>
      </w:r>
      <w:r w:rsidRPr="00D867CD">
        <w:t xml:space="preserve">. Bendra turimų farmakokinetikos, įskaitant farmakokinetiką europidų, ispanų, afrikiečių ir azijiečių organizme, duomenų analizė rodo, kad rasė akivaizdaus poveikio </w:t>
      </w:r>
      <w:proofErr w:type="spellStart"/>
      <w:r w:rsidRPr="00D867CD">
        <w:t>linagliptino</w:t>
      </w:r>
      <w:proofErr w:type="spellEnd"/>
      <w:r w:rsidRPr="00D867CD">
        <w:t xml:space="preserve"> koncentracijai kraujo plazmoje nedaro. Be to, specialiais I</w:t>
      </w:r>
      <w:r w:rsidR="00EC267F">
        <w:t> </w:t>
      </w:r>
      <w:r w:rsidRPr="00D867CD">
        <w:t xml:space="preserve">fazės tyrimais nustatyta, kad </w:t>
      </w:r>
      <w:proofErr w:type="spellStart"/>
      <w:r w:rsidRPr="00D867CD">
        <w:t>linagliptino</w:t>
      </w:r>
      <w:proofErr w:type="spellEnd"/>
      <w:r w:rsidRPr="00D867CD">
        <w:t xml:space="preserve"> farmakokinetiką sveikų savanorių japonų, kinų ir europidų </w:t>
      </w:r>
      <w:r w:rsidRPr="00D867CD">
        <w:lastRenderedPageBreak/>
        <w:t>organizme yra panaši.</w:t>
      </w:r>
    </w:p>
    <w:p w14:paraId="4C50816A" w14:textId="77777777" w:rsidR="00A01BAC" w:rsidRPr="00D867CD" w:rsidRDefault="00A01BAC" w:rsidP="00D867CD">
      <w:pPr>
        <w:pStyle w:val="Pagrindinistekstas"/>
      </w:pPr>
    </w:p>
    <w:p w14:paraId="4C50816B" w14:textId="77777777" w:rsidR="00A01BAC" w:rsidRPr="00D867CD" w:rsidRDefault="00341B61" w:rsidP="00416027">
      <w:pPr>
        <w:pStyle w:val="Antrat2"/>
        <w:numPr>
          <w:ilvl w:val="1"/>
          <w:numId w:val="13"/>
        </w:numPr>
        <w:tabs>
          <w:tab w:val="left" w:pos="567"/>
        </w:tabs>
        <w:ind w:left="567"/>
      </w:pPr>
      <w:proofErr w:type="spellStart"/>
      <w:r w:rsidRPr="00D867CD">
        <w:t>Ikiklinikinių</w:t>
      </w:r>
      <w:proofErr w:type="spellEnd"/>
      <w:r w:rsidRPr="00D867CD">
        <w:t xml:space="preserve"> saugumo tyrimų duomenys</w:t>
      </w:r>
    </w:p>
    <w:p w14:paraId="4C50816C" w14:textId="77777777" w:rsidR="00A01BAC" w:rsidRPr="00D867CD" w:rsidRDefault="00A01BAC" w:rsidP="00D867CD">
      <w:pPr>
        <w:pStyle w:val="Pagrindinistekstas"/>
        <w:rPr>
          <w:b/>
        </w:rPr>
      </w:pPr>
    </w:p>
    <w:p w14:paraId="4C50816E" w14:textId="50E14ED3" w:rsidR="00A01BAC" w:rsidRPr="00D867CD" w:rsidRDefault="00341B61" w:rsidP="00D867CD">
      <w:pPr>
        <w:pStyle w:val="Pagrindinistekstas"/>
      </w:pPr>
      <w:r w:rsidRPr="00D867CD">
        <w:t xml:space="preserve">Pelėms ir žiurkėms </w:t>
      </w:r>
      <w:r w:rsidR="001E57F3">
        <w:t>skiriant</w:t>
      </w:r>
      <w:r w:rsidRPr="00D867CD">
        <w:t xml:space="preserve"> kartotines </w:t>
      </w:r>
      <w:proofErr w:type="spellStart"/>
      <w:r w:rsidRPr="00D867CD">
        <w:t>linag</w:t>
      </w:r>
      <w:r w:rsidR="001E57F3">
        <w:t>l</w:t>
      </w:r>
      <w:r w:rsidRPr="00D867CD">
        <w:t>iptino</w:t>
      </w:r>
      <w:proofErr w:type="spellEnd"/>
      <w:r w:rsidRPr="00D867CD">
        <w:t xml:space="preserve"> dozes, kurių ekspozicija daugiau negu 300</w:t>
      </w:r>
      <w:r w:rsidR="001E57F3">
        <w:t> </w:t>
      </w:r>
      <w:r w:rsidRPr="00D867CD">
        <w:t>kartų viršijo ekspoziciją žmogui, didžiausias toksinis poveikis nustatytas kepenims, inkstams ir virškinimo traktui.</w:t>
      </w:r>
      <w:r w:rsidR="004333AD">
        <w:t xml:space="preserve"> </w:t>
      </w:r>
      <w:r w:rsidRPr="00D867CD">
        <w:t xml:space="preserve">Poveikis žiurkių reprodukcijos organams, skydliaukei bei </w:t>
      </w:r>
      <w:proofErr w:type="spellStart"/>
      <w:r w:rsidRPr="00D867CD">
        <w:t>limfoidiniams</w:t>
      </w:r>
      <w:proofErr w:type="spellEnd"/>
      <w:r w:rsidRPr="00D867CD">
        <w:t xml:space="preserve"> organams pasireiškė tada, kai ekspozicija buvo 1</w:t>
      </w:r>
      <w:r w:rsidR="0055377A">
        <w:t> </w:t>
      </w:r>
      <w:r w:rsidRPr="00D867CD">
        <w:t>500</w:t>
      </w:r>
      <w:r w:rsidR="0055377A">
        <w:t> </w:t>
      </w:r>
      <w:r w:rsidRPr="00D867CD">
        <w:t xml:space="preserve">kartų didesnė už ekspoziciją žmogui. Šunims duodant vidutinio stiprumo dozes, nustatyta stiprių </w:t>
      </w:r>
      <w:proofErr w:type="spellStart"/>
      <w:r w:rsidRPr="00D867CD">
        <w:t>pseudoalerginių</w:t>
      </w:r>
      <w:proofErr w:type="spellEnd"/>
      <w:r w:rsidRPr="00D867CD">
        <w:t xml:space="preserve"> reakcijų, sukėlusių širdies ir kraujagyslių pokyčių, kurie buvo laikomi specifiniais šunims. </w:t>
      </w:r>
      <w:proofErr w:type="spellStart"/>
      <w:r w:rsidRPr="00D867CD">
        <w:rPr>
          <w:i/>
        </w:rPr>
        <w:t>Cynomolgus</w:t>
      </w:r>
      <w:proofErr w:type="spellEnd"/>
      <w:r w:rsidRPr="00D867CD">
        <w:rPr>
          <w:i/>
        </w:rPr>
        <w:t xml:space="preserve"> </w:t>
      </w:r>
      <w:r w:rsidRPr="00D867CD">
        <w:t>beždžionėms, kurių organizme ekspozicija buvo daugiau negu 450</w:t>
      </w:r>
      <w:r w:rsidR="00C87177">
        <w:t> </w:t>
      </w:r>
      <w:r w:rsidRPr="00D867CD">
        <w:t xml:space="preserve">kartų didesnė negu žmogaus, nustatytas toksinis poveikis kepenims, inkstams, skrandžiui, reprodukcijos organams, </w:t>
      </w:r>
      <w:proofErr w:type="spellStart"/>
      <w:r w:rsidRPr="00D867CD">
        <w:t>užkrūčio</w:t>
      </w:r>
      <w:proofErr w:type="spellEnd"/>
      <w:r w:rsidRPr="00D867CD">
        <w:t xml:space="preserve"> liaukai, blužniai ir limfmazgiams. Kai ekspozicija buvo daugiau negu 100</w:t>
      </w:r>
      <w:r w:rsidR="00C87177">
        <w:t> </w:t>
      </w:r>
      <w:r w:rsidRPr="00D867CD">
        <w:t>kartų didesnė už ekspoziciją žmogaus organizme, šioms beždžionėms pagrindinis poveikis buvo skrandžio dirginimas.</w:t>
      </w:r>
    </w:p>
    <w:p w14:paraId="4C50816F" w14:textId="77777777" w:rsidR="00A01BAC" w:rsidRPr="00D867CD" w:rsidRDefault="00A01BAC" w:rsidP="00D867CD">
      <w:pPr>
        <w:pStyle w:val="Pagrindinistekstas"/>
      </w:pPr>
    </w:p>
    <w:p w14:paraId="4C508170" w14:textId="77777777" w:rsidR="00A01BAC" w:rsidRPr="00D867CD" w:rsidRDefault="00341B61" w:rsidP="00D867CD">
      <w:pPr>
        <w:pStyle w:val="Pagrindinistekstas"/>
      </w:pPr>
      <w:proofErr w:type="spellStart"/>
      <w:r w:rsidRPr="00D867CD">
        <w:t>Linagliptino</w:t>
      </w:r>
      <w:proofErr w:type="spellEnd"/>
      <w:r w:rsidRPr="00D867CD">
        <w:t xml:space="preserve"> ir svarbiausio jo metabolito galimo </w:t>
      </w:r>
      <w:proofErr w:type="spellStart"/>
      <w:r w:rsidRPr="00D867CD">
        <w:t>genotoksiškumo</w:t>
      </w:r>
      <w:proofErr w:type="spellEnd"/>
      <w:r w:rsidRPr="00D867CD">
        <w:t xml:space="preserve"> nenustatyta.</w:t>
      </w:r>
    </w:p>
    <w:p w14:paraId="4C508171" w14:textId="1A9EEA71" w:rsidR="00A01BAC" w:rsidRPr="00D867CD" w:rsidRDefault="00341B61" w:rsidP="00771114">
      <w:pPr>
        <w:pStyle w:val="Pagrindinistekstas"/>
      </w:pPr>
      <w:r w:rsidRPr="00D867CD">
        <w:t>2</w:t>
      </w:r>
      <w:r>
        <w:t> metų</w:t>
      </w:r>
      <w:r w:rsidRPr="00D867CD">
        <w:t xml:space="preserve"> trukmės </w:t>
      </w:r>
      <w:proofErr w:type="spellStart"/>
      <w:r w:rsidRPr="00D867CD">
        <w:t>kancerogeniškumo</w:t>
      </w:r>
      <w:proofErr w:type="spellEnd"/>
      <w:r w:rsidRPr="00D867CD">
        <w:t xml:space="preserve"> tyrimai su žiurkėmis ir pelėmis per burną vartojamo vaistinio preparato </w:t>
      </w:r>
      <w:proofErr w:type="spellStart"/>
      <w:r w:rsidRPr="00D867CD">
        <w:t>kancerogeniškumo</w:t>
      </w:r>
      <w:proofErr w:type="spellEnd"/>
      <w:r w:rsidRPr="00D867CD">
        <w:t xml:space="preserve"> žiurkėms ar pelių patinams neparodė. Nustatytas reikšmingai didesnis piktybinės limfomos dažnis tik pelių patelėms </w:t>
      </w:r>
      <w:r w:rsidR="00A860ED">
        <w:t>skiriant</w:t>
      </w:r>
      <w:r w:rsidRPr="00D867CD">
        <w:t xml:space="preserve"> didžiausią tirtą dozę (</w:t>
      </w:r>
      <w:r>
        <w:t>&gt; </w:t>
      </w:r>
      <w:r w:rsidRPr="00D867CD">
        <w:t>200</w:t>
      </w:r>
      <w:r w:rsidR="00A860ED">
        <w:t> </w:t>
      </w:r>
      <w:r w:rsidRPr="00D867CD">
        <w:t xml:space="preserve">kartų viršijančią ekspoziciją žmogaus organizme) žmogui reikšmingu nelaikomas (paaiškinimas: jis priklauso ne nuo gydymo, bet nuo to, kad pradinis dažnis yra labai nepastovus). Remiantis šiais tyrimais, nerimauti dėl </w:t>
      </w:r>
      <w:proofErr w:type="spellStart"/>
      <w:r w:rsidRPr="00D867CD">
        <w:t>kancerogeniškumo</w:t>
      </w:r>
      <w:proofErr w:type="spellEnd"/>
      <w:r w:rsidRPr="00D867CD">
        <w:t xml:space="preserve"> žmogui nereikia.</w:t>
      </w:r>
    </w:p>
    <w:p w14:paraId="4C508172" w14:textId="77777777" w:rsidR="00A01BAC" w:rsidRPr="00D867CD" w:rsidRDefault="00A01BAC" w:rsidP="00771114">
      <w:pPr>
        <w:pStyle w:val="Pagrindinistekstas"/>
      </w:pPr>
    </w:p>
    <w:p w14:paraId="4C508175" w14:textId="748ED49D" w:rsidR="00A01BAC" w:rsidRPr="00D867CD" w:rsidRDefault="00341B61" w:rsidP="00771114">
      <w:pPr>
        <w:pStyle w:val="Pagrindinistekstas"/>
      </w:pPr>
      <w:r w:rsidRPr="00D867CD">
        <w:t xml:space="preserve">Nepageidaujamo poveikio nesukelianti dozė (angl. </w:t>
      </w:r>
      <w:proofErr w:type="spellStart"/>
      <w:r w:rsidRPr="00D867CD">
        <w:rPr>
          <w:i/>
        </w:rPr>
        <w:t>No</w:t>
      </w:r>
      <w:proofErr w:type="spellEnd"/>
      <w:r w:rsidRPr="00D867CD">
        <w:rPr>
          <w:i/>
        </w:rPr>
        <w:t xml:space="preserve"> </w:t>
      </w:r>
      <w:proofErr w:type="spellStart"/>
      <w:r w:rsidRPr="00D867CD">
        <w:rPr>
          <w:i/>
        </w:rPr>
        <w:t>Observed</w:t>
      </w:r>
      <w:proofErr w:type="spellEnd"/>
      <w:r w:rsidRPr="00D867CD">
        <w:rPr>
          <w:i/>
        </w:rPr>
        <w:t xml:space="preserve"> </w:t>
      </w:r>
      <w:proofErr w:type="spellStart"/>
      <w:r w:rsidRPr="00D867CD">
        <w:rPr>
          <w:i/>
        </w:rPr>
        <w:t>Adverse</w:t>
      </w:r>
      <w:proofErr w:type="spellEnd"/>
      <w:r w:rsidRPr="00D867CD">
        <w:rPr>
          <w:i/>
        </w:rPr>
        <w:t xml:space="preserve"> </w:t>
      </w:r>
      <w:proofErr w:type="spellStart"/>
      <w:r w:rsidRPr="00D867CD">
        <w:rPr>
          <w:i/>
        </w:rPr>
        <w:t>Effect</w:t>
      </w:r>
      <w:proofErr w:type="spellEnd"/>
      <w:r w:rsidRPr="00D867CD">
        <w:rPr>
          <w:i/>
        </w:rPr>
        <w:t xml:space="preserve"> </w:t>
      </w:r>
      <w:proofErr w:type="spellStart"/>
      <w:r w:rsidRPr="00D867CD">
        <w:rPr>
          <w:i/>
        </w:rPr>
        <w:t>Level</w:t>
      </w:r>
      <w:proofErr w:type="spellEnd"/>
      <w:r w:rsidRPr="00D867CD">
        <w:t xml:space="preserve">, NOAEL) žiurkių vaisingumui, ankstyvam embrionų vystymuisi ir nesukelianti </w:t>
      </w:r>
      <w:proofErr w:type="spellStart"/>
      <w:r w:rsidRPr="00D867CD">
        <w:t>teratogeniškumo</w:t>
      </w:r>
      <w:proofErr w:type="spellEnd"/>
      <w:r w:rsidRPr="00D867CD">
        <w:t>, buvo</w:t>
      </w:r>
      <w:r w:rsidR="00416027">
        <w:t xml:space="preserve"> </w:t>
      </w:r>
      <w:r>
        <w:t>&gt; </w:t>
      </w:r>
      <w:r w:rsidRPr="00D867CD">
        <w:t>900</w:t>
      </w:r>
      <w:r w:rsidR="00E76999">
        <w:t> </w:t>
      </w:r>
      <w:r w:rsidRPr="00D867CD">
        <w:t>kartų didesnė už ekspoziciją žmogaus organizme. NOAEL vaikingoms žiurkėms, jų embrionams, vaisiams ir jaunikliams, buvo 49</w:t>
      </w:r>
      <w:r w:rsidR="004011F6">
        <w:t> </w:t>
      </w:r>
      <w:r w:rsidRPr="00D867CD">
        <w:t xml:space="preserve">kartus didesnė už ekspoziciją žmogaus organizme. Triušiams, kurių organizme ekspozicija buvo </w:t>
      </w:r>
      <w:r>
        <w:t>&gt; 1 000</w:t>
      </w:r>
      <w:r w:rsidR="004011F6">
        <w:t> </w:t>
      </w:r>
      <w:r w:rsidRPr="00D867CD">
        <w:t xml:space="preserve">kartų didesnė už ekspoziciją žmogaus organizme, </w:t>
      </w:r>
      <w:proofErr w:type="spellStart"/>
      <w:r w:rsidRPr="00D867CD">
        <w:t>teratogeninio</w:t>
      </w:r>
      <w:proofErr w:type="spellEnd"/>
      <w:r w:rsidRPr="00D867CD">
        <w:t xml:space="preserve"> poveikio nenustatyta. NOAEL triušių embrionams ir vaisiams buvo</w:t>
      </w:r>
      <w:r w:rsidR="00416027">
        <w:t xml:space="preserve"> </w:t>
      </w:r>
      <w:r w:rsidRPr="00D867CD">
        <w:t>78</w:t>
      </w:r>
      <w:r w:rsidR="00A1638A">
        <w:t> </w:t>
      </w:r>
      <w:r w:rsidRPr="00D867CD">
        <w:t>kartus, vaikingoms triušių patelėms 2,1</w:t>
      </w:r>
      <w:r w:rsidR="00652B73">
        <w:t> </w:t>
      </w:r>
      <w:r w:rsidRPr="00D867CD">
        <w:t xml:space="preserve">karto didesnė už ekspoziciją žmogaus organizme. Taigi manoma, jog terapinė </w:t>
      </w:r>
      <w:proofErr w:type="spellStart"/>
      <w:r w:rsidRPr="00D867CD">
        <w:t>linagliptino</w:t>
      </w:r>
      <w:proofErr w:type="spellEnd"/>
      <w:r w:rsidRPr="00D867CD">
        <w:t xml:space="preserve"> ekspozicija poveikio žmogaus reprodukcijai neturėtų daryti.</w:t>
      </w:r>
    </w:p>
    <w:p w14:paraId="4C508176" w14:textId="77777777" w:rsidR="00A01BAC" w:rsidRPr="00D867CD" w:rsidRDefault="00A01BAC" w:rsidP="00771114">
      <w:pPr>
        <w:pStyle w:val="Pagrindinistekstas"/>
      </w:pPr>
    </w:p>
    <w:p w14:paraId="4C508177" w14:textId="77777777" w:rsidR="00A01BAC" w:rsidRPr="00D867CD" w:rsidRDefault="00A01BAC" w:rsidP="00771114">
      <w:pPr>
        <w:pStyle w:val="Pagrindinistekstas"/>
      </w:pPr>
    </w:p>
    <w:p w14:paraId="4C508178" w14:textId="77777777" w:rsidR="00A01BAC" w:rsidRPr="00D867CD" w:rsidRDefault="00341B61" w:rsidP="00771114">
      <w:pPr>
        <w:pStyle w:val="Antrat1"/>
        <w:numPr>
          <w:ilvl w:val="0"/>
          <w:numId w:val="13"/>
        </w:numPr>
        <w:tabs>
          <w:tab w:val="left" w:pos="567"/>
        </w:tabs>
        <w:spacing w:before="0"/>
        <w:ind w:left="567"/>
      </w:pPr>
      <w:r w:rsidRPr="00D867CD">
        <w:t>FARMACINĖ INFORMACIJA</w:t>
      </w:r>
    </w:p>
    <w:p w14:paraId="4C508179" w14:textId="77777777" w:rsidR="00A01BAC" w:rsidRPr="00D867CD" w:rsidRDefault="00A01BAC" w:rsidP="00771114">
      <w:pPr>
        <w:pStyle w:val="Pagrindinistekstas"/>
        <w:rPr>
          <w:b/>
        </w:rPr>
      </w:pPr>
    </w:p>
    <w:p w14:paraId="4C50817A" w14:textId="77777777" w:rsidR="00A01BAC" w:rsidRDefault="00341B61" w:rsidP="00771114">
      <w:pPr>
        <w:pStyle w:val="Antrat2"/>
        <w:numPr>
          <w:ilvl w:val="1"/>
          <w:numId w:val="13"/>
        </w:numPr>
        <w:tabs>
          <w:tab w:val="left" w:pos="567"/>
        </w:tabs>
        <w:ind w:left="567"/>
      </w:pPr>
      <w:r w:rsidRPr="00D867CD">
        <w:t>Pagalbinių medžiagų sąrašas</w:t>
      </w:r>
    </w:p>
    <w:p w14:paraId="4255FE1B" w14:textId="77777777" w:rsidR="00416027" w:rsidRPr="00D867CD" w:rsidRDefault="00416027" w:rsidP="00771114">
      <w:pPr>
        <w:pStyle w:val="Antrat2"/>
        <w:tabs>
          <w:tab w:val="left" w:pos="710"/>
        </w:tabs>
        <w:ind w:left="0"/>
      </w:pPr>
    </w:p>
    <w:p w14:paraId="6D48A890" w14:textId="605975EF" w:rsidR="00416027" w:rsidRDefault="00341B61" w:rsidP="00771114">
      <w:pPr>
        <w:pStyle w:val="Pagrindinistekstas"/>
      </w:pPr>
      <w:r w:rsidRPr="00D867CD">
        <w:rPr>
          <w:u w:val="single"/>
        </w:rPr>
        <w:t>Tabletės šerdis</w:t>
      </w:r>
      <w:r w:rsidR="004D451E">
        <w:rPr>
          <w:u w:val="single"/>
        </w:rPr>
        <w:t>:</w:t>
      </w:r>
    </w:p>
    <w:p w14:paraId="4C50817B" w14:textId="44FE5D28" w:rsidR="00A01BAC" w:rsidRDefault="00341B61" w:rsidP="00771114">
      <w:pPr>
        <w:pStyle w:val="Pagrindinistekstas"/>
      </w:pPr>
      <w:proofErr w:type="spellStart"/>
      <w:r w:rsidRPr="00D867CD">
        <w:t>Manitolis</w:t>
      </w:r>
      <w:proofErr w:type="spellEnd"/>
    </w:p>
    <w:p w14:paraId="3DB1E47E" w14:textId="6C978558" w:rsidR="00B75C4E" w:rsidRPr="00D867CD" w:rsidRDefault="00B75C4E" w:rsidP="00771114">
      <w:pPr>
        <w:pStyle w:val="Pagrindinistekstas"/>
      </w:pPr>
      <w:proofErr w:type="spellStart"/>
      <w:r w:rsidRPr="00D867CD">
        <w:t>Kopovidonas</w:t>
      </w:r>
      <w:proofErr w:type="spellEnd"/>
    </w:p>
    <w:p w14:paraId="4C50817C" w14:textId="5E47191E" w:rsidR="00A01BAC" w:rsidRPr="00D867CD" w:rsidRDefault="00341B61" w:rsidP="00771114">
      <w:pPr>
        <w:pStyle w:val="Pagrindinistekstas"/>
      </w:pPr>
      <w:r w:rsidRPr="00D867CD">
        <w:t>Kukurūzų krakmolas</w:t>
      </w:r>
    </w:p>
    <w:p w14:paraId="4C50817D" w14:textId="137003FF" w:rsidR="00A01BAC" w:rsidRPr="00D867CD" w:rsidRDefault="00341B61" w:rsidP="00771114">
      <w:pPr>
        <w:pStyle w:val="Pagrindinistekstas"/>
      </w:pPr>
      <w:r w:rsidRPr="00D867CD">
        <w:t xml:space="preserve">Magnio </w:t>
      </w:r>
      <w:proofErr w:type="spellStart"/>
      <w:r w:rsidRPr="00D867CD">
        <w:t>stearatas</w:t>
      </w:r>
      <w:proofErr w:type="spellEnd"/>
    </w:p>
    <w:p w14:paraId="5A9ED560" w14:textId="77777777" w:rsidR="00A01BAC" w:rsidRDefault="00A01BAC" w:rsidP="00771114">
      <w:pPr>
        <w:pStyle w:val="Pagrindinistekstas"/>
      </w:pPr>
    </w:p>
    <w:p w14:paraId="3DFDD3FD" w14:textId="39994A07" w:rsidR="00416027" w:rsidRDefault="00341B61" w:rsidP="00771114">
      <w:pPr>
        <w:pStyle w:val="Pagrindinistekstas"/>
      </w:pPr>
      <w:r w:rsidRPr="00D867CD">
        <w:rPr>
          <w:u w:val="single"/>
        </w:rPr>
        <w:t>Tabletės plėvelė</w:t>
      </w:r>
      <w:r w:rsidR="002713CC">
        <w:rPr>
          <w:u w:val="single"/>
        </w:rPr>
        <w:t>:</w:t>
      </w:r>
    </w:p>
    <w:p w14:paraId="4C50817F" w14:textId="50468F8C" w:rsidR="00A01BAC" w:rsidRPr="00D867CD" w:rsidRDefault="00341B61" w:rsidP="00771114">
      <w:pPr>
        <w:pStyle w:val="Pagrindinistekstas"/>
      </w:pPr>
      <w:proofErr w:type="spellStart"/>
      <w:r w:rsidRPr="00D867CD">
        <w:t>Hipromeliozė</w:t>
      </w:r>
      <w:proofErr w:type="spellEnd"/>
    </w:p>
    <w:p w14:paraId="69925B59" w14:textId="03104319" w:rsidR="00416027" w:rsidRDefault="00341B61" w:rsidP="00771114">
      <w:pPr>
        <w:pStyle w:val="Pagrindinistekstas"/>
      </w:pPr>
      <w:r w:rsidRPr="00D867CD">
        <w:t>Titano dioksidas</w:t>
      </w:r>
      <w:r w:rsidR="0041420E">
        <w:t> </w:t>
      </w:r>
      <w:r w:rsidRPr="00D867CD">
        <w:t>(E</w:t>
      </w:r>
      <w:r w:rsidR="002713CC">
        <w:t> </w:t>
      </w:r>
      <w:r w:rsidRPr="00D867CD">
        <w:t>171)</w:t>
      </w:r>
    </w:p>
    <w:p w14:paraId="69AA7F98" w14:textId="3A27B5A5" w:rsidR="0041420E" w:rsidRPr="00D867CD" w:rsidRDefault="0041420E" w:rsidP="00771114">
      <w:pPr>
        <w:pStyle w:val="Pagrindinistekstas"/>
      </w:pPr>
      <w:r w:rsidRPr="00D867CD">
        <w:t>Makrogolis</w:t>
      </w:r>
      <w:r>
        <w:t> </w:t>
      </w:r>
      <w:r w:rsidRPr="00D867CD">
        <w:t>6000</w:t>
      </w:r>
    </w:p>
    <w:p w14:paraId="06543913" w14:textId="77777777" w:rsidR="002713CC" w:rsidRPr="00D867CD" w:rsidRDefault="002713CC" w:rsidP="00771114">
      <w:pPr>
        <w:pStyle w:val="Pagrindinistekstas"/>
      </w:pPr>
      <w:r w:rsidRPr="00D867CD">
        <w:t>Talkas</w:t>
      </w:r>
    </w:p>
    <w:p w14:paraId="4C508182" w14:textId="7011A145" w:rsidR="00A01BAC" w:rsidRDefault="00341B61" w:rsidP="00771114">
      <w:pPr>
        <w:pStyle w:val="Pagrindinistekstas"/>
      </w:pPr>
      <w:r w:rsidRPr="00D867CD">
        <w:t>Raudonasis geležies oksidas (E</w:t>
      </w:r>
      <w:r w:rsidR="0041420E">
        <w:t> </w:t>
      </w:r>
      <w:r w:rsidRPr="00D867CD">
        <w:t>172)</w:t>
      </w:r>
    </w:p>
    <w:p w14:paraId="6FF5F67B" w14:textId="77777777" w:rsidR="00416027" w:rsidRPr="00D867CD" w:rsidRDefault="00416027" w:rsidP="00771114">
      <w:pPr>
        <w:pStyle w:val="Pagrindinistekstas"/>
      </w:pPr>
    </w:p>
    <w:p w14:paraId="4C508183" w14:textId="77777777" w:rsidR="00A01BAC" w:rsidRPr="00D867CD" w:rsidRDefault="00341B61" w:rsidP="00771114">
      <w:pPr>
        <w:pStyle w:val="Antrat2"/>
        <w:keepNext/>
        <w:numPr>
          <w:ilvl w:val="1"/>
          <w:numId w:val="13"/>
        </w:numPr>
        <w:tabs>
          <w:tab w:val="left" w:pos="567"/>
        </w:tabs>
        <w:ind w:left="567"/>
      </w:pPr>
      <w:r w:rsidRPr="00D867CD">
        <w:t>Nesuderinamumas</w:t>
      </w:r>
    </w:p>
    <w:p w14:paraId="4C508184" w14:textId="77777777" w:rsidR="00A01BAC" w:rsidRPr="00D867CD" w:rsidRDefault="00A01BAC" w:rsidP="00771114">
      <w:pPr>
        <w:pStyle w:val="Pagrindinistekstas"/>
        <w:keepNext/>
        <w:rPr>
          <w:b/>
        </w:rPr>
      </w:pPr>
    </w:p>
    <w:p w14:paraId="4C508185" w14:textId="77777777" w:rsidR="00A01BAC" w:rsidRPr="00D867CD" w:rsidRDefault="00341B61" w:rsidP="00771114">
      <w:pPr>
        <w:pStyle w:val="Pagrindinistekstas"/>
        <w:keepNext/>
      </w:pPr>
      <w:r w:rsidRPr="00D867CD">
        <w:t>Duomenys nebūtini.</w:t>
      </w:r>
    </w:p>
    <w:p w14:paraId="4C508186" w14:textId="77777777" w:rsidR="00A01BAC" w:rsidRPr="00D867CD" w:rsidRDefault="00A01BAC" w:rsidP="00771114">
      <w:pPr>
        <w:pStyle w:val="Pagrindinistekstas"/>
      </w:pPr>
    </w:p>
    <w:p w14:paraId="4C508187" w14:textId="77777777" w:rsidR="00A01BAC" w:rsidRPr="00D867CD" w:rsidRDefault="00341B61" w:rsidP="00771114">
      <w:pPr>
        <w:pStyle w:val="Antrat2"/>
        <w:numPr>
          <w:ilvl w:val="1"/>
          <w:numId w:val="13"/>
        </w:numPr>
        <w:tabs>
          <w:tab w:val="left" w:pos="567"/>
        </w:tabs>
        <w:ind w:left="567"/>
      </w:pPr>
      <w:r w:rsidRPr="00D867CD">
        <w:t>Tinkamumo laikas</w:t>
      </w:r>
    </w:p>
    <w:p w14:paraId="4C508188" w14:textId="77777777" w:rsidR="00A01BAC" w:rsidRPr="00D867CD" w:rsidRDefault="00A01BAC" w:rsidP="00771114">
      <w:pPr>
        <w:pStyle w:val="Pagrindinistekstas"/>
        <w:rPr>
          <w:b/>
        </w:rPr>
      </w:pPr>
    </w:p>
    <w:p w14:paraId="4C508189" w14:textId="372A548A" w:rsidR="00A01BAC" w:rsidRPr="00D867CD" w:rsidRDefault="0061245E" w:rsidP="00771114">
      <w:pPr>
        <w:pStyle w:val="Pagrindinistekstas"/>
      </w:pPr>
      <w:r>
        <w:t>36 mėnesiai.</w:t>
      </w:r>
    </w:p>
    <w:p w14:paraId="4C50818A" w14:textId="77777777" w:rsidR="00A01BAC" w:rsidRPr="00D867CD" w:rsidRDefault="00A01BAC" w:rsidP="00771114">
      <w:pPr>
        <w:pStyle w:val="Pagrindinistekstas"/>
      </w:pPr>
    </w:p>
    <w:p w14:paraId="4C50818B" w14:textId="77777777" w:rsidR="00A01BAC" w:rsidRDefault="00341B61" w:rsidP="00771114">
      <w:pPr>
        <w:pStyle w:val="Antrat2"/>
        <w:numPr>
          <w:ilvl w:val="1"/>
          <w:numId w:val="13"/>
        </w:numPr>
        <w:tabs>
          <w:tab w:val="left" w:pos="567"/>
        </w:tabs>
        <w:ind w:left="567"/>
      </w:pPr>
      <w:r w:rsidRPr="00D867CD">
        <w:t>Specialios laikymo sąlygos</w:t>
      </w:r>
    </w:p>
    <w:p w14:paraId="44335E0E" w14:textId="43983E82" w:rsidR="00416027" w:rsidRPr="00D867CD" w:rsidRDefault="00416027" w:rsidP="00771114">
      <w:pPr>
        <w:pStyle w:val="Antrat2"/>
        <w:tabs>
          <w:tab w:val="left" w:pos="710"/>
        </w:tabs>
        <w:ind w:left="0"/>
      </w:pPr>
    </w:p>
    <w:p w14:paraId="4C50818C" w14:textId="77777777" w:rsidR="00A01BAC" w:rsidRPr="00D867CD" w:rsidRDefault="00341B61" w:rsidP="00771114">
      <w:pPr>
        <w:pStyle w:val="Pagrindinistekstas"/>
      </w:pPr>
      <w:r w:rsidRPr="00D867CD">
        <w:t>Šiam vaistiniam preparatui specialių laikymo sąlygų nereikia.</w:t>
      </w:r>
    </w:p>
    <w:p w14:paraId="4C50818D" w14:textId="77777777" w:rsidR="00A01BAC" w:rsidRPr="00D867CD" w:rsidRDefault="00A01BAC" w:rsidP="00771114">
      <w:pPr>
        <w:pStyle w:val="Pagrindinistekstas"/>
      </w:pPr>
    </w:p>
    <w:p w14:paraId="4C50818E" w14:textId="77777777" w:rsidR="00A01BAC" w:rsidRPr="00D867CD" w:rsidRDefault="00341B61" w:rsidP="00771114">
      <w:pPr>
        <w:pStyle w:val="Antrat2"/>
        <w:numPr>
          <w:ilvl w:val="1"/>
          <w:numId w:val="13"/>
        </w:numPr>
        <w:tabs>
          <w:tab w:val="left" w:pos="567"/>
        </w:tabs>
        <w:ind w:left="567"/>
      </w:pPr>
      <w:proofErr w:type="spellStart"/>
      <w:r w:rsidRPr="00D867CD">
        <w:t>Talpyklės</w:t>
      </w:r>
      <w:proofErr w:type="spellEnd"/>
      <w:r w:rsidRPr="00D867CD">
        <w:t xml:space="preserve"> pobūdis ir jos turinys</w:t>
      </w:r>
    </w:p>
    <w:p w14:paraId="4C50818F" w14:textId="77777777" w:rsidR="00A01BAC" w:rsidRPr="00D867CD" w:rsidRDefault="00A01BAC" w:rsidP="00771114">
      <w:pPr>
        <w:pStyle w:val="Pagrindinistekstas"/>
        <w:rPr>
          <w:b/>
        </w:rPr>
      </w:pPr>
    </w:p>
    <w:p w14:paraId="7BE0DCC9" w14:textId="5F2DA6AF" w:rsidR="001B6E6B" w:rsidRDefault="008D2CD0" w:rsidP="00771114">
      <w:pPr>
        <w:pStyle w:val="Pagrindinistekstas"/>
      </w:pPr>
      <w:r w:rsidRPr="008D2CD0">
        <w:t>OPA/aliuminio/PVC/aliuminio lizdinės plokštelės</w:t>
      </w:r>
      <w:r w:rsidR="006371E4">
        <w:t xml:space="preserve"> kartono</w:t>
      </w:r>
      <w:r w:rsidRPr="008D2CD0">
        <w:t xml:space="preserve"> dėžutėse</w:t>
      </w:r>
      <w:r>
        <w:t xml:space="preserve">, </w:t>
      </w:r>
      <w:r w:rsidR="00341B61" w:rsidRPr="00D867CD">
        <w:t xml:space="preserve">kuriose yra </w:t>
      </w:r>
      <w:r>
        <w:t xml:space="preserve">po </w:t>
      </w:r>
      <w:r w:rsidR="001B6E6B" w:rsidRPr="001B6E6B">
        <w:t>10, 14, 28, 30, 90 ir 100</w:t>
      </w:r>
      <w:r w:rsidR="001B6E6B">
        <w:t> </w:t>
      </w:r>
      <w:r w:rsidR="001B6E6B" w:rsidRPr="001B6E6B">
        <w:t>plėvele dengtų tablečių.</w:t>
      </w:r>
    </w:p>
    <w:p w14:paraId="4944279C" w14:textId="77777777" w:rsidR="001B6E6B" w:rsidRDefault="001B6E6B" w:rsidP="00771114">
      <w:pPr>
        <w:pStyle w:val="Pagrindinistekstas"/>
      </w:pPr>
    </w:p>
    <w:p w14:paraId="4C508191" w14:textId="7C83042D" w:rsidR="00A01BAC" w:rsidRDefault="00341B61" w:rsidP="00771114">
      <w:pPr>
        <w:pStyle w:val="Pagrindinistekstas"/>
      </w:pPr>
      <w:r w:rsidRPr="00D867CD">
        <w:t>Gali būti tiekiamos ne visų dydžių pakuotės.</w:t>
      </w:r>
    </w:p>
    <w:p w14:paraId="4B036E6E" w14:textId="77777777" w:rsidR="00416027" w:rsidRPr="00D867CD" w:rsidRDefault="00416027" w:rsidP="00771114">
      <w:pPr>
        <w:pStyle w:val="Pagrindinistekstas"/>
      </w:pPr>
    </w:p>
    <w:p w14:paraId="4C508192" w14:textId="77777777" w:rsidR="00A01BAC" w:rsidRPr="00D867CD" w:rsidRDefault="00341B61" w:rsidP="00771114">
      <w:pPr>
        <w:pStyle w:val="Antrat2"/>
        <w:numPr>
          <w:ilvl w:val="1"/>
          <w:numId w:val="13"/>
        </w:numPr>
        <w:tabs>
          <w:tab w:val="left" w:pos="567"/>
        </w:tabs>
        <w:ind w:left="567"/>
      </w:pPr>
      <w:r w:rsidRPr="00D867CD">
        <w:t>Specialūs reikalavimai atliekoms tvarkyti</w:t>
      </w:r>
    </w:p>
    <w:p w14:paraId="4C508193" w14:textId="77777777" w:rsidR="00A01BAC" w:rsidRPr="00D867CD" w:rsidRDefault="00A01BAC" w:rsidP="00771114">
      <w:pPr>
        <w:pStyle w:val="Pagrindinistekstas"/>
        <w:rPr>
          <w:b/>
        </w:rPr>
      </w:pPr>
    </w:p>
    <w:p w14:paraId="4C508194" w14:textId="77777777" w:rsidR="00A01BAC" w:rsidRPr="00D867CD" w:rsidRDefault="00341B61" w:rsidP="00771114">
      <w:pPr>
        <w:pStyle w:val="Pagrindinistekstas"/>
      </w:pPr>
      <w:r w:rsidRPr="00D867CD">
        <w:t>Nesuvartotą vaistinį preparatą ar atliekas reikia tvarkyti laikantis vietinių reikalavimų.</w:t>
      </w:r>
    </w:p>
    <w:p w14:paraId="4C508195" w14:textId="77777777" w:rsidR="00A01BAC" w:rsidRDefault="00A01BAC" w:rsidP="00771114">
      <w:pPr>
        <w:pStyle w:val="Pagrindinistekstas"/>
      </w:pPr>
    </w:p>
    <w:p w14:paraId="01E1132D" w14:textId="77777777" w:rsidR="006F2B77" w:rsidRPr="00D867CD" w:rsidRDefault="006F2B77" w:rsidP="00771114">
      <w:pPr>
        <w:pStyle w:val="Pagrindinistekstas"/>
      </w:pPr>
    </w:p>
    <w:p w14:paraId="4C508196" w14:textId="77777777" w:rsidR="00A01BAC" w:rsidRPr="00D867CD" w:rsidRDefault="00341B61" w:rsidP="00771114">
      <w:pPr>
        <w:pStyle w:val="Antrat1"/>
        <w:numPr>
          <w:ilvl w:val="0"/>
          <w:numId w:val="13"/>
        </w:numPr>
        <w:tabs>
          <w:tab w:val="left" w:pos="567"/>
        </w:tabs>
        <w:spacing w:before="0"/>
        <w:ind w:left="567"/>
      </w:pPr>
      <w:r w:rsidRPr="00D867CD">
        <w:t>REGISTRUOTOJAS</w:t>
      </w:r>
    </w:p>
    <w:p w14:paraId="4C508197" w14:textId="77777777" w:rsidR="00A01BAC" w:rsidRPr="00D867CD" w:rsidRDefault="00A01BAC" w:rsidP="00771114">
      <w:pPr>
        <w:pStyle w:val="Pagrindinistekstas"/>
        <w:rPr>
          <w:b/>
        </w:rPr>
      </w:pPr>
    </w:p>
    <w:p w14:paraId="313BD2B0" w14:textId="77777777" w:rsidR="006F2B77" w:rsidRDefault="006F2B77" w:rsidP="00771114">
      <w:pPr>
        <w:pStyle w:val="Pagrindinistekstas"/>
      </w:pPr>
      <w:r>
        <w:t>Olpha AS,</w:t>
      </w:r>
    </w:p>
    <w:p w14:paraId="5F0E698D" w14:textId="77777777" w:rsidR="006F2B77" w:rsidRDefault="006F2B77" w:rsidP="00771114">
      <w:pPr>
        <w:pStyle w:val="Pagrindinistekstas"/>
      </w:pPr>
      <w:proofErr w:type="spellStart"/>
      <w:r>
        <w:t>Rupnicu</w:t>
      </w:r>
      <w:proofErr w:type="spellEnd"/>
      <w:r>
        <w:t xml:space="preserve"> </w:t>
      </w:r>
      <w:proofErr w:type="spellStart"/>
      <w:r>
        <w:t>iela</w:t>
      </w:r>
      <w:proofErr w:type="spellEnd"/>
      <w:r>
        <w:t xml:space="preserve"> 5,</w:t>
      </w:r>
    </w:p>
    <w:p w14:paraId="46F4283B" w14:textId="77777777" w:rsidR="006F2B77" w:rsidRDefault="006F2B77" w:rsidP="00771114">
      <w:pPr>
        <w:pStyle w:val="Pagrindinistekstas"/>
      </w:pPr>
      <w:proofErr w:type="spellStart"/>
      <w:r>
        <w:t>Olaine</w:t>
      </w:r>
      <w:proofErr w:type="spellEnd"/>
      <w:r>
        <w:t xml:space="preserve">, </w:t>
      </w:r>
      <w:proofErr w:type="spellStart"/>
      <w:r>
        <w:t>Olaines</w:t>
      </w:r>
      <w:proofErr w:type="spellEnd"/>
      <w:r>
        <w:t xml:space="preserve"> </w:t>
      </w:r>
      <w:proofErr w:type="spellStart"/>
      <w:r>
        <w:t>novads</w:t>
      </w:r>
      <w:proofErr w:type="spellEnd"/>
      <w:r>
        <w:t>, LV-2114,</w:t>
      </w:r>
    </w:p>
    <w:p w14:paraId="4C50819A" w14:textId="1FB82964" w:rsidR="00A01BAC" w:rsidRDefault="006F2B77" w:rsidP="00771114">
      <w:pPr>
        <w:pStyle w:val="Pagrindinistekstas"/>
      </w:pPr>
      <w:r>
        <w:t>Latvija</w:t>
      </w:r>
    </w:p>
    <w:p w14:paraId="5007CF37" w14:textId="77777777" w:rsidR="006F2B77" w:rsidRDefault="006F2B77" w:rsidP="00771114">
      <w:pPr>
        <w:pStyle w:val="Pagrindinistekstas"/>
      </w:pPr>
    </w:p>
    <w:p w14:paraId="1DAA322C" w14:textId="77777777" w:rsidR="006F2B77" w:rsidRPr="00D867CD" w:rsidRDefault="006F2B77" w:rsidP="00771114">
      <w:pPr>
        <w:pStyle w:val="Pagrindinistekstas"/>
      </w:pPr>
    </w:p>
    <w:p w14:paraId="4C50819B" w14:textId="77777777" w:rsidR="00A01BAC" w:rsidRPr="00D867CD" w:rsidRDefault="00341B61" w:rsidP="00771114">
      <w:pPr>
        <w:pStyle w:val="Antrat1"/>
        <w:numPr>
          <w:ilvl w:val="0"/>
          <w:numId w:val="13"/>
        </w:numPr>
        <w:tabs>
          <w:tab w:val="left" w:pos="567"/>
        </w:tabs>
        <w:spacing w:before="0"/>
        <w:ind w:left="567"/>
      </w:pPr>
      <w:r w:rsidRPr="00D867CD">
        <w:t>REGISTRACIJOS PAŽYMĖJIMO NUMERIS (-IAI)</w:t>
      </w:r>
    </w:p>
    <w:p w14:paraId="4C50819C" w14:textId="77777777" w:rsidR="00A01BAC" w:rsidRPr="00D867CD" w:rsidRDefault="00A01BAC" w:rsidP="00771114">
      <w:pPr>
        <w:pStyle w:val="Pagrindinistekstas"/>
        <w:rPr>
          <w:b/>
        </w:rPr>
      </w:pPr>
    </w:p>
    <w:p w14:paraId="59013962" w14:textId="77777777" w:rsidR="00771114" w:rsidRDefault="00771114" w:rsidP="00771114">
      <w:pPr>
        <w:pStyle w:val="Pagrindinistekstas"/>
      </w:pPr>
      <w:r>
        <w:t>LT/1/26/5979/001 – N10</w:t>
      </w:r>
    </w:p>
    <w:p w14:paraId="1F033F7E" w14:textId="77777777" w:rsidR="00771114" w:rsidRDefault="00771114" w:rsidP="00771114">
      <w:pPr>
        <w:pStyle w:val="Pagrindinistekstas"/>
      </w:pPr>
      <w:r>
        <w:t>LT/1/26/5979/002 – N14</w:t>
      </w:r>
    </w:p>
    <w:p w14:paraId="5AA784E9" w14:textId="77777777" w:rsidR="00771114" w:rsidRDefault="00771114" w:rsidP="00771114">
      <w:pPr>
        <w:pStyle w:val="Pagrindinistekstas"/>
      </w:pPr>
      <w:r>
        <w:t>LT/1/26/5979/003 – N28</w:t>
      </w:r>
    </w:p>
    <w:p w14:paraId="67A2CB10" w14:textId="77777777" w:rsidR="00771114" w:rsidRDefault="00771114" w:rsidP="00771114">
      <w:pPr>
        <w:pStyle w:val="Pagrindinistekstas"/>
      </w:pPr>
      <w:r>
        <w:t>LT/1/26/5979/004 – N30</w:t>
      </w:r>
    </w:p>
    <w:p w14:paraId="6B551EA5" w14:textId="77777777" w:rsidR="00771114" w:rsidRDefault="00771114" w:rsidP="00771114">
      <w:pPr>
        <w:pStyle w:val="Pagrindinistekstas"/>
      </w:pPr>
      <w:r>
        <w:t>LT/1/26/5979/005 – N90</w:t>
      </w:r>
    </w:p>
    <w:p w14:paraId="45D1BBBC" w14:textId="3B85871E" w:rsidR="00A01BAC" w:rsidRDefault="00771114" w:rsidP="00771114">
      <w:pPr>
        <w:pStyle w:val="Pagrindinistekstas"/>
      </w:pPr>
      <w:r>
        <w:t>LT/1/26/5979/006 – N100</w:t>
      </w:r>
    </w:p>
    <w:p w14:paraId="0DBA5351" w14:textId="77777777" w:rsidR="00771114" w:rsidRDefault="00771114" w:rsidP="00771114">
      <w:pPr>
        <w:pStyle w:val="Pagrindinistekstas"/>
      </w:pPr>
    </w:p>
    <w:p w14:paraId="686E42DC" w14:textId="77777777" w:rsidR="00771114" w:rsidRDefault="00771114" w:rsidP="00771114">
      <w:pPr>
        <w:pStyle w:val="Pagrindinistekstas"/>
      </w:pPr>
    </w:p>
    <w:p w14:paraId="4C5081A9" w14:textId="77777777" w:rsidR="00A01BAC" w:rsidRPr="00D867CD" w:rsidRDefault="00341B61" w:rsidP="00771114">
      <w:pPr>
        <w:pStyle w:val="Antrat1"/>
        <w:numPr>
          <w:ilvl w:val="0"/>
          <w:numId w:val="13"/>
        </w:numPr>
        <w:tabs>
          <w:tab w:val="left" w:pos="567"/>
        </w:tabs>
        <w:spacing w:before="0"/>
        <w:ind w:left="567"/>
      </w:pPr>
      <w:r w:rsidRPr="00D867CD">
        <w:t>REGISTRAVIMO / PERREGISTRAVIMO DATA</w:t>
      </w:r>
    </w:p>
    <w:p w14:paraId="4C5081AA" w14:textId="77777777" w:rsidR="00A01BAC" w:rsidRPr="00D867CD" w:rsidRDefault="00A01BAC" w:rsidP="00771114">
      <w:pPr>
        <w:pStyle w:val="Pagrindinistekstas"/>
        <w:rPr>
          <w:b/>
        </w:rPr>
      </w:pPr>
    </w:p>
    <w:p w14:paraId="4C5081AB" w14:textId="15755832" w:rsidR="00A01BAC" w:rsidRPr="00D867CD" w:rsidRDefault="00341B61" w:rsidP="00771114">
      <w:pPr>
        <w:pStyle w:val="Pagrindinistekstas"/>
      </w:pPr>
      <w:r w:rsidRPr="00D867CD">
        <w:t xml:space="preserve">Registravimo data </w:t>
      </w:r>
      <w:r w:rsidR="00771114">
        <w:rPr>
          <w:szCs w:val="24"/>
        </w:rPr>
        <w:t>2026 m. kovo 18 d.</w:t>
      </w:r>
    </w:p>
    <w:p w14:paraId="4C5081AC" w14:textId="77777777" w:rsidR="00A01BAC" w:rsidRPr="00D867CD" w:rsidRDefault="00A01BAC" w:rsidP="00771114">
      <w:pPr>
        <w:pStyle w:val="Pagrindinistekstas"/>
      </w:pPr>
    </w:p>
    <w:p w14:paraId="4C5081AD" w14:textId="77777777" w:rsidR="00A01BAC" w:rsidRPr="00D867CD" w:rsidRDefault="00A01BAC" w:rsidP="00771114">
      <w:pPr>
        <w:pStyle w:val="Pagrindinistekstas"/>
      </w:pPr>
    </w:p>
    <w:p w14:paraId="4C5081AE" w14:textId="77777777" w:rsidR="00A01BAC" w:rsidRDefault="00341B61" w:rsidP="00771114">
      <w:pPr>
        <w:pStyle w:val="Antrat1"/>
        <w:numPr>
          <w:ilvl w:val="0"/>
          <w:numId w:val="13"/>
        </w:numPr>
        <w:tabs>
          <w:tab w:val="left" w:pos="567"/>
        </w:tabs>
        <w:spacing w:before="0"/>
        <w:ind w:left="567"/>
      </w:pPr>
      <w:r w:rsidRPr="00D867CD">
        <w:t>TEKSTO PERŽIŪROS DATA</w:t>
      </w:r>
    </w:p>
    <w:p w14:paraId="161D1042" w14:textId="77777777" w:rsidR="00771114" w:rsidRDefault="00771114" w:rsidP="00771114">
      <w:pPr>
        <w:pStyle w:val="Antrat1"/>
        <w:tabs>
          <w:tab w:val="left" w:pos="567"/>
        </w:tabs>
        <w:spacing w:before="0"/>
      </w:pPr>
    </w:p>
    <w:p w14:paraId="10A62490" w14:textId="4EB9723C" w:rsidR="00771114" w:rsidRPr="00D867CD" w:rsidRDefault="00771114" w:rsidP="00771114">
      <w:pPr>
        <w:pStyle w:val="Pagrindinistekstas"/>
      </w:pPr>
      <w:r>
        <w:t>2026 m. kovo 18 d.</w:t>
      </w:r>
    </w:p>
    <w:p w14:paraId="4C5081AF" w14:textId="77777777" w:rsidR="00A01BAC" w:rsidRPr="00D867CD" w:rsidRDefault="00A01BAC" w:rsidP="00D867CD">
      <w:pPr>
        <w:pStyle w:val="Pagrindinistekstas"/>
        <w:rPr>
          <w:b/>
        </w:rPr>
      </w:pPr>
    </w:p>
    <w:p w14:paraId="4C5081B0" w14:textId="4B2B5634" w:rsidR="00A01BAC" w:rsidRPr="00D867CD" w:rsidRDefault="004504C9" w:rsidP="00D867CD">
      <w:pPr>
        <w:pStyle w:val="Pagrindinistekstas"/>
      </w:pPr>
      <w:r>
        <w:rPr>
          <w:lang w:eastAsia="lt-LT"/>
        </w:rPr>
        <w:t xml:space="preserve">Išsami informacija apie šį vaistinį preparatą pateikiama Valstybinės vaistų kontrolės tarnybos prie Lietuvos Respublikos sveikatos apsaugos ministerijos tinklalapyje </w:t>
      </w:r>
      <w:hyperlink r:id="rId10" w:history="1">
        <w:r w:rsidRPr="00530AE2">
          <w:rPr>
            <w:rStyle w:val="Hipersaitas"/>
            <w:lang w:eastAsia="lt-LT"/>
          </w:rPr>
          <w:t>https://vvkt.lrv.lt/lt/</w:t>
        </w:r>
      </w:hyperlink>
      <w:r>
        <w:rPr>
          <w:lang w:eastAsia="lt-LT"/>
        </w:rPr>
        <w:t>.</w:t>
      </w:r>
    </w:p>
    <w:p w14:paraId="75D8C2CF" w14:textId="77777777" w:rsidR="00A01BAC" w:rsidRDefault="00A01BAC" w:rsidP="00D867CD">
      <w:pPr>
        <w:pStyle w:val="Pagrindinistekstas"/>
      </w:pPr>
    </w:p>
    <w:p w14:paraId="51C9EB4D" w14:textId="1880C983" w:rsidR="00682A0B" w:rsidRDefault="00682A0B">
      <w:pPr>
        <w:rPr>
          <w:b/>
          <w:bCs/>
        </w:rPr>
      </w:pPr>
      <w:r>
        <w:rPr>
          <w:b/>
          <w:bCs/>
        </w:rPr>
        <w:br w:type="page"/>
      </w:r>
    </w:p>
    <w:p w14:paraId="4A54B938" w14:textId="77777777" w:rsidR="005C5ACD" w:rsidRPr="007A5A89" w:rsidRDefault="005C5ACD" w:rsidP="005C5ACD">
      <w:pPr>
        <w:pStyle w:val="Pagrindinistekstas"/>
      </w:pPr>
    </w:p>
    <w:p w14:paraId="2F5287CA" w14:textId="77777777" w:rsidR="005C5ACD" w:rsidRPr="007A5A89" w:rsidRDefault="005C5ACD" w:rsidP="005C5ACD">
      <w:pPr>
        <w:pStyle w:val="Pagrindinistekstas"/>
      </w:pPr>
    </w:p>
    <w:p w14:paraId="0C30202F" w14:textId="77777777" w:rsidR="005C5ACD" w:rsidRPr="007A5A89" w:rsidRDefault="005C5ACD" w:rsidP="005C5ACD">
      <w:pPr>
        <w:pStyle w:val="Pagrindinistekstas"/>
      </w:pPr>
    </w:p>
    <w:p w14:paraId="2D4F6FB6" w14:textId="77777777" w:rsidR="005C5ACD" w:rsidRPr="007A5A89" w:rsidRDefault="005C5ACD" w:rsidP="005C5ACD">
      <w:pPr>
        <w:pStyle w:val="Pagrindinistekstas"/>
      </w:pPr>
    </w:p>
    <w:p w14:paraId="5B7D5B47" w14:textId="77777777" w:rsidR="005C5ACD" w:rsidRPr="007A5A89" w:rsidRDefault="005C5ACD" w:rsidP="005C5ACD">
      <w:pPr>
        <w:pStyle w:val="Pagrindinistekstas"/>
      </w:pPr>
    </w:p>
    <w:p w14:paraId="73239B8A" w14:textId="77777777" w:rsidR="005C5ACD" w:rsidRPr="007A5A89" w:rsidRDefault="005C5ACD" w:rsidP="005C5ACD">
      <w:pPr>
        <w:pStyle w:val="Pagrindinistekstas"/>
      </w:pPr>
    </w:p>
    <w:p w14:paraId="3812FACA" w14:textId="77777777" w:rsidR="005C5ACD" w:rsidRPr="007A5A89" w:rsidRDefault="005C5ACD" w:rsidP="005C5ACD">
      <w:pPr>
        <w:pStyle w:val="Pagrindinistekstas"/>
      </w:pPr>
    </w:p>
    <w:p w14:paraId="4B2BE263" w14:textId="77777777" w:rsidR="005C5ACD" w:rsidRPr="007A5A89" w:rsidRDefault="005C5ACD" w:rsidP="005C5ACD">
      <w:pPr>
        <w:pStyle w:val="Pagrindinistekstas"/>
      </w:pPr>
    </w:p>
    <w:p w14:paraId="6D98C2FC" w14:textId="77777777" w:rsidR="005C5ACD" w:rsidRPr="007A5A89" w:rsidRDefault="005C5ACD" w:rsidP="005C5ACD">
      <w:pPr>
        <w:pStyle w:val="Pagrindinistekstas"/>
      </w:pPr>
    </w:p>
    <w:p w14:paraId="187D2147" w14:textId="77777777" w:rsidR="005C5ACD" w:rsidRPr="007A5A89" w:rsidRDefault="005C5ACD" w:rsidP="005C5ACD">
      <w:pPr>
        <w:pStyle w:val="Pagrindinistekstas"/>
      </w:pPr>
    </w:p>
    <w:p w14:paraId="137271A5" w14:textId="77777777" w:rsidR="005C5ACD" w:rsidRPr="007A5A89" w:rsidRDefault="005C5ACD" w:rsidP="005C5ACD">
      <w:pPr>
        <w:pStyle w:val="Pagrindinistekstas"/>
      </w:pPr>
    </w:p>
    <w:p w14:paraId="287E7A0B" w14:textId="77777777" w:rsidR="005C5ACD" w:rsidRPr="007A5A89" w:rsidRDefault="005C5ACD" w:rsidP="005C5ACD">
      <w:pPr>
        <w:pStyle w:val="Pagrindinistekstas"/>
      </w:pPr>
    </w:p>
    <w:p w14:paraId="171CCD31" w14:textId="77777777" w:rsidR="005C5ACD" w:rsidRPr="007A5A89" w:rsidRDefault="005C5ACD" w:rsidP="005C5ACD">
      <w:pPr>
        <w:pStyle w:val="Pagrindinistekstas"/>
      </w:pPr>
    </w:p>
    <w:p w14:paraId="46F8986F" w14:textId="77777777" w:rsidR="005C5ACD" w:rsidRPr="007A5A89" w:rsidRDefault="005C5ACD" w:rsidP="005C5ACD">
      <w:pPr>
        <w:pStyle w:val="Pagrindinistekstas"/>
      </w:pPr>
    </w:p>
    <w:p w14:paraId="49FCA6AD" w14:textId="77777777" w:rsidR="005C5ACD" w:rsidRPr="007A5A89" w:rsidRDefault="005C5ACD" w:rsidP="005C5ACD">
      <w:pPr>
        <w:pStyle w:val="Pagrindinistekstas"/>
      </w:pPr>
    </w:p>
    <w:p w14:paraId="7C931834" w14:textId="77777777" w:rsidR="005C5ACD" w:rsidRPr="007A5A89" w:rsidRDefault="005C5ACD" w:rsidP="005C5ACD">
      <w:pPr>
        <w:pStyle w:val="Pagrindinistekstas"/>
      </w:pPr>
    </w:p>
    <w:p w14:paraId="32148F88" w14:textId="77777777" w:rsidR="005C5ACD" w:rsidRPr="007A5A89" w:rsidRDefault="005C5ACD" w:rsidP="005C5ACD">
      <w:pPr>
        <w:pStyle w:val="Pagrindinistekstas"/>
      </w:pPr>
    </w:p>
    <w:p w14:paraId="59D32BFF" w14:textId="77777777" w:rsidR="005C5ACD" w:rsidRPr="007A5A89" w:rsidRDefault="005C5ACD" w:rsidP="005C5ACD">
      <w:pPr>
        <w:pStyle w:val="Pagrindinistekstas"/>
      </w:pPr>
    </w:p>
    <w:p w14:paraId="154BBC71" w14:textId="77777777" w:rsidR="005C5ACD" w:rsidRDefault="005C5ACD" w:rsidP="005C5ACD">
      <w:pPr>
        <w:pStyle w:val="Pagrindinistekstas"/>
      </w:pPr>
    </w:p>
    <w:p w14:paraId="20962406" w14:textId="77777777" w:rsidR="004A400F" w:rsidRDefault="004A400F" w:rsidP="005C5ACD">
      <w:pPr>
        <w:pStyle w:val="Pagrindinistekstas"/>
      </w:pPr>
    </w:p>
    <w:p w14:paraId="58C0A7AA" w14:textId="77777777" w:rsidR="004A400F" w:rsidRDefault="004A400F" w:rsidP="005C5ACD">
      <w:pPr>
        <w:pStyle w:val="Pagrindinistekstas"/>
      </w:pPr>
    </w:p>
    <w:p w14:paraId="0E659E2D" w14:textId="77777777" w:rsidR="004A400F" w:rsidRDefault="004A400F" w:rsidP="005C5ACD">
      <w:pPr>
        <w:pStyle w:val="Pagrindinistekstas"/>
      </w:pPr>
    </w:p>
    <w:p w14:paraId="69469BFA" w14:textId="77777777" w:rsidR="004A400F" w:rsidRPr="007A5A89" w:rsidRDefault="004A400F" w:rsidP="005C5ACD">
      <w:pPr>
        <w:pStyle w:val="Pagrindinistekstas"/>
      </w:pPr>
    </w:p>
    <w:p w14:paraId="1588F69F" w14:textId="77777777" w:rsidR="005C5ACD" w:rsidRDefault="005C5ACD" w:rsidP="005C5ACD">
      <w:pPr>
        <w:jc w:val="center"/>
        <w:rPr>
          <w:b/>
          <w:spacing w:val="-2"/>
        </w:rPr>
      </w:pPr>
      <w:r w:rsidRPr="007A5A89">
        <w:rPr>
          <w:b/>
        </w:rPr>
        <w:t>II</w:t>
      </w:r>
      <w:r w:rsidRPr="007A5A89">
        <w:rPr>
          <w:b/>
          <w:spacing w:val="-2"/>
        </w:rPr>
        <w:t xml:space="preserve"> PRIEDAS</w:t>
      </w:r>
    </w:p>
    <w:p w14:paraId="4269F4BF" w14:textId="77777777" w:rsidR="005C5ACD" w:rsidRDefault="005C5ACD" w:rsidP="005C5ACD">
      <w:pPr>
        <w:jc w:val="center"/>
        <w:rPr>
          <w:b/>
          <w:spacing w:val="-2"/>
        </w:rPr>
      </w:pPr>
    </w:p>
    <w:p w14:paraId="75DF2C0F" w14:textId="77777777" w:rsidR="005C5ACD" w:rsidRPr="007A5A89" w:rsidRDefault="005C5ACD" w:rsidP="005C5ACD">
      <w:pPr>
        <w:jc w:val="center"/>
        <w:rPr>
          <w:b/>
        </w:rPr>
      </w:pPr>
      <w:r>
        <w:rPr>
          <w:b/>
        </w:rPr>
        <w:t>REGISTRACIJOS SĄLYGOS</w:t>
      </w:r>
    </w:p>
    <w:p w14:paraId="0DAA3224" w14:textId="77777777" w:rsidR="005C5ACD" w:rsidRPr="007A5A89" w:rsidRDefault="005C5ACD" w:rsidP="005C5ACD">
      <w:pPr>
        <w:pStyle w:val="Pagrindinistekstas"/>
        <w:jc w:val="center"/>
        <w:rPr>
          <w:b/>
        </w:rPr>
      </w:pPr>
    </w:p>
    <w:p w14:paraId="555237C3" w14:textId="77777777" w:rsidR="005C5ACD" w:rsidRPr="005D554B" w:rsidRDefault="005C5ACD" w:rsidP="005C5ACD">
      <w:pPr>
        <w:tabs>
          <w:tab w:val="left" w:pos="1701"/>
        </w:tabs>
        <w:spacing w:line="260" w:lineRule="exact"/>
        <w:ind w:left="1701" w:right="567" w:hanging="567"/>
        <w:rPr>
          <w:b/>
          <w:noProof/>
          <w:snapToGrid w:val="0"/>
          <w:szCs w:val="24"/>
        </w:rPr>
      </w:pPr>
      <w:r w:rsidRPr="005D554B">
        <w:rPr>
          <w:b/>
          <w:noProof/>
          <w:snapToGrid w:val="0"/>
          <w:szCs w:val="24"/>
        </w:rPr>
        <w:t>A.</w:t>
      </w:r>
      <w:r w:rsidRPr="005D554B">
        <w:rPr>
          <w:b/>
          <w:noProof/>
          <w:snapToGrid w:val="0"/>
          <w:szCs w:val="24"/>
        </w:rPr>
        <w:tab/>
        <w:t>GAMINTOJAS (-AI), ATSAKINGAS (-I) UŽ SERIJŲ IŠLEIDIMĄ</w:t>
      </w:r>
    </w:p>
    <w:p w14:paraId="4E3225E1" w14:textId="77777777" w:rsidR="005C5ACD" w:rsidRPr="005D554B" w:rsidRDefault="005C5ACD" w:rsidP="005C5ACD">
      <w:pPr>
        <w:tabs>
          <w:tab w:val="left" w:pos="1701"/>
        </w:tabs>
        <w:spacing w:line="260" w:lineRule="exact"/>
        <w:ind w:left="567" w:right="567" w:hanging="567"/>
        <w:rPr>
          <w:noProof/>
          <w:snapToGrid w:val="0"/>
          <w:szCs w:val="24"/>
        </w:rPr>
      </w:pPr>
    </w:p>
    <w:p w14:paraId="74E4141C" w14:textId="77777777" w:rsidR="005C5ACD" w:rsidRPr="005D554B" w:rsidRDefault="005C5ACD" w:rsidP="005C5ACD">
      <w:pPr>
        <w:tabs>
          <w:tab w:val="left" w:pos="1701"/>
        </w:tabs>
        <w:spacing w:line="260" w:lineRule="exact"/>
        <w:ind w:left="1701" w:right="567" w:hanging="567"/>
        <w:rPr>
          <w:b/>
          <w:snapToGrid w:val="0"/>
        </w:rPr>
      </w:pPr>
      <w:r w:rsidRPr="005D554B">
        <w:rPr>
          <w:b/>
          <w:snapToGrid w:val="0"/>
        </w:rPr>
        <w:t>B.</w:t>
      </w:r>
      <w:r w:rsidRPr="005D554B">
        <w:rPr>
          <w:b/>
          <w:snapToGrid w:val="0"/>
        </w:rPr>
        <w:tab/>
        <w:t>TIEKIMO IR VARTOJIMO SĄLYGOS AR APRIBOJIMAI</w:t>
      </w:r>
    </w:p>
    <w:p w14:paraId="570BB1BE" w14:textId="6970700D" w:rsidR="005C5ACD" w:rsidRPr="005D554B" w:rsidRDefault="005C5ACD" w:rsidP="00C838F6">
      <w:pPr>
        <w:tabs>
          <w:tab w:val="left" w:pos="1701"/>
        </w:tabs>
        <w:spacing w:line="260" w:lineRule="exact"/>
        <w:ind w:right="567"/>
        <w:rPr>
          <w:b/>
          <w:bCs/>
          <w:snapToGrid w:val="0"/>
        </w:rPr>
      </w:pPr>
    </w:p>
    <w:p w14:paraId="76AE9A04" w14:textId="77777777" w:rsidR="005C5ACD" w:rsidRPr="00302C13" w:rsidRDefault="005C5ACD" w:rsidP="005C5ACD">
      <w:pPr>
        <w:widowControl/>
        <w:tabs>
          <w:tab w:val="left" w:pos="1701"/>
        </w:tabs>
        <w:autoSpaceDE/>
        <w:autoSpaceDN/>
        <w:rPr>
          <w:b/>
          <w:szCs w:val="24"/>
        </w:rPr>
      </w:pPr>
    </w:p>
    <w:p w14:paraId="23577D0C" w14:textId="77777777" w:rsidR="005C5ACD" w:rsidRPr="00302C13" w:rsidRDefault="005C5ACD" w:rsidP="005C5ACD">
      <w:pPr>
        <w:widowControl/>
        <w:tabs>
          <w:tab w:val="left" w:pos="1701"/>
        </w:tabs>
        <w:autoSpaceDE/>
        <w:autoSpaceDN/>
        <w:rPr>
          <w:b/>
          <w:szCs w:val="24"/>
        </w:rPr>
      </w:pPr>
    </w:p>
    <w:p w14:paraId="6E64F6EB" w14:textId="77777777" w:rsidR="005C5ACD" w:rsidRPr="008E0C82" w:rsidRDefault="005C5ACD" w:rsidP="005C5ACD">
      <w:pPr>
        <w:widowControl/>
        <w:tabs>
          <w:tab w:val="left" w:pos="1701"/>
        </w:tabs>
        <w:autoSpaceDE/>
        <w:autoSpaceDN/>
        <w:rPr>
          <w:b/>
          <w:szCs w:val="24"/>
        </w:rPr>
      </w:pPr>
    </w:p>
    <w:p w14:paraId="4C5081CF" w14:textId="1D8F3389" w:rsidR="00A01BAC" w:rsidRPr="00D867CD" w:rsidRDefault="005C5ACD" w:rsidP="00A818C5">
      <w:pPr>
        <w:pStyle w:val="Sraopastraipa"/>
        <w:ind w:left="567"/>
        <w:rPr>
          <w:b/>
        </w:rPr>
      </w:pPr>
      <w:bookmarkStart w:id="1" w:name="A._GAMINTOJAS_(-AI),_ATSAKINGAS_(-I)_UŽ_"/>
      <w:bookmarkEnd w:id="1"/>
      <w:r w:rsidRPr="008E0C82">
        <w:rPr>
          <w:b/>
          <w:szCs w:val="24"/>
        </w:rPr>
        <w:br w:type="page"/>
      </w:r>
      <w:r w:rsidR="00A818C5">
        <w:rPr>
          <w:b/>
          <w:szCs w:val="24"/>
        </w:rPr>
        <w:lastRenderedPageBreak/>
        <w:t>A.</w:t>
      </w:r>
      <w:r w:rsidR="00A818C5">
        <w:rPr>
          <w:b/>
          <w:szCs w:val="24"/>
        </w:rPr>
        <w:tab/>
      </w:r>
      <w:r w:rsidR="00341B61" w:rsidRPr="00D867CD">
        <w:rPr>
          <w:b/>
        </w:rPr>
        <w:t>GAMINTOJAS (-AI), ATSAKINGAS (-I) UŽ SERIJŲ IŠLEIDIMĄ</w:t>
      </w:r>
    </w:p>
    <w:p w14:paraId="4C5081D0" w14:textId="77777777" w:rsidR="00A01BAC" w:rsidRPr="00D867CD" w:rsidRDefault="00A01BAC" w:rsidP="00D867CD">
      <w:pPr>
        <w:pStyle w:val="Pagrindinistekstas"/>
        <w:rPr>
          <w:b/>
        </w:rPr>
      </w:pPr>
    </w:p>
    <w:p w14:paraId="4C5081D1" w14:textId="05C33FD6" w:rsidR="00A01BAC" w:rsidRPr="00D867CD" w:rsidRDefault="006371E4" w:rsidP="00D867CD">
      <w:pPr>
        <w:pStyle w:val="Pagrindinistekstas"/>
      </w:pPr>
      <w:r w:rsidRPr="006371E4">
        <w:rPr>
          <w:u w:val="single"/>
        </w:rPr>
        <w:t>Gamintojo (-ų), atsakingo (-ų) už serijų išleidimą, pavadinimas (-ai) ir adresas (-ai)</w:t>
      </w:r>
    </w:p>
    <w:p w14:paraId="4C5081D2" w14:textId="77777777" w:rsidR="00A01BAC" w:rsidRPr="00D867CD" w:rsidRDefault="00A01BAC" w:rsidP="00D867CD">
      <w:pPr>
        <w:pStyle w:val="Pagrindinistekstas"/>
      </w:pPr>
    </w:p>
    <w:p w14:paraId="2953D588" w14:textId="77777777" w:rsidR="00096B34" w:rsidRDefault="00096B34" w:rsidP="00096B34">
      <w:pPr>
        <w:pStyle w:val="Pagrindinistekstas"/>
      </w:pPr>
      <w:r>
        <w:t>SAG MANUFACTURING, S.L.U.</w:t>
      </w:r>
    </w:p>
    <w:p w14:paraId="10338FCF" w14:textId="77777777" w:rsidR="00096B34" w:rsidRDefault="00096B34" w:rsidP="00096B34">
      <w:pPr>
        <w:pStyle w:val="Pagrindinistekstas"/>
      </w:pPr>
      <w:proofErr w:type="spellStart"/>
      <w:r>
        <w:t>Ctra</w:t>
      </w:r>
      <w:proofErr w:type="spellEnd"/>
      <w:r>
        <w:t>. N I, Km 36</w:t>
      </w:r>
    </w:p>
    <w:p w14:paraId="2520C407" w14:textId="77777777" w:rsidR="00096B34" w:rsidRDefault="00096B34" w:rsidP="00096B34">
      <w:pPr>
        <w:pStyle w:val="Pagrindinistekstas"/>
      </w:pPr>
      <w:r>
        <w:t xml:space="preserve">28750 San </w:t>
      </w:r>
      <w:proofErr w:type="spellStart"/>
      <w:r>
        <w:t>Agustin</w:t>
      </w:r>
      <w:proofErr w:type="spellEnd"/>
      <w:r>
        <w:t xml:space="preserve"> de </w:t>
      </w:r>
      <w:proofErr w:type="spellStart"/>
      <w:r>
        <w:t>Guadalix</w:t>
      </w:r>
      <w:proofErr w:type="spellEnd"/>
      <w:r>
        <w:t xml:space="preserve">, </w:t>
      </w:r>
      <w:proofErr w:type="spellStart"/>
      <w:r>
        <w:t>Madrid</w:t>
      </w:r>
      <w:proofErr w:type="spellEnd"/>
      <w:r>
        <w:t>,</w:t>
      </w:r>
    </w:p>
    <w:p w14:paraId="750D137C" w14:textId="4012F972" w:rsidR="00096B34" w:rsidRDefault="00096B34" w:rsidP="00096B34">
      <w:pPr>
        <w:pStyle w:val="Pagrindinistekstas"/>
      </w:pPr>
      <w:r>
        <w:t>Ispanija</w:t>
      </w:r>
    </w:p>
    <w:p w14:paraId="11B17F2D" w14:textId="77777777" w:rsidR="00096B34" w:rsidRDefault="00096B34" w:rsidP="00096B34">
      <w:pPr>
        <w:pStyle w:val="Pagrindinistekstas"/>
      </w:pPr>
    </w:p>
    <w:p w14:paraId="61689007" w14:textId="65D71EAD" w:rsidR="00096B34" w:rsidRDefault="00096B34" w:rsidP="00096B34">
      <w:pPr>
        <w:pStyle w:val="Pagrindinistekstas"/>
      </w:pPr>
      <w:r>
        <w:t>arba</w:t>
      </w:r>
    </w:p>
    <w:p w14:paraId="036A3C9B" w14:textId="77777777" w:rsidR="00096B34" w:rsidRDefault="00096B34" w:rsidP="00096B34">
      <w:pPr>
        <w:pStyle w:val="Pagrindinistekstas"/>
      </w:pPr>
    </w:p>
    <w:p w14:paraId="1DA3B48B" w14:textId="77777777" w:rsidR="00096B34" w:rsidRDefault="00096B34" w:rsidP="00096B34">
      <w:pPr>
        <w:pStyle w:val="Pagrindinistekstas"/>
      </w:pPr>
      <w:r>
        <w:t>GALENICUM HEALTH, S.L.U</w:t>
      </w:r>
    </w:p>
    <w:p w14:paraId="2C51EEBF" w14:textId="77777777" w:rsidR="00096B34" w:rsidRDefault="00096B34" w:rsidP="00096B34">
      <w:pPr>
        <w:pStyle w:val="Pagrindinistekstas"/>
      </w:pPr>
      <w:proofErr w:type="spellStart"/>
      <w:r>
        <w:t>Sant</w:t>
      </w:r>
      <w:proofErr w:type="spellEnd"/>
      <w:r>
        <w:t xml:space="preserve"> </w:t>
      </w:r>
      <w:proofErr w:type="spellStart"/>
      <w:r>
        <w:t>Gabriel</w:t>
      </w:r>
      <w:proofErr w:type="spellEnd"/>
      <w:r>
        <w:t>, 50</w:t>
      </w:r>
    </w:p>
    <w:p w14:paraId="5E40DC58" w14:textId="77777777" w:rsidR="00096B34" w:rsidRDefault="00096B34" w:rsidP="00096B34">
      <w:pPr>
        <w:pStyle w:val="Pagrindinistekstas"/>
      </w:pPr>
      <w:proofErr w:type="spellStart"/>
      <w:r>
        <w:t>Esplugues</w:t>
      </w:r>
      <w:proofErr w:type="spellEnd"/>
      <w:r>
        <w:t xml:space="preserve"> </w:t>
      </w:r>
      <w:proofErr w:type="spellStart"/>
      <w:r>
        <w:t>se</w:t>
      </w:r>
      <w:proofErr w:type="spellEnd"/>
      <w:r>
        <w:t xml:space="preserve"> </w:t>
      </w:r>
      <w:proofErr w:type="spellStart"/>
      <w:r>
        <w:t>Llobregat</w:t>
      </w:r>
      <w:proofErr w:type="spellEnd"/>
      <w:r>
        <w:t xml:space="preserve">, 08950 </w:t>
      </w:r>
      <w:proofErr w:type="spellStart"/>
      <w:r>
        <w:t>Barcelona</w:t>
      </w:r>
      <w:proofErr w:type="spellEnd"/>
      <w:r>
        <w:t>,</w:t>
      </w:r>
    </w:p>
    <w:p w14:paraId="35BE8698" w14:textId="7E357D63" w:rsidR="00C55199" w:rsidRDefault="00096B34" w:rsidP="00096B34">
      <w:pPr>
        <w:pStyle w:val="Pagrindinistekstas"/>
      </w:pPr>
      <w:r>
        <w:t>Ispanija</w:t>
      </w:r>
    </w:p>
    <w:p w14:paraId="7451FB27" w14:textId="77777777" w:rsidR="00096B34" w:rsidRDefault="00096B34" w:rsidP="00096B34">
      <w:pPr>
        <w:pStyle w:val="Pagrindinistekstas"/>
      </w:pPr>
    </w:p>
    <w:p w14:paraId="3E4F3CCD" w14:textId="77777777" w:rsidR="00A818C5" w:rsidRPr="00D867CD" w:rsidRDefault="00A818C5" w:rsidP="00096B34">
      <w:pPr>
        <w:pStyle w:val="Pagrindinistekstas"/>
      </w:pPr>
    </w:p>
    <w:p w14:paraId="4C5081DC" w14:textId="69CAEEB8" w:rsidR="00A01BAC" w:rsidRPr="00D867CD" w:rsidRDefault="00A818C5" w:rsidP="00A818C5">
      <w:pPr>
        <w:pStyle w:val="Antrat1"/>
        <w:tabs>
          <w:tab w:val="left" w:pos="567"/>
        </w:tabs>
        <w:spacing w:before="0"/>
        <w:ind w:left="567" w:hanging="567"/>
      </w:pPr>
      <w:r>
        <w:t>B.</w:t>
      </w:r>
      <w:r>
        <w:tab/>
      </w:r>
      <w:r w:rsidR="00341B61" w:rsidRPr="00D867CD">
        <w:t>TIEKIMO IR VARTOJIMO SĄLYGOS AR APRIBOJIMAI</w:t>
      </w:r>
    </w:p>
    <w:p w14:paraId="4C5081DD" w14:textId="77777777" w:rsidR="00A01BAC" w:rsidRPr="00D867CD" w:rsidRDefault="00A01BAC" w:rsidP="00D867CD">
      <w:pPr>
        <w:pStyle w:val="Pagrindinistekstas"/>
        <w:rPr>
          <w:b/>
        </w:rPr>
      </w:pPr>
    </w:p>
    <w:p w14:paraId="4C5081DE" w14:textId="77777777" w:rsidR="00A01BAC" w:rsidRPr="00D867CD" w:rsidRDefault="00341B61" w:rsidP="00D867CD">
      <w:pPr>
        <w:pStyle w:val="Pagrindinistekstas"/>
      </w:pPr>
      <w:r w:rsidRPr="00D867CD">
        <w:t>Receptinis vaistinis preparatas.</w:t>
      </w:r>
    </w:p>
    <w:p w14:paraId="4C5081DF" w14:textId="77777777" w:rsidR="00A01BAC" w:rsidRPr="00D867CD" w:rsidRDefault="00A01BAC" w:rsidP="00D867CD">
      <w:pPr>
        <w:pStyle w:val="Pagrindinistekstas"/>
      </w:pPr>
    </w:p>
    <w:p w14:paraId="4C5081E0" w14:textId="77777777" w:rsidR="00A01BAC" w:rsidRPr="00D867CD" w:rsidRDefault="00A01BAC" w:rsidP="00D867CD">
      <w:pPr>
        <w:pStyle w:val="Pagrindinistekstas"/>
      </w:pPr>
    </w:p>
    <w:p w14:paraId="290938E0" w14:textId="48CF2384" w:rsidR="00A818C5" w:rsidRDefault="00A818C5">
      <w:r>
        <w:br w:type="page"/>
      </w:r>
    </w:p>
    <w:p w14:paraId="4D926AED" w14:textId="77777777" w:rsidR="00ED2D6B" w:rsidRDefault="00ED2D6B" w:rsidP="00ED2D6B">
      <w:pPr>
        <w:tabs>
          <w:tab w:val="left" w:pos="802"/>
        </w:tabs>
      </w:pPr>
    </w:p>
    <w:p w14:paraId="61D7A16B" w14:textId="77777777" w:rsidR="00ED2D6B" w:rsidRDefault="00ED2D6B" w:rsidP="00ED2D6B">
      <w:pPr>
        <w:tabs>
          <w:tab w:val="left" w:pos="802"/>
        </w:tabs>
      </w:pPr>
    </w:p>
    <w:p w14:paraId="285880FB" w14:textId="77777777" w:rsidR="00ED2D6B" w:rsidRPr="007A5A89" w:rsidRDefault="00ED2D6B" w:rsidP="00ED2D6B">
      <w:pPr>
        <w:pStyle w:val="Pagrindinistekstas"/>
      </w:pPr>
    </w:p>
    <w:p w14:paraId="6658E15E" w14:textId="77777777" w:rsidR="00ED2D6B" w:rsidRPr="007A5A89" w:rsidRDefault="00ED2D6B" w:rsidP="00ED2D6B">
      <w:pPr>
        <w:pStyle w:val="Pagrindinistekstas"/>
      </w:pPr>
    </w:p>
    <w:p w14:paraId="7ACAB839" w14:textId="77777777" w:rsidR="00ED2D6B" w:rsidRPr="007A5A89" w:rsidRDefault="00ED2D6B" w:rsidP="00ED2D6B">
      <w:pPr>
        <w:pStyle w:val="Pagrindinistekstas"/>
      </w:pPr>
    </w:p>
    <w:p w14:paraId="4E0A642F" w14:textId="77777777" w:rsidR="00ED2D6B" w:rsidRPr="007A5A89" w:rsidRDefault="00ED2D6B" w:rsidP="00ED2D6B">
      <w:pPr>
        <w:pStyle w:val="Pagrindinistekstas"/>
      </w:pPr>
    </w:p>
    <w:p w14:paraId="7FB2341D" w14:textId="77777777" w:rsidR="00ED2D6B" w:rsidRPr="007A5A89" w:rsidRDefault="00ED2D6B" w:rsidP="00ED2D6B">
      <w:pPr>
        <w:pStyle w:val="Pagrindinistekstas"/>
      </w:pPr>
    </w:p>
    <w:p w14:paraId="728642F4" w14:textId="77777777" w:rsidR="00ED2D6B" w:rsidRPr="007A5A89" w:rsidRDefault="00ED2D6B" w:rsidP="00ED2D6B">
      <w:pPr>
        <w:pStyle w:val="Pagrindinistekstas"/>
      </w:pPr>
    </w:p>
    <w:p w14:paraId="23C385C0" w14:textId="77777777" w:rsidR="00ED2D6B" w:rsidRPr="007A5A89" w:rsidRDefault="00ED2D6B" w:rsidP="00ED2D6B">
      <w:pPr>
        <w:pStyle w:val="Pagrindinistekstas"/>
      </w:pPr>
    </w:p>
    <w:p w14:paraId="1EEEDB03" w14:textId="77777777" w:rsidR="00ED2D6B" w:rsidRPr="007A5A89" w:rsidRDefault="00ED2D6B" w:rsidP="00ED2D6B">
      <w:pPr>
        <w:pStyle w:val="Pagrindinistekstas"/>
      </w:pPr>
    </w:p>
    <w:p w14:paraId="4C54C7C6" w14:textId="77777777" w:rsidR="00ED2D6B" w:rsidRPr="007A5A89" w:rsidRDefault="00ED2D6B" w:rsidP="00ED2D6B">
      <w:pPr>
        <w:pStyle w:val="Pagrindinistekstas"/>
      </w:pPr>
    </w:p>
    <w:p w14:paraId="6B80CDEB" w14:textId="77777777" w:rsidR="00ED2D6B" w:rsidRPr="007A5A89" w:rsidRDefault="00ED2D6B" w:rsidP="00ED2D6B">
      <w:pPr>
        <w:pStyle w:val="Pagrindinistekstas"/>
      </w:pPr>
    </w:p>
    <w:p w14:paraId="4768AC27" w14:textId="77777777" w:rsidR="00ED2D6B" w:rsidRPr="007A5A89" w:rsidRDefault="00ED2D6B" w:rsidP="00ED2D6B">
      <w:pPr>
        <w:pStyle w:val="Pagrindinistekstas"/>
      </w:pPr>
    </w:p>
    <w:p w14:paraId="15A130B5" w14:textId="77777777" w:rsidR="00ED2D6B" w:rsidRPr="007A5A89" w:rsidRDefault="00ED2D6B" w:rsidP="00ED2D6B">
      <w:pPr>
        <w:pStyle w:val="Pagrindinistekstas"/>
      </w:pPr>
    </w:p>
    <w:p w14:paraId="63D64FBE" w14:textId="77777777" w:rsidR="00ED2D6B" w:rsidRPr="007A5A89" w:rsidRDefault="00ED2D6B" w:rsidP="00ED2D6B">
      <w:pPr>
        <w:pStyle w:val="Pagrindinistekstas"/>
      </w:pPr>
    </w:p>
    <w:p w14:paraId="2FBE0A82" w14:textId="77777777" w:rsidR="00ED2D6B" w:rsidRPr="007A5A89" w:rsidRDefault="00ED2D6B" w:rsidP="00ED2D6B">
      <w:pPr>
        <w:pStyle w:val="Pagrindinistekstas"/>
      </w:pPr>
    </w:p>
    <w:p w14:paraId="28A5F8F1" w14:textId="77777777" w:rsidR="00ED2D6B" w:rsidRPr="007A5A89" w:rsidRDefault="00ED2D6B" w:rsidP="00ED2D6B">
      <w:pPr>
        <w:pStyle w:val="Pagrindinistekstas"/>
      </w:pPr>
    </w:p>
    <w:p w14:paraId="024BF59E" w14:textId="77777777" w:rsidR="00ED2D6B" w:rsidRPr="007A5A89" w:rsidRDefault="00ED2D6B" w:rsidP="00ED2D6B">
      <w:pPr>
        <w:pStyle w:val="Pagrindinistekstas"/>
      </w:pPr>
    </w:p>
    <w:p w14:paraId="371A6D7D" w14:textId="77777777" w:rsidR="00ED2D6B" w:rsidRPr="007A5A89" w:rsidRDefault="00ED2D6B" w:rsidP="00ED2D6B">
      <w:pPr>
        <w:pStyle w:val="Pagrindinistekstas"/>
      </w:pPr>
    </w:p>
    <w:p w14:paraId="0BE72C02" w14:textId="77777777" w:rsidR="00ED2D6B" w:rsidRPr="007A5A89" w:rsidRDefault="00ED2D6B" w:rsidP="00ED2D6B">
      <w:pPr>
        <w:pStyle w:val="Pagrindinistekstas"/>
      </w:pPr>
    </w:p>
    <w:p w14:paraId="3E8FF9CE" w14:textId="77777777" w:rsidR="00ED2D6B" w:rsidRDefault="00ED2D6B" w:rsidP="00ED2D6B">
      <w:pPr>
        <w:pStyle w:val="Pagrindinistekstas"/>
        <w:jc w:val="center"/>
      </w:pPr>
    </w:p>
    <w:p w14:paraId="0146828B" w14:textId="77777777" w:rsidR="004A400F" w:rsidRDefault="004A400F" w:rsidP="00ED2D6B">
      <w:pPr>
        <w:pStyle w:val="Pagrindinistekstas"/>
        <w:jc w:val="center"/>
      </w:pPr>
    </w:p>
    <w:p w14:paraId="3E47E4B7" w14:textId="77777777" w:rsidR="004A400F" w:rsidRPr="007A5A89" w:rsidRDefault="004A400F" w:rsidP="00ED2D6B">
      <w:pPr>
        <w:pStyle w:val="Pagrindinistekstas"/>
        <w:jc w:val="center"/>
      </w:pPr>
    </w:p>
    <w:p w14:paraId="346F2CB4" w14:textId="77777777" w:rsidR="00ED2D6B" w:rsidRDefault="00ED2D6B" w:rsidP="00ED2D6B">
      <w:pPr>
        <w:pStyle w:val="Antrat1"/>
        <w:spacing w:before="0"/>
        <w:ind w:left="0"/>
        <w:jc w:val="center"/>
      </w:pPr>
      <w:r w:rsidRPr="007A5A89">
        <w:t>III PRIEDAS</w:t>
      </w:r>
    </w:p>
    <w:p w14:paraId="2812B934" w14:textId="77777777" w:rsidR="00ED2D6B" w:rsidRDefault="00ED2D6B" w:rsidP="00ED2D6B">
      <w:pPr>
        <w:pStyle w:val="Antrat1"/>
        <w:spacing w:before="0"/>
        <w:ind w:left="0"/>
        <w:jc w:val="center"/>
      </w:pPr>
    </w:p>
    <w:p w14:paraId="7157C220" w14:textId="77777777" w:rsidR="00ED2D6B" w:rsidRDefault="00ED2D6B" w:rsidP="00ED2D6B">
      <w:pPr>
        <w:pStyle w:val="Antrat1"/>
        <w:spacing w:before="0"/>
        <w:ind w:left="0"/>
        <w:jc w:val="center"/>
      </w:pPr>
      <w:r w:rsidRPr="007A5A89">
        <w:t>ŽENKLINIMAS</w:t>
      </w:r>
      <w:r w:rsidRPr="007A5A89">
        <w:rPr>
          <w:spacing w:val="-11"/>
        </w:rPr>
        <w:t xml:space="preserve"> </w:t>
      </w:r>
      <w:r w:rsidRPr="007A5A89">
        <w:t>IR</w:t>
      </w:r>
      <w:r w:rsidRPr="007A5A89">
        <w:rPr>
          <w:spacing w:val="-11"/>
        </w:rPr>
        <w:t xml:space="preserve"> </w:t>
      </w:r>
      <w:r w:rsidRPr="007A5A89">
        <w:t>PAKUOTĖS</w:t>
      </w:r>
      <w:r w:rsidRPr="007A5A89">
        <w:rPr>
          <w:spacing w:val="-11"/>
        </w:rPr>
        <w:t xml:space="preserve"> </w:t>
      </w:r>
      <w:r w:rsidRPr="007A5A89">
        <w:t>LAPELIS</w:t>
      </w:r>
    </w:p>
    <w:p w14:paraId="4EBF3558" w14:textId="77777777" w:rsidR="00ED2D6B" w:rsidRDefault="00ED2D6B" w:rsidP="00ED2D6B">
      <w:pPr>
        <w:pStyle w:val="Antrat1"/>
        <w:spacing w:before="0"/>
        <w:ind w:left="0"/>
      </w:pPr>
    </w:p>
    <w:p w14:paraId="186E4438" w14:textId="77777777" w:rsidR="00ED2D6B" w:rsidRDefault="00ED2D6B" w:rsidP="00ED2D6B">
      <w:pPr>
        <w:rPr>
          <w:b/>
          <w:bCs/>
        </w:rPr>
      </w:pPr>
      <w:r>
        <w:br w:type="page"/>
      </w:r>
    </w:p>
    <w:p w14:paraId="3780EBA1" w14:textId="77777777" w:rsidR="0067158A" w:rsidRDefault="0067158A" w:rsidP="0067158A">
      <w:pPr>
        <w:pStyle w:val="Antrat1"/>
        <w:spacing w:before="0"/>
        <w:ind w:left="0"/>
      </w:pPr>
    </w:p>
    <w:p w14:paraId="67DC40C0" w14:textId="77777777" w:rsidR="0067158A" w:rsidRPr="007A5A89" w:rsidRDefault="0067158A" w:rsidP="0067158A">
      <w:pPr>
        <w:pStyle w:val="Pagrindinistekstas"/>
        <w:rPr>
          <w:b/>
        </w:rPr>
      </w:pPr>
    </w:p>
    <w:p w14:paraId="07ACE79C" w14:textId="77777777" w:rsidR="0067158A" w:rsidRPr="007A5A89" w:rsidRDefault="0067158A" w:rsidP="0067158A">
      <w:pPr>
        <w:pStyle w:val="Pagrindinistekstas"/>
        <w:rPr>
          <w:b/>
        </w:rPr>
      </w:pPr>
    </w:p>
    <w:p w14:paraId="0F3E07B1" w14:textId="77777777" w:rsidR="0067158A" w:rsidRPr="007A5A89" w:rsidRDefault="0067158A" w:rsidP="0067158A">
      <w:pPr>
        <w:pStyle w:val="Pagrindinistekstas"/>
        <w:rPr>
          <w:b/>
        </w:rPr>
      </w:pPr>
    </w:p>
    <w:p w14:paraId="59B9D7BB" w14:textId="77777777" w:rsidR="0067158A" w:rsidRPr="007A5A89" w:rsidRDefault="0067158A" w:rsidP="0067158A">
      <w:pPr>
        <w:pStyle w:val="Pagrindinistekstas"/>
        <w:rPr>
          <w:b/>
        </w:rPr>
      </w:pPr>
    </w:p>
    <w:p w14:paraId="4996173F" w14:textId="77777777" w:rsidR="0067158A" w:rsidRPr="007A5A89" w:rsidRDefault="0067158A" w:rsidP="0067158A">
      <w:pPr>
        <w:pStyle w:val="Pagrindinistekstas"/>
        <w:rPr>
          <w:b/>
        </w:rPr>
      </w:pPr>
    </w:p>
    <w:p w14:paraId="1E069E76" w14:textId="77777777" w:rsidR="0067158A" w:rsidRPr="007A5A89" w:rsidRDefault="0067158A" w:rsidP="0067158A">
      <w:pPr>
        <w:pStyle w:val="Pagrindinistekstas"/>
        <w:rPr>
          <w:b/>
        </w:rPr>
      </w:pPr>
    </w:p>
    <w:p w14:paraId="7EF9CEC9" w14:textId="77777777" w:rsidR="0067158A" w:rsidRPr="007A5A89" w:rsidRDefault="0067158A" w:rsidP="0067158A">
      <w:pPr>
        <w:pStyle w:val="Pagrindinistekstas"/>
        <w:rPr>
          <w:b/>
        </w:rPr>
      </w:pPr>
    </w:p>
    <w:p w14:paraId="507EDE85" w14:textId="77777777" w:rsidR="0067158A" w:rsidRPr="007A5A89" w:rsidRDefault="0067158A" w:rsidP="0067158A">
      <w:pPr>
        <w:pStyle w:val="Pagrindinistekstas"/>
        <w:rPr>
          <w:b/>
        </w:rPr>
      </w:pPr>
    </w:p>
    <w:p w14:paraId="2E2B6491" w14:textId="77777777" w:rsidR="0067158A" w:rsidRPr="007A5A89" w:rsidRDefault="0067158A" w:rsidP="0067158A">
      <w:pPr>
        <w:pStyle w:val="Pagrindinistekstas"/>
        <w:rPr>
          <w:b/>
        </w:rPr>
      </w:pPr>
    </w:p>
    <w:p w14:paraId="51BDD6C2" w14:textId="77777777" w:rsidR="0067158A" w:rsidRPr="007A5A89" w:rsidRDefault="0067158A" w:rsidP="0067158A">
      <w:pPr>
        <w:pStyle w:val="Pagrindinistekstas"/>
        <w:rPr>
          <w:b/>
        </w:rPr>
      </w:pPr>
    </w:p>
    <w:p w14:paraId="7AE4A046" w14:textId="77777777" w:rsidR="0067158A" w:rsidRPr="007A5A89" w:rsidRDefault="0067158A" w:rsidP="0067158A">
      <w:pPr>
        <w:pStyle w:val="Pagrindinistekstas"/>
        <w:rPr>
          <w:b/>
        </w:rPr>
      </w:pPr>
    </w:p>
    <w:p w14:paraId="2FE5886E" w14:textId="77777777" w:rsidR="0067158A" w:rsidRPr="007A5A89" w:rsidRDefault="0067158A" w:rsidP="0067158A">
      <w:pPr>
        <w:pStyle w:val="Pagrindinistekstas"/>
        <w:rPr>
          <w:b/>
        </w:rPr>
      </w:pPr>
    </w:p>
    <w:p w14:paraId="13AFA620" w14:textId="77777777" w:rsidR="0067158A" w:rsidRPr="007A5A89" w:rsidRDefault="0067158A" w:rsidP="0067158A">
      <w:pPr>
        <w:pStyle w:val="Pagrindinistekstas"/>
        <w:rPr>
          <w:b/>
        </w:rPr>
      </w:pPr>
    </w:p>
    <w:p w14:paraId="5484DC03" w14:textId="77777777" w:rsidR="0067158A" w:rsidRPr="007A5A89" w:rsidRDefault="0067158A" w:rsidP="0067158A">
      <w:pPr>
        <w:pStyle w:val="Pagrindinistekstas"/>
        <w:rPr>
          <w:b/>
        </w:rPr>
      </w:pPr>
    </w:p>
    <w:p w14:paraId="07F93663" w14:textId="77777777" w:rsidR="0067158A" w:rsidRPr="007A5A89" w:rsidRDefault="0067158A" w:rsidP="0067158A">
      <w:pPr>
        <w:pStyle w:val="Pagrindinistekstas"/>
        <w:rPr>
          <w:b/>
        </w:rPr>
      </w:pPr>
    </w:p>
    <w:p w14:paraId="7EA81887" w14:textId="77777777" w:rsidR="0067158A" w:rsidRPr="007A5A89" w:rsidRDefault="0067158A" w:rsidP="0067158A">
      <w:pPr>
        <w:pStyle w:val="Pagrindinistekstas"/>
        <w:rPr>
          <w:b/>
        </w:rPr>
      </w:pPr>
    </w:p>
    <w:p w14:paraId="11C1E576" w14:textId="77777777" w:rsidR="0067158A" w:rsidRPr="007A5A89" w:rsidRDefault="0067158A" w:rsidP="0067158A">
      <w:pPr>
        <w:pStyle w:val="Pagrindinistekstas"/>
        <w:rPr>
          <w:b/>
        </w:rPr>
      </w:pPr>
    </w:p>
    <w:p w14:paraId="568CA16E" w14:textId="77777777" w:rsidR="0067158A" w:rsidRPr="007A5A89" w:rsidRDefault="0067158A" w:rsidP="0067158A">
      <w:pPr>
        <w:pStyle w:val="Pagrindinistekstas"/>
        <w:rPr>
          <w:b/>
        </w:rPr>
      </w:pPr>
    </w:p>
    <w:p w14:paraId="6C19D053" w14:textId="77777777" w:rsidR="0067158A" w:rsidRDefault="0067158A" w:rsidP="0067158A">
      <w:pPr>
        <w:pStyle w:val="Pagrindinistekstas"/>
        <w:rPr>
          <w:b/>
        </w:rPr>
      </w:pPr>
    </w:p>
    <w:p w14:paraId="67CB2420" w14:textId="77777777" w:rsidR="004A400F" w:rsidRDefault="004A400F" w:rsidP="0067158A">
      <w:pPr>
        <w:pStyle w:val="Pagrindinistekstas"/>
        <w:rPr>
          <w:b/>
        </w:rPr>
      </w:pPr>
    </w:p>
    <w:p w14:paraId="6EF1A9E8" w14:textId="77777777" w:rsidR="004A400F" w:rsidRDefault="004A400F" w:rsidP="0067158A">
      <w:pPr>
        <w:pStyle w:val="Pagrindinistekstas"/>
        <w:rPr>
          <w:b/>
        </w:rPr>
      </w:pPr>
    </w:p>
    <w:p w14:paraId="27F40960" w14:textId="77777777" w:rsidR="004A400F" w:rsidRPr="007A5A89" w:rsidRDefault="004A400F" w:rsidP="0067158A">
      <w:pPr>
        <w:pStyle w:val="Pagrindinistekstas"/>
        <w:rPr>
          <w:b/>
        </w:rPr>
      </w:pPr>
    </w:p>
    <w:p w14:paraId="3559F86A" w14:textId="77777777" w:rsidR="0067158A" w:rsidRPr="005D554B" w:rsidRDefault="0067158A" w:rsidP="0067158A">
      <w:pPr>
        <w:keepNext/>
        <w:tabs>
          <w:tab w:val="left" w:pos="567"/>
        </w:tabs>
        <w:jc w:val="center"/>
        <w:outlineLvl w:val="1"/>
        <w:rPr>
          <w:b/>
          <w:snapToGrid w:val="0"/>
          <w:szCs w:val="24"/>
          <w:lang w:eastAsia="x-none"/>
        </w:rPr>
      </w:pPr>
      <w:bookmarkStart w:id="2" w:name="A._ŽENKLINIMAS"/>
      <w:bookmarkEnd w:id="2"/>
      <w:r w:rsidRPr="005D554B">
        <w:rPr>
          <w:b/>
          <w:bCs/>
          <w:iCs/>
          <w:snapToGrid w:val="0"/>
          <w:szCs w:val="28"/>
          <w:lang w:eastAsia="x-none"/>
        </w:rPr>
        <w:t>A. ŽENKLINIMAS</w:t>
      </w:r>
    </w:p>
    <w:p w14:paraId="579BC283" w14:textId="77777777" w:rsidR="0067158A" w:rsidRDefault="0067158A" w:rsidP="0067158A">
      <w:pPr>
        <w:tabs>
          <w:tab w:val="left" w:pos="4110"/>
        </w:tabs>
        <w:rPr>
          <w:b/>
        </w:rPr>
      </w:pPr>
    </w:p>
    <w:p w14:paraId="0D820AC9" w14:textId="77777777" w:rsidR="0067158A" w:rsidRDefault="0067158A" w:rsidP="0067158A">
      <w:r>
        <w:br w:type="page"/>
      </w:r>
    </w:p>
    <w:p w14:paraId="5BD3B582" w14:textId="77777777" w:rsidR="00A01BAC" w:rsidRDefault="00A01BAC" w:rsidP="00D867CD">
      <w:pPr>
        <w:pStyle w:val="Pagrindinistekstas"/>
      </w:pPr>
    </w:p>
    <w:p w14:paraId="2410285B" w14:textId="77777777" w:rsidR="00DB4561" w:rsidRDefault="00DB4561" w:rsidP="00DB456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INFORMACIJA ANT IŠORINĖS PAKUOTĖS</w:t>
      </w:r>
    </w:p>
    <w:p w14:paraId="1AE8FBFC" w14:textId="77777777" w:rsidR="00DB4561" w:rsidRDefault="00DB4561" w:rsidP="00DB4561">
      <w:pPr>
        <w:pBdr>
          <w:top w:val="single" w:sz="4" w:space="1" w:color="auto"/>
          <w:left w:val="single" w:sz="4" w:space="4" w:color="auto"/>
          <w:bottom w:val="single" w:sz="4" w:space="1" w:color="auto"/>
          <w:right w:val="single" w:sz="4" w:space="4" w:color="auto"/>
        </w:pBdr>
        <w:tabs>
          <w:tab w:val="left" w:pos="567"/>
        </w:tabs>
        <w:rPr>
          <w:b/>
          <w:szCs w:val="24"/>
        </w:rPr>
      </w:pPr>
    </w:p>
    <w:p w14:paraId="7717AC9D" w14:textId="2E74B555" w:rsidR="00DB4561" w:rsidRDefault="00E66E44" w:rsidP="00DB456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KARTONO</w:t>
      </w:r>
      <w:r w:rsidR="00DB4561">
        <w:rPr>
          <w:b/>
          <w:szCs w:val="24"/>
        </w:rPr>
        <w:t xml:space="preserve"> DĖŽUTĖ</w:t>
      </w:r>
    </w:p>
    <w:p w14:paraId="6245FA78" w14:textId="77777777" w:rsidR="00DB4561" w:rsidRDefault="00DB4561" w:rsidP="00DB4561">
      <w:pPr>
        <w:tabs>
          <w:tab w:val="left" w:pos="567"/>
        </w:tabs>
        <w:rPr>
          <w:szCs w:val="24"/>
        </w:rPr>
      </w:pPr>
    </w:p>
    <w:p w14:paraId="31A6BC1D" w14:textId="77777777" w:rsidR="00DB4561" w:rsidRDefault="00DB4561" w:rsidP="00DB456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648B7B4D" w14:textId="77777777" w:rsidR="00DB4561" w:rsidRDefault="00DB4561" w:rsidP="00DB4561">
      <w:pPr>
        <w:tabs>
          <w:tab w:val="left" w:pos="567"/>
        </w:tabs>
        <w:rPr>
          <w:szCs w:val="24"/>
        </w:rPr>
      </w:pPr>
    </w:p>
    <w:p w14:paraId="2E5ABBCC" w14:textId="05C06CF1" w:rsidR="00985303" w:rsidRDefault="00341B61" w:rsidP="00DB4561">
      <w:pPr>
        <w:tabs>
          <w:tab w:val="left" w:pos="567"/>
        </w:tabs>
      </w:pPr>
      <w:proofErr w:type="spellStart"/>
      <w:r>
        <w:t>Linagliptin</w:t>
      </w:r>
      <w:proofErr w:type="spellEnd"/>
      <w:r>
        <w:t xml:space="preserve"> Olpha</w:t>
      </w:r>
      <w:r w:rsidR="00985303" w:rsidRPr="00985303">
        <w:t xml:space="preserve"> 5</w:t>
      </w:r>
      <w:r>
        <w:t> mg</w:t>
      </w:r>
      <w:r w:rsidR="00985303" w:rsidRPr="00985303">
        <w:t xml:space="preserve"> plėvele dengtos tabletės</w:t>
      </w:r>
    </w:p>
    <w:p w14:paraId="424C9CF2" w14:textId="6B885BB5" w:rsidR="00DB4561" w:rsidRPr="00985303" w:rsidRDefault="00BC62DF" w:rsidP="00DB4561">
      <w:pPr>
        <w:tabs>
          <w:tab w:val="left" w:pos="567"/>
        </w:tabs>
        <w:rPr>
          <w:i/>
          <w:iCs/>
          <w:szCs w:val="24"/>
        </w:rPr>
      </w:pPr>
      <w:proofErr w:type="spellStart"/>
      <w:r>
        <w:rPr>
          <w:i/>
          <w:iCs/>
        </w:rPr>
        <w:t>linagliptinum</w:t>
      </w:r>
      <w:proofErr w:type="spellEnd"/>
    </w:p>
    <w:p w14:paraId="102DBCB8" w14:textId="77777777" w:rsidR="00DB4561" w:rsidRDefault="00DB4561" w:rsidP="00DB4561">
      <w:pPr>
        <w:tabs>
          <w:tab w:val="left" w:pos="567"/>
        </w:tabs>
        <w:rPr>
          <w:szCs w:val="24"/>
        </w:rPr>
      </w:pPr>
    </w:p>
    <w:p w14:paraId="5252EBE1" w14:textId="77777777" w:rsidR="00985303" w:rsidRDefault="00985303" w:rsidP="00DB4561">
      <w:pPr>
        <w:tabs>
          <w:tab w:val="left" w:pos="567"/>
        </w:tabs>
        <w:rPr>
          <w:szCs w:val="24"/>
        </w:rPr>
      </w:pPr>
    </w:p>
    <w:p w14:paraId="45AD994A" w14:textId="77777777" w:rsidR="00DB4561" w:rsidRDefault="00DB4561" w:rsidP="00DB4561">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2.</w:t>
      </w:r>
      <w:r>
        <w:rPr>
          <w:b/>
          <w:szCs w:val="24"/>
        </w:rPr>
        <w:tab/>
        <w:t>VEIKLIOJI (-IOS) MEDŽIAGA (-OS) IR JOS (-Ų) KIEKIS (-IAI)</w:t>
      </w:r>
    </w:p>
    <w:p w14:paraId="2FDE796F" w14:textId="77777777" w:rsidR="00DB4561" w:rsidRDefault="00DB4561" w:rsidP="00DB4561">
      <w:pPr>
        <w:tabs>
          <w:tab w:val="left" w:pos="567"/>
        </w:tabs>
        <w:rPr>
          <w:szCs w:val="24"/>
        </w:rPr>
      </w:pPr>
    </w:p>
    <w:p w14:paraId="71304A0E" w14:textId="62AEF691" w:rsidR="00DB4561" w:rsidRDefault="00985303" w:rsidP="00DB4561">
      <w:pPr>
        <w:tabs>
          <w:tab w:val="left" w:pos="567"/>
        </w:tabs>
      </w:pPr>
      <w:r w:rsidRPr="00985303">
        <w:t>Kiekvienoje tabletėje yra 5</w:t>
      </w:r>
      <w:r w:rsidR="00341B61">
        <w:t> mg</w:t>
      </w:r>
      <w:r w:rsidRPr="00985303">
        <w:t xml:space="preserve"> </w:t>
      </w:r>
      <w:proofErr w:type="spellStart"/>
      <w:r w:rsidRPr="00985303">
        <w:t>linagliptino</w:t>
      </w:r>
      <w:proofErr w:type="spellEnd"/>
      <w:r w:rsidRPr="00985303">
        <w:t>.</w:t>
      </w:r>
    </w:p>
    <w:p w14:paraId="57540450" w14:textId="77777777" w:rsidR="00985303" w:rsidRDefault="00985303" w:rsidP="00DB4561">
      <w:pPr>
        <w:tabs>
          <w:tab w:val="left" w:pos="567"/>
        </w:tabs>
        <w:rPr>
          <w:szCs w:val="24"/>
        </w:rPr>
      </w:pPr>
    </w:p>
    <w:p w14:paraId="6495FEF5" w14:textId="77777777" w:rsidR="00DB4561" w:rsidRDefault="00DB4561" w:rsidP="00DB4561">
      <w:pPr>
        <w:tabs>
          <w:tab w:val="left" w:pos="567"/>
        </w:tabs>
        <w:rPr>
          <w:szCs w:val="24"/>
        </w:rPr>
      </w:pPr>
    </w:p>
    <w:p w14:paraId="6962F137" w14:textId="77777777" w:rsidR="00DB4561" w:rsidRDefault="00DB4561" w:rsidP="00DB456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3.</w:t>
      </w:r>
      <w:r>
        <w:rPr>
          <w:b/>
          <w:szCs w:val="24"/>
        </w:rPr>
        <w:tab/>
        <w:t>PAGALBINIŲ MEDŽIAGŲ SĄRAŠAS</w:t>
      </w:r>
    </w:p>
    <w:p w14:paraId="13CCC09F" w14:textId="77777777" w:rsidR="00DB4561" w:rsidRDefault="00DB4561" w:rsidP="00DB4561">
      <w:pPr>
        <w:tabs>
          <w:tab w:val="left" w:pos="567"/>
        </w:tabs>
        <w:rPr>
          <w:szCs w:val="24"/>
        </w:rPr>
      </w:pPr>
    </w:p>
    <w:p w14:paraId="59EA7531" w14:textId="77777777" w:rsidR="00DB4561" w:rsidRDefault="00DB4561" w:rsidP="00DB4561">
      <w:pPr>
        <w:tabs>
          <w:tab w:val="left" w:pos="567"/>
        </w:tabs>
        <w:rPr>
          <w:szCs w:val="24"/>
        </w:rPr>
      </w:pPr>
    </w:p>
    <w:p w14:paraId="129EBEEE" w14:textId="77777777" w:rsidR="00DB4561" w:rsidRDefault="00DB4561" w:rsidP="00DB456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4.</w:t>
      </w:r>
      <w:r>
        <w:rPr>
          <w:b/>
          <w:szCs w:val="24"/>
        </w:rPr>
        <w:tab/>
        <w:t>FARMACINĖ FORMA IR KIEKIS PAKUOTĖJE</w:t>
      </w:r>
    </w:p>
    <w:p w14:paraId="6F0F7A0A" w14:textId="77777777" w:rsidR="00DB4561" w:rsidRDefault="00DB4561" w:rsidP="00DB4561">
      <w:pPr>
        <w:tabs>
          <w:tab w:val="left" w:pos="567"/>
        </w:tabs>
        <w:rPr>
          <w:szCs w:val="24"/>
        </w:rPr>
      </w:pPr>
    </w:p>
    <w:p w14:paraId="47AE7693" w14:textId="2736134B" w:rsidR="00985303" w:rsidRDefault="00985303" w:rsidP="00DB4561">
      <w:pPr>
        <w:tabs>
          <w:tab w:val="left" w:pos="567"/>
        </w:tabs>
      </w:pPr>
      <w:r w:rsidRPr="00985303">
        <w:t>10 plėvele dengtų tablečių</w:t>
      </w:r>
    </w:p>
    <w:p w14:paraId="7C78DC3F" w14:textId="76C50B56" w:rsidR="00985303" w:rsidRPr="00985303" w:rsidRDefault="00985303" w:rsidP="00DB4561">
      <w:pPr>
        <w:tabs>
          <w:tab w:val="left" w:pos="567"/>
        </w:tabs>
        <w:rPr>
          <w:highlight w:val="lightGray"/>
        </w:rPr>
      </w:pPr>
      <w:r w:rsidRPr="00985303">
        <w:rPr>
          <w:highlight w:val="lightGray"/>
        </w:rPr>
        <w:t>14 plėvele dengtų tablečių</w:t>
      </w:r>
    </w:p>
    <w:p w14:paraId="2F9ADA51" w14:textId="206A464C" w:rsidR="00985303" w:rsidRPr="00985303" w:rsidRDefault="00985303" w:rsidP="00DB4561">
      <w:pPr>
        <w:tabs>
          <w:tab w:val="left" w:pos="567"/>
        </w:tabs>
        <w:rPr>
          <w:highlight w:val="lightGray"/>
        </w:rPr>
      </w:pPr>
      <w:r w:rsidRPr="00985303">
        <w:rPr>
          <w:highlight w:val="lightGray"/>
        </w:rPr>
        <w:t>28 plėvele dengtos tabletės</w:t>
      </w:r>
    </w:p>
    <w:p w14:paraId="4FDB792C" w14:textId="1E4581E6" w:rsidR="00985303" w:rsidRPr="00985303" w:rsidRDefault="00985303" w:rsidP="00DB4561">
      <w:pPr>
        <w:tabs>
          <w:tab w:val="left" w:pos="567"/>
        </w:tabs>
        <w:rPr>
          <w:highlight w:val="lightGray"/>
        </w:rPr>
      </w:pPr>
      <w:r w:rsidRPr="00985303">
        <w:rPr>
          <w:highlight w:val="lightGray"/>
        </w:rPr>
        <w:t>30 plėvele dengtų tablečių</w:t>
      </w:r>
    </w:p>
    <w:p w14:paraId="0F70F106" w14:textId="409168C6" w:rsidR="00985303" w:rsidRPr="00985303" w:rsidRDefault="00985303" w:rsidP="00DB4561">
      <w:pPr>
        <w:tabs>
          <w:tab w:val="left" w:pos="567"/>
        </w:tabs>
        <w:rPr>
          <w:highlight w:val="lightGray"/>
        </w:rPr>
      </w:pPr>
      <w:r w:rsidRPr="00985303">
        <w:rPr>
          <w:highlight w:val="lightGray"/>
        </w:rPr>
        <w:t>90 plėvele dengtų tablečių</w:t>
      </w:r>
    </w:p>
    <w:p w14:paraId="36806D2A" w14:textId="59210BDD" w:rsidR="00985303" w:rsidRPr="00985303" w:rsidRDefault="00985303" w:rsidP="00DB4561">
      <w:pPr>
        <w:tabs>
          <w:tab w:val="left" w:pos="567"/>
        </w:tabs>
        <w:rPr>
          <w:highlight w:val="lightGray"/>
        </w:rPr>
      </w:pPr>
      <w:r w:rsidRPr="00985303">
        <w:rPr>
          <w:highlight w:val="lightGray"/>
        </w:rPr>
        <w:t>100 plėvele dengtų tablečių</w:t>
      </w:r>
    </w:p>
    <w:p w14:paraId="04B90D62" w14:textId="77777777" w:rsidR="00DB4561" w:rsidRDefault="00DB4561" w:rsidP="00DB4561">
      <w:pPr>
        <w:tabs>
          <w:tab w:val="left" w:pos="567"/>
        </w:tabs>
        <w:rPr>
          <w:szCs w:val="24"/>
        </w:rPr>
      </w:pPr>
    </w:p>
    <w:p w14:paraId="09F5AF77" w14:textId="77777777" w:rsidR="00985303" w:rsidRDefault="00985303" w:rsidP="00DB4561">
      <w:pPr>
        <w:tabs>
          <w:tab w:val="left" w:pos="567"/>
        </w:tabs>
        <w:rPr>
          <w:szCs w:val="24"/>
        </w:rPr>
      </w:pPr>
    </w:p>
    <w:p w14:paraId="4A4323DF" w14:textId="77777777" w:rsidR="00DB4561" w:rsidRDefault="00DB4561" w:rsidP="00DB456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5.</w:t>
      </w:r>
      <w:r>
        <w:rPr>
          <w:b/>
          <w:szCs w:val="24"/>
        </w:rPr>
        <w:tab/>
        <w:t>VARTOJIMO METODAS IR BŪDAS (-AI)</w:t>
      </w:r>
    </w:p>
    <w:p w14:paraId="0CC3EF7E" w14:textId="77777777" w:rsidR="00DB4561" w:rsidRDefault="00DB4561" w:rsidP="00DB4561">
      <w:pPr>
        <w:tabs>
          <w:tab w:val="left" w:pos="567"/>
        </w:tabs>
        <w:rPr>
          <w:szCs w:val="24"/>
        </w:rPr>
      </w:pPr>
    </w:p>
    <w:p w14:paraId="53C76134" w14:textId="77777777" w:rsidR="00DB4561" w:rsidRDefault="00DB4561" w:rsidP="00DB4561">
      <w:pPr>
        <w:tabs>
          <w:tab w:val="left" w:pos="567"/>
        </w:tabs>
      </w:pPr>
      <w:r w:rsidRPr="00001B96">
        <w:t>Prieš vartojimą perskaitykite pakuotės lapelį.</w:t>
      </w:r>
    </w:p>
    <w:p w14:paraId="22E8FD15" w14:textId="77777777" w:rsidR="00DB4561" w:rsidRDefault="00DB4561" w:rsidP="00DB4561">
      <w:pPr>
        <w:tabs>
          <w:tab w:val="left" w:pos="567"/>
        </w:tabs>
        <w:rPr>
          <w:szCs w:val="24"/>
        </w:rPr>
      </w:pPr>
      <w:r w:rsidRPr="00001B96">
        <w:t>Vartoti per burną.</w:t>
      </w:r>
    </w:p>
    <w:p w14:paraId="5F41C566" w14:textId="77777777" w:rsidR="00DB4561" w:rsidRDefault="00DB4561" w:rsidP="00DB4561">
      <w:pPr>
        <w:tabs>
          <w:tab w:val="left" w:pos="567"/>
        </w:tabs>
        <w:rPr>
          <w:szCs w:val="24"/>
        </w:rPr>
      </w:pPr>
    </w:p>
    <w:p w14:paraId="793ED1C9" w14:textId="77777777" w:rsidR="00DB4561" w:rsidRDefault="00DB4561" w:rsidP="00DB4561">
      <w:pPr>
        <w:tabs>
          <w:tab w:val="left" w:pos="567"/>
        </w:tabs>
        <w:rPr>
          <w:szCs w:val="24"/>
        </w:rPr>
      </w:pPr>
    </w:p>
    <w:p w14:paraId="7A031642" w14:textId="77777777" w:rsidR="00DB4561" w:rsidRDefault="00DB4561" w:rsidP="00DB456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6.</w:t>
      </w:r>
      <w:r>
        <w:rPr>
          <w:b/>
          <w:szCs w:val="24"/>
        </w:rPr>
        <w:tab/>
        <w:t>SPECIALUS ĮSPĖJIMAS, KAD VAISTINĮ PREPARATĄ BŪTINA LAIKYTI VAIKAMS NEPASTEBIMOJE IR NEPASIEKIAMOJE VIETOJE</w:t>
      </w:r>
    </w:p>
    <w:p w14:paraId="6379E71F" w14:textId="77777777" w:rsidR="00DB4561" w:rsidRDefault="00DB4561" w:rsidP="00DB4561">
      <w:pPr>
        <w:tabs>
          <w:tab w:val="left" w:pos="567"/>
        </w:tabs>
        <w:rPr>
          <w:szCs w:val="24"/>
        </w:rPr>
      </w:pPr>
    </w:p>
    <w:p w14:paraId="56A487EC" w14:textId="77777777" w:rsidR="00DB4561" w:rsidRDefault="00DB4561" w:rsidP="00DB4561">
      <w:pPr>
        <w:tabs>
          <w:tab w:val="left" w:pos="567"/>
        </w:tabs>
        <w:rPr>
          <w:szCs w:val="24"/>
        </w:rPr>
      </w:pPr>
      <w:r>
        <w:rPr>
          <w:szCs w:val="24"/>
        </w:rPr>
        <w:t>Laikyti vaikams nepastebimoje ir nepasiekiamoje vietoje.</w:t>
      </w:r>
    </w:p>
    <w:p w14:paraId="00FF45A6" w14:textId="77777777" w:rsidR="00DB4561" w:rsidRDefault="00DB4561" w:rsidP="00DB4561">
      <w:pPr>
        <w:tabs>
          <w:tab w:val="left" w:pos="567"/>
        </w:tabs>
        <w:rPr>
          <w:szCs w:val="24"/>
        </w:rPr>
      </w:pPr>
    </w:p>
    <w:p w14:paraId="5C1FADC5" w14:textId="77777777" w:rsidR="00DB4561" w:rsidRDefault="00DB4561" w:rsidP="00DB4561">
      <w:pPr>
        <w:tabs>
          <w:tab w:val="left" w:pos="567"/>
        </w:tabs>
        <w:rPr>
          <w:szCs w:val="24"/>
        </w:rPr>
      </w:pPr>
    </w:p>
    <w:p w14:paraId="465A4ECF" w14:textId="77777777" w:rsidR="00DB4561" w:rsidRDefault="00DB4561" w:rsidP="00DB456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7.</w:t>
      </w:r>
      <w:r>
        <w:rPr>
          <w:b/>
          <w:szCs w:val="24"/>
        </w:rPr>
        <w:tab/>
        <w:t>KITAS (-I) SPECIALUS (-ŪS) ĮSPĖJIMAS (-AI) (JEI REIKIA)</w:t>
      </w:r>
    </w:p>
    <w:p w14:paraId="118E4440" w14:textId="77777777" w:rsidR="00DB4561" w:rsidRDefault="00DB4561" w:rsidP="00DB4561">
      <w:pPr>
        <w:tabs>
          <w:tab w:val="left" w:pos="567"/>
        </w:tabs>
        <w:rPr>
          <w:szCs w:val="24"/>
        </w:rPr>
      </w:pPr>
    </w:p>
    <w:p w14:paraId="19DD180E" w14:textId="77777777" w:rsidR="00DB4561" w:rsidRDefault="00DB4561" w:rsidP="00DB4561">
      <w:pPr>
        <w:tabs>
          <w:tab w:val="left" w:pos="567"/>
        </w:tabs>
        <w:rPr>
          <w:szCs w:val="24"/>
        </w:rPr>
      </w:pPr>
    </w:p>
    <w:p w14:paraId="51F08B87" w14:textId="77777777" w:rsidR="00DB4561" w:rsidRDefault="00DB4561" w:rsidP="00DB456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8.</w:t>
      </w:r>
      <w:r>
        <w:rPr>
          <w:b/>
          <w:szCs w:val="24"/>
        </w:rPr>
        <w:tab/>
        <w:t>TINKAMUMO LAIKAS</w:t>
      </w:r>
    </w:p>
    <w:p w14:paraId="1425ADF6" w14:textId="77777777" w:rsidR="00DB4561" w:rsidRDefault="00DB4561" w:rsidP="00DB4561">
      <w:pPr>
        <w:tabs>
          <w:tab w:val="left" w:pos="567"/>
        </w:tabs>
        <w:rPr>
          <w:szCs w:val="24"/>
        </w:rPr>
      </w:pPr>
    </w:p>
    <w:p w14:paraId="048F69C6" w14:textId="344B2951" w:rsidR="00DB4561" w:rsidRPr="00F813BC" w:rsidRDefault="00DB4561" w:rsidP="00DB4561">
      <w:r w:rsidRPr="00F813BC">
        <w:t>EXP {mm/MMMM}</w:t>
      </w:r>
    </w:p>
    <w:p w14:paraId="0CD97546" w14:textId="77777777" w:rsidR="00DB4561" w:rsidRDefault="00DB4561" w:rsidP="00DB4561">
      <w:pPr>
        <w:tabs>
          <w:tab w:val="left" w:pos="567"/>
        </w:tabs>
        <w:rPr>
          <w:szCs w:val="24"/>
        </w:rPr>
      </w:pPr>
    </w:p>
    <w:p w14:paraId="0D74B595" w14:textId="77777777" w:rsidR="00DB4561" w:rsidRDefault="00DB4561" w:rsidP="00DB4561">
      <w:pPr>
        <w:tabs>
          <w:tab w:val="left" w:pos="567"/>
        </w:tabs>
        <w:rPr>
          <w:szCs w:val="24"/>
        </w:rPr>
      </w:pPr>
    </w:p>
    <w:p w14:paraId="5166BC9E" w14:textId="77777777" w:rsidR="00DB4561" w:rsidRDefault="00DB4561" w:rsidP="00DB4561">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9.</w:t>
      </w:r>
      <w:r>
        <w:rPr>
          <w:b/>
          <w:szCs w:val="24"/>
        </w:rPr>
        <w:tab/>
        <w:t>SPECIALIOS LAIKYMO SĄLYGOS</w:t>
      </w:r>
    </w:p>
    <w:p w14:paraId="6D5EC8AC" w14:textId="77777777" w:rsidR="00DB4561" w:rsidRDefault="00DB4561" w:rsidP="00DB4561">
      <w:pPr>
        <w:tabs>
          <w:tab w:val="left" w:pos="567"/>
        </w:tabs>
        <w:rPr>
          <w:szCs w:val="24"/>
        </w:rPr>
      </w:pPr>
    </w:p>
    <w:p w14:paraId="68454F11" w14:textId="77777777" w:rsidR="00DB4561" w:rsidRDefault="00DB4561" w:rsidP="00DB4561">
      <w:pPr>
        <w:tabs>
          <w:tab w:val="left" w:pos="567"/>
        </w:tabs>
        <w:rPr>
          <w:szCs w:val="24"/>
        </w:rPr>
      </w:pPr>
    </w:p>
    <w:p w14:paraId="45F71E42" w14:textId="77777777" w:rsidR="00DB4561" w:rsidRDefault="00DB4561" w:rsidP="00DB4561">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10.</w:t>
      </w:r>
      <w:r>
        <w:rPr>
          <w:b/>
          <w:szCs w:val="24"/>
        </w:rPr>
        <w:tab/>
        <w:t>SPECIALIOS ATSARGUMO PRIEMONĖS DĖL NESUVARTOTO VAISTINIO PREPARATO AR JO ATLIEKŲ TVARKYMO (JEI REIKIA)</w:t>
      </w:r>
    </w:p>
    <w:p w14:paraId="3450B713" w14:textId="77777777" w:rsidR="00DB4561" w:rsidRDefault="00DB4561" w:rsidP="00DB4561">
      <w:pPr>
        <w:tabs>
          <w:tab w:val="left" w:pos="567"/>
        </w:tabs>
        <w:rPr>
          <w:szCs w:val="24"/>
        </w:rPr>
      </w:pPr>
    </w:p>
    <w:p w14:paraId="178C195D" w14:textId="77777777" w:rsidR="00DB4561" w:rsidRDefault="00DB4561" w:rsidP="00DB4561">
      <w:pPr>
        <w:tabs>
          <w:tab w:val="left" w:pos="567"/>
        </w:tabs>
        <w:rPr>
          <w:szCs w:val="24"/>
        </w:rPr>
      </w:pPr>
    </w:p>
    <w:p w14:paraId="74B5C6DE" w14:textId="77777777" w:rsidR="00DB4561" w:rsidRDefault="00DB4561" w:rsidP="00DB4561">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11.</w:t>
      </w:r>
      <w:r>
        <w:rPr>
          <w:b/>
          <w:szCs w:val="24"/>
        </w:rPr>
        <w:tab/>
      </w:r>
      <w:r>
        <w:rPr>
          <w:b/>
          <w:caps/>
          <w:szCs w:val="24"/>
        </w:rPr>
        <w:t>REGISTRUOTOJO PAVADINIMAS IR ADRESAS</w:t>
      </w:r>
    </w:p>
    <w:p w14:paraId="7C9B3ACA" w14:textId="77777777" w:rsidR="00DB4561" w:rsidRDefault="00DB4561" w:rsidP="00DB4561">
      <w:pPr>
        <w:tabs>
          <w:tab w:val="left" w:pos="567"/>
        </w:tabs>
        <w:rPr>
          <w:szCs w:val="24"/>
        </w:rPr>
      </w:pPr>
    </w:p>
    <w:p w14:paraId="6A2B593B" w14:textId="77777777" w:rsidR="00DB4561" w:rsidRDefault="00DB4561" w:rsidP="00DB4561">
      <w:pPr>
        <w:tabs>
          <w:tab w:val="left" w:pos="567"/>
        </w:tabs>
      </w:pPr>
      <w:r>
        <w:t>Olpha AS,</w:t>
      </w:r>
    </w:p>
    <w:p w14:paraId="1C0B2465" w14:textId="77777777" w:rsidR="00DB4561" w:rsidRDefault="00DB4561" w:rsidP="00DB4561">
      <w:pPr>
        <w:tabs>
          <w:tab w:val="left" w:pos="567"/>
        </w:tabs>
      </w:pPr>
      <w:proofErr w:type="spellStart"/>
      <w:r>
        <w:t>Rupnicu</w:t>
      </w:r>
      <w:proofErr w:type="spellEnd"/>
      <w:r>
        <w:t xml:space="preserve"> </w:t>
      </w:r>
      <w:proofErr w:type="spellStart"/>
      <w:r>
        <w:t>iela</w:t>
      </w:r>
      <w:proofErr w:type="spellEnd"/>
      <w:r>
        <w:t xml:space="preserve"> 5,</w:t>
      </w:r>
    </w:p>
    <w:p w14:paraId="7280091C" w14:textId="161B0013" w:rsidR="00DB4561" w:rsidRDefault="00DB4561" w:rsidP="00DB4561">
      <w:pPr>
        <w:tabs>
          <w:tab w:val="left" w:pos="567"/>
        </w:tabs>
      </w:pPr>
      <w:proofErr w:type="spellStart"/>
      <w:r>
        <w:t>Olaine</w:t>
      </w:r>
      <w:proofErr w:type="spellEnd"/>
      <w:r>
        <w:t xml:space="preserve">, </w:t>
      </w:r>
      <w:proofErr w:type="spellStart"/>
      <w:r>
        <w:t>Olaines</w:t>
      </w:r>
      <w:proofErr w:type="spellEnd"/>
      <w:r>
        <w:t xml:space="preserve"> </w:t>
      </w:r>
      <w:proofErr w:type="spellStart"/>
      <w:r>
        <w:t>novads</w:t>
      </w:r>
      <w:proofErr w:type="spellEnd"/>
      <w:r>
        <w:t xml:space="preserve">, </w:t>
      </w:r>
      <w:r w:rsidR="00F84478">
        <w:t>LV-2114,</w:t>
      </w:r>
    </w:p>
    <w:p w14:paraId="34EA6FE2" w14:textId="1CD0ECD9" w:rsidR="00DB4561" w:rsidRDefault="00DB4561" w:rsidP="00DB4561">
      <w:pPr>
        <w:tabs>
          <w:tab w:val="left" w:pos="567"/>
        </w:tabs>
        <w:rPr>
          <w:szCs w:val="24"/>
        </w:rPr>
      </w:pPr>
      <w:r>
        <w:t>Latvija</w:t>
      </w:r>
    </w:p>
    <w:p w14:paraId="20D2FC8E" w14:textId="77777777" w:rsidR="00DB4561" w:rsidRDefault="00DB4561" w:rsidP="00DB4561">
      <w:pPr>
        <w:tabs>
          <w:tab w:val="left" w:pos="567"/>
        </w:tabs>
        <w:rPr>
          <w:szCs w:val="24"/>
        </w:rPr>
      </w:pPr>
    </w:p>
    <w:p w14:paraId="592FAA0D" w14:textId="77777777" w:rsidR="00DB4561" w:rsidRDefault="00DB4561" w:rsidP="00DB4561">
      <w:pPr>
        <w:tabs>
          <w:tab w:val="left" w:pos="567"/>
        </w:tabs>
        <w:rPr>
          <w:szCs w:val="24"/>
        </w:rPr>
      </w:pPr>
      <w:r w:rsidRPr="00115DE8">
        <w:rPr>
          <w:szCs w:val="24"/>
          <w:highlight w:val="lightGray"/>
        </w:rPr>
        <w:t>[logotipas]</w:t>
      </w:r>
    </w:p>
    <w:p w14:paraId="149BA618" w14:textId="77777777" w:rsidR="00DB4561" w:rsidRDefault="00DB4561" w:rsidP="00DB4561">
      <w:pPr>
        <w:tabs>
          <w:tab w:val="left" w:pos="567"/>
        </w:tabs>
        <w:rPr>
          <w:szCs w:val="24"/>
        </w:rPr>
      </w:pPr>
    </w:p>
    <w:p w14:paraId="323F9361" w14:textId="77777777" w:rsidR="00DB4561" w:rsidRDefault="00DB4561" w:rsidP="00DB4561">
      <w:pPr>
        <w:tabs>
          <w:tab w:val="left" w:pos="567"/>
        </w:tabs>
        <w:rPr>
          <w:szCs w:val="24"/>
        </w:rPr>
      </w:pPr>
    </w:p>
    <w:p w14:paraId="4C05AD9B" w14:textId="77777777" w:rsidR="00DB4561" w:rsidRDefault="00DB4561" w:rsidP="00DB456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12.</w:t>
      </w:r>
      <w:r>
        <w:rPr>
          <w:b/>
          <w:szCs w:val="24"/>
        </w:rPr>
        <w:tab/>
        <w:t xml:space="preserve">REGISTRACIJOS PAŽYMĖJIMO NUMERIS (-IAI) </w:t>
      </w:r>
    </w:p>
    <w:p w14:paraId="10E1E416" w14:textId="77777777" w:rsidR="00DB4561" w:rsidRDefault="00DB4561" w:rsidP="00DB4561">
      <w:pPr>
        <w:tabs>
          <w:tab w:val="left" w:pos="567"/>
        </w:tabs>
        <w:rPr>
          <w:szCs w:val="24"/>
        </w:rPr>
      </w:pPr>
    </w:p>
    <w:p w14:paraId="2C3A61D4" w14:textId="77777777" w:rsidR="00771114" w:rsidRPr="00771114" w:rsidRDefault="00771114" w:rsidP="00771114">
      <w:pPr>
        <w:tabs>
          <w:tab w:val="left" w:pos="567"/>
        </w:tabs>
        <w:rPr>
          <w:szCs w:val="24"/>
          <w:highlight w:val="lightGray"/>
        </w:rPr>
      </w:pPr>
      <w:r w:rsidRPr="00771114">
        <w:rPr>
          <w:szCs w:val="24"/>
        </w:rPr>
        <w:t xml:space="preserve">LT/1/26/5979/001 </w:t>
      </w:r>
      <w:r w:rsidRPr="00771114">
        <w:rPr>
          <w:szCs w:val="24"/>
          <w:highlight w:val="lightGray"/>
        </w:rPr>
        <w:t>– N10</w:t>
      </w:r>
    </w:p>
    <w:p w14:paraId="56C7C424" w14:textId="77777777" w:rsidR="00771114" w:rsidRPr="00771114" w:rsidRDefault="00771114" w:rsidP="00771114">
      <w:pPr>
        <w:tabs>
          <w:tab w:val="left" w:pos="567"/>
        </w:tabs>
        <w:rPr>
          <w:szCs w:val="24"/>
          <w:highlight w:val="lightGray"/>
        </w:rPr>
      </w:pPr>
      <w:r w:rsidRPr="00771114">
        <w:rPr>
          <w:szCs w:val="24"/>
          <w:highlight w:val="lightGray"/>
        </w:rPr>
        <w:t>LT/1/26/5979/002 – N14</w:t>
      </w:r>
    </w:p>
    <w:p w14:paraId="48BC6B29" w14:textId="77777777" w:rsidR="00771114" w:rsidRPr="00771114" w:rsidRDefault="00771114" w:rsidP="00771114">
      <w:pPr>
        <w:tabs>
          <w:tab w:val="left" w:pos="567"/>
        </w:tabs>
        <w:rPr>
          <w:szCs w:val="24"/>
          <w:highlight w:val="lightGray"/>
        </w:rPr>
      </w:pPr>
      <w:r w:rsidRPr="00771114">
        <w:rPr>
          <w:szCs w:val="24"/>
          <w:highlight w:val="lightGray"/>
        </w:rPr>
        <w:t>LT/1/26/5979/003 – N28</w:t>
      </w:r>
    </w:p>
    <w:p w14:paraId="7F67F063" w14:textId="77777777" w:rsidR="00771114" w:rsidRPr="00771114" w:rsidRDefault="00771114" w:rsidP="00771114">
      <w:pPr>
        <w:tabs>
          <w:tab w:val="left" w:pos="567"/>
        </w:tabs>
        <w:rPr>
          <w:szCs w:val="24"/>
          <w:highlight w:val="lightGray"/>
        </w:rPr>
      </w:pPr>
      <w:r w:rsidRPr="00771114">
        <w:rPr>
          <w:szCs w:val="24"/>
          <w:highlight w:val="lightGray"/>
        </w:rPr>
        <w:t>LT/1/26/5979/004 – N30</w:t>
      </w:r>
    </w:p>
    <w:p w14:paraId="517E06C4" w14:textId="77777777" w:rsidR="00771114" w:rsidRPr="00771114" w:rsidRDefault="00771114" w:rsidP="00771114">
      <w:pPr>
        <w:tabs>
          <w:tab w:val="left" w:pos="567"/>
        </w:tabs>
        <w:rPr>
          <w:szCs w:val="24"/>
          <w:highlight w:val="lightGray"/>
        </w:rPr>
      </w:pPr>
      <w:r w:rsidRPr="00771114">
        <w:rPr>
          <w:szCs w:val="24"/>
          <w:highlight w:val="lightGray"/>
        </w:rPr>
        <w:t>LT/1/26/5979/005 – N90</w:t>
      </w:r>
    </w:p>
    <w:p w14:paraId="715EC0F0" w14:textId="6AD67055" w:rsidR="00DB4561" w:rsidRDefault="00771114" w:rsidP="00771114">
      <w:pPr>
        <w:tabs>
          <w:tab w:val="left" w:pos="567"/>
        </w:tabs>
        <w:rPr>
          <w:szCs w:val="24"/>
        </w:rPr>
      </w:pPr>
      <w:r w:rsidRPr="00771114">
        <w:rPr>
          <w:szCs w:val="24"/>
          <w:highlight w:val="lightGray"/>
        </w:rPr>
        <w:t>LT/1/26/5979/006 – N100</w:t>
      </w:r>
    </w:p>
    <w:p w14:paraId="048EDE1B" w14:textId="77777777" w:rsidR="00771114" w:rsidRDefault="00771114" w:rsidP="00771114">
      <w:pPr>
        <w:tabs>
          <w:tab w:val="left" w:pos="567"/>
        </w:tabs>
        <w:rPr>
          <w:szCs w:val="24"/>
        </w:rPr>
      </w:pPr>
    </w:p>
    <w:p w14:paraId="1E290138" w14:textId="77777777" w:rsidR="00771114" w:rsidRDefault="00771114" w:rsidP="00771114">
      <w:pPr>
        <w:tabs>
          <w:tab w:val="left" w:pos="567"/>
        </w:tabs>
        <w:rPr>
          <w:szCs w:val="24"/>
        </w:rPr>
      </w:pPr>
    </w:p>
    <w:p w14:paraId="5B1CA4CE" w14:textId="77777777" w:rsidR="00DB4561" w:rsidRDefault="00DB4561" w:rsidP="00DB456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13.</w:t>
      </w:r>
      <w:r>
        <w:rPr>
          <w:b/>
          <w:szCs w:val="24"/>
        </w:rPr>
        <w:tab/>
        <w:t xml:space="preserve">SERIJOS NUMERIS </w:t>
      </w:r>
    </w:p>
    <w:p w14:paraId="74EB6925" w14:textId="77777777" w:rsidR="00DB4561" w:rsidRDefault="00DB4561" w:rsidP="00DB4561">
      <w:pPr>
        <w:tabs>
          <w:tab w:val="left" w:pos="567"/>
        </w:tabs>
      </w:pPr>
    </w:p>
    <w:p w14:paraId="062DA961" w14:textId="77777777" w:rsidR="00DB4561" w:rsidRDefault="00DB4561" w:rsidP="00DB4561">
      <w:pPr>
        <w:tabs>
          <w:tab w:val="left" w:pos="567"/>
        </w:tabs>
      </w:pPr>
      <w:r>
        <w:t>Lot</w:t>
      </w:r>
    </w:p>
    <w:p w14:paraId="20C7A84F" w14:textId="77777777" w:rsidR="00DB4561" w:rsidRDefault="00DB4561" w:rsidP="00DB4561">
      <w:pPr>
        <w:tabs>
          <w:tab w:val="left" w:pos="567"/>
        </w:tabs>
        <w:rPr>
          <w:szCs w:val="24"/>
        </w:rPr>
      </w:pPr>
    </w:p>
    <w:p w14:paraId="2690AFC6" w14:textId="77777777" w:rsidR="00DB4561" w:rsidRDefault="00DB4561" w:rsidP="00DB4561">
      <w:pPr>
        <w:tabs>
          <w:tab w:val="left" w:pos="567"/>
        </w:tabs>
        <w:rPr>
          <w:szCs w:val="24"/>
        </w:rPr>
      </w:pPr>
    </w:p>
    <w:p w14:paraId="17B406F0" w14:textId="77777777" w:rsidR="00DB4561" w:rsidRDefault="00DB4561" w:rsidP="00DB456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14.</w:t>
      </w:r>
      <w:r>
        <w:rPr>
          <w:b/>
          <w:szCs w:val="24"/>
        </w:rPr>
        <w:tab/>
        <w:t>PARDAVIMO (IŠDAVIMO) TVARKA</w:t>
      </w:r>
    </w:p>
    <w:p w14:paraId="707AEE04" w14:textId="77777777" w:rsidR="00DB4561" w:rsidRDefault="00DB4561" w:rsidP="00DB4561">
      <w:pPr>
        <w:tabs>
          <w:tab w:val="left" w:pos="567"/>
        </w:tabs>
        <w:rPr>
          <w:szCs w:val="24"/>
        </w:rPr>
      </w:pPr>
    </w:p>
    <w:p w14:paraId="3709FE93" w14:textId="41DC7AB1" w:rsidR="00DB4561" w:rsidRDefault="00DB4561" w:rsidP="00DB4561">
      <w:pPr>
        <w:tabs>
          <w:tab w:val="left" w:pos="567"/>
        </w:tabs>
        <w:rPr>
          <w:szCs w:val="24"/>
        </w:rPr>
      </w:pPr>
      <w:r>
        <w:t>Receptinis vaistas</w:t>
      </w:r>
      <w:r w:rsidR="003D5FDF">
        <w:t>.</w:t>
      </w:r>
    </w:p>
    <w:p w14:paraId="15780F44" w14:textId="77777777" w:rsidR="00DB4561" w:rsidRDefault="00DB4561" w:rsidP="00DB4561">
      <w:pPr>
        <w:tabs>
          <w:tab w:val="left" w:pos="567"/>
        </w:tabs>
        <w:rPr>
          <w:szCs w:val="24"/>
        </w:rPr>
      </w:pPr>
    </w:p>
    <w:p w14:paraId="39EE7095" w14:textId="77777777" w:rsidR="00DB4561" w:rsidRDefault="00DB4561" w:rsidP="00DB4561">
      <w:pPr>
        <w:tabs>
          <w:tab w:val="left" w:pos="567"/>
        </w:tabs>
        <w:rPr>
          <w:szCs w:val="24"/>
        </w:rPr>
      </w:pPr>
    </w:p>
    <w:p w14:paraId="0B61C58B" w14:textId="77777777" w:rsidR="00DB4561" w:rsidRDefault="00DB4561" w:rsidP="00DB4561">
      <w:pPr>
        <w:pBdr>
          <w:top w:val="single" w:sz="4" w:space="2" w:color="auto"/>
          <w:left w:val="single" w:sz="4" w:space="4" w:color="auto"/>
          <w:bottom w:val="single" w:sz="4" w:space="1" w:color="auto"/>
          <w:right w:val="single" w:sz="4" w:space="4" w:color="auto"/>
        </w:pBdr>
        <w:tabs>
          <w:tab w:val="left" w:pos="567"/>
        </w:tabs>
        <w:ind w:left="567" w:hanging="567"/>
        <w:rPr>
          <w:szCs w:val="24"/>
        </w:rPr>
      </w:pPr>
      <w:r>
        <w:rPr>
          <w:b/>
          <w:szCs w:val="24"/>
        </w:rPr>
        <w:t>15.</w:t>
      </w:r>
      <w:r>
        <w:rPr>
          <w:b/>
          <w:szCs w:val="24"/>
        </w:rPr>
        <w:tab/>
        <w:t>VARTOJIMO INSTRUKCIJA</w:t>
      </w:r>
    </w:p>
    <w:p w14:paraId="40E42EED" w14:textId="77777777" w:rsidR="00DB4561" w:rsidRDefault="00DB4561" w:rsidP="00DB4561">
      <w:pPr>
        <w:tabs>
          <w:tab w:val="left" w:pos="567"/>
        </w:tabs>
        <w:rPr>
          <w:szCs w:val="24"/>
        </w:rPr>
      </w:pPr>
    </w:p>
    <w:p w14:paraId="0CE9143D" w14:textId="77777777" w:rsidR="00DB4561" w:rsidRDefault="00DB4561" w:rsidP="00DB4561">
      <w:pPr>
        <w:tabs>
          <w:tab w:val="left" w:pos="567"/>
        </w:tabs>
        <w:rPr>
          <w:szCs w:val="24"/>
        </w:rPr>
      </w:pPr>
    </w:p>
    <w:p w14:paraId="64BA2F57" w14:textId="77777777" w:rsidR="00DB4561" w:rsidRDefault="00DB4561" w:rsidP="00DB4561">
      <w:pPr>
        <w:pBdr>
          <w:top w:val="single" w:sz="4" w:space="1" w:color="auto"/>
          <w:left w:val="single" w:sz="4" w:space="4" w:color="auto"/>
          <w:bottom w:val="single" w:sz="4" w:space="0" w:color="auto"/>
          <w:right w:val="single" w:sz="4" w:space="4" w:color="auto"/>
        </w:pBdr>
        <w:tabs>
          <w:tab w:val="left" w:pos="567"/>
        </w:tabs>
        <w:ind w:left="567" w:hanging="567"/>
        <w:rPr>
          <w:color w:val="008000"/>
          <w:szCs w:val="24"/>
        </w:rPr>
      </w:pPr>
      <w:r>
        <w:rPr>
          <w:b/>
          <w:szCs w:val="24"/>
        </w:rPr>
        <w:t>16.</w:t>
      </w:r>
      <w:r>
        <w:rPr>
          <w:b/>
          <w:szCs w:val="24"/>
        </w:rPr>
        <w:tab/>
        <w:t>INFORMACIJA BRAILIO RAŠTU</w:t>
      </w:r>
    </w:p>
    <w:p w14:paraId="55B70BDF" w14:textId="77777777" w:rsidR="00DB4561" w:rsidRDefault="00DB4561" w:rsidP="00DB4561">
      <w:pPr>
        <w:tabs>
          <w:tab w:val="left" w:pos="567"/>
        </w:tabs>
        <w:rPr>
          <w:szCs w:val="24"/>
        </w:rPr>
      </w:pPr>
    </w:p>
    <w:p w14:paraId="6A4F6019" w14:textId="06B00563" w:rsidR="00DB4561" w:rsidRDefault="00B1722B" w:rsidP="00DB4561">
      <w:pPr>
        <w:tabs>
          <w:tab w:val="left" w:pos="567"/>
        </w:tabs>
        <w:rPr>
          <w:szCs w:val="24"/>
        </w:rPr>
      </w:pPr>
      <w:proofErr w:type="spellStart"/>
      <w:r>
        <w:t>linagliptin</w:t>
      </w:r>
      <w:proofErr w:type="spellEnd"/>
      <w:r>
        <w:t xml:space="preserve"> </w:t>
      </w:r>
      <w:proofErr w:type="spellStart"/>
      <w:r>
        <w:t>olpha</w:t>
      </w:r>
      <w:proofErr w:type="spellEnd"/>
      <w:r w:rsidR="00A663C7">
        <w:t xml:space="preserve"> 5 mg</w:t>
      </w:r>
    </w:p>
    <w:p w14:paraId="0226831E" w14:textId="77777777" w:rsidR="00DB4561" w:rsidRDefault="00DB4561" w:rsidP="00DB4561">
      <w:pPr>
        <w:tabs>
          <w:tab w:val="left" w:pos="567"/>
        </w:tabs>
        <w:rPr>
          <w:shd w:val="clear" w:color="auto" w:fill="CCCCCC"/>
        </w:rPr>
      </w:pPr>
    </w:p>
    <w:p w14:paraId="1A80B5D2" w14:textId="77777777" w:rsidR="00DB4561" w:rsidRDefault="00DB4561" w:rsidP="00DB4561">
      <w:pPr>
        <w:tabs>
          <w:tab w:val="left" w:pos="567"/>
        </w:tabs>
        <w:rPr>
          <w:shd w:val="clear" w:color="auto" w:fill="CCCCCC"/>
        </w:rPr>
      </w:pPr>
    </w:p>
    <w:p w14:paraId="56CBFB4D" w14:textId="77777777" w:rsidR="00DB4561" w:rsidRPr="00CC752D" w:rsidRDefault="00DB4561" w:rsidP="00DB4561">
      <w:pPr>
        <w:keepNext/>
        <w:pBdr>
          <w:top w:val="single" w:sz="4" w:space="1" w:color="auto"/>
          <w:left w:val="single" w:sz="4" w:space="4" w:color="auto"/>
          <w:bottom w:val="single" w:sz="4" w:space="1" w:color="auto"/>
          <w:right w:val="single" w:sz="4" w:space="4" w:color="auto"/>
        </w:pBdr>
        <w:tabs>
          <w:tab w:val="left" w:pos="567"/>
        </w:tabs>
        <w:ind w:left="567" w:hanging="567"/>
        <w:rPr>
          <w:i/>
          <w:szCs w:val="24"/>
        </w:rPr>
      </w:pPr>
      <w:r w:rsidRPr="00CC752D">
        <w:rPr>
          <w:b/>
        </w:rPr>
        <w:t>17.</w:t>
      </w:r>
      <w:r w:rsidRPr="00CC752D">
        <w:rPr>
          <w:b/>
        </w:rPr>
        <w:tab/>
        <w:t>UNIKALUS IDENTIFIKATORIUS – 2D BRŪKŠNINIS KODAS</w:t>
      </w:r>
    </w:p>
    <w:p w14:paraId="6A74AAC9" w14:textId="77777777" w:rsidR="00DB4561" w:rsidRPr="00CC752D" w:rsidRDefault="00DB4561" w:rsidP="00DB4561">
      <w:pPr>
        <w:tabs>
          <w:tab w:val="left" w:pos="567"/>
        </w:tabs>
      </w:pPr>
    </w:p>
    <w:p w14:paraId="18C8DDDA" w14:textId="77777777" w:rsidR="00DB4561" w:rsidRPr="00CC752D" w:rsidRDefault="00DB4561" w:rsidP="00DB4561">
      <w:pPr>
        <w:tabs>
          <w:tab w:val="left" w:pos="567"/>
        </w:tabs>
        <w:rPr>
          <w:shd w:val="clear" w:color="auto" w:fill="CCCCCC"/>
        </w:rPr>
      </w:pPr>
      <w:r w:rsidRPr="00CC752D">
        <w:rPr>
          <w:highlight w:val="lightGray"/>
        </w:rPr>
        <w:t>2D brūkšninis kodas su nurodytu unikaliu identifikatoriumi.</w:t>
      </w:r>
    </w:p>
    <w:p w14:paraId="6CF3BF32" w14:textId="77777777" w:rsidR="00DB4561" w:rsidRPr="00CC752D" w:rsidRDefault="00DB4561" w:rsidP="00DB4561">
      <w:pPr>
        <w:tabs>
          <w:tab w:val="left" w:pos="567"/>
        </w:tabs>
      </w:pPr>
    </w:p>
    <w:p w14:paraId="5DFADA8C" w14:textId="77777777" w:rsidR="00DB4561" w:rsidRPr="00CC752D" w:rsidRDefault="00DB4561" w:rsidP="00DB4561">
      <w:pPr>
        <w:tabs>
          <w:tab w:val="left" w:pos="567"/>
        </w:tabs>
      </w:pPr>
    </w:p>
    <w:p w14:paraId="7B9F1096" w14:textId="77777777" w:rsidR="00DB4561" w:rsidRPr="00CC752D" w:rsidRDefault="00DB4561" w:rsidP="00DB4561">
      <w:pPr>
        <w:keepNext/>
        <w:pBdr>
          <w:top w:val="single" w:sz="4" w:space="1" w:color="auto"/>
          <w:left w:val="single" w:sz="4" w:space="4" w:color="auto"/>
          <w:bottom w:val="single" w:sz="4" w:space="1" w:color="auto"/>
          <w:right w:val="single" w:sz="4" w:space="4" w:color="auto"/>
        </w:pBdr>
        <w:tabs>
          <w:tab w:val="left" w:pos="567"/>
        </w:tabs>
        <w:ind w:left="567" w:hanging="567"/>
        <w:rPr>
          <w:i/>
        </w:rPr>
      </w:pPr>
      <w:r w:rsidRPr="00CC752D">
        <w:rPr>
          <w:b/>
        </w:rPr>
        <w:t>18.</w:t>
      </w:r>
      <w:r w:rsidRPr="00CC752D">
        <w:rPr>
          <w:b/>
        </w:rPr>
        <w:tab/>
        <w:t>UNIKALUS IDENTIFIKATORIUS – ŽMONĖMS SUPRANTAMI DUOMENYS</w:t>
      </w:r>
    </w:p>
    <w:p w14:paraId="204C41A1" w14:textId="77777777" w:rsidR="00DB4561" w:rsidRPr="00CC752D" w:rsidRDefault="00DB4561" w:rsidP="00DB4561">
      <w:pPr>
        <w:tabs>
          <w:tab w:val="left" w:pos="567"/>
        </w:tabs>
      </w:pPr>
    </w:p>
    <w:p w14:paraId="287E9023" w14:textId="6411E5F1" w:rsidR="00DB4561" w:rsidRPr="00805DAF" w:rsidRDefault="00DB4561" w:rsidP="00DB4561">
      <w:pPr>
        <w:tabs>
          <w:tab w:val="left" w:pos="567"/>
        </w:tabs>
        <w:rPr>
          <w:color w:val="008000"/>
        </w:rPr>
      </w:pPr>
      <w:r w:rsidRPr="00805DAF">
        <w:t>PC {numeris}</w:t>
      </w:r>
    </w:p>
    <w:p w14:paraId="1A6C4F9B" w14:textId="3E0392F4" w:rsidR="00DB4561" w:rsidRPr="00805DAF" w:rsidRDefault="00DB4561" w:rsidP="00DB4561">
      <w:pPr>
        <w:tabs>
          <w:tab w:val="left" w:pos="567"/>
        </w:tabs>
      </w:pPr>
      <w:r w:rsidRPr="00805DAF">
        <w:t xml:space="preserve">SN {numeris} </w:t>
      </w:r>
    </w:p>
    <w:p w14:paraId="4836AC53" w14:textId="393C5A61" w:rsidR="00DB4561" w:rsidRDefault="00DB4561" w:rsidP="00DB4561">
      <w:pPr>
        <w:tabs>
          <w:tab w:val="left" w:pos="567"/>
        </w:tabs>
      </w:pPr>
      <w:r w:rsidRPr="00805DAF">
        <w:rPr>
          <w:highlight w:val="lightGray"/>
        </w:rPr>
        <w:t>NN {numeris}</w:t>
      </w:r>
      <w:r w:rsidRPr="00805DAF">
        <w:t xml:space="preserve"> </w:t>
      </w:r>
    </w:p>
    <w:p w14:paraId="747DBCC6" w14:textId="77777777" w:rsidR="00DB4561" w:rsidRPr="00805DAF" w:rsidRDefault="00DB4561" w:rsidP="00DB4561">
      <w:pPr>
        <w:tabs>
          <w:tab w:val="left" w:pos="567"/>
        </w:tabs>
      </w:pPr>
    </w:p>
    <w:p w14:paraId="16BFE2DB" w14:textId="77777777" w:rsidR="00DB4561" w:rsidRPr="00805DAF" w:rsidRDefault="00DB4561" w:rsidP="00DB4561">
      <w:r w:rsidRPr="00805DAF">
        <w:br w:type="page"/>
      </w:r>
    </w:p>
    <w:p w14:paraId="5A6EA6D3" w14:textId="77777777" w:rsidR="00DB4561" w:rsidRDefault="00DB4561" w:rsidP="00DB4561">
      <w:pPr>
        <w:pBdr>
          <w:top w:val="single" w:sz="4" w:space="1" w:color="auto"/>
          <w:left w:val="single" w:sz="4" w:space="4" w:color="auto"/>
          <w:bottom w:val="single" w:sz="4" w:space="1" w:color="auto"/>
          <w:right w:val="single" w:sz="4" w:space="4" w:color="auto"/>
        </w:pBdr>
        <w:tabs>
          <w:tab w:val="left" w:pos="567"/>
        </w:tabs>
        <w:rPr>
          <w:b/>
          <w:szCs w:val="24"/>
        </w:rPr>
      </w:pPr>
      <w:r w:rsidRPr="00486325">
        <w:rPr>
          <w:b/>
          <w:szCs w:val="24"/>
        </w:rPr>
        <w:lastRenderedPageBreak/>
        <w:t>MINIMALI INFORMACIJA ANT LIZDINIŲ PLOKŠTELIŲ ARBA DVISLUOKSNIŲ JUOSTELIŲ</w:t>
      </w:r>
    </w:p>
    <w:p w14:paraId="27B56B7F" w14:textId="77777777" w:rsidR="009E7C50" w:rsidRDefault="009E7C50" w:rsidP="00DB4561">
      <w:pPr>
        <w:pBdr>
          <w:top w:val="single" w:sz="4" w:space="1" w:color="auto"/>
          <w:left w:val="single" w:sz="4" w:space="4" w:color="auto"/>
          <w:bottom w:val="single" w:sz="4" w:space="1" w:color="auto"/>
          <w:right w:val="single" w:sz="4" w:space="4" w:color="auto"/>
        </w:pBdr>
        <w:tabs>
          <w:tab w:val="left" w:pos="567"/>
        </w:tabs>
        <w:rPr>
          <w:b/>
          <w:szCs w:val="24"/>
        </w:rPr>
      </w:pPr>
    </w:p>
    <w:p w14:paraId="3E5FE98E" w14:textId="0A4D9E4F" w:rsidR="009E7C50" w:rsidRDefault="009E7C50" w:rsidP="00DB4561">
      <w:pPr>
        <w:pBdr>
          <w:top w:val="single" w:sz="4" w:space="1" w:color="auto"/>
          <w:left w:val="single" w:sz="4" w:space="4" w:color="auto"/>
          <w:bottom w:val="single" w:sz="4" w:space="1" w:color="auto"/>
          <w:right w:val="single" w:sz="4" w:space="4" w:color="auto"/>
        </w:pBdr>
        <w:tabs>
          <w:tab w:val="left" w:pos="567"/>
        </w:tabs>
        <w:rPr>
          <w:b/>
          <w:szCs w:val="24"/>
        </w:rPr>
      </w:pPr>
      <w:r w:rsidRPr="009E7C50">
        <w:rPr>
          <w:b/>
          <w:szCs w:val="24"/>
        </w:rPr>
        <w:t>LIZDINĖS PLOKŠTELĖS</w:t>
      </w:r>
    </w:p>
    <w:p w14:paraId="5E00F3DD" w14:textId="77777777" w:rsidR="00DB4561" w:rsidRDefault="00DB4561" w:rsidP="00DB4561">
      <w:pPr>
        <w:tabs>
          <w:tab w:val="left" w:pos="567"/>
        </w:tabs>
        <w:rPr>
          <w:szCs w:val="24"/>
        </w:rPr>
      </w:pPr>
    </w:p>
    <w:p w14:paraId="6598426B" w14:textId="77777777" w:rsidR="00DB4561" w:rsidRDefault="00DB4561" w:rsidP="00DB456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1D38FA9C" w14:textId="77777777" w:rsidR="00DB4561" w:rsidRDefault="00DB4561" w:rsidP="00DB4561">
      <w:pPr>
        <w:tabs>
          <w:tab w:val="left" w:pos="567"/>
        </w:tabs>
        <w:rPr>
          <w:szCs w:val="24"/>
        </w:rPr>
      </w:pPr>
    </w:p>
    <w:p w14:paraId="2CF3E76D" w14:textId="4C3D85C0" w:rsidR="009E7C50" w:rsidRDefault="00341B61" w:rsidP="00DB4561">
      <w:pPr>
        <w:tabs>
          <w:tab w:val="left" w:pos="567"/>
        </w:tabs>
      </w:pPr>
      <w:proofErr w:type="spellStart"/>
      <w:r>
        <w:t>Linagliptin</w:t>
      </w:r>
      <w:proofErr w:type="spellEnd"/>
      <w:r>
        <w:t xml:space="preserve"> Olpha</w:t>
      </w:r>
      <w:r w:rsidR="009E7C50" w:rsidRPr="009E7C50">
        <w:t xml:space="preserve"> 5</w:t>
      </w:r>
      <w:r>
        <w:t> mg</w:t>
      </w:r>
      <w:r w:rsidR="009E7C50" w:rsidRPr="009E7C50">
        <w:t xml:space="preserve"> tabletės</w:t>
      </w:r>
    </w:p>
    <w:p w14:paraId="32FD6584" w14:textId="16DF6D59" w:rsidR="00DB4561" w:rsidRPr="009E7C50" w:rsidRDefault="00BC62DF" w:rsidP="00DB4561">
      <w:pPr>
        <w:tabs>
          <w:tab w:val="left" w:pos="567"/>
        </w:tabs>
        <w:rPr>
          <w:i/>
          <w:iCs/>
          <w:szCs w:val="24"/>
        </w:rPr>
      </w:pPr>
      <w:proofErr w:type="spellStart"/>
      <w:r>
        <w:rPr>
          <w:i/>
          <w:iCs/>
        </w:rPr>
        <w:t>linagliptinum</w:t>
      </w:r>
      <w:proofErr w:type="spellEnd"/>
    </w:p>
    <w:p w14:paraId="3E2C392B" w14:textId="77777777" w:rsidR="00DB4561" w:rsidRDefault="00DB4561" w:rsidP="00DB4561">
      <w:pPr>
        <w:tabs>
          <w:tab w:val="left" w:pos="567"/>
        </w:tabs>
        <w:rPr>
          <w:szCs w:val="24"/>
        </w:rPr>
      </w:pPr>
    </w:p>
    <w:p w14:paraId="7E80DA95" w14:textId="77777777" w:rsidR="009E7C50" w:rsidRDefault="009E7C50" w:rsidP="00DB4561">
      <w:pPr>
        <w:tabs>
          <w:tab w:val="left" w:pos="567"/>
        </w:tabs>
        <w:rPr>
          <w:szCs w:val="24"/>
        </w:rPr>
      </w:pPr>
    </w:p>
    <w:p w14:paraId="4199F3A6" w14:textId="77777777" w:rsidR="00DB4561" w:rsidRDefault="00DB4561" w:rsidP="00DB456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2.</w:t>
      </w:r>
      <w:r>
        <w:rPr>
          <w:b/>
          <w:szCs w:val="24"/>
        </w:rPr>
        <w:tab/>
      </w:r>
      <w:r w:rsidRPr="00751E69">
        <w:rPr>
          <w:b/>
          <w:szCs w:val="24"/>
        </w:rPr>
        <w:t>REGISTRUOTOJO PAVADINIMAS</w:t>
      </w:r>
    </w:p>
    <w:p w14:paraId="4A24F6A7" w14:textId="77777777" w:rsidR="00DB4561" w:rsidRDefault="00DB4561" w:rsidP="00DB4561">
      <w:pPr>
        <w:pStyle w:val="Pagrindinistekstas"/>
      </w:pPr>
    </w:p>
    <w:p w14:paraId="07174C39" w14:textId="77777777" w:rsidR="00DB4561" w:rsidRDefault="00DB4561" w:rsidP="00DB4561">
      <w:pPr>
        <w:tabs>
          <w:tab w:val="left" w:pos="567"/>
        </w:tabs>
        <w:rPr>
          <w:szCs w:val="24"/>
        </w:rPr>
      </w:pPr>
      <w:r>
        <w:rPr>
          <w:szCs w:val="24"/>
        </w:rPr>
        <w:t xml:space="preserve">Olpha </w:t>
      </w:r>
      <w:r w:rsidRPr="00115DE8">
        <w:rPr>
          <w:szCs w:val="24"/>
          <w:highlight w:val="lightGray"/>
        </w:rPr>
        <w:t>[logotipas]</w:t>
      </w:r>
    </w:p>
    <w:p w14:paraId="23D3DB3C" w14:textId="77777777" w:rsidR="00DB4561" w:rsidRDefault="00DB4561" w:rsidP="00DB4561">
      <w:pPr>
        <w:tabs>
          <w:tab w:val="left" w:pos="567"/>
        </w:tabs>
        <w:rPr>
          <w:szCs w:val="24"/>
        </w:rPr>
      </w:pPr>
    </w:p>
    <w:p w14:paraId="118E4CF0" w14:textId="77777777" w:rsidR="00DB4561" w:rsidRDefault="00DB4561" w:rsidP="00DB4561">
      <w:pPr>
        <w:tabs>
          <w:tab w:val="left" w:pos="567"/>
        </w:tabs>
        <w:rPr>
          <w:szCs w:val="24"/>
        </w:rPr>
      </w:pPr>
    </w:p>
    <w:p w14:paraId="1B2A593F" w14:textId="77777777" w:rsidR="00DB4561" w:rsidRDefault="00DB4561" w:rsidP="00DB456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3.</w:t>
      </w:r>
      <w:r>
        <w:rPr>
          <w:b/>
          <w:szCs w:val="24"/>
        </w:rPr>
        <w:tab/>
      </w:r>
      <w:r w:rsidRPr="00751E69">
        <w:rPr>
          <w:b/>
          <w:szCs w:val="24"/>
        </w:rPr>
        <w:t>TINKAMUMO LAIKAS</w:t>
      </w:r>
    </w:p>
    <w:p w14:paraId="42AE995B" w14:textId="77777777" w:rsidR="00DB4561" w:rsidRDefault="00DB4561" w:rsidP="00DB4561">
      <w:pPr>
        <w:tabs>
          <w:tab w:val="left" w:pos="567"/>
        </w:tabs>
        <w:rPr>
          <w:szCs w:val="24"/>
        </w:rPr>
      </w:pPr>
    </w:p>
    <w:p w14:paraId="3F3E1F3C" w14:textId="6FC685D7" w:rsidR="00DB4561" w:rsidRPr="00466463" w:rsidRDefault="00DB4561" w:rsidP="00DB4561">
      <w:pPr>
        <w:pStyle w:val="Pagrindinistekstas"/>
      </w:pPr>
      <w:r w:rsidRPr="004A400F">
        <w:t>EXP</w:t>
      </w:r>
      <w:r w:rsidR="00466463">
        <w:t xml:space="preserve"> </w:t>
      </w:r>
      <w:r w:rsidR="00466463" w:rsidRPr="00F813BC">
        <w:t>{mm/MMMM}</w:t>
      </w:r>
    </w:p>
    <w:p w14:paraId="4D411F35" w14:textId="77777777" w:rsidR="00DB4561" w:rsidRDefault="00DB4561" w:rsidP="00DB4561">
      <w:pPr>
        <w:tabs>
          <w:tab w:val="left" w:pos="567"/>
        </w:tabs>
        <w:rPr>
          <w:szCs w:val="24"/>
        </w:rPr>
      </w:pPr>
    </w:p>
    <w:p w14:paraId="565708FF" w14:textId="77777777" w:rsidR="00DB4561" w:rsidRDefault="00DB4561" w:rsidP="00DB4561">
      <w:pPr>
        <w:tabs>
          <w:tab w:val="left" w:pos="567"/>
        </w:tabs>
        <w:rPr>
          <w:szCs w:val="24"/>
        </w:rPr>
      </w:pPr>
    </w:p>
    <w:p w14:paraId="6401092F" w14:textId="77777777" w:rsidR="00DB4561" w:rsidRDefault="00DB4561" w:rsidP="00DB456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4.</w:t>
      </w:r>
      <w:r>
        <w:rPr>
          <w:b/>
          <w:szCs w:val="24"/>
        </w:rPr>
        <w:tab/>
      </w:r>
      <w:r w:rsidRPr="00E03C37">
        <w:rPr>
          <w:b/>
          <w:szCs w:val="24"/>
        </w:rPr>
        <w:t>SERIJOS NUMERIS</w:t>
      </w:r>
    </w:p>
    <w:p w14:paraId="16CA3528" w14:textId="77777777" w:rsidR="00DB4561" w:rsidRDefault="00DB4561" w:rsidP="00DB4561">
      <w:pPr>
        <w:tabs>
          <w:tab w:val="left" w:pos="567"/>
        </w:tabs>
        <w:rPr>
          <w:szCs w:val="24"/>
        </w:rPr>
      </w:pPr>
    </w:p>
    <w:p w14:paraId="6665F447" w14:textId="77777777" w:rsidR="00DB4561" w:rsidRDefault="00DB4561" w:rsidP="00DB4561">
      <w:pPr>
        <w:tabs>
          <w:tab w:val="left" w:pos="567"/>
        </w:tabs>
        <w:rPr>
          <w:szCs w:val="24"/>
        </w:rPr>
      </w:pPr>
      <w:r w:rsidRPr="004A400F">
        <w:rPr>
          <w:szCs w:val="24"/>
        </w:rPr>
        <w:t>Lot</w:t>
      </w:r>
    </w:p>
    <w:p w14:paraId="70594332" w14:textId="77777777" w:rsidR="00DB4561" w:rsidRDefault="00DB4561" w:rsidP="00DB4561">
      <w:pPr>
        <w:pStyle w:val="Pagrindinistekstas"/>
        <w:rPr>
          <w:spacing w:val="53"/>
        </w:rPr>
      </w:pPr>
    </w:p>
    <w:p w14:paraId="2B73DB96" w14:textId="77777777" w:rsidR="00DB4561" w:rsidRDefault="00DB4561" w:rsidP="00DB4561">
      <w:pPr>
        <w:tabs>
          <w:tab w:val="left" w:pos="567"/>
        </w:tabs>
        <w:rPr>
          <w:szCs w:val="24"/>
        </w:rPr>
      </w:pPr>
    </w:p>
    <w:p w14:paraId="16BBDE3D" w14:textId="77777777" w:rsidR="00DB4561" w:rsidRDefault="00DB4561" w:rsidP="00DB456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5.</w:t>
      </w:r>
      <w:r>
        <w:rPr>
          <w:b/>
          <w:szCs w:val="24"/>
        </w:rPr>
        <w:tab/>
      </w:r>
      <w:r w:rsidRPr="003F6AC4">
        <w:rPr>
          <w:b/>
          <w:szCs w:val="24"/>
        </w:rPr>
        <w:t>KITA</w:t>
      </w:r>
    </w:p>
    <w:p w14:paraId="40498E58" w14:textId="77777777" w:rsidR="00DB4561" w:rsidRDefault="00DB4561" w:rsidP="00DB4561">
      <w:pPr>
        <w:tabs>
          <w:tab w:val="left" w:pos="567"/>
        </w:tabs>
        <w:rPr>
          <w:szCs w:val="24"/>
        </w:rPr>
      </w:pPr>
    </w:p>
    <w:p w14:paraId="60E6AB0C" w14:textId="77777777" w:rsidR="00DB4561" w:rsidRPr="00805DAF" w:rsidRDefault="00DB4561" w:rsidP="00DB4561">
      <w:pPr>
        <w:tabs>
          <w:tab w:val="left" w:pos="567"/>
        </w:tabs>
      </w:pPr>
    </w:p>
    <w:p w14:paraId="0C3CC67A" w14:textId="77777777" w:rsidR="00DB4561" w:rsidRPr="00805DAF" w:rsidRDefault="00DB4561" w:rsidP="00DB4561">
      <w:r w:rsidRPr="00805DAF">
        <w:br w:type="page"/>
      </w:r>
    </w:p>
    <w:p w14:paraId="2AD9E206" w14:textId="77777777" w:rsidR="00F27AD3" w:rsidRPr="007A5A89" w:rsidRDefault="00F27AD3" w:rsidP="00F27AD3"/>
    <w:p w14:paraId="03C0BE13" w14:textId="77777777" w:rsidR="00F27AD3" w:rsidRDefault="00F27AD3" w:rsidP="00F27AD3">
      <w:pPr>
        <w:tabs>
          <w:tab w:val="left" w:pos="567"/>
        </w:tabs>
        <w:rPr>
          <w:szCs w:val="24"/>
        </w:rPr>
      </w:pPr>
    </w:p>
    <w:p w14:paraId="144893BB" w14:textId="77777777" w:rsidR="00F27AD3" w:rsidRPr="007A5A89" w:rsidRDefault="00F27AD3" w:rsidP="00F27AD3">
      <w:pPr>
        <w:pStyle w:val="Pagrindinistekstas"/>
      </w:pPr>
    </w:p>
    <w:p w14:paraId="3F582295" w14:textId="77777777" w:rsidR="00F27AD3" w:rsidRPr="007A5A89" w:rsidRDefault="00F27AD3" w:rsidP="00F27AD3">
      <w:pPr>
        <w:pStyle w:val="Pagrindinistekstas"/>
      </w:pPr>
    </w:p>
    <w:p w14:paraId="33338A11" w14:textId="77777777" w:rsidR="00F27AD3" w:rsidRPr="007A5A89" w:rsidRDefault="00F27AD3" w:rsidP="00F27AD3">
      <w:pPr>
        <w:pStyle w:val="Pagrindinistekstas"/>
      </w:pPr>
    </w:p>
    <w:p w14:paraId="5B448325" w14:textId="77777777" w:rsidR="00F27AD3" w:rsidRPr="007A5A89" w:rsidRDefault="00F27AD3" w:rsidP="00F27AD3">
      <w:pPr>
        <w:pStyle w:val="Pagrindinistekstas"/>
      </w:pPr>
    </w:p>
    <w:p w14:paraId="6E67FB87" w14:textId="77777777" w:rsidR="00F27AD3" w:rsidRPr="007A5A89" w:rsidRDefault="00F27AD3" w:rsidP="00F27AD3">
      <w:pPr>
        <w:pStyle w:val="Pagrindinistekstas"/>
      </w:pPr>
    </w:p>
    <w:p w14:paraId="26296920" w14:textId="77777777" w:rsidR="00F27AD3" w:rsidRDefault="00F27AD3" w:rsidP="00F27AD3">
      <w:pPr>
        <w:pStyle w:val="Pagrindinistekstas"/>
      </w:pPr>
    </w:p>
    <w:p w14:paraId="1DB2A680" w14:textId="77777777" w:rsidR="00F27AD3" w:rsidRDefault="00F27AD3" w:rsidP="00F27AD3">
      <w:pPr>
        <w:pStyle w:val="Pagrindinistekstas"/>
      </w:pPr>
    </w:p>
    <w:p w14:paraId="69AA46FA" w14:textId="77777777" w:rsidR="00F27AD3" w:rsidRDefault="00F27AD3" w:rsidP="00F27AD3">
      <w:pPr>
        <w:pStyle w:val="Pagrindinistekstas"/>
      </w:pPr>
    </w:p>
    <w:p w14:paraId="4471D3CA" w14:textId="77777777" w:rsidR="00F27AD3" w:rsidRDefault="00F27AD3" w:rsidP="00F27AD3">
      <w:pPr>
        <w:pStyle w:val="Pagrindinistekstas"/>
      </w:pPr>
    </w:p>
    <w:p w14:paraId="5DD6C698" w14:textId="77777777" w:rsidR="00F27AD3" w:rsidRDefault="00F27AD3" w:rsidP="00F27AD3">
      <w:pPr>
        <w:pStyle w:val="Pagrindinistekstas"/>
      </w:pPr>
    </w:p>
    <w:p w14:paraId="138DA9BC" w14:textId="77777777" w:rsidR="00F27AD3" w:rsidRDefault="00F27AD3" w:rsidP="00F27AD3">
      <w:pPr>
        <w:pStyle w:val="Pagrindinistekstas"/>
      </w:pPr>
    </w:p>
    <w:p w14:paraId="3CB55615" w14:textId="77777777" w:rsidR="00F27AD3" w:rsidRDefault="00F27AD3" w:rsidP="00F27AD3">
      <w:pPr>
        <w:pStyle w:val="Pagrindinistekstas"/>
      </w:pPr>
    </w:p>
    <w:p w14:paraId="13B433BB" w14:textId="77777777" w:rsidR="00F27AD3" w:rsidRDefault="00F27AD3" w:rsidP="00F27AD3">
      <w:pPr>
        <w:pStyle w:val="Pagrindinistekstas"/>
      </w:pPr>
    </w:p>
    <w:p w14:paraId="03314715" w14:textId="77777777" w:rsidR="00F27AD3" w:rsidRDefault="00F27AD3" w:rsidP="00F27AD3">
      <w:pPr>
        <w:pStyle w:val="Pagrindinistekstas"/>
      </w:pPr>
    </w:p>
    <w:p w14:paraId="1480A24F" w14:textId="77777777" w:rsidR="00F27AD3" w:rsidRDefault="00F27AD3" w:rsidP="00F27AD3">
      <w:pPr>
        <w:pStyle w:val="Pagrindinistekstas"/>
      </w:pPr>
    </w:p>
    <w:p w14:paraId="25DF7497" w14:textId="77777777" w:rsidR="00F27AD3" w:rsidRDefault="00F27AD3" w:rsidP="00F27AD3">
      <w:pPr>
        <w:pStyle w:val="Pagrindinistekstas"/>
      </w:pPr>
    </w:p>
    <w:p w14:paraId="08887EB4" w14:textId="77777777" w:rsidR="00F27AD3" w:rsidRDefault="00F27AD3" w:rsidP="00F27AD3">
      <w:pPr>
        <w:pStyle w:val="Pagrindinistekstas"/>
      </w:pPr>
    </w:p>
    <w:p w14:paraId="77717B8E" w14:textId="77777777" w:rsidR="00F27AD3" w:rsidRDefault="00F27AD3" w:rsidP="00F27AD3">
      <w:pPr>
        <w:pStyle w:val="Pagrindinistekstas"/>
      </w:pPr>
    </w:p>
    <w:p w14:paraId="579DF151" w14:textId="77777777" w:rsidR="00F27AD3" w:rsidRPr="007A5A89" w:rsidRDefault="00F27AD3" w:rsidP="00F27AD3">
      <w:pPr>
        <w:pStyle w:val="Pagrindinistekstas"/>
      </w:pPr>
    </w:p>
    <w:p w14:paraId="613F9EA5" w14:textId="77777777" w:rsidR="00F27AD3" w:rsidRPr="007A5A89" w:rsidRDefault="00F27AD3" w:rsidP="00F27AD3">
      <w:pPr>
        <w:pStyle w:val="Pagrindinistekstas"/>
      </w:pPr>
    </w:p>
    <w:p w14:paraId="6B3A6094" w14:textId="77777777" w:rsidR="00F27AD3" w:rsidRPr="007A5A89" w:rsidRDefault="00F27AD3" w:rsidP="00F27AD3">
      <w:pPr>
        <w:pStyle w:val="Pagrindinistekstas"/>
      </w:pPr>
    </w:p>
    <w:p w14:paraId="3997FC83" w14:textId="77777777" w:rsidR="00F27AD3" w:rsidRPr="005D554B" w:rsidRDefault="00F27AD3" w:rsidP="00F27AD3">
      <w:pPr>
        <w:tabs>
          <w:tab w:val="left" w:pos="567"/>
        </w:tabs>
        <w:spacing w:line="260" w:lineRule="exact"/>
        <w:jc w:val="center"/>
        <w:outlineLvl w:val="0"/>
        <w:rPr>
          <w:b/>
          <w:snapToGrid w:val="0"/>
        </w:rPr>
      </w:pPr>
      <w:bookmarkStart w:id="3" w:name="B._PAKUOTĖS_LAPELIS"/>
      <w:bookmarkEnd w:id="3"/>
      <w:r w:rsidRPr="005D554B">
        <w:rPr>
          <w:b/>
          <w:snapToGrid w:val="0"/>
        </w:rPr>
        <w:t>B. PAKUOTĖS LAPELIS</w:t>
      </w:r>
    </w:p>
    <w:p w14:paraId="16BEF30D" w14:textId="77777777" w:rsidR="00F27AD3" w:rsidRDefault="00F27AD3" w:rsidP="00F27AD3">
      <w:pPr>
        <w:jc w:val="center"/>
        <w:rPr>
          <w:b/>
          <w:bCs/>
        </w:rPr>
      </w:pPr>
      <w:r>
        <w:br w:type="page"/>
      </w:r>
    </w:p>
    <w:p w14:paraId="4C508293" w14:textId="06E4D03A" w:rsidR="00A01BAC" w:rsidRPr="00D867CD" w:rsidRDefault="00341B61" w:rsidP="00F27AD3">
      <w:pPr>
        <w:pStyle w:val="Antrat2"/>
        <w:ind w:left="0"/>
        <w:jc w:val="center"/>
      </w:pPr>
      <w:r w:rsidRPr="00D867CD">
        <w:lastRenderedPageBreak/>
        <w:t xml:space="preserve">Pakuotės lapelis: informacija </w:t>
      </w:r>
      <w:r w:rsidR="00093F75">
        <w:t>pacientui</w:t>
      </w:r>
    </w:p>
    <w:p w14:paraId="4C508294" w14:textId="77777777" w:rsidR="00A01BAC" w:rsidRPr="00D867CD" w:rsidRDefault="00A01BAC" w:rsidP="00F27AD3">
      <w:pPr>
        <w:pStyle w:val="Pagrindinistekstas"/>
        <w:jc w:val="center"/>
        <w:rPr>
          <w:b/>
        </w:rPr>
      </w:pPr>
    </w:p>
    <w:p w14:paraId="4C508295" w14:textId="2A5D56E4" w:rsidR="00A01BAC" w:rsidRPr="00D867CD" w:rsidRDefault="00341B61" w:rsidP="00F27AD3">
      <w:pPr>
        <w:jc w:val="center"/>
        <w:rPr>
          <w:b/>
        </w:rPr>
      </w:pPr>
      <w:proofErr w:type="spellStart"/>
      <w:r>
        <w:rPr>
          <w:b/>
        </w:rPr>
        <w:t>Linagliptin</w:t>
      </w:r>
      <w:proofErr w:type="spellEnd"/>
      <w:r>
        <w:rPr>
          <w:b/>
        </w:rPr>
        <w:t xml:space="preserve"> Olpha</w:t>
      </w:r>
      <w:r w:rsidRPr="00D867CD">
        <w:rPr>
          <w:b/>
        </w:rPr>
        <w:t xml:space="preserve"> 5</w:t>
      </w:r>
      <w:r>
        <w:rPr>
          <w:b/>
        </w:rPr>
        <w:t> mg</w:t>
      </w:r>
      <w:r w:rsidRPr="00D867CD">
        <w:rPr>
          <w:b/>
        </w:rPr>
        <w:t xml:space="preserve"> plėvele dengtos tabletės</w:t>
      </w:r>
    </w:p>
    <w:p w14:paraId="4C508296" w14:textId="4904C21F" w:rsidR="00A01BAC" w:rsidRPr="00D867CD" w:rsidRDefault="00341B61" w:rsidP="00F27AD3">
      <w:pPr>
        <w:jc w:val="center"/>
      </w:pPr>
      <w:proofErr w:type="spellStart"/>
      <w:r w:rsidRPr="00D867CD">
        <w:t>linagliptinas</w:t>
      </w:r>
      <w:proofErr w:type="spellEnd"/>
      <w:r w:rsidR="00E514F0">
        <w:t xml:space="preserve"> </w:t>
      </w:r>
      <w:r w:rsidR="00E514F0" w:rsidRPr="00E514F0">
        <w:rPr>
          <w:i/>
          <w:iCs/>
        </w:rPr>
        <w:t>(</w:t>
      </w:r>
      <w:proofErr w:type="spellStart"/>
      <w:r w:rsidR="00E514F0" w:rsidRPr="00E514F0">
        <w:rPr>
          <w:i/>
          <w:iCs/>
        </w:rPr>
        <w:t>linagliptinum</w:t>
      </w:r>
      <w:proofErr w:type="spellEnd"/>
      <w:r w:rsidR="00E514F0" w:rsidRPr="00E514F0">
        <w:rPr>
          <w:i/>
          <w:iCs/>
        </w:rPr>
        <w:t>)</w:t>
      </w:r>
    </w:p>
    <w:p w14:paraId="4C508297" w14:textId="77777777" w:rsidR="00A01BAC" w:rsidRPr="00D867CD" w:rsidRDefault="00A01BAC" w:rsidP="00D867CD">
      <w:pPr>
        <w:pStyle w:val="Pagrindinistekstas"/>
      </w:pPr>
    </w:p>
    <w:p w14:paraId="4C508298" w14:textId="77777777" w:rsidR="00A01BAC" w:rsidRPr="00D867CD" w:rsidRDefault="00341B61" w:rsidP="00D867CD">
      <w:pPr>
        <w:pStyle w:val="Antrat2"/>
        <w:ind w:left="0"/>
      </w:pPr>
      <w:r w:rsidRPr="00D867CD">
        <w:t>Atidžiai perskaitykite visą šį lapelį, prieš pradėdami vartoti vaistą, nes jame pateikiama Jums svarbi informacija.</w:t>
      </w:r>
    </w:p>
    <w:p w14:paraId="4C508299" w14:textId="1B45F21F" w:rsidR="00A01BAC" w:rsidRPr="00D867CD" w:rsidRDefault="00341B61" w:rsidP="00F27AD3">
      <w:pPr>
        <w:pStyle w:val="Sraopastraipa"/>
        <w:numPr>
          <w:ilvl w:val="0"/>
          <w:numId w:val="6"/>
        </w:numPr>
        <w:tabs>
          <w:tab w:val="left" w:pos="567"/>
        </w:tabs>
        <w:ind w:left="567"/>
      </w:pPr>
      <w:r w:rsidRPr="00D867CD">
        <w:t>Neišmeskite šio lapelio, nes vėl gali prireikti jį perskaityti.</w:t>
      </w:r>
    </w:p>
    <w:p w14:paraId="4C50829A" w14:textId="77777777" w:rsidR="00A01BAC" w:rsidRPr="00D867CD" w:rsidRDefault="00341B61" w:rsidP="00F27AD3">
      <w:pPr>
        <w:pStyle w:val="Sraopastraipa"/>
        <w:numPr>
          <w:ilvl w:val="0"/>
          <w:numId w:val="6"/>
        </w:numPr>
        <w:tabs>
          <w:tab w:val="left" w:pos="567"/>
        </w:tabs>
        <w:ind w:left="567"/>
      </w:pPr>
      <w:r w:rsidRPr="00D867CD">
        <w:t>Jeigu kiltų daugiau klausimų, kreipkitės į gydytoją, vaistininką arba slaugytoją.</w:t>
      </w:r>
    </w:p>
    <w:p w14:paraId="4C50829B" w14:textId="77777777" w:rsidR="00A01BAC" w:rsidRPr="00D867CD" w:rsidRDefault="00341B61" w:rsidP="00F27AD3">
      <w:pPr>
        <w:pStyle w:val="Sraopastraipa"/>
        <w:numPr>
          <w:ilvl w:val="0"/>
          <w:numId w:val="6"/>
        </w:numPr>
        <w:tabs>
          <w:tab w:val="left" w:pos="567"/>
        </w:tabs>
        <w:ind w:left="567"/>
      </w:pPr>
      <w:r w:rsidRPr="00D867CD">
        <w:t>Šis vaistas skirtas tik Jums, todėl kitiems žmonėms jo duoti negalima. Vaistas gali jiems pakenkti (net tiems, kurių ligos požymiai yra tokie patys kaip Jūsų).</w:t>
      </w:r>
    </w:p>
    <w:p w14:paraId="4C50829C" w14:textId="50FD9D41" w:rsidR="00A01BAC" w:rsidRPr="00D867CD" w:rsidRDefault="00341B61" w:rsidP="00F27AD3">
      <w:pPr>
        <w:pStyle w:val="Sraopastraipa"/>
        <w:numPr>
          <w:ilvl w:val="0"/>
          <w:numId w:val="6"/>
        </w:numPr>
        <w:tabs>
          <w:tab w:val="left" w:pos="567"/>
        </w:tabs>
        <w:ind w:left="567"/>
      </w:pPr>
      <w:r w:rsidRPr="00D867CD">
        <w:t xml:space="preserve">Jeigu pasireiškė šalutinis poveikis (net jeigu jis šiame lapelyje nenurodytas), kreipkitės į gydytoją, vaistininką arba slaugytoją. </w:t>
      </w:r>
      <w:r>
        <w:t>Žr. </w:t>
      </w:r>
      <w:r w:rsidRPr="00D867CD">
        <w:t>4</w:t>
      </w:r>
      <w:r>
        <w:t> skyrių</w:t>
      </w:r>
      <w:r w:rsidRPr="00D867CD">
        <w:t>.</w:t>
      </w:r>
    </w:p>
    <w:p w14:paraId="4C50829D" w14:textId="77777777" w:rsidR="00A01BAC" w:rsidRPr="00D867CD" w:rsidRDefault="00A01BAC" w:rsidP="00D867CD">
      <w:pPr>
        <w:pStyle w:val="Pagrindinistekstas"/>
      </w:pPr>
    </w:p>
    <w:p w14:paraId="4C50829E" w14:textId="77777777" w:rsidR="00A01BAC" w:rsidRPr="00D867CD" w:rsidRDefault="00A01BAC" w:rsidP="00D867CD">
      <w:pPr>
        <w:pStyle w:val="Pagrindinistekstas"/>
      </w:pPr>
    </w:p>
    <w:p w14:paraId="4C50829F" w14:textId="77777777" w:rsidR="00A01BAC" w:rsidRDefault="00341B61" w:rsidP="00D867CD">
      <w:pPr>
        <w:pStyle w:val="Antrat2"/>
        <w:ind w:left="0"/>
      </w:pPr>
      <w:r w:rsidRPr="00D867CD">
        <w:t>Apie ką rašoma šiame lapelyje?</w:t>
      </w:r>
    </w:p>
    <w:p w14:paraId="1B6D4F7F" w14:textId="77777777" w:rsidR="00654FFD" w:rsidRPr="00D867CD" w:rsidRDefault="00654FFD" w:rsidP="00D867CD">
      <w:pPr>
        <w:pStyle w:val="Antrat2"/>
        <w:ind w:left="0"/>
      </w:pPr>
    </w:p>
    <w:p w14:paraId="4C5082A0" w14:textId="2509A1FE" w:rsidR="00A01BAC" w:rsidRPr="00D867CD" w:rsidRDefault="00341B61" w:rsidP="00F27AD3">
      <w:pPr>
        <w:pStyle w:val="Sraopastraipa"/>
        <w:numPr>
          <w:ilvl w:val="0"/>
          <w:numId w:val="5"/>
        </w:numPr>
        <w:tabs>
          <w:tab w:val="left" w:pos="567"/>
        </w:tabs>
        <w:ind w:left="567"/>
      </w:pPr>
      <w:r w:rsidRPr="00D867CD">
        <w:t xml:space="preserve">Kas yra </w:t>
      </w:r>
      <w:proofErr w:type="spellStart"/>
      <w:r>
        <w:t>Linagliptin</w:t>
      </w:r>
      <w:proofErr w:type="spellEnd"/>
      <w:r>
        <w:t xml:space="preserve"> Olpha</w:t>
      </w:r>
      <w:r w:rsidRPr="00D867CD">
        <w:t xml:space="preserve"> ir kam jis vartojamas</w:t>
      </w:r>
    </w:p>
    <w:p w14:paraId="4C5082A1" w14:textId="569F6469" w:rsidR="00A01BAC" w:rsidRPr="00D867CD" w:rsidRDefault="00341B61" w:rsidP="00F27AD3">
      <w:pPr>
        <w:pStyle w:val="Sraopastraipa"/>
        <w:numPr>
          <w:ilvl w:val="0"/>
          <w:numId w:val="5"/>
        </w:numPr>
        <w:tabs>
          <w:tab w:val="left" w:pos="567"/>
        </w:tabs>
        <w:ind w:left="567"/>
      </w:pPr>
      <w:r w:rsidRPr="00D867CD">
        <w:t xml:space="preserve">Kas žinotina prieš vartojant </w:t>
      </w:r>
      <w:proofErr w:type="spellStart"/>
      <w:r>
        <w:t>Linagliptin</w:t>
      </w:r>
      <w:proofErr w:type="spellEnd"/>
      <w:r>
        <w:t xml:space="preserve"> Olpha</w:t>
      </w:r>
    </w:p>
    <w:p w14:paraId="4C5082A2" w14:textId="7FD16D06" w:rsidR="00A01BAC" w:rsidRPr="00D867CD" w:rsidRDefault="00341B61" w:rsidP="00F27AD3">
      <w:pPr>
        <w:pStyle w:val="Sraopastraipa"/>
        <w:numPr>
          <w:ilvl w:val="0"/>
          <w:numId w:val="5"/>
        </w:numPr>
        <w:tabs>
          <w:tab w:val="left" w:pos="567"/>
        </w:tabs>
        <w:ind w:left="567"/>
      </w:pPr>
      <w:r w:rsidRPr="00D867CD">
        <w:t xml:space="preserve">Kaip vartoti </w:t>
      </w:r>
      <w:proofErr w:type="spellStart"/>
      <w:r>
        <w:t>Linagliptin</w:t>
      </w:r>
      <w:proofErr w:type="spellEnd"/>
      <w:r>
        <w:t xml:space="preserve"> Olpha</w:t>
      </w:r>
    </w:p>
    <w:p w14:paraId="4C5082A3" w14:textId="77777777" w:rsidR="00A01BAC" w:rsidRPr="00D867CD" w:rsidRDefault="00341B61" w:rsidP="00F27AD3">
      <w:pPr>
        <w:pStyle w:val="Sraopastraipa"/>
        <w:numPr>
          <w:ilvl w:val="0"/>
          <w:numId w:val="5"/>
        </w:numPr>
        <w:tabs>
          <w:tab w:val="left" w:pos="567"/>
        </w:tabs>
        <w:ind w:left="567"/>
      </w:pPr>
      <w:r w:rsidRPr="00D867CD">
        <w:t>Galimas šalutinis poveikis</w:t>
      </w:r>
    </w:p>
    <w:p w14:paraId="4C5082A4" w14:textId="4B61A247" w:rsidR="00A01BAC" w:rsidRPr="00D867CD" w:rsidRDefault="00341B61" w:rsidP="00F27AD3">
      <w:pPr>
        <w:pStyle w:val="Sraopastraipa"/>
        <w:numPr>
          <w:ilvl w:val="0"/>
          <w:numId w:val="5"/>
        </w:numPr>
        <w:tabs>
          <w:tab w:val="left" w:pos="567"/>
        </w:tabs>
        <w:ind w:left="567"/>
      </w:pPr>
      <w:r w:rsidRPr="00D867CD">
        <w:t xml:space="preserve">Kaip laikyti </w:t>
      </w:r>
      <w:proofErr w:type="spellStart"/>
      <w:r>
        <w:t>Linagliptin</w:t>
      </w:r>
      <w:proofErr w:type="spellEnd"/>
      <w:r>
        <w:t xml:space="preserve"> Olpha</w:t>
      </w:r>
    </w:p>
    <w:p w14:paraId="4C5082A5" w14:textId="77777777" w:rsidR="00A01BAC" w:rsidRPr="00D867CD" w:rsidRDefault="00341B61" w:rsidP="00F27AD3">
      <w:pPr>
        <w:pStyle w:val="Sraopastraipa"/>
        <w:numPr>
          <w:ilvl w:val="0"/>
          <w:numId w:val="5"/>
        </w:numPr>
        <w:tabs>
          <w:tab w:val="left" w:pos="567"/>
        </w:tabs>
        <w:ind w:left="567"/>
      </w:pPr>
      <w:r w:rsidRPr="00D867CD">
        <w:t>Pakuotės turinys ir kita informacija</w:t>
      </w:r>
    </w:p>
    <w:p w14:paraId="4C5082A6" w14:textId="77777777" w:rsidR="00A01BAC" w:rsidRDefault="00A01BAC" w:rsidP="00D867CD">
      <w:pPr>
        <w:pStyle w:val="Pagrindinistekstas"/>
      </w:pPr>
    </w:p>
    <w:p w14:paraId="71E447ED" w14:textId="77777777" w:rsidR="00F27AD3" w:rsidRPr="00D867CD" w:rsidRDefault="00F27AD3" w:rsidP="00D867CD">
      <w:pPr>
        <w:pStyle w:val="Pagrindinistekstas"/>
      </w:pPr>
    </w:p>
    <w:p w14:paraId="4C5082A7" w14:textId="1415B5A7" w:rsidR="00A01BAC" w:rsidRPr="00D867CD" w:rsidRDefault="00341B61" w:rsidP="00F27AD3">
      <w:pPr>
        <w:pStyle w:val="Antrat2"/>
        <w:numPr>
          <w:ilvl w:val="0"/>
          <w:numId w:val="4"/>
        </w:numPr>
        <w:tabs>
          <w:tab w:val="left" w:pos="567"/>
        </w:tabs>
        <w:ind w:left="567"/>
      </w:pPr>
      <w:r w:rsidRPr="00D867CD">
        <w:t xml:space="preserve">Kas yra </w:t>
      </w:r>
      <w:proofErr w:type="spellStart"/>
      <w:r>
        <w:t>Linagliptin</w:t>
      </w:r>
      <w:proofErr w:type="spellEnd"/>
      <w:r>
        <w:t xml:space="preserve"> Olpha</w:t>
      </w:r>
      <w:r w:rsidRPr="00D867CD">
        <w:t xml:space="preserve"> ir kam jis vartojamas</w:t>
      </w:r>
    </w:p>
    <w:p w14:paraId="4C5082A8" w14:textId="77777777" w:rsidR="00A01BAC" w:rsidRPr="00D867CD" w:rsidRDefault="00A01BAC" w:rsidP="00D867CD">
      <w:pPr>
        <w:pStyle w:val="Pagrindinistekstas"/>
        <w:rPr>
          <w:b/>
        </w:rPr>
      </w:pPr>
    </w:p>
    <w:p w14:paraId="4C5082A9" w14:textId="5120A7A3" w:rsidR="00A01BAC" w:rsidRPr="00D867CD" w:rsidRDefault="00341B61" w:rsidP="00D867CD">
      <w:pPr>
        <w:pStyle w:val="Pagrindinistekstas"/>
      </w:pPr>
      <w:proofErr w:type="spellStart"/>
      <w:r>
        <w:t>Linagliptin</w:t>
      </w:r>
      <w:proofErr w:type="spellEnd"/>
      <w:r>
        <w:t xml:space="preserve"> Olpha</w:t>
      </w:r>
      <w:r w:rsidRPr="00D867CD">
        <w:t xml:space="preserve"> veiklioji medžiaga yra </w:t>
      </w:r>
      <w:proofErr w:type="spellStart"/>
      <w:r w:rsidRPr="00D867CD">
        <w:t>linagliptinas</w:t>
      </w:r>
      <w:proofErr w:type="spellEnd"/>
      <w:r w:rsidR="003C0D27">
        <w:t xml:space="preserve">, kuris </w:t>
      </w:r>
      <w:r w:rsidRPr="00D867CD">
        <w:t xml:space="preserve">priklauso vaistų, vadinamų geriamaisiais antidiabetiniais vaistais, grupei. Geriamieji antidiabetiniai vaistai vartojami </w:t>
      </w:r>
      <w:r w:rsidR="003A6487">
        <w:t>padidėjusiam cukraus kiekiui kraujyje gydyti</w:t>
      </w:r>
      <w:r w:rsidRPr="00D867CD">
        <w:t>. Jie padeda organizmui sumažinti cukraus kiekį kraujyje.</w:t>
      </w:r>
    </w:p>
    <w:p w14:paraId="4C5082AA" w14:textId="77777777" w:rsidR="00A01BAC" w:rsidRPr="00D867CD" w:rsidRDefault="00A01BAC" w:rsidP="00D867CD">
      <w:pPr>
        <w:pStyle w:val="Pagrindinistekstas"/>
      </w:pPr>
    </w:p>
    <w:p w14:paraId="4C5082AB" w14:textId="60D0BB24" w:rsidR="00A01BAC" w:rsidRPr="00D867CD" w:rsidRDefault="00341B61" w:rsidP="00D867CD">
      <w:pPr>
        <w:pStyle w:val="Pagrindinistekstas"/>
      </w:pPr>
      <w:proofErr w:type="spellStart"/>
      <w:r>
        <w:t>Linagliptin</w:t>
      </w:r>
      <w:proofErr w:type="spellEnd"/>
      <w:r>
        <w:t xml:space="preserve"> Olpha</w:t>
      </w:r>
      <w:r w:rsidRPr="00D867CD">
        <w:t xml:space="preserve"> vartojamas suaugusiųjų </w:t>
      </w:r>
      <w:r>
        <w:t>2 tipo</w:t>
      </w:r>
      <w:r w:rsidRPr="00D867CD">
        <w:t xml:space="preserve"> cukrini</w:t>
      </w:r>
      <w:r w:rsidR="00801B24">
        <w:t>o</w:t>
      </w:r>
      <w:r w:rsidRPr="00D867CD">
        <w:t xml:space="preserve"> diabet</w:t>
      </w:r>
      <w:r w:rsidR="00801B24">
        <w:t>o</w:t>
      </w:r>
      <w:r w:rsidRPr="00D867CD">
        <w:t xml:space="preserve"> gydy</w:t>
      </w:r>
      <w:r w:rsidR="00801B24">
        <w:t>mui</w:t>
      </w:r>
      <w:r w:rsidRPr="00D867CD">
        <w:t>, jeigu gydymas vienu geriamuoju antidiabetiniu vaistu (</w:t>
      </w:r>
      <w:proofErr w:type="spellStart"/>
      <w:r w:rsidRPr="00D867CD">
        <w:t>metforminu</w:t>
      </w:r>
      <w:proofErr w:type="spellEnd"/>
      <w:r w:rsidRPr="00D867CD">
        <w:t xml:space="preserve"> arba </w:t>
      </w:r>
      <w:proofErr w:type="spellStart"/>
      <w:r w:rsidRPr="00D867CD">
        <w:t>sulfonilurėjos</w:t>
      </w:r>
      <w:proofErr w:type="spellEnd"/>
      <w:r w:rsidRPr="00D867CD">
        <w:t xml:space="preserve"> dariniu) arba vien tik dieta kartu su fiziniu krūviu tinkamai ligos nekontroliuoja. </w:t>
      </w:r>
      <w:proofErr w:type="spellStart"/>
      <w:r>
        <w:t>Linagliptin</w:t>
      </w:r>
      <w:proofErr w:type="spellEnd"/>
      <w:r>
        <w:t xml:space="preserve"> Olpha</w:t>
      </w:r>
      <w:r w:rsidRPr="00D867CD">
        <w:t xml:space="preserve"> galima vartoti kartu su kitais antidiabetiniais vaistais, pvz., </w:t>
      </w:r>
      <w:proofErr w:type="spellStart"/>
      <w:r w:rsidRPr="00D867CD">
        <w:t>metforminu</w:t>
      </w:r>
      <w:proofErr w:type="spellEnd"/>
      <w:r w:rsidRPr="00D867CD">
        <w:t xml:space="preserve">, </w:t>
      </w:r>
      <w:proofErr w:type="spellStart"/>
      <w:r w:rsidRPr="00D867CD">
        <w:t>sulfonilurėjos</w:t>
      </w:r>
      <w:proofErr w:type="spellEnd"/>
      <w:r w:rsidRPr="00D867CD">
        <w:t xml:space="preserve"> dariniu (pvz., </w:t>
      </w:r>
      <w:proofErr w:type="spellStart"/>
      <w:r w:rsidRPr="00D867CD">
        <w:t>glimepiridu</w:t>
      </w:r>
      <w:proofErr w:type="spellEnd"/>
      <w:r w:rsidRPr="00D867CD">
        <w:t xml:space="preserve">, </w:t>
      </w:r>
      <w:proofErr w:type="spellStart"/>
      <w:r w:rsidRPr="00D867CD">
        <w:t>glipizidu</w:t>
      </w:r>
      <w:proofErr w:type="spellEnd"/>
      <w:r w:rsidRPr="00D867CD">
        <w:t xml:space="preserve">), </w:t>
      </w:r>
      <w:proofErr w:type="spellStart"/>
      <w:r w:rsidRPr="00D867CD">
        <w:t>empagliflozinu</w:t>
      </w:r>
      <w:proofErr w:type="spellEnd"/>
      <w:r w:rsidRPr="00D867CD">
        <w:t xml:space="preserve"> ar insulinu.</w:t>
      </w:r>
    </w:p>
    <w:p w14:paraId="4C5082AC" w14:textId="77777777" w:rsidR="00A01BAC" w:rsidRPr="00D867CD" w:rsidRDefault="00A01BAC" w:rsidP="00D867CD">
      <w:pPr>
        <w:pStyle w:val="Pagrindinistekstas"/>
      </w:pPr>
    </w:p>
    <w:p w14:paraId="4C5082AD" w14:textId="2177B96B" w:rsidR="00A01BAC" w:rsidRPr="00D867CD" w:rsidRDefault="00341B61" w:rsidP="00D867CD">
      <w:pPr>
        <w:pStyle w:val="Pagrindinistekstas"/>
      </w:pPr>
      <w:r w:rsidRPr="00D867CD">
        <w:t xml:space="preserve">Svarbu, </w:t>
      </w:r>
      <w:r w:rsidR="0079022E">
        <w:t>laikytis</w:t>
      </w:r>
      <w:r w:rsidRPr="00D867CD">
        <w:t xml:space="preserve"> Jūsų gydytojo ar slaugytojo duotų patarimų dėl dietos ir fizinio krūvio.</w:t>
      </w:r>
    </w:p>
    <w:p w14:paraId="4C5082AE" w14:textId="77777777" w:rsidR="00A01BAC" w:rsidRDefault="00A01BAC" w:rsidP="00D867CD">
      <w:pPr>
        <w:pStyle w:val="Pagrindinistekstas"/>
      </w:pPr>
    </w:p>
    <w:p w14:paraId="7189FBF0" w14:textId="77777777" w:rsidR="00F27AD3" w:rsidRPr="00D867CD" w:rsidRDefault="00F27AD3" w:rsidP="00D867CD">
      <w:pPr>
        <w:pStyle w:val="Pagrindinistekstas"/>
      </w:pPr>
    </w:p>
    <w:p w14:paraId="641EE7A0" w14:textId="7ADB7D84" w:rsidR="00F27AD3" w:rsidRDefault="00341B61" w:rsidP="00F27AD3">
      <w:pPr>
        <w:pStyle w:val="Antrat2"/>
        <w:numPr>
          <w:ilvl w:val="0"/>
          <w:numId w:val="4"/>
        </w:numPr>
        <w:tabs>
          <w:tab w:val="left" w:pos="567"/>
        </w:tabs>
        <w:ind w:left="567"/>
      </w:pPr>
      <w:r w:rsidRPr="00D867CD">
        <w:t xml:space="preserve">Kas žinotina prieš vartojant </w:t>
      </w:r>
      <w:proofErr w:type="spellStart"/>
      <w:r>
        <w:t>Linagliptin</w:t>
      </w:r>
      <w:proofErr w:type="spellEnd"/>
      <w:r>
        <w:t xml:space="preserve"> Olpha</w:t>
      </w:r>
    </w:p>
    <w:p w14:paraId="3A27DC8D" w14:textId="77777777" w:rsidR="00F27AD3" w:rsidRDefault="00F27AD3" w:rsidP="00F27AD3">
      <w:pPr>
        <w:pStyle w:val="Antrat2"/>
        <w:tabs>
          <w:tab w:val="left" w:pos="710"/>
        </w:tabs>
        <w:ind w:left="0"/>
      </w:pPr>
    </w:p>
    <w:p w14:paraId="4C5082AF" w14:textId="1963509B" w:rsidR="00A01BAC" w:rsidRPr="00D867CD" w:rsidRDefault="00341B61" w:rsidP="00F27AD3">
      <w:pPr>
        <w:pStyle w:val="Antrat2"/>
        <w:tabs>
          <w:tab w:val="left" w:pos="710"/>
        </w:tabs>
        <w:ind w:left="0"/>
      </w:pPr>
      <w:proofErr w:type="spellStart"/>
      <w:r>
        <w:t>Linagliptin</w:t>
      </w:r>
      <w:proofErr w:type="spellEnd"/>
      <w:r>
        <w:t xml:space="preserve"> Olpha</w:t>
      </w:r>
      <w:r w:rsidRPr="00D867CD">
        <w:t xml:space="preserve"> vartoti draudžiama</w:t>
      </w:r>
    </w:p>
    <w:p w14:paraId="4C5082B0" w14:textId="3D1D46BB" w:rsidR="00A01BAC" w:rsidRDefault="00341B61" w:rsidP="00104B08">
      <w:pPr>
        <w:pStyle w:val="Sraopastraipa"/>
        <w:numPr>
          <w:ilvl w:val="1"/>
          <w:numId w:val="14"/>
        </w:numPr>
        <w:ind w:left="567" w:hanging="567"/>
      </w:pPr>
      <w:r w:rsidRPr="00D867CD">
        <w:t xml:space="preserve">jeigu yra alergija </w:t>
      </w:r>
      <w:proofErr w:type="spellStart"/>
      <w:r w:rsidRPr="00D867CD">
        <w:t>linagliptinui</w:t>
      </w:r>
      <w:proofErr w:type="spellEnd"/>
      <w:r w:rsidRPr="00D867CD">
        <w:t xml:space="preserve"> arba bet kuriai pagalbinei šio vaisto medžiagai (jos išvardytos 6</w:t>
      </w:r>
      <w:r>
        <w:t> skyriuje</w:t>
      </w:r>
      <w:r w:rsidRPr="00D867CD">
        <w:t>).</w:t>
      </w:r>
    </w:p>
    <w:p w14:paraId="731090B8" w14:textId="77777777" w:rsidR="00F27AD3" w:rsidRPr="00D867CD" w:rsidRDefault="00F27AD3" w:rsidP="00F27AD3">
      <w:pPr>
        <w:pStyle w:val="Sraopastraipa"/>
        <w:tabs>
          <w:tab w:val="left" w:pos="710"/>
        </w:tabs>
        <w:ind w:left="0" w:firstLine="0"/>
      </w:pPr>
    </w:p>
    <w:p w14:paraId="4C5082B1" w14:textId="77777777" w:rsidR="00A01BAC" w:rsidRPr="00D867CD" w:rsidRDefault="00341B61" w:rsidP="00D867CD">
      <w:pPr>
        <w:pStyle w:val="Antrat2"/>
        <w:ind w:left="0"/>
      </w:pPr>
      <w:r w:rsidRPr="00D867CD">
        <w:t>Įspėjimai ir atsargumo priemonės</w:t>
      </w:r>
    </w:p>
    <w:p w14:paraId="4C5082B2" w14:textId="41218F25" w:rsidR="00A01BAC" w:rsidRPr="00D867CD" w:rsidRDefault="00341B61" w:rsidP="00D867CD">
      <w:pPr>
        <w:pStyle w:val="Pagrindinistekstas"/>
      </w:pPr>
      <w:r w:rsidRPr="00D867CD">
        <w:t xml:space="preserve">Pasitarkite su gydytoju, vaistininku arba slaugytoju, prieš pradėdami vartoti </w:t>
      </w:r>
      <w:proofErr w:type="spellStart"/>
      <w:r>
        <w:t>Linagliptin</w:t>
      </w:r>
      <w:proofErr w:type="spellEnd"/>
      <w:r>
        <w:t xml:space="preserve"> Olpha</w:t>
      </w:r>
      <w:r w:rsidRPr="00D867CD">
        <w:t>, jeigu:</w:t>
      </w:r>
    </w:p>
    <w:p w14:paraId="4C5082B3" w14:textId="656646C8" w:rsidR="00A01BAC" w:rsidRPr="00D867CD" w:rsidRDefault="00341B61" w:rsidP="00C07252">
      <w:pPr>
        <w:pStyle w:val="Sraopastraipa"/>
        <w:numPr>
          <w:ilvl w:val="1"/>
          <w:numId w:val="15"/>
        </w:numPr>
        <w:tabs>
          <w:tab w:val="left" w:pos="567"/>
        </w:tabs>
        <w:ind w:left="567" w:hanging="567"/>
      </w:pPr>
      <w:r w:rsidRPr="00D867CD">
        <w:t xml:space="preserve">sergate </w:t>
      </w:r>
      <w:r>
        <w:t>1 tipo</w:t>
      </w:r>
      <w:r w:rsidRPr="00D867CD">
        <w:t xml:space="preserve"> cukriniu diabetu (Jūsų organizmas negamina insulino) ar diabetine </w:t>
      </w:r>
      <w:proofErr w:type="spellStart"/>
      <w:r w:rsidRPr="00D867CD">
        <w:t>ketoacidoze</w:t>
      </w:r>
      <w:proofErr w:type="spellEnd"/>
      <w:r w:rsidRPr="00D867CD">
        <w:t xml:space="preserve"> (diabeto komplikacija, susijusi su dideliu cukraus kiekiu kraujyje, greitu kūno svorio mažėjimu, pykinimu arba vėmimu), kadangi šių ligų </w:t>
      </w:r>
      <w:proofErr w:type="spellStart"/>
      <w:r>
        <w:t>Linagliptin</w:t>
      </w:r>
      <w:proofErr w:type="spellEnd"/>
      <w:r>
        <w:t xml:space="preserve"> Olpha</w:t>
      </w:r>
      <w:r w:rsidRPr="00D867CD">
        <w:t xml:space="preserve"> gydyti negalima;</w:t>
      </w:r>
    </w:p>
    <w:p w14:paraId="4C5082B4" w14:textId="1FB6575A" w:rsidR="00A01BAC" w:rsidRPr="00D867CD" w:rsidRDefault="00341B61" w:rsidP="00C07252">
      <w:pPr>
        <w:pStyle w:val="Sraopastraipa"/>
        <w:numPr>
          <w:ilvl w:val="1"/>
          <w:numId w:val="15"/>
        </w:numPr>
        <w:tabs>
          <w:tab w:val="left" w:pos="567"/>
        </w:tabs>
        <w:ind w:left="567" w:hanging="567"/>
      </w:pPr>
      <w:r w:rsidRPr="00D867CD">
        <w:t xml:space="preserve">vartojate antidiabetinio vaisto, kuris </w:t>
      </w:r>
      <w:r w:rsidR="00DE2A54">
        <w:t>vadinamas</w:t>
      </w:r>
      <w:r w:rsidRPr="00D867CD">
        <w:t xml:space="preserve"> </w:t>
      </w:r>
      <w:proofErr w:type="spellStart"/>
      <w:r w:rsidRPr="00D867CD">
        <w:t>sulfonilurėjos</w:t>
      </w:r>
      <w:proofErr w:type="spellEnd"/>
      <w:r w:rsidRPr="00D867CD">
        <w:t xml:space="preserve"> darin</w:t>
      </w:r>
      <w:r w:rsidR="00DE2A54">
        <w:t>iu</w:t>
      </w:r>
      <w:r w:rsidRPr="00D867CD">
        <w:t xml:space="preserve"> (pvz., </w:t>
      </w:r>
      <w:proofErr w:type="spellStart"/>
      <w:r w:rsidRPr="00D867CD">
        <w:t>glimepirido</w:t>
      </w:r>
      <w:proofErr w:type="spellEnd"/>
      <w:r w:rsidRPr="00D867CD">
        <w:t xml:space="preserve">, </w:t>
      </w:r>
      <w:proofErr w:type="spellStart"/>
      <w:r w:rsidRPr="00D867CD">
        <w:t>glipizido</w:t>
      </w:r>
      <w:proofErr w:type="spellEnd"/>
      <w:r w:rsidRPr="00D867CD">
        <w:t xml:space="preserve">), kadangi Jūsų gydytojas gali nurodyti sumažinti </w:t>
      </w:r>
      <w:proofErr w:type="spellStart"/>
      <w:r w:rsidR="00433D73" w:rsidRPr="00D867CD">
        <w:t>sulfonilurėjos</w:t>
      </w:r>
      <w:proofErr w:type="spellEnd"/>
      <w:r w:rsidR="00433D73" w:rsidRPr="00D867CD">
        <w:t xml:space="preserve"> darin</w:t>
      </w:r>
      <w:r w:rsidR="00433D73">
        <w:t xml:space="preserve">io </w:t>
      </w:r>
      <w:r w:rsidRPr="00D867CD">
        <w:t xml:space="preserve">dozę pradėjus kartu vartoti </w:t>
      </w:r>
      <w:proofErr w:type="spellStart"/>
      <w:r>
        <w:t>Linagliptin</w:t>
      </w:r>
      <w:proofErr w:type="spellEnd"/>
      <w:r>
        <w:t xml:space="preserve"> Olpha</w:t>
      </w:r>
      <w:r w:rsidRPr="00D867CD">
        <w:t>, kad cukraus kiekis Jūsų kraujyje pernelyg nesumažėtų;</w:t>
      </w:r>
    </w:p>
    <w:p w14:paraId="4C5082B5" w14:textId="3141D25E" w:rsidR="00A01BAC" w:rsidRPr="00D867CD" w:rsidRDefault="00341B61" w:rsidP="00C07252">
      <w:pPr>
        <w:pStyle w:val="Sraopastraipa"/>
        <w:numPr>
          <w:ilvl w:val="1"/>
          <w:numId w:val="15"/>
        </w:numPr>
        <w:tabs>
          <w:tab w:val="left" w:pos="567"/>
        </w:tabs>
        <w:ind w:left="567" w:hanging="567"/>
      </w:pPr>
      <w:r w:rsidRPr="00D867CD">
        <w:t>buvo alerginių reakcijų į bet kokius kitus vaistus, kuriuos vartojote cukraus kiekiui kraujyje kontroliuoti;</w:t>
      </w:r>
    </w:p>
    <w:p w14:paraId="4C5082B6" w14:textId="77777777" w:rsidR="00A01BAC" w:rsidRPr="00D867CD" w:rsidRDefault="00341B61" w:rsidP="00C07252">
      <w:pPr>
        <w:pStyle w:val="Sraopastraipa"/>
        <w:numPr>
          <w:ilvl w:val="1"/>
          <w:numId w:val="15"/>
        </w:numPr>
        <w:tabs>
          <w:tab w:val="left" w:pos="567"/>
        </w:tabs>
        <w:ind w:left="567" w:hanging="567"/>
      </w:pPr>
      <w:r w:rsidRPr="00D867CD">
        <w:t>sirgote ar sergate kasos liga.</w:t>
      </w:r>
    </w:p>
    <w:p w14:paraId="1E3AAD03" w14:textId="77777777" w:rsidR="00F27AD3" w:rsidRDefault="00F27AD3" w:rsidP="00D867CD">
      <w:pPr>
        <w:pStyle w:val="Pagrindinistekstas"/>
      </w:pPr>
    </w:p>
    <w:p w14:paraId="4C5082B9" w14:textId="56980A09" w:rsidR="00A01BAC" w:rsidRPr="00D867CD" w:rsidRDefault="00341B61" w:rsidP="00D867CD">
      <w:pPr>
        <w:pStyle w:val="Pagrindinistekstas"/>
      </w:pPr>
      <w:r w:rsidRPr="00D867CD">
        <w:t>Jeigu Jums pasireiškia ūm</w:t>
      </w:r>
      <w:r w:rsidR="000643EF">
        <w:t>inio</w:t>
      </w:r>
      <w:r w:rsidRPr="00D867CD">
        <w:t xml:space="preserve"> kasos uždegimo (pankreatito) simptomų, pvz., nuolatinis stiprus pilvo</w:t>
      </w:r>
      <w:r w:rsidR="00F27AD3">
        <w:t xml:space="preserve"> </w:t>
      </w:r>
      <w:r w:rsidRPr="00D867CD">
        <w:t>skausmas, pasitarkite su savo gydytoju.</w:t>
      </w:r>
    </w:p>
    <w:p w14:paraId="4C5082BA" w14:textId="77777777" w:rsidR="00A01BAC" w:rsidRPr="00D867CD" w:rsidRDefault="00A01BAC" w:rsidP="00D867CD">
      <w:pPr>
        <w:pStyle w:val="Pagrindinistekstas"/>
      </w:pPr>
    </w:p>
    <w:p w14:paraId="4C5082BB" w14:textId="49DE4198" w:rsidR="00A01BAC" w:rsidRPr="00D867CD" w:rsidRDefault="00341B61" w:rsidP="00D867CD">
      <w:pPr>
        <w:pStyle w:val="Pagrindinistekstas"/>
      </w:pPr>
      <w:r w:rsidRPr="00D867CD">
        <w:t xml:space="preserve">Jeigu Jums atsirado pūslių ant odos, tai gali būti ligos, vadinamos </w:t>
      </w:r>
      <w:proofErr w:type="spellStart"/>
      <w:r w:rsidRPr="00D867CD">
        <w:t>pūsliniu</w:t>
      </w:r>
      <w:proofErr w:type="spellEnd"/>
      <w:r w:rsidRPr="00D867CD">
        <w:t xml:space="preserve"> </w:t>
      </w:r>
      <w:proofErr w:type="spellStart"/>
      <w:r w:rsidRPr="00D867CD">
        <w:t>pemfigoidu</w:t>
      </w:r>
      <w:proofErr w:type="spellEnd"/>
      <w:r w:rsidRPr="00D867CD">
        <w:t xml:space="preserve">, požymis. Jūsų gydytojas gali paprašyti Jūsų nustoti vartoti </w:t>
      </w:r>
      <w:proofErr w:type="spellStart"/>
      <w:r>
        <w:t>Linagliptin</w:t>
      </w:r>
      <w:proofErr w:type="spellEnd"/>
      <w:r>
        <w:t xml:space="preserve"> Olpha</w:t>
      </w:r>
      <w:r w:rsidRPr="00D867CD">
        <w:t>.</w:t>
      </w:r>
    </w:p>
    <w:p w14:paraId="4C5082BC" w14:textId="77777777" w:rsidR="00A01BAC" w:rsidRPr="00D867CD" w:rsidRDefault="00A01BAC" w:rsidP="00D867CD">
      <w:pPr>
        <w:pStyle w:val="Pagrindinistekstas"/>
      </w:pPr>
    </w:p>
    <w:p w14:paraId="4C5082BD" w14:textId="338E36EF" w:rsidR="00A01BAC" w:rsidRDefault="00341B61" w:rsidP="00D867CD">
      <w:pPr>
        <w:pStyle w:val="Pagrindinistekstas"/>
      </w:pPr>
      <w:r w:rsidRPr="00D867CD">
        <w:t xml:space="preserve">Dažna cukrinio diabeto komplikacija yra </w:t>
      </w:r>
      <w:r w:rsidR="00E2310A">
        <w:t>diabetin</w:t>
      </w:r>
      <w:r w:rsidR="00931955">
        <w:t>iai</w:t>
      </w:r>
      <w:r w:rsidR="00E2310A">
        <w:t xml:space="preserve"> </w:t>
      </w:r>
      <w:r w:rsidRPr="00D867CD">
        <w:t>odo</w:t>
      </w:r>
      <w:r w:rsidR="00E2310A">
        <w:t>s paž</w:t>
      </w:r>
      <w:r w:rsidR="00931955">
        <w:t>eidimai</w:t>
      </w:r>
      <w:r w:rsidRPr="00D867CD">
        <w:t>. Turite laikytis Jūsų gydytojo arba slaugytojo duotų patarimų dėl odos ir pėdų priežiūros.</w:t>
      </w:r>
    </w:p>
    <w:p w14:paraId="068848E8" w14:textId="77777777" w:rsidR="00F27AD3" w:rsidRPr="00D867CD" w:rsidRDefault="00F27AD3" w:rsidP="00D867CD">
      <w:pPr>
        <w:pStyle w:val="Pagrindinistekstas"/>
      </w:pPr>
    </w:p>
    <w:p w14:paraId="4C5082BE" w14:textId="77777777" w:rsidR="00A01BAC" w:rsidRPr="00D867CD" w:rsidRDefault="00341B61" w:rsidP="00D867CD">
      <w:pPr>
        <w:pStyle w:val="Antrat2"/>
        <w:ind w:left="0"/>
      </w:pPr>
      <w:r w:rsidRPr="00D867CD">
        <w:t>Vaikams ir paaugliams</w:t>
      </w:r>
    </w:p>
    <w:p w14:paraId="4C5082BF" w14:textId="3CA5BC32" w:rsidR="00A01BAC" w:rsidRPr="00D867CD" w:rsidRDefault="00341B61" w:rsidP="00D867CD">
      <w:pPr>
        <w:pStyle w:val="Pagrindinistekstas"/>
      </w:pPr>
      <w:proofErr w:type="spellStart"/>
      <w:r>
        <w:t>Linagliptin</w:t>
      </w:r>
      <w:proofErr w:type="spellEnd"/>
      <w:r>
        <w:t xml:space="preserve"> Olpha</w:t>
      </w:r>
      <w:r w:rsidRPr="00D867CD">
        <w:t xml:space="preserve"> nerekomenduojama vartoti vaikams ir jaunesniems kaip 18</w:t>
      </w:r>
      <w:r>
        <w:t> metų</w:t>
      </w:r>
      <w:r w:rsidRPr="00D867CD">
        <w:t xml:space="preserve"> paaugliams. Vaistas neveiksmingas 10</w:t>
      </w:r>
      <w:r w:rsidR="001153C3">
        <w:noBreakHyphen/>
      </w:r>
      <w:r w:rsidRPr="00D867CD">
        <w:t>17</w:t>
      </w:r>
      <w:r>
        <w:t> metų</w:t>
      </w:r>
      <w:r w:rsidRPr="00D867CD">
        <w:t xml:space="preserve"> vaikams ir paaugliams. Nežinoma, ar šis vaistas saugus ir veiksmingas jaunesniems kaip 10</w:t>
      </w:r>
      <w:r>
        <w:t> metų</w:t>
      </w:r>
      <w:r w:rsidRPr="00D867CD">
        <w:t xml:space="preserve"> vaikams.</w:t>
      </w:r>
    </w:p>
    <w:p w14:paraId="4C5082C0" w14:textId="77777777" w:rsidR="00A01BAC" w:rsidRPr="00D867CD" w:rsidRDefault="00A01BAC" w:rsidP="00D867CD">
      <w:pPr>
        <w:pStyle w:val="Pagrindinistekstas"/>
      </w:pPr>
    </w:p>
    <w:p w14:paraId="4C5082C1" w14:textId="49707DA7" w:rsidR="00A01BAC" w:rsidRPr="00D867CD" w:rsidRDefault="00341B61" w:rsidP="00D867CD">
      <w:pPr>
        <w:pStyle w:val="Antrat2"/>
        <w:ind w:left="0"/>
      </w:pPr>
      <w:r w:rsidRPr="00D867CD">
        <w:t xml:space="preserve">Kiti vaistai ir </w:t>
      </w:r>
      <w:proofErr w:type="spellStart"/>
      <w:r>
        <w:t>Linagliptin</w:t>
      </w:r>
      <w:proofErr w:type="spellEnd"/>
      <w:r>
        <w:t xml:space="preserve"> Olpha</w:t>
      </w:r>
    </w:p>
    <w:p w14:paraId="4C5082C2" w14:textId="77777777" w:rsidR="00A01BAC" w:rsidRDefault="00341B61" w:rsidP="00D867CD">
      <w:pPr>
        <w:pStyle w:val="Pagrindinistekstas"/>
      </w:pPr>
      <w:r w:rsidRPr="00D867CD">
        <w:t>Jeigu vartojate ar neseniai vartojote kitų vaistų arba dėl to nesate tikri, apie tai pasakykite gydytojui arba vaistininkui.</w:t>
      </w:r>
    </w:p>
    <w:p w14:paraId="7A9165CC" w14:textId="77777777" w:rsidR="00F27AD3" w:rsidRPr="00D867CD" w:rsidRDefault="00F27AD3" w:rsidP="00D867CD">
      <w:pPr>
        <w:pStyle w:val="Pagrindinistekstas"/>
      </w:pPr>
    </w:p>
    <w:p w14:paraId="4C5082C3" w14:textId="77777777" w:rsidR="00A01BAC" w:rsidRPr="00D867CD" w:rsidRDefault="00341B61" w:rsidP="00D867CD">
      <w:pPr>
        <w:pStyle w:val="Pagrindinistekstas"/>
      </w:pPr>
      <w:r w:rsidRPr="00D867CD">
        <w:t>Labai svarbu, kad savo gydytojui pasakytumėte, jeigu vartojate vaistų, kurių sudėtyje yra toliau išvardytų veikliųjų medžiagų:</w:t>
      </w:r>
    </w:p>
    <w:p w14:paraId="4C5082C4" w14:textId="77777777" w:rsidR="00A01BAC" w:rsidRPr="00D867CD" w:rsidRDefault="00341B61" w:rsidP="0025741B">
      <w:pPr>
        <w:pStyle w:val="Sraopastraipa"/>
        <w:numPr>
          <w:ilvl w:val="1"/>
          <w:numId w:val="16"/>
        </w:numPr>
        <w:ind w:left="567" w:hanging="567"/>
      </w:pPr>
      <w:proofErr w:type="spellStart"/>
      <w:r w:rsidRPr="00D867CD">
        <w:t>karbamazepino</w:t>
      </w:r>
      <w:proofErr w:type="spellEnd"/>
      <w:r w:rsidRPr="00D867CD">
        <w:t xml:space="preserve">, </w:t>
      </w:r>
      <w:proofErr w:type="spellStart"/>
      <w:r w:rsidRPr="00D867CD">
        <w:t>fenobarbitalio</w:t>
      </w:r>
      <w:proofErr w:type="spellEnd"/>
      <w:r w:rsidRPr="00D867CD">
        <w:t xml:space="preserve"> arba </w:t>
      </w:r>
      <w:proofErr w:type="spellStart"/>
      <w:r w:rsidRPr="00D867CD">
        <w:t>fenitoino</w:t>
      </w:r>
      <w:proofErr w:type="spellEnd"/>
      <w:r w:rsidRPr="00D867CD">
        <w:t>. Jie gali būti vartojami traukulių priepuoliams arba lėtiniam skausmui kontroliuoti;</w:t>
      </w:r>
    </w:p>
    <w:p w14:paraId="4C5082C5" w14:textId="77777777" w:rsidR="00A01BAC" w:rsidRPr="00D867CD" w:rsidRDefault="00341B61" w:rsidP="0025741B">
      <w:pPr>
        <w:pStyle w:val="Sraopastraipa"/>
        <w:numPr>
          <w:ilvl w:val="1"/>
          <w:numId w:val="16"/>
        </w:numPr>
        <w:ind w:left="567" w:hanging="567"/>
      </w:pPr>
      <w:proofErr w:type="spellStart"/>
      <w:r w:rsidRPr="00D867CD">
        <w:t>rifampicino</w:t>
      </w:r>
      <w:proofErr w:type="spellEnd"/>
      <w:r w:rsidRPr="00D867CD">
        <w:t>. Tai antibiotikas, vartojamas infekcinėms ligoms, pavyzdžiui, tuberkuliozei, gydyti.</w:t>
      </w:r>
    </w:p>
    <w:p w14:paraId="5D24AA55" w14:textId="77777777" w:rsidR="00F27AD3" w:rsidRDefault="00F27AD3" w:rsidP="00D867CD">
      <w:pPr>
        <w:pStyle w:val="Antrat2"/>
        <w:ind w:left="0"/>
      </w:pPr>
    </w:p>
    <w:p w14:paraId="4C5082C6" w14:textId="36FB2E1C" w:rsidR="00A01BAC" w:rsidRPr="00D867CD" w:rsidRDefault="00341B61" w:rsidP="00D867CD">
      <w:pPr>
        <w:pStyle w:val="Antrat2"/>
        <w:ind w:left="0"/>
      </w:pPr>
      <w:r w:rsidRPr="00D867CD">
        <w:t>Nėštumas ir žindymo laikotarpis</w:t>
      </w:r>
    </w:p>
    <w:p w14:paraId="4C5082C7" w14:textId="77777777" w:rsidR="00A01BAC" w:rsidRDefault="00341B61" w:rsidP="00D867CD">
      <w:pPr>
        <w:pStyle w:val="Pagrindinistekstas"/>
      </w:pPr>
      <w:r w:rsidRPr="00D867CD">
        <w:t>Jeigu esate nėščia, žindote kūdikį, manote, kad galbūt esate nėščia arba planuojate pastoti, tai prieš vartodama šį vaistą pasitarkite su gydytoju arba vaistininku.</w:t>
      </w:r>
    </w:p>
    <w:p w14:paraId="68EBE119" w14:textId="77777777" w:rsidR="00C41157" w:rsidRDefault="00C41157" w:rsidP="00D867CD">
      <w:pPr>
        <w:pStyle w:val="Pagrindinistekstas"/>
      </w:pPr>
    </w:p>
    <w:p w14:paraId="4C5082C8" w14:textId="7B0E269A" w:rsidR="00A01BAC" w:rsidRPr="00D867CD" w:rsidRDefault="00341B61" w:rsidP="00D867CD">
      <w:pPr>
        <w:pStyle w:val="Pagrindinistekstas"/>
      </w:pPr>
      <w:r w:rsidRPr="00D867CD">
        <w:t xml:space="preserve">Nežinoma, ar </w:t>
      </w:r>
      <w:proofErr w:type="spellStart"/>
      <w:r>
        <w:t>Linagliptin</w:t>
      </w:r>
      <w:proofErr w:type="spellEnd"/>
      <w:r>
        <w:t xml:space="preserve"> Olpha</w:t>
      </w:r>
      <w:r w:rsidRPr="00D867CD">
        <w:t xml:space="preserve"> sukelia kenksmingą poveikį vaisiui. Todėl, jeigu esate nėščia, </w:t>
      </w:r>
      <w:proofErr w:type="spellStart"/>
      <w:r>
        <w:t>Linagliptin</w:t>
      </w:r>
      <w:proofErr w:type="spellEnd"/>
      <w:r>
        <w:t xml:space="preserve"> Olpha</w:t>
      </w:r>
      <w:r w:rsidRPr="00D867CD">
        <w:t xml:space="preserve"> geriau nevartoti.</w:t>
      </w:r>
    </w:p>
    <w:p w14:paraId="4C5082CA" w14:textId="29249234" w:rsidR="00A01BAC" w:rsidRPr="00D867CD" w:rsidRDefault="00341B61" w:rsidP="00D867CD">
      <w:pPr>
        <w:pStyle w:val="Pagrindinistekstas"/>
      </w:pPr>
      <w:r w:rsidRPr="000B1A67">
        <w:t xml:space="preserve">Nežinoma, ar </w:t>
      </w:r>
      <w:proofErr w:type="spellStart"/>
      <w:r w:rsidRPr="000B1A67">
        <w:t>Linagliptin</w:t>
      </w:r>
      <w:proofErr w:type="spellEnd"/>
      <w:r w:rsidRPr="000B1A67">
        <w:t xml:space="preserve"> Olpha išsiskiria į </w:t>
      </w:r>
      <w:r w:rsidR="000B1A67" w:rsidRPr="000B1A67">
        <w:t>gydytų mote</w:t>
      </w:r>
      <w:r w:rsidR="000B1A67">
        <w:t>r</w:t>
      </w:r>
      <w:r w:rsidR="000B1A67" w:rsidRPr="000B1A67">
        <w:t>ų</w:t>
      </w:r>
      <w:r w:rsidRPr="000B1A67">
        <w:t xml:space="preserve"> pieną. Jūsų gydytojas turi nuspręsti, ar nutraukti žindymą, ar nutraukti</w:t>
      </w:r>
      <w:r w:rsidR="0078707E">
        <w:t xml:space="preserve"> </w:t>
      </w:r>
      <w:r w:rsidRPr="000B1A67">
        <w:t>/</w:t>
      </w:r>
      <w:r w:rsidR="0078707E">
        <w:t xml:space="preserve"> </w:t>
      </w:r>
      <w:r w:rsidRPr="000B1A67">
        <w:t xml:space="preserve">susilaikyti nuo gydymo </w:t>
      </w:r>
      <w:proofErr w:type="spellStart"/>
      <w:r w:rsidRPr="000B1A67">
        <w:t>Linagliptin</w:t>
      </w:r>
      <w:proofErr w:type="spellEnd"/>
      <w:r w:rsidRPr="000B1A67">
        <w:t xml:space="preserve"> Olpha.</w:t>
      </w:r>
    </w:p>
    <w:p w14:paraId="4C5082CB" w14:textId="77777777" w:rsidR="00A01BAC" w:rsidRPr="00D867CD" w:rsidRDefault="00A01BAC" w:rsidP="00D867CD">
      <w:pPr>
        <w:pStyle w:val="Pagrindinistekstas"/>
      </w:pPr>
    </w:p>
    <w:p w14:paraId="4C5082CC" w14:textId="77777777" w:rsidR="00A01BAC" w:rsidRPr="00D867CD" w:rsidRDefault="00341B61" w:rsidP="00D867CD">
      <w:pPr>
        <w:pStyle w:val="Antrat2"/>
        <w:ind w:left="0"/>
      </w:pPr>
      <w:r w:rsidRPr="00D867CD">
        <w:t>Vairavimas ir mechanizmų valdymas</w:t>
      </w:r>
    </w:p>
    <w:p w14:paraId="4C5082CD" w14:textId="67B5D4A9" w:rsidR="00A01BAC" w:rsidRPr="00D867CD" w:rsidRDefault="00341B61" w:rsidP="00D867CD">
      <w:pPr>
        <w:pStyle w:val="Pagrindinistekstas"/>
      </w:pPr>
      <w:proofErr w:type="spellStart"/>
      <w:r>
        <w:t>Linagliptin</w:t>
      </w:r>
      <w:proofErr w:type="spellEnd"/>
      <w:r>
        <w:t xml:space="preserve"> Olpha</w:t>
      </w:r>
      <w:r w:rsidRPr="00D867CD">
        <w:t xml:space="preserve"> gebėjimo vairuoti ir valdyti mechanizmus neveikia arba veikia nereikšmingai.</w:t>
      </w:r>
    </w:p>
    <w:p w14:paraId="4C5082CE" w14:textId="77777777" w:rsidR="00A01BAC" w:rsidRPr="00D867CD" w:rsidRDefault="00A01BAC" w:rsidP="00D867CD">
      <w:pPr>
        <w:pStyle w:val="Pagrindinistekstas"/>
      </w:pPr>
    </w:p>
    <w:p w14:paraId="4C5082CF" w14:textId="45301C3E" w:rsidR="00A01BAC" w:rsidRPr="00D867CD" w:rsidRDefault="00341B61" w:rsidP="00D867CD">
      <w:pPr>
        <w:pStyle w:val="Pagrindinistekstas"/>
      </w:pPr>
      <w:proofErr w:type="spellStart"/>
      <w:r>
        <w:t>Linagliptin</w:t>
      </w:r>
      <w:proofErr w:type="spellEnd"/>
      <w:r>
        <w:t xml:space="preserve"> Olpha</w:t>
      </w:r>
      <w:r w:rsidRPr="00D867CD">
        <w:t xml:space="preserve"> vartojimas derinant su vaistais, kurie vadinami </w:t>
      </w:r>
      <w:proofErr w:type="spellStart"/>
      <w:r w:rsidRPr="00D867CD">
        <w:t>sulfonilurėjos</w:t>
      </w:r>
      <w:proofErr w:type="spellEnd"/>
      <w:r w:rsidRPr="00D867CD">
        <w:t xml:space="preserve"> dariniais ir (arba) insulinu, gali sumažinti cukraus kiekį kraujyje (sukelti hipoglikemiją), tai gali </w:t>
      </w:r>
      <w:r w:rsidR="00B37831">
        <w:t>pa</w:t>
      </w:r>
      <w:r w:rsidRPr="00D867CD">
        <w:t xml:space="preserve">veikti Jūsų gebėjimą vairuoti ir valdyti mechanizmus bei dirbti be saugios atramos kojoms. Todėl gali būti rekomenduojama dažniau tirtis gliukozės kiekį kraujyje, kad sumažėtų hipoglikemijos rizika, ypač </w:t>
      </w:r>
      <w:proofErr w:type="spellStart"/>
      <w:r>
        <w:t>Linagliptin</w:t>
      </w:r>
      <w:proofErr w:type="spellEnd"/>
      <w:r>
        <w:t xml:space="preserve"> Olpha</w:t>
      </w:r>
      <w:r w:rsidRPr="00D867CD">
        <w:t xml:space="preserve"> vartojant kartu su </w:t>
      </w:r>
      <w:proofErr w:type="spellStart"/>
      <w:r w:rsidRPr="00D867CD">
        <w:t>sulfonilurėjos</w:t>
      </w:r>
      <w:proofErr w:type="spellEnd"/>
      <w:r w:rsidRPr="00D867CD">
        <w:t xml:space="preserve"> dariniu ir (arba) insulinu.</w:t>
      </w:r>
    </w:p>
    <w:p w14:paraId="4C5082D0" w14:textId="77777777" w:rsidR="00A01BAC" w:rsidRPr="00D867CD" w:rsidRDefault="00A01BAC" w:rsidP="00D867CD">
      <w:pPr>
        <w:pStyle w:val="Pagrindinistekstas"/>
      </w:pPr>
    </w:p>
    <w:p w14:paraId="4C5082D1" w14:textId="77777777" w:rsidR="00A01BAC" w:rsidRPr="00D867CD" w:rsidRDefault="00A01BAC" w:rsidP="00D867CD">
      <w:pPr>
        <w:pStyle w:val="Pagrindinistekstas"/>
      </w:pPr>
    </w:p>
    <w:p w14:paraId="4C5082D2" w14:textId="0C8CBD75" w:rsidR="00A01BAC" w:rsidRPr="00D867CD" w:rsidRDefault="00341B61" w:rsidP="00F27AD3">
      <w:pPr>
        <w:pStyle w:val="Antrat2"/>
        <w:numPr>
          <w:ilvl w:val="0"/>
          <w:numId w:val="4"/>
        </w:numPr>
        <w:tabs>
          <w:tab w:val="left" w:pos="567"/>
        </w:tabs>
        <w:ind w:left="567"/>
      </w:pPr>
      <w:r w:rsidRPr="00D867CD">
        <w:t xml:space="preserve">Kaip vartoti </w:t>
      </w:r>
      <w:proofErr w:type="spellStart"/>
      <w:r>
        <w:t>Linagliptin</w:t>
      </w:r>
      <w:proofErr w:type="spellEnd"/>
      <w:r>
        <w:t xml:space="preserve"> Olpha</w:t>
      </w:r>
    </w:p>
    <w:p w14:paraId="4C5082D3" w14:textId="77777777" w:rsidR="00A01BAC" w:rsidRPr="00D867CD" w:rsidRDefault="00A01BAC" w:rsidP="00D867CD">
      <w:pPr>
        <w:pStyle w:val="Pagrindinistekstas"/>
        <w:rPr>
          <w:b/>
        </w:rPr>
      </w:pPr>
    </w:p>
    <w:p w14:paraId="4C5082D4" w14:textId="77777777" w:rsidR="00A01BAC" w:rsidRDefault="00341B61" w:rsidP="00D867CD">
      <w:pPr>
        <w:pStyle w:val="Pagrindinistekstas"/>
      </w:pPr>
      <w:r w:rsidRPr="00D867CD">
        <w:t>Visada vartokite šį vaistą tiksliai, kaip nurodė gydytojas. Jeigu abejojate, kreipkitės į gydytoją arba vaistininką.</w:t>
      </w:r>
    </w:p>
    <w:p w14:paraId="4467F016" w14:textId="77777777" w:rsidR="00F27AD3" w:rsidRPr="00D867CD" w:rsidRDefault="00F27AD3" w:rsidP="00D867CD">
      <w:pPr>
        <w:pStyle w:val="Pagrindinistekstas"/>
      </w:pPr>
    </w:p>
    <w:p w14:paraId="7D2DFA4A" w14:textId="11B05932" w:rsidR="00F27AD3" w:rsidRDefault="00341B61" w:rsidP="00D867CD">
      <w:pPr>
        <w:pStyle w:val="Pagrindinistekstas"/>
      </w:pPr>
      <w:r w:rsidRPr="00D867CD">
        <w:t xml:space="preserve">Rekomenduojama </w:t>
      </w:r>
      <w:proofErr w:type="spellStart"/>
      <w:r>
        <w:t>Linagliptin</w:t>
      </w:r>
      <w:proofErr w:type="spellEnd"/>
      <w:r>
        <w:t xml:space="preserve"> Olpha</w:t>
      </w:r>
      <w:r w:rsidRPr="00D867CD">
        <w:t xml:space="preserve"> dozė yra viena 5</w:t>
      </w:r>
      <w:r>
        <w:t> mg</w:t>
      </w:r>
      <w:r w:rsidRPr="00D867CD">
        <w:t xml:space="preserve"> tabletė kartą per parą.</w:t>
      </w:r>
    </w:p>
    <w:p w14:paraId="75B7F114" w14:textId="77777777" w:rsidR="00005882" w:rsidRDefault="00005882" w:rsidP="00D867CD">
      <w:pPr>
        <w:pStyle w:val="Pagrindinistekstas"/>
      </w:pPr>
    </w:p>
    <w:p w14:paraId="4C5082D5" w14:textId="613104E9" w:rsidR="00A01BAC" w:rsidRDefault="00341B61" w:rsidP="00D867CD">
      <w:pPr>
        <w:pStyle w:val="Pagrindinistekstas"/>
      </w:pPr>
      <w:proofErr w:type="spellStart"/>
      <w:r>
        <w:t>Linagliptin</w:t>
      </w:r>
      <w:proofErr w:type="spellEnd"/>
      <w:r>
        <w:t xml:space="preserve"> Olpha</w:t>
      </w:r>
      <w:r w:rsidRPr="00D867CD">
        <w:t xml:space="preserve"> galite </w:t>
      </w:r>
      <w:r w:rsidR="00005882">
        <w:t>vartoti</w:t>
      </w:r>
      <w:r w:rsidRPr="00D867CD">
        <w:t xml:space="preserve"> su maistu arba </w:t>
      </w:r>
      <w:r w:rsidR="00F34F43">
        <w:t>nevalgius</w:t>
      </w:r>
      <w:r w:rsidRPr="00D867CD">
        <w:t>.</w:t>
      </w:r>
    </w:p>
    <w:p w14:paraId="485891FB" w14:textId="77777777" w:rsidR="00F27AD3" w:rsidRPr="00D867CD" w:rsidRDefault="00F27AD3" w:rsidP="00D867CD">
      <w:pPr>
        <w:pStyle w:val="Pagrindinistekstas"/>
      </w:pPr>
    </w:p>
    <w:p w14:paraId="4C5082D6" w14:textId="348E8FA1" w:rsidR="00A01BAC" w:rsidRPr="00D867CD" w:rsidRDefault="00341B61" w:rsidP="00D867CD">
      <w:pPr>
        <w:pStyle w:val="Pagrindinistekstas"/>
      </w:pPr>
      <w:r w:rsidRPr="00D867CD">
        <w:t xml:space="preserve">Jūsų gydytojas </w:t>
      </w:r>
      <w:proofErr w:type="spellStart"/>
      <w:r>
        <w:t>Linagliptin</w:t>
      </w:r>
      <w:proofErr w:type="spellEnd"/>
      <w:r>
        <w:t xml:space="preserve"> Olpha</w:t>
      </w:r>
      <w:r w:rsidRPr="00D867CD">
        <w:t xml:space="preserve"> gali skirti vartoti kartu su kitais geriamaisiais antidiabetiniais vaistais. Nepamirškite vis</w:t>
      </w:r>
      <w:r w:rsidR="00F34F43">
        <w:t>ų</w:t>
      </w:r>
      <w:r w:rsidRPr="00D867CD">
        <w:t xml:space="preserve"> vaist</w:t>
      </w:r>
      <w:r w:rsidR="00F34F43">
        <w:t>ų</w:t>
      </w:r>
      <w:r w:rsidRPr="00D867CD">
        <w:t xml:space="preserve"> vartoti kaip nurodė gydytojas, kad gydymo rezultatai Jūsų sveikatai būtų geriausi.</w:t>
      </w:r>
    </w:p>
    <w:p w14:paraId="4C5082D7" w14:textId="77777777" w:rsidR="00A01BAC" w:rsidRPr="00D867CD" w:rsidRDefault="00A01BAC" w:rsidP="00D867CD">
      <w:pPr>
        <w:pStyle w:val="Pagrindinistekstas"/>
      </w:pPr>
    </w:p>
    <w:p w14:paraId="4C5082D8" w14:textId="08D2428E" w:rsidR="00A01BAC" w:rsidRPr="00D867CD" w:rsidRDefault="00341B61" w:rsidP="00D867CD">
      <w:pPr>
        <w:pStyle w:val="Antrat2"/>
        <w:ind w:left="0"/>
      </w:pPr>
      <w:r w:rsidRPr="00D867CD">
        <w:lastRenderedPageBreak/>
        <w:t xml:space="preserve">Ką daryti pavartojus per didelę </w:t>
      </w:r>
      <w:proofErr w:type="spellStart"/>
      <w:r>
        <w:t>Linagliptin</w:t>
      </w:r>
      <w:proofErr w:type="spellEnd"/>
      <w:r>
        <w:t xml:space="preserve"> Olpha</w:t>
      </w:r>
      <w:r w:rsidRPr="00D867CD">
        <w:t xml:space="preserve"> dozę</w:t>
      </w:r>
    </w:p>
    <w:p w14:paraId="4C5082D9" w14:textId="1C9B5CBB" w:rsidR="00A01BAC" w:rsidRPr="00D867CD" w:rsidRDefault="00341B61" w:rsidP="00D867CD">
      <w:pPr>
        <w:pStyle w:val="Pagrindinistekstas"/>
      </w:pPr>
      <w:r w:rsidRPr="00D867CD">
        <w:t xml:space="preserve">Pavartoję per didelę </w:t>
      </w:r>
      <w:proofErr w:type="spellStart"/>
      <w:r>
        <w:t>Linagliptin</w:t>
      </w:r>
      <w:proofErr w:type="spellEnd"/>
      <w:r>
        <w:t xml:space="preserve"> Olpha</w:t>
      </w:r>
      <w:r w:rsidRPr="00D867CD">
        <w:t xml:space="preserve"> dozę, nedelsdami kreipkitės į gydytoją.</w:t>
      </w:r>
    </w:p>
    <w:p w14:paraId="5A64632F" w14:textId="77777777" w:rsidR="00A01BAC" w:rsidRDefault="00A01BAC" w:rsidP="00D867CD">
      <w:pPr>
        <w:pStyle w:val="Pagrindinistekstas"/>
      </w:pPr>
    </w:p>
    <w:p w14:paraId="4C5082DB" w14:textId="50E06358" w:rsidR="00A01BAC" w:rsidRPr="00D867CD" w:rsidRDefault="00341B61" w:rsidP="00D867CD">
      <w:pPr>
        <w:pStyle w:val="Antrat2"/>
        <w:ind w:left="0"/>
      </w:pPr>
      <w:r w:rsidRPr="00D867CD">
        <w:t xml:space="preserve">Pamiršus pavartoti </w:t>
      </w:r>
      <w:proofErr w:type="spellStart"/>
      <w:r>
        <w:t>Linagliptin</w:t>
      </w:r>
      <w:proofErr w:type="spellEnd"/>
      <w:r>
        <w:t xml:space="preserve"> Olpha</w:t>
      </w:r>
    </w:p>
    <w:p w14:paraId="4C5082DC" w14:textId="5314567F" w:rsidR="00A01BAC" w:rsidRPr="00D867CD" w:rsidRDefault="00341B61" w:rsidP="00776E37">
      <w:pPr>
        <w:pStyle w:val="Sraopastraipa"/>
        <w:numPr>
          <w:ilvl w:val="0"/>
          <w:numId w:val="17"/>
        </w:numPr>
        <w:tabs>
          <w:tab w:val="left" w:pos="567"/>
        </w:tabs>
        <w:ind w:left="567"/>
      </w:pPr>
      <w:r w:rsidRPr="00D867CD">
        <w:t xml:space="preserve">Jeigu </w:t>
      </w:r>
      <w:r w:rsidR="005A3452">
        <w:t xml:space="preserve">pamiršote išgerti </w:t>
      </w:r>
      <w:proofErr w:type="spellStart"/>
      <w:r>
        <w:t>Linagliptin</w:t>
      </w:r>
      <w:proofErr w:type="spellEnd"/>
      <w:r>
        <w:t xml:space="preserve"> Olpha</w:t>
      </w:r>
      <w:r w:rsidRPr="00D867CD">
        <w:t xml:space="preserve"> dozę, gerkite ją tuoj pat, kai tik prisiminsite. Tačiau jeigu jau bus beveik atėjęs kitos dozės vartojimo laikas, pamirštąją dozę praleiskite.</w:t>
      </w:r>
    </w:p>
    <w:p w14:paraId="4C5082DD" w14:textId="77777777" w:rsidR="00A01BAC" w:rsidRDefault="00341B61" w:rsidP="00776E37">
      <w:pPr>
        <w:pStyle w:val="Sraopastraipa"/>
        <w:numPr>
          <w:ilvl w:val="0"/>
          <w:numId w:val="17"/>
        </w:numPr>
        <w:tabs>
          <w:tab w:val="left" w:pos="567"/>
        </w:tabs>
        <w:ind w:left="567"/>
      </w:pPr>
      <w:r w:rsidRPr="00D867CD">
        <w:t>Negalima vartoti dvigubos dozės norint kompensuoti praleistą dozę. Dviejų dozių tą pačią dieną niekada nevartokite.</w:t>
      </w:r>
    </w:p>
    <w:p w14:paraId="54CA394A" w14:textId="77777777" w:rsidR="00F27AD3" w:rsidRPr="00D867CD" w:rsidRDefault="00F27AD3" w:rsidP="00F27AD3">
      <w:pPr>
        <w:pStyle w:val="Sraopastraipa"/>
        <w:tabs>
          <w:tab w:val="left" w:pos="710"/>
        </w:tabs>
        <w:ind w:left="0" w:firstLine="0"/>
      </w:pPr>
    </w:p>
    <w:p w14:paraId="4C5082DE" w14:textId="04878D7D" w:rsidR="00A01BAC" w:rsidRPr="00D867CD" w:rsidRDefault="00341B61" w:rsidP="00D867CD">
      <w:pPr>
        <w:pStyle w:val="Antrat2"/>
        <w:ind w:left="0"/>
      </w:pPr>
      <w:r w:rsidRPr="00D867CD">
        <w:t xml:space="preserve">Nustojus vartoti </w:t>
      </w:r>
      <w:proofErr w:type="spellStart"/>
      <w:r>
        <w:t>Linagliptin</w:t>
      </w:r>
      <w:proofErr w:type="spellEnd"/>
      <w:r>
        <w:t xml:space="preserve"> Olpha</w:t>
      </w:r>
    </w:p>
    <w:p w14:paraId="4C5082DF" w14:textId="7359FC4E" w:rsidR="00A01BAC" w:rsidRDefault="00341B61" w:rsidP="00D867CD">
      <w:pPr>
        <w:pStyle w:val="Pagrindinistekstas"/>
      </w:pPr>
      <w:r w:rsidRPr="00D867CD">
        <w:t xml:space="preserve">Nepasitarę su savo gydytoju, </w:t>
      </w:r>
      <w:proofErr w:type="spellStart"/>
      <w:r>
        <w:t>Linagliptin</w:t>
      </w:r>
      <w:proofErr w:type="spellEnd"/>
      <w:r>
        <w:t xml:space="preserve"> Olpha</w:t>
      </w:r>
      <w:r w:rsidRPr="00D867CD">
        <w:t xml:space="preserve"> vartojimo nenutraukite. </w:t>
      </w:r>
      <w:proofErr w:type="spellStart"/>
      <w:r>
        <w:t>Linagliptin</w:t>
      </w:r>
      <w:proofErr w:type="spellEnd"/>
      <w:r>
        <w:t xml:space="preserve"> Olpha</w:t>
      </w:r>
      <w:r w:rsidRPr="00D867CD">
        <w:t xml:space="preserve"> vartojimą nutraukus, gali padidėti cukraus kiekis Jūsų kraujyje.</w:t>
      </w:r>
    </w:p>
    <w:p w14:paraId="66EFBFE5" w14:textId="77777777" w:rsidR="00F27AD3" w:rsidRPr="00D867CD" w:rsidRDefault="00F27AD3" w:rsidP="00D867CD">
      <w:pPr>
        <w:pStyle w:val="Pagrindinistekstas"/>
      </w:pPr>
    </w:p>
    <w:p w14:paraId="4C5082E0" w14:textId="77777777" w:rsidR="00A01BAC" w:rsidRPr="00D867CD" w:rsidRDefault="00341B61" w:rsidP="00D867CD">
      <w:pPr>
        <w:pStyle w:val="Pagrindinistekstas"/>
      </w:pPr>
      <w:r w:rsidRPr="00D867CD">
        <w:t>Jeigu kiltų daugiau klausimų dėl šio vaisto vartojimo, kreipkitės į gydytoją, vaistininką arba slaugytoją.</w:t>
      </w:r>
    </w:p>
    <w:p w14:paraId="4C5082E1" w14:textId="77777777" w:rsidR="00A01BAC" w:rsidRPr="00D867CD" w:rsidRDefault="00A01BAC" w:rsidP="00D867CD">
      <w:pPr>
        <w:pStyle w:val="Pagrindinistekstas"/>
      </w:pPr>
    </w:p>
    <w:p w14:paraId="4C5082E2" w14:textId="77777777" w:rsidR="00A01BAC" w:rsidRPr="00D867CD" w:rsidRDefault="00A01BAC" w:rsidP="00D867CD">
      <w:pPr>
        <w:pStyle w:val="Pagrindinistekstas"/>
      </w:pPr>
    </w:p>
    <w:p w14:paraId="4C5082E3" w14:textId="77777777" w:rsidR="00A01BAC" w:rsidRDefault="00341B61" w:rsidP="00F27AD3">
      <w:pPr>
        <w:pStyle w:val="Antrat2"/>
        <w:numPr>
          <w:ilvl w:val="0"/>
          <w:numId w:val="4"/>
        </w:numPr>
        <w:tabs>
          <w:tab w:val="left" w:pos="567"/>
        </w:tabs>
        <w:ind w:left="567"/>
      </w:pPr>
      <w:r w:rsidRPr="00D867CD">
        <w:t>Galimas šalutinis poveikis</w:t>
      </w:r>
    </w:p>
    <w:p w14:paraId="529B5D61" w14:textId="77777777" w:rsidR="00F27AD3" w:rsidRPr="00D867CD" w:rsidRDefault="00F27AD3" w:rsidP="00F27AD3">
      <w:pPr>
        <w:pStyle w:val="Antrat2"/>
        <w:tabs>
          <w:tab w:val="left" w:pos="710"/>
        </w:tabs>
        <w:ind w:left="0"/>
      </w:pPr>
    </w:p>
    <w:p w14:paraId="7ACA5B66" w14:textId="77777777" w:rsidR="00F27AD3" w:rsidRPr="002B3549" w:rsidRDefault="00341B61" w:rsidP="00D867CD">
      <w:pPr>
        <w:pStyle w:val="Pagrindinistekstas"/>
      </w:pPr>
      <w:r w:rsidRPr="002B3549">
        <w:t>Šis vaistas, kaip ir visi kiti, gali sukelti šalutinį poveikį, nors jis pasireiškia ne visiems žmonėms.</w:t>
      </w:r>
    </w:p>
    <w:p w14:paraId="5801E7CB" w14:textId="77777777" w:rsidR="00F27AD3" w:rsidRPr="002B3549" w:rsidRDefault="00F27AD3" w:rsidP="00D867CD">
      <w:pPr>
        <w:pStyle w:val="Pagrindinistekstas"/>
      </w:pPr>
    </w:p>
    <w:p w14:paraId="4C5082E4" w14:textId="281A6E39" w:rsidR="00A01BAC" w:rsidRPr="002B3549" w:rsidRDefault="00341B61" w:rsidP="00D867CD">
      <w:pPr>
        <w:pStyle w:val="Pagrindinistekstas"/>
      </w:pPr>
      <w:r w:rsidRPr="002B3549">
        <w:rPr>
          <w:u w:val="single"/>
        </w:rPr>
        <w:t>Dėl kai kurių simptomų būtina skubi gydytojo pagalba</w:t>
      </w:r>
      <w:r w:rsidR="00E54641">
        <w:rPr>
          <w:u w:val="single"/>
        </w:rPr>
        <w:t>:</w:t>
      </w:r>
    </w:p>
    <w:p w14:paraId="4C5082E5" w14:textId="71DE4451" w:rsidR="00A01BAC" w:rsidRDefault="00341B61" w:rsidP="00D867CD">
      <w:pPr>
        <w:pStyle w:val="Pagrindinistekstas"/>
      </w:pPr>
      <w:r w:rsidRPr="002B3549">
        <w:t xml:space="preserve">Turite nutraukti </w:t>
      </w:r>
      <w:proofErr w:type="spellStart"/>
      <w:r w:rsidRPr="002B3549">
        <w:t>Linagliptin</w:t>
      </w:r>
      <w:proofErr w:type="spellEnd"/>
      <w:r w:rsidRPr="002B3549">
        <w:t xml:space="preserve"> Olpha vartojimą ir nedelsdami kreiptis į gydytoją, jeigu pasireiškė šių sumažėjusio cukraus kiekio kraujyje simptomų: drebulys, prakaitavimas, nerimas, matymas lyg per miglą</w:t>
      </w:r>
      <w:r w:rsidR="00B85658">
        <w:t xml:space="preserve"> </w:t>
      </w:r>
      <w:r w:rsidR="00C36F2E">
        <w:t>(</w:t>
      </w:r>
      <w:r w:rsidR="003C348E">
        <w:t>neryškus matymas</w:t>
      </w:r>
      <w:r w:rsidR="00C36F2E">
        <w:t>)</w:t>
      </w:r>
      <w:r w:rsidRPr="002B3549">
        <w:t xml:space="preserve">, lūpų dilgčiojimas, išblyškimas, nuotaikos pokytis ar sumišimas (hipoglikemija). Hipoglikemija (dažnis: labai dažnas, gali pasireikšti </w:t>
      </w:r>
      <w:r w:rsidR="003C348E">
        <w:t xml:space="preserve">ne rečiau </w:t>
      </w:r>
      <w:r w:rsidRPr="002B3549">
        <w:t>kaip 1 iš 10</w:t>
      </w:r>
      <w:r w:rsidR="0023611C">
        <w:t> </w:t>
      </w:r>
      <w:r w:rsidRPr="002B3549">
        <w:t xml:space="preserve">asmenų) yra nustatytas šalutinis poveikis, kai </w:t>
      </w:r>
      <w:proofErr w:type="spellStart"/>
      <w:r w:rsidRPr="002B3549">
        <w:t>Linagliptin</w:t>
      </w:r>
      <w:proofErr w:type="spellEnd"/>
      <w:r w:rsidRPr="002B3549">
        <w:t xml:space="preserve"> Olpha vartojamas kartu su </w:t>
      </w:r>
      <w:proofErr w:type="spellStart"/>
      <w:r w:rsidRPr="002B3549">
        <w:t>metforminu</w:t>
      </w:r>
      <w:proofErr w:type="spellEnd"/>
      <w:r w:rsidRPr="002B3549">
        <w:t xml:space="preserve"> ir </w:t>
      </w:r>
      <w:proofErr w:type="spellStart"/>
      <w:r w:rsidRPr="002B3549">
        <w:t>sulfonilurėjos</w:t>
      </w:r>
      <w:proofErr w:type="spellEnd"/>
      <w:r w:rsidRPr="002B3549">
        <w:t xml:space="preserve"> dariniu.</w:t>
      </w:r>
    </w:p>
    <w:p w14:paraId="3FCF5FEA" w14:textId="77777777" w:rsidR="00F27AD3" w:rsidRPr="00D867CD" w:rsidRDefault="00F27AD3" w:rsidP="00D867CD">
      <w:pPr>
        <w:pStyle w:val="Pagrindinistekstas"/>
      </w:pPr>
    </w:p>
    <w:p w14:paraId="4C5082E6" w14:textId="76EFBAED" w:rsidR="00A01BAC" w:rsidRPr="00D867CD" w:rsidRDefault="00341B61" w:rsidP="00D867CD">
      <w:pPr>
        <w:pStyle w:val="Pagrindinistekstas"/>
      </w:pPr>
      <w:r w:rsidRPr="00D867CD">
        <w:t>Kai kuriems pacientams pasireiškė alerginių reakcijų (padidėjęs jautrumas; dažnis: nedažnas, gali pasireikšti rečiau kaip 1 iš 100</w:t>
      </w:r>
      <w:r w:rsidR="009A7C44">
        <w:t> </w:t>
      </w:r>
      <w:r w:rsidRPr="00D867CD">
        <w:t xml:space="preserve">asmenų), vartojant </w:t>
      </w:r>
      <w:proofErr w:type="spellStart"/>
      <w:r>
        <w:t>Linagliptin</w:t>
      </w:r>
      <w:proofErr w:type="spellEnd"/>
      <w:r>
        <w:t xml:space="preserve"> Olpha</w:t>
      </w:r>
      <w:r w:rsidRPr="00D867CD">
        <w:t xml:space="preserve"> vieną arba kartu su kitais vaistais, skirtais diabetui gydyti, kurios gali būti sunkios, įskaitant švokštimą ir dusulį (padidėjęs bronchų reaktyvumas; dažnis</w:t>
      </w:r>
      <w:r w:rsidR="002A000E">
        <w:t>:</w:t>
      </w:r>
      <w:r w:rsidRPr="00D867CD">
        <w:t xml:space="preserve"> nežinomas, negali būti apskaičiuotas pagal turimus duomenis). Kai kuriems pacientams pasireiškė </w:t>
      </w:r>
      <w:r w:rsidR="00725EDC">
        <w:t>b</w:t>
      </w:r>
      <w:r w:rsidRPr="00D867CD">
        <w:t>ėrimas (dažnis: nedažnas), dilgėlinė (</w:t>
      </w:r>
      <w:proofErr w:type="spellStart"/>
      <w:r w:rsidRPr="00D867CD">
        <w:t>urtikarija</w:t>
      </w:r>
      <w:proofErr w:type="spellEnd"/>
      <w:r w:rsidRPr="00D867CD">
        <w:t xml:space="preserve">; dažnis: retas, gali pasireikšti rečiau kaip 1 iš </w:t>
      </w:r>
      <w:r>
        <w:t>1 000</w:t>
      </w:r>
      <w:r w:rsidR="007A1B1C">
        <w:t> </w:t>
      </w:r>
      <w:r w:rsidRPr="00D867CD">
        <w:t>asmenų), veido, lūpų, liežuvio ir ryklės patinimas, galintis a</w:t>
      </w:r>
      <w:r w:rsidR="0019609A">
        <w:t>p</w:t>
      </w:r>
      <w:r w:rsidRPr="00D867CD">
        <w:t>sunkinti kvėpavimą ar rijimą (</w:t>
      </w:r>
      <w:proofErr w:type="spellStart"/>
      <w:r w:rsidRPr="00D867CD">
        <w:t>angioneurozinė</w:t>
      </w:r>
      <w:proofErr w:type="spellEnd"/>
      <w:r w:rsidRPr="00D867CD">
        <w:t xml:space="preserve"> edema; dažnis: retas). Jeigu </w:t>
      </w:r>
      <w:r w:rsidR="00565BD1">
        <w:t xml:space="preserve">Jums </w:t>
      </w:r>
      <w:r w:rsidRPr="00D867CD">
        <w:t xml:space="preserve">atsiranda </w:t>
      </w:r>
      <w:r w:rsidR="00152BD5">
        <w:t xml:space="preserve">iš anksčiau </w:t>
      </w:r>
      <w:r w:rsidRPr="00D867CD">
        <w:t xml:space="preserve">minėtų negalavimo požymių, </w:t>
      </w:r>
      <w:proofErr w:type="spellStart"/>
      <w:r>
        <w:t>Linagliptin</w:t>
      </w:r>
      <w:proofErr w:type="spellEnd"/>
      <w:r>
        <w:t xml:space="preserve"> Olpha</w:t>
      </w:r>
      <w:r w:rsidRPr="00D867CD">
        <w:t xml:space="preserve"> vartojimą nutraukite ir tuoj pat </w:t>
      </w:r>
      <w:r w:rsidR="005E1572">
        <w:t>kreipkitės į</w:t>
      </w:r>
      <w:r w:rsidRPr="00D867CD">
        <w:t xml:space="preserve"> savo gydytoją. Jūsų gydytojas gali Jums skirti vaistą alerginei reakcijai gydyti ir kitą vaistą diabetui gydyti.</w:t>
      </w:r>
    </w:p>
    <w:p w14:paraId="4C5082E7" w14:textId="77777777" w:rsidR="00A01BAC" w:rsidRPr="00D867CD" w:rsidRDefault="00A01BAC" w:rsidP="00D867CD">
      <w:pPr>
        <w:pStyle w:val="Pagrindinistekstas"/>
      </w:pPr>
    </w:p>
    <w:p w14:paraId="4C5082E9" w14:textId="4D5191AE" w:rsidR="00A01BAC" w:rsidRPr="00D867CD" w:rsidRDefault="00341B61" w:rsidP="00D867CD">
      <w:pPr>
        <w:pStyle w:val="Pagrindinistekstas"/>
      </w:pPr>
      <w:r w:rsidRPr="00D867CD">
        <w:t xml:space="preserve">Kai kuriems pacientams pasireiškė kasos uždegimas (pankreatitas; </w:t>
      </w:r>
      <w:r w:rsidR="0063019C">
        <w:t xml:space="preserve">dažnis: </w:t>
      </w:r>
      <w:r w:rsidRPr="00D867CD">
        <w:t xml:space="preserve">retas, gali pasireikšti rečiau kaip 1 iš </w:t>
      </w:r>
      <w:r>
        <w:t>1 000</w:t>
      </w:r>
      <w:r w:rsidR="0063019C">
        <w:t> </w:t>
      </w:r>
      <w:r w:rsidRPr="00D867CD">
        <w:t xml:space="preserve">asmenų) vartojant </w:t>
      </w:r>
      <w:proofErr w:type="spellStart"/>
      <w:r>
        <w:t>Linagliptin</w:t>
      </w:r>
      <w:proofErr w:type="spellEnd"/>
      <w:r>
        <w:t xml:space="preserve"> Olpha</w:t>
      </w:r>
      <w:r w:rsidRPr="00D867CD">
        <w:t xml:space="preserve"> vieną arba kartu su kitais vaistais, skirtais diabetui gydyti.</w:t>
      </w:r>
      <w:r w:rsidR="0063019C">
        <w:t xml:space="preserve"> </w:t>
      </w:r>
      <w:r w:rsidRPr="00D867CD">
        <w:t>NUSTOKITE varto</w:t>
      </w:r>
      <w:r w:rsidR="0063019C">
        <w:t>ti</w:t>
      </w:r>
      <w:r w:rsidRPr="00D867CD">
        <w:t xml:space="preserve"> </w:t>
      </w:r>
      <w:proofErr w:type="spellStart"/>
      <w:r>
        <w:t>Linagliptin</w:t>
      </w:r>
      <w:proofErr w:type="spellEnd"/>
      <w:r>
        <w:t xml:space="preserve"> Olpha</w:t>
      </w:r>
      <w:r w:rsidRPr="00D867CD">
        <w:t xml:space="preserve"> ir nedelsdami kreipkitės į gydytoją, jei Jums pasireiškė bet kuris toliau nurodytas šalutinis poveikis:</w:t>
      </w:r>
    </w:p>
    <w:p w14:paraId="4C5082EA" w14:textId="61B843EC" w:rsidR="00A01BAC" w:rsidRPr="00D867CD" w:rsidRDefault="00DB22A9" w:rsidP="009643B0">
      <w:pPr>
        <w:pStyle w:val="Sraopastraipa"/>
        <w:numPr>
          <w:ilvl w:val="1"/>
          <w:numId w:val="4"/>
        </w:numPr>
        <w:tabs>
          <w:tab w:val="left" w:pos="1134"/>
        </w:tabs>
        <w:ind w:left="1134"/>
      </w:pPr>
      <w:r>
        <w:t>S</w:t>
      </w:r>
      <w:r w:rsidRPr="00D867CD">
        <w:t xml:space="preserve">tiprus </w:t>
      </w:r>
      <w:r w:rsidR="00341B61" w:rsidRPr="00D867CD">
        <w:t>nuolatinis pilvo skausmas (skrandžio srityje), kuris gali plisti į Jūsų nugarą, taip pat pykinimas ir vėmimas, nes tai gali būti kasos uždegimo (pankreatito) požymiai.</w:t>
      </w:r>
    </w:p>
    <w:p w14:paraId="2CDE48A7" w14:textId="77777777" w:rsidR="00F27AD3" w:rsidRDefault="00F27AD3" w:rsidP="00D867CD">
      <w:pPr>
        <w:pStyle w:val="Pagrindinistekstas"/>
      </w:pPr>
    </w:p>
    <w:p w14:paraId="4C5082EB" w14:textId="65E31EB1" w:rsidR="00A01BAC" w:rsidRPr="00D867CD" w:rsidRDefault="00341B61" w:rsidP="00D867CD">
      <w:pPr>
        <w:pStyle w:val="Pagrindinistekstas"/>
      </w:pPr>
      <w:r w:rsidRPr="00D867CD">
        <w:t xml:space="preserve">Kai kuriems pacientams, vartojantiems </w:t>
      </w:r>
      <w:proofErr w:type="spellStart"/>
      <w:r>
        <w:t>Linagliptin</w:t>
      </w:r>
      <w:proofErr w:type="spellEnd"/>
      <w:r>
        <w:t xml:space="preserve"> Olpha</w:t>
      </w:r>
      <w:r w:rsidRPr="00D867CD">
        <w:t xml:space="preserve"> vieną arba kartu su kitais vaistais, skirtais diabetui gydyti, pasireiškė </w:t>
      </w:r>
      <w:r w:rsidR="00CD5169">
        <w:t xml:space="preserve">šis </w:t>
      </w:r>
      <w:r w:rsidRPr="00D867CD">
        <w:t>šalutinis poveikis:</w:t>
      </w:r>
    </w:p>
    <w:p w14:paraId="4C5082EC" w14:textId="77777777" w:rsidR="00A01BAC" w:rsidRPr="00D867CD" w:rsidRDefault="00341B61" w:rsidP="00CE18AB">
      <w:pPr>
        <w:pStyle w:val="Sraopastraipa"/>
        <w:numPr>
          <w:ilvl w:val="1"/>
          <w:numId w:val="4"/>
        </w:numPr>
        <w:tabs>
          <w:tab w:val="left" w:pos="1134"/>
        </w:tabs>
        <w:ind w:left="1134"/>
      </w:pPr>
      <w:r w:rsidRPr="00D867CD">
        <w:t>Dažnas: padidėjęs lipazės aktyvumas kraujyje.</w:t>
      </w:r>
    </w:p>
    <w:p w14:paraId="4C5082ED" w14:textId="53F1B24D" w:rsidR="00A01BAC" w:rsidRPr="00D867CD" w:rsidRDefault="00341B61" w:rsidP="00CE18AB">
      <w:pPr>
        <w:pStyle w:val="Sraopastraipa"/>
        <w:numPr>
          <w:ilvl w:val="1"/>
          <w:numId w:val="4"/>
        </w:numPr>
        <w:tabs>
          <w:tab w:val="left" w:pos="1134"/>
        </w:tabs>
        <w:ind w:left="1134"/>
      </w:pPr>
      <w:r w:rsidRPr="00D867CD">
        <w:t>Nedažnas: nosies arba ryklės uždegimas (</w:t>
      </w:r>
      <w:proofErr w:type="spellStart"/>
      <w:r w:rsidRPr="00D867CD">
        <w:t>nazofaringitas</w:t>
      </w:r>
      <w:proofErr w:type="spellEnd"/>
      <w:r w:rsidRPr="00D867CD">
        <w:t xml:space="preserve">), kosulys, vidurių užkietėjimas (vartojant kartu su insulinu), padidėjęs </w:t>
      </w:r>
      <w:proofErr w:type="spellStart"/>
      <w:r w:rsidRPr="00D867CD">
        <w:t>amilazės</w:t>
      </w:r>
      <w:proofErr w:type="spellEnd"/>
      <w:r w:rsidRPr="00D867CD">
        <w:t xml:space="preserve"> aktyvumas kraujyje.</w:t>
      </w:r>
    </w:p>
    <w:p w14:paraId="4C5082EE" w14:textId="3E3799DC" w:rsidR="00A01BAC" w:rsidRPr="00D867CD" w:rsidRDefault="00341B61" w:rsidP="00CE18AB">
      <w:pPr>
        <w:pStyle w:val="Sraopastraipa"/>
        <w:numPr>
          <w:ilvl w:val="1"/>
          <w:numId w:val="4"/>
        </w:numPr>
        <w:tabs>
          <w:tab w:val="left" w:pos="1134"/>
        </w:tabs>
        <w:ind w:left="1134"/>
      </w:pPr>
      <w:r w:rsidRPr="00D867CD">
        <w:t xml:space="preserve">Retas: odos </w:t>
      </w:r>
      <w:r w:rsidR="00EC705A">
        <w:t>pūslių susidarymas</w:t>
      </w:r>
      <w:r w:rsidRPr="00D867CD">
        <w:t xml:space="preserve"> (</w:t>
      </w:r>
      <w:proofErr w:type="spellStart"/>
      <w:r w:rsidRPr="00D867CD">
        <w:t>pūslinis</w:t>
      </w:r>
      <w:proofErr w:type="spellEnd"/>
      <w:r w:rsidRPr="00D867CD">
        <w:t xml:space="preserve"> </w:t>
      </w:r>
      <w:proofErr w:type="spellStart"/>
      <w:r w:rsidRPr="00D867CD">
        <w:t>pemfigoidas</w:t>
      </w:r>
      <w:proofErr w:type="spellEnd"/>
      <w:r w:rsidRPr="00D867CD">
        <w:t>).</w:t>
      </w:r>
    </w:p>
    <w:p w14:paraId="12514CF1" w14:textId="77777777" w:rsidR="00F27AD3" w:rsidRDefault="00F27AD3" w:rsidP="00D867CD">
      <w:pPr>
        <w:pStyle w:val="Antrat2"/>
        <w:ind w:left="0"/>
      </w:pPr>
    </w:p>
    <w:p w14:paraId="4C5082EF" w14:textId="7D0A61A7" w:rsidR="00A01BAC" w:rsidRPr="00D867CD" w:rsidRDefault="00341B61" w:rsidP="00D867CD">
      <w:pPr>
        <w:pStyle w:val="Antrat2"/>
        <w:ind w:left="0"/>
      </w:pPr>
      <w:r w:rsidRPr="00D867CD">
        <w:t>Pranešimas apie šalutinį poveikį</w:t>
      </w:r>
    </w:p>
    <w:p w14:paraId="4C5082F1" w14:textId="636CC574" w:rsidR="00A01BAC" w:rsidRPr="00D867CD" w:rsidRDefault="00341B61" w:rsidP="00D867CD">
      <w:pPr>
        <w:pStyle w:val="Pagrindinistekstas"/>
      </w:pPr>
      <w:r w:rsidRPr="00D867CD">
        <w:t xml:space="preserve">Jeigu pasireiškė šalutinis poveikis, įskaitant šiame lapelyje nenurodytą, pasakykite gydytojui, vaistininkui arba slaugytojui. </w:t>
      </w:r>
      <w:r w:rsidR="00305397">
        <w:rPr>
          <w:lang w:eastAsia="lt-LT"/>
        </w:rPr>
        <w:t xml:space="preserve">Pranešimą apie šalutinį poveikį galite užpildyti ir pateikti Valstybinės vaistų kontrolės tarnybos prie Lietuvos Respublikos sveikatos apsaugos ministerijos tinklalapyje </w:t>
      </w:r>
      <w:r w:rsidR="00305397">
        <w:rPr>
          <w:color w:val="0000EE"/>
          <w:u w:val="single"/>
          <w:lang w:eastAsia="lt-LT"/>
        </w:rPr>
        <w:lastRenderedPageBreak/>
        <w:t>https://vvkt.lrv.lt/lt/</w:t>
      </w:r>
      <w:r w:rsidR="00305397">
        <w:rPr>
          <w:lang w:eastAsia="lt-LT"/>
        </w:rPr>
        <w:t xml:space="preserve"> nurodytais būdais arba paskambinti nemokamu telefonu +370 800 73 568. Pranešdami apie šalutinį poveikį galite mums padėti gauti daugiau informacijos apie šio vaisto saugumą.</w:t>
      </w:r>
    </w:p>
    <w:p w14:paraId="032F8253" w14:textId="77777777" w:rsidR="00A01BAC" w:rsidRDefault="00A01BAC" w:rsidP="00D867CD">
      <w:pPr>
        <w:pStyle w:val="Pagrindinistekstas"/>
      </w:pPr>
    </w:p>
    <w:p w14:paraId="3EF96416" w14:textId="77777777" w:rsidR="00F27AD3" w:rsidRDefault="00F27AD3" w:rsidP="00D867CD">
      <w:pPr>
        <w:pStyle w:val="Pagrindinistekstas"/>
      </w:pPr>
    </w:p>
    <w:p w14:paraId="4C5082F3" w14:textId="7C53F0B6" w:rsidR="00A01BAC" w:rsidRPr="00D867CD" w:rsidRDefault="00341B61" w:rsidP="00305397">
      <w:pPr>
        <w:pStyle w:val="Antrat2"/>
        <w:numPr>
          <w:ilvl w:val="0"/>
          <w:numId w:val="4"/>
        </w:numPr>
        <w:tabs>
          <w:tab w:val="left" w:pos="567"/>
        </w:tabs>
        <w:ind w:left="567"/>
      </w:pPr>
      <w:r w:rsidRPr="00D867CD">
        <w:t xml:space="preserve">Kaip laikyti </w:t>
      </w:r>
      <w:proofErr w:type="spellStart"/>
      <w:r>
        <w:t>Linagliptin</w:t>
      </w:r>
      <w:proofErr w:type="spellEnd"/>
      <w:r>
        <w:t xml:space="preserve"> Olpha</w:t>
      </w:r>
    </w:p>
    <w:p w14:paraId="4C5082F4" w14:textId="77777777" w:rsidR="00A01BAC" w:rsidRPr="00D867CD" w:rsidRDefault="00A01BAC" w:rsidP="00D867CD">
      <w:pPr>
        <w:pStyle w:val="Pagrindinistekstas"/>
        <w:rPr>
          <w:b/>
        </w:rPr>
      </w:pPr>
    </w:p>
    <w:p w14:paraId="4C5082F5" w14:textId="77777777" w:rsidR="00A01BAC" w:rsidRPr="00D867CD" w:rsidRDefault="00341B61" w:rsidP="00D867CD">
      <w:pPr>
        <w:pStyle w:val="Pagrindinistekstas"/>
      </w:pPr>
      <w:r w:rsidRPr="00D867CD">
        <w:t>Šį vaistą laikykite vaikams nepastebimoje ir nepasiekiamoje vietoje.</w:t>
      </w:r>
    </w:p>
    <w:p w14:paraId="4C5082F6" w14:textId="77777777" w:rsidR="00A01BAC" w:rsidRPr="00D867CD" w:rsidRDefault="00A01BAC" w:rsidP="00D867CD">
      <w:pPr>
        <w:pStyle w:val="Pagrindinistekstas"/>
      </w:pPr>
    </w:p>
    <w:p w14:paraId="4C5082F7" w14:textId="77777777" w:rsidR="00A01BAC" w:rsidRDefault="00341B61" w:rsidP="00D867CD">
      <w:pPr>
        <w:pStyle w:val="Pagrindinistekstas"/>
      </w:pPr>
      <w:r w:rsidRPr="00D867CD">
        <w:t>Ant lizdinės plokštelės ir dėžutės po „EXP“ nurodytam tinkamumo laikui pasibaigus, šio vaisto vartoti negalima. Vaistas tinkamas vartoti iki paskutinės nurodyto mėnesio dienos.</w:t>
      </w:r>
    </w:p>
    <w:p w14:paraId="4CC27CF4" w14:textId="77777777" w:rsidR="00BD0F2E" w:rsidRPr="00D867CD" w:rsidRDefault="00BD0F2E" w:rsidP="00D867CD">
      <w:pPr>
        <w:pStyle w:val="Pagrindinistekstas"/>
      </w:pPr>
    </w:p>
    <w:p w14:paraId="4C5082F8" w14:textId="77777777" w:rsidR="00A01BAC" w:rsidRPr="00D867CD" w:rsidRDefault="00341B61" w:rsidP="00D867CD">
      <w:pPr>
        <w:pStyle w:val="Pagrindinistekstas"/>
      </w:pPr>
      <w:r w:rsidRPr="00D867CD">
        <w:t>Šiam vaistui specialių laikymo sąlygų nereikia.</w:t>
      </w:r>
    </w:p>
    <w:p w14:paraId="4C5082F9" w14:textId="77777777" w:rsidR="00A01BAC" w:rsidRPr="00D867CD" w:rsidRDefault="00A01BAC" w:rsidP="00D867CD">
      <w:pPr>
        <w:pStyle w:val="Pagrindinistekstas"/>
      </w:pPr>
    </w:p>
    <w:p w14:paraId="4C5082FA" w14:textId="3E7D0818" w:rsidR="00A01BAC" w:rsidRPr="00D867CD" w:rsidRDefault="00466463" w:rsidP="00D867CD">
      <w:pPr>
        <w:pStyle w:val="Pagrindinistekstas"/>
      </w:pPr>
      <w:r>
        <w:t>Pastebėjus</w:t>
      </w:r>
      <w:r w:rsidRPr="00D867CD">
        <w:t xml:space="preserve"> </w:t>
      </w:r>
      <w:r w:rsidR="00341B61" w:rsidRPr="00D867CD">
        <w:t>pakuotė</w:t>
      </w:r>
      <w:r>
        <w:t>s</w:t>
      </w:r>
      <w:r w:rsidR="00341B61" w:rsidRPr="00D867CD">
        <w:t xml:space="preserve"> pažei</w:t>
      </w:r>
      <w:r w:rsidR="00716069">
        <w:t>dimą</w:t>
      </w:r>
      <w:r w:rsidR="00341B61" w:rsidRPr="00D867CD">
        <w:t xml:space="preserve"> arba bandymo ją atidaryti požymių, </w:t>
      </w:r>
      <w:r w:rsidR="00716069">
        <w:t>šio vaisto</w:t>
      </w:r>
      <w:r w:rsidR="00341B61" w:rsidRPr="00D867CD">
        <w:t xml:space="preserve"> vartoti negalima.</w:t>
      </w:r>
    </w:p>
    <w:p w14:paraId="4C5082FB" w14:textId="77777777" w:rsidR="00A01BAC" w:rsidRPr="00D867CD" w:rsidRDefault="00A01BAC" w:rsidP="00D867CD">
      <w:pPr>
        <w:pStyle w:val="Pagrindinistekstas"/>
      </w:pPr>
    </w:p>
    <w:p w14:paraId="4C5082FC" w14:textId="77777777" w:rsidR="00A01BAC" w:rsidRPr="00D867CD" w:rsidRDefault="00341B61" w:rsidP="00D867CD">
      <w:pPr>
        <w:pStyle w:val="Pagrindinistekstas"/>
      </w:pPr>
      <w:r w:rsidRPr="00D867CD">
        <w:t>Vaistų negalima išmesti į kanalizaciją arba su buitinėmis atliekomis. Kaip išmesti nereikalingus vaistus, klauskite vaistininko. Šios priemonės padės apsaugoti aplinką.</w:t>
      </w:r>
    </w:p>
    <w:p w14:paraId="4C5082FD" w14:textId="77777777" w:rsidR="00A01BAC" w:rsidRDefault="00A01BAC" w:rsidP="00D867CD">
      <w:pPr>
        <w:pStyle w:val="Pagrindinistekstas"/>
      </w:pPr>
    </w:p>
    <w:p w14:paraId="3366B7D1" w14:textId="77777777" w:rsidR="00BD0F2E" w:rsidRPr="00D867CD" w:rsidRDefault="00BD0F2E" w:rsidP="00D867CD">
      <w:pPr>
        <w:pStyle w:val="Pagrindinistekstas"/>
      </w:pPr>
    </w:p>
    <w:p w14:paraId="2CBB3A14" w14:textId="77777777" w:rsidR="00BD0F2E" w:rsidRDefault="00341B61" w:rsidP="00BD0F2E">
      <w:pPr>
        <w:pStyle w:val="Antrat2"/>
        <w:numPr>
          <w:ilvl w:val="0"/>
          <w:numId w:val="4"/>
        </w:numPr>
        <w:tabs>
          <w:tab w:val="left" w:pos="567"/>
        </w:tabs>
        <w:ind w:left="567"/>
      </w:pPr>
      <w:r w:rsidRPr="00D867CD">
        <w:t>Pakuotės turinys ir kita informacija</w:t>
      </w:r>
    </w:p>
    <w:p w14:paraId="66713849" w14:textId="77777777" w:rsidR="00BD0F2E" w:rsidRDefault="00BD0F2E" w:rsidP="00BD0F2E">
      <w:pPr>
        <w:pStyle w:val="Antrat2"/>
        <w:tabs>
          <w:tab w:val="left" w:pos="710"/>
        </w:tabs>
        <w:ind w:left="0"/>
      </w:pPr>
    </w:p>
    <w:p w14:paraId="4C5082FE" w14:textId="0119DFD3" w:rsidR="00A01BAC" w:rsidRDefault="00341B61" w:rsidP="00BD0F2E">
      <w:pPr>
        <w:pStyle w:val="Antrat2"/>
        <w:tabs>
          <w:tab w:val="left" w:pos="710"/>
        </w:tabs>
        <w:ind w:left="0"/>
      </w:pPr>
      <w:proofErr w:type="spellStart"/>
      <w:r>
        <w:t>Linagliptin</w:t>
      </w:r>
      <w:proofErr w:type="spellEnd"/>
      <w:r>
        <w:t xml:space="preserve"> Olpha</w:t>
      </w:r>
      <w:r w:rsidRPr="00D867CD">
        <w:t xml:space="preserve"> sudėtis</w:t>
      </w:r>
    </w:p>
    <w:p w14:paraId="526108C2" w14:textId="77777777" w:rsidR="00400348" w:rsidRPr="00D867CD" w:rsidRDefault="00400348" w:rsidP="00BD0F2E">
      <w:pPr>
        <w:pStyle w:val="Antrat2"/>
        <w:tabs>
          <w:tab w:val="left" w:pos="710"/>
        </w:tabs>
        <w:ind w:left="0"/>
      </w:pPr>
    </w:p>
    <w:p w14:paraId="0A609646" w14:textId="77777777" w:rsidR="00BD0F2E" w:rsidRDefault="00341B61" w:rsidP="00B54BB2">
      <w:pPr>
        <w:pStyle w:val="Sraopastraipa"/>
        <w:numPr>
          <w:ilvl w:val="0"/>
          <w:numId w:val="2"/>
        </w:numPr>
        <w:tabs>
          <w:tab w:val="left" w:pos="567"/>
        </w:tabs>
        <w:ind w:left="567"/>
      </w:pPr>
      <w:r w:rsidRPr="00D867CD">
        <w:t xml:space="preserve">Veiklioji medžiaga yra </w:t>
      </w:r>
      <w:proofErr w:type="spellStart"/>
      <w:r w:rsidRPr="00D867CD">
        <w:t>linagliptinas</w:t>
      </w:r>
      <w:proofErr w:type="spellEnd"/>
      <w:r w:rsidRPr="00D867CD">
        <w:t>.</w:t>
      </w:r>
    </w:p>
    <w:p w14:paraId="63487024" w14:textId="77777777" w:rsidR="00400348" w:rsidRPr="00D867CD" w:rsidRDefault="00400348" w:rsidP="00B54BB2">
      <w:pPr>
        <w:pStyle w:val="Sraopastraipa"/>
        <w:numPr>
          <w:ilvl w:val="0"/>
          <w:numId w:val="2"/>
        </w:numPr>
        <w:tabs>
          <w:tab w:val="left" w:pos="567"/>
        </w:tabs>
        <w:ind w:hanging="710"/>
      </w:pPr>
      <w:r w:rsidRPr="00D867CD">
        <w:t>Kiekvienoje plėvele dengtoje tabletėje (tabletėje) yra 5</w:t>
      </w:r>
      <w:r>
        <w:t> mg</w:t>
      </w:r>
      <w:r w:rsidRPr="00D867CD">
        <w:t xml:space="preserve"> </w:t>
      </w:r>
      <w:proofErr w:type="spellStart"/>
      <w:r w:rsidRPr="00D867CD">
        <w:t>linagliptino</w:t>
      </w:r>
      <w:proofErr w:type="spellEnd"/>
      <w:r w:rsidRPr="00D867CD">
        <w:t>.</w:t>
      </w:r>
    </w:p>
    <w:p w14:paraId="040ED955" w14:textId="305DA9B2" w:rsidR="00BD0F2E" w:rsidRDefault="00341B61" w:rsidP="00B54BB2">
      <w:pPr>
        <w:pStyle w:val="Sraopastraipa"/>
        <w:numPr>
          <w:ilvl w:val="0"/>
          <w:numId w:val="2"/>
        </w:numPr>
        <w:tabs>
          <w:tab w:val="left" w:pos="567"/>
        </w:tabs>
        <w:ind w:left="567"/>
      </w:pPr>
      <w:r w:rsidRPr="00D867CD">
        <w:t>Pagalbinės medžiagos yra</w:t>
      </w:r>
      <w:r w:rsidR="006B5B21">
        <w:t>:</w:t>
      </w:r>
    </w:p>
    <w:p w14:paraId="61C7BB99" w14:textId="4713F891" w:rsidR="00BD0F2E" w:rsidRDefault="00341B61" w:rsidP="00BD0F2E">
      <w:pPr>
        <w:pStyle w:val="Sraopastraipa"/>
        <w:tabs>
          <w:tab w:val="left" w:pos="567"/>
        </w:tabs>
        <w:ind w:left="567" w:firstLine="0"/>
      </w:pPr>
      <w:r w:rsidRPr="00BD0F2E">
        <w:rPr>
          <w:u w:val="single"/>
        </w:rPr>
        <w:t>Tabletės šerdis:</w:t>
      </w:r>
      <w:r w:rsidRPr="00D867CD">
        <w:t xml:space="preserve"> </w:t>
      </w:r>
      <w:proofErr w:type="spellStart"/>
      <w:r w:rsidRPr="00D867CD">
        <w:t>manitolis</w:t>
      </w:r>
      <w:proofErr w:type="spellEnd"/>
      <w:r w:rsidR="006B5B21">
        <w:t> (E 421)</w:t>
      </w:r>
      <w:r w:rsidRPr="00D867CD">
        <w:t xml:space="preserve">, </w:t>
      </w:r>
      <w:proofErr w:type="spellStart"/>
      <w:r w:rsidR="006B5B21">
        <w:t>kopovidonas</w:t>
      </w:r>
      <w:proofErr w:type="spellEnd"/>
      <w:r w:rsidR="006B5B21">
        <w:t xml:space="preserve">, </w:t>
      </w:r>
      <w:r w:rsidR="006B5B21" w:rsidRPr="00D867CD">
        <w:t>kukurūzų krakmolas</w:t>
      </w:r>
      <w:r w:rsidR="00D65177">
        <w:t xml:space="preserve">, </w:t>
      </w:r>
      <w:r w:rsidRPr="00D867CD">
        <w:t xml:space="preserve">magnio </w:t>
      </w:r>
      <w:proofErr w:type="spellStart"/>
      <w:r w:rsidRPr="00D867CD">
        <w:t>stearatas</w:t>
      </w:r>
      <w:proofErr w:type="spellEnd"/>
      <w:r w:rsidR="00D65177">
        <w:t>.</w:t>
      </w:r>
    </w:p>
    <w:p w14:paraId="4C508304" w14:textId="15CD6700" w:rsidR="00A01BAC" w:rsidRPr="00D867CD" w:rsidRDefault="00341B61" w:rsidP="00BD0F2E">
      <w:pPr>
        <w:pStyle w:val="Sraopastraipa"/>
        <w:tabs>
          <w:tab w:val="left" w:pos="567"/>
        </w:tabs>
        <w:ind w:left="567" w:firstLine="0"/>
      </w:pPr>
      <w:r w:rsidRPr="00D867CD">
        <w:rPr>
          <w:u w:val="single"/>
        </w:rPr>
        <w:t>Tabletės plėvelė:</w:t>
      </w:r>
      <w:r w:rsidRPr="00D867CD">
        <w:t xml:space="preserve"> </w:t>
      </w:r>
      <w:proofErr w:type="spellStart"/>
      <w:r w:rsidRPr="00D867CD">
        <w:t>hipromeliozė</w:t>
      </w:r>
      <w:proofErr w:type="spellEnd"/>
      <w:r w:rsidRPr="00D867CD">
        <w:t>, titano dioksidas</w:t>
      </w:r>
      <w:r w:rsidR="00D65177">
        <w:t> </w:t>
      </w:r>
      <w:r w:rsidRPr="00D867CD">
        <w:t>(E</w:t>
      </w:r>
      <w:r w:rsidR="00D65177">
        <w:t> </w:t>
      </w:r>
      <w:r w:rsidRPr="00D867CD">
        <w:t xml:space="preserve">171), </w:t>
      </w:r>
      <w:proofErr w:type="spellStart"/>
      <w:r w:rsidR="00D65177" w:rsidRPr="00D867CD">
        <w:t>makrogolis</w:t>
      </w:r>
      <w:proofErr w:type="spellEnd"/>
      <w:r w:rsidR="00D65177">
        <w:t> </w:t>
      </w:r>
      <w:r w:rsidR="00D65177" w:rsidRPr="00D867CD">
        <w:t>6000</w:t>
      </w:r>
      <w:r w:rsidR="00D65177">
        <w:t>,</w:t>
      </w:r>
      <w:r w:rsidR="00D65177" w:rsidRPr="00D867CD">
        <w:t xml:space="preserve"> </w:t>
      </w:r>
      <w:r w:rsidRPr="00D867CD">
        <w:t>talkas, raudonasis geležies oksidas</w:t>
      </w:r>
      <w:r w:rsidR="007D0972">
        <w:t> </w:t>
      </w:r>
      <w:r w:rsidRPr="00D867CD">
        <w:t>(E</w:t>
      </w:r>
      <w:r w:rsidR="007D0972">
        <w:t> </w:t>
      </w:r>
      <w:r w:rsidRPr="00D867CD">
        <w:t>172)</w:t>
      </w:r>
      <w:r w:rsidR="00DB58C4">
        <w:t>.</w:t>
      </w:r>
    </w:p>
    <w:p w14:paraId="4C508305" w14:textId="77777777" w:rsidR="00A01BAC" w:rsidRPr="00D867CD" w:rsidRDefault="00A01BAC" w:rsidP="00D867CD">
      <w:pPr>
        <w:pStyle w:val="Pagrindinistekstas"/>
      </w:pPr>
    </w:p>
    <w:p w14:paraId="4C508306" w14:textId="6675C2B8" w:rsidR="00A01BAC" w:rsidRDefault="00341B61" w:rsidP="00D867CD">
      <w:pPr>
        <w:pStyle w:val="Antrat2"/>
        <w:ind w:left="0"/>
      </w:pPr>
      <w:proofErr w:type="spellStart"/>
      <w:r>
        <w:t>Linagliptin</w:t>
      </w:r>
      <w:proofErr w:type="spellEnd"/>
      <w:r>
        <w:t xml:space="preserve"> Olpha</w:t>
      </w:r>
      <w:r w:rsidRPr="00D867CD">
        <w:t xml:space="preserve"> išvaizda ir kiekis pakuotėje</w:t>
      </w:r>
    </w:p>
    <w:p w14:paraId="59F0834E" w14:textId="77777777" w:rsidR="007D0972" w:rsidRPr="00D867CD" w:rsidRDefault="007D0972" w:rsidP="00D867CD">
      <w:pPr>
        <w:pStyle w:val="Antrat2"/>
        <w:ind w:left="0"/>
      </w:pPr>
    </w:p>
    <w:p w14:paraId="4C508307" w14:textId="150D636C" w:rsidR="00A01BAC" w:rsidRPr="00D867CD" w:rsidRDefault="00341B61" w:rsidP="007D0972">
      <w:pPr>
        <w:tabs>
          <w:tab w:val="left" w:pos="567"/>
        </w:tabs>
      </w:pPr>
      <w:proofErr w:type="spellStart"/>
      <w:r>
        <w:t>Linagliptin</w:t>
      </w:r>
      <w:proofErr w:type="spellEnd"/>
      <w:r>
        <w:t xml:space="preserve"> Olpha</w:t>
      </w:r>
      <w:r w:rsidRPr="00D867CD">
        <w:t xml:space="preserve"> </w:t>
      </w:r>
      <w:r w:rsidR="00900A4B">
        <w:t xml:space="preserve">yra šviesiai raudonos, apvalios, abipus išgaubtos, nuožulniais kraštais, plėvele dengtos tabletės, kurių vienoje pusėje įspausta „I“, </w:t>
      </w:r>
      <w:r w:rsidR="004F7426">
        <w:t xml:space="preserve">jų </w:t>
      </w:r>
      <w:r w:rsidR="00900A4B">
        <w:t>skersmuo – 8,0</w:t>
      </w:r>
      <w:r w:rsidR="004F7426">
        <w:t> </w:t>
      </w:r>
      <w:r w:rsidR="00900A4B">
        <w:t>mm</w:t>
      </w:r>
      <w:r w:rsidR="004F7426">
        <w:t> </w:t>
      </w:r>
      <w:r w:rsidR="00900A4B">
        <w:t>±</w:t>
      </w:r>
      <w:r w:rsidR="004F7426">
        <w:t> </w:t>
      </w:r>
      <w:r w:rsidR="00900A4B">
        <w:t>0,5</w:t>
      </w:r>
      <w:r w:rsidR="004F7426">
        <w:t> </w:t>
      </w:r>
      <w:r w:rsidR="00900A4B">
        <w:t>mm.</w:t>
      </w:r>
    </w:p>
    <w:p w14:paraId="6F412A15" w14:textId="77807DE2" w:rsidR="00CD5E97" w:rsidRDefault="00341B61" w:rsidP="007D0972">
      <w:pPr>
        <w:tabs>
          <w:tab w:val="left" w:pos="567"/>
        </w:tabs>
      </w:pPr>
      <w:proofErr w:type="spellStart"/>
      <w:r>
        <w:t>Linagliptin</w:t>
      </w:r>
      <w:proofErr w:type="spellEnd"/>
      <w:r>
        <w:t xml:space="preserve"> Olpha</w:t>
      </w:r>
      <w:r w:rsidRPr="00D867CD">
        <w:t xml:space="preserve"> tiekiamas </w:t>
      </w:r>
      <w:r w:rsidR="004F7426" w:rsidRPr="004F7426">
        <w:t>OPA/aliuminio/PVC/aliuminio lizdinėse plokštelėse</w:t>
      </w:r>
      <w:r w:rsidR="00814CE4">
        <w:t xml:space="preserve">, kuriose yra </w:t>
      </w:r>
      <w:r w:rsidR="004F7426" w:rsidRPr="004F7426">
        <w:t>po 10, 14, 28, 30, 90 ir 100</w:t>
      </w:r>
      <w:r w:rsidR="00814CE4">
        <w:t> </w:t>
      </w:r>
      <w:r w:rsidR="004F7426" w:rsidRPr="004F7426">
        <w:t>plėvele dengtų tablečių.</w:t>
      </w:r>
    </w:p>
    <w:p w14:paraId="1F0526F6" w14:textId="77777777" w:rsidR="00CD5E97" w:rsidRDefault="00CD5E97" w:rsidP="007D0972">
      <w:pPr>
        <w:tabs>
          <w:tab w:val="left" w:pos="567"/>
        </w:tabs>
      </w:pPr>
    </w:p>
    <w:p w14:paraId="0516DE68" w14:textId="5DAC432E" w:rsidR="00900A4B" w:rsidRDefault="00716069" w:rsidP="00B35587">
      <w:pPr>
        <w:tabs>
          <w:tab w:val="left" w:pos="567"/>
        </w:tabs>
      </w:pPr>
      <w:r>
        <w:t>G</w:t>
      </w:r>
      <w:r w:rsidR="00341B61" w:rsidRPr="00D867CD">
        <w:t>ali būti tiekiamos ne visų dydžių pakuotės.</w:t>
      </w:r>
    </w:p>
    <w:p w14:paraId="29E26A97" w14:textId="77777777" w:rsidR="00900A4B" w:rsidRPr="00D867CD" w:rsidRDefault="00900A4B" w:rsidP="00D867CD">
      <w:pPr>
        <w:pStyle w:val="Pagrindinistekstas"/>
      </w:pPr>
    </w:p>
    <w:p w14:paraId="4C50830A" w14:textId="77777777" w:rsidR="00A01BAC" w:rsidRPr="00D867CD" w:rsidRDefault="00341B61" w:rsidP="00D867CD">
      <w:pPr>
        <w:pStyle w:val="Antrat2"/>
        <w:ind w:left="0"/>
      </w:pPr>
      <w:r w:rsidRPr="00D867CD">
        <w:t>Registruotojas</w:t>
      </w:r>
    </w:p>
    <w:p w14:paraId="7AA4A2A3" w14:textId="77777777" w:rsidR="00FC0CC1" w:rsidRDefault="00FC0CC1" w:rsidP="00FC0CC1">
      <w:pPr>
        <w:pStyle w:val="Pagrindinistekstas"/>
      </w:pPr>
      <w:r>
        <w:t>Olpha AS,</w:t>
      </w:r>
    </w:p>
    <w:p w14:paraId="190048D8" w14:textId="77777777" w:rsidR="00FC0CC1" w:rsidRDefault="00FC0CC1" w:rsidP="00FC0CC1">
      <w:pPr>
        <w:pStyle w:val="Pagrindinistekstas"/>
      </w:pPr>
      <w:proofErr w:type="spellStart"/>
      <w:r>
        <w:t>Rupnicu</w:t>
      </w:r>
      <w:proofErr w:type="spellEnd"/>
      <w:r>
        <w:t xml:space="preserve"> </w:t>
      </w:r>
      <w:proofErr w:type="spellStart"/>
      <w:r>
        <w:t>iela</w:t>
      </w:r>
      <w:proofErr w:type="spellEnd"/>
      <w:r>
        <w:t xml:space="preserve"> 5,</w:t>
      </w:r>
    </w:p>
    <w:p w14:paraId="3AF7433C" w14:textId="77777777" w:rsidR="00FC0CC1" w:rsidRDefault="00FC0CC1" w:rsidP="00FC0CC1">
      <w:pPr>
        <w:pStyle w:val="Pagrindinistekstas"/>
      </w:pPr>
      <w:proofErr w:type="spellStart"/>
      <w:r>
        <w:t>Olaine</w:t>
      </w:r>
      <w:proofErr w:type="spellEnd"/>
      <w:r>
        <w:t xml:space="preserve">, </w:t>
      </w:r>
      <w:proofErr w:type="spellStart"/>
      <w:r>
        <w:t>Olaines</w:t>
      </w:r>
      <w:proofErr w:type="spellEnd"/>
      <w:r>
        <w:t xml:space="preserve"> </w:t>
      </w:r>
      <w:proofErr w:type="spellStart"/>
      <w:r>
        <w:t>novads</w:t>
      </w:r>
      <w:proofErr w:type="spellEnd"/>
      <w:r>
        <w:t>, LV-2114,</w:t>
      </w:r>
    </w:p>
    <w:p w14:paraId="4C50830D" w14:textId="3ADB3A8D" w:rsidR="00A01BAC" w:rsidRDefault="00FC0CC1" w:rsidP="00FC0CC1">
      <w:pPr>
        <w:pStyle w:val="Pagrindinistekstas"/>
      </w:pPr>
      <w:r>
        <w:t>Latvija</w:t>
      </w:r>
    </w:p>
    <w:p w14:paraId="769A5ACA" w14:textId="77777777" w:rsidR="00FC0CC1" w:rsidRPr="00D867CD" w:rsidRDefault="00FC0CC1" w:rsidP="00FC0CC1">
      <w:pPr>
        <w:pStyle w:val="Pagrindinistekstas"/>
      </w:pPr>
    </w:p>
    <w:p w14:paraId="4C50830E" w14:textId="77777777" w:rsidR="00A01BAC" w:rsidRPr="00D867CD" w:rsidRDefault="00341B61" w:rsidP="00D867CD">
      <w:pPr>
        <w:pStyle w:val="Antrat2"/>
        <w:ind w:left="0"/>
      </w:pPr>
      <w:r w:rsidRPr="00D867CD">
        <w:t>Gamintojas</w:t>
      </w:r>
    </w:p>
    <w:p w14:paraId="3703B000" w14:textId="77777777" w:rsidR="00B35587" w:rsidRDefault="00B35587" w:rsidP="00B35587">
      <w:pPr>
        <w:pStyle w:val="Pagrindinistekstas"/>
      </w:pPr>
      <w:r>
        <w:t>SAG MANUFACTURING, S.L.U.</w:t>
      </w:r>
    </w:p>
    <w:p w14:paraId="2383B383" w14:textId="77777777" w:rsidR="00B35587" w:rsidRDefault="00B35587" w:rsidP="00B35587">
      <w:pPr>
        <w:pStyle w:val="Pagrindinistekstas"/>
      </w:pPr>
      <w:proofErr w:type="spellStart"/>
      <w:r>
        <w:t>Ctra</w:t>
      </w:r>
      <w:proofErr w:type="spellEnd"/>
      <w:r>
        <w:t>. N I, Km 36</w:t>
      </w:r>
    </w:p>
    <w:p w14:paraId="0E8A7552" w14:textId="77777777" w:rsidR="00B35587" w:rsidRDefault="00B35587" w:rsidP="00B35587">
      <w:pPr>
        <w:pStyle w:val="Pagrindinistekstas"/>
      </w:pPr>
      <w:r>
        <w:t xml:space="preserve">28750 San </w:t>
      </w:r>
      <w:proofErr w:type="spellStart"/>
      <w:r>
        <w:t>Agustin</w:t>
      </w:r>
      <w:proofErr w:type="spellEnd"/>
      <w:r>
        <w:t xml:space="preserve"> de </w:t>
      </w:r>
      <w:proofErr w:type="spellStart"/>
      <w:r>
        <w:t>Guadalix</w:t>
      </w:r>
      <w:proofErr w:type="spellEnd"/>
      <w:r>
        <w:t xml:space="preserve">, </w:t>
      </w:r>
      <w:proofErr w:type="spellStart"/>
      <w:r>
        <w:t>Madrid</w:t>
      </w:r>
      <w:proofErr w:type="spellEnd"/>
      <w:r>
        <w:t>,</w:t>
      </w:r>
    </w:p>
    <w:p w14:paraId="70C37E43" w14:textId="77777777" w:rsidR="00B35587" w:rsidRDefault="00B35587" w:rsidP="00B35587">
      <w:pPr>
        <w:pStyle w:val="Pagrindinistekstas"/>
      </w:pPr>
      <w:r>
        <w:t>Ispanija</w:t>
      </w:r>
    </w:p>
    <w:p w14:paraId="16CFC861" w14:textId="77777777" w:rsidR="00B35587" w:rsidRDefault="00B35587" w:rsidP="00B35587">
      <w:pPr>
        <w:pStyle w:val="Pagrindinistekstas"/>
      </w:pPr>
    </w:p>
    <w:p w14:paraId="3C46E46A" w14:textId="77777777" w:rsidR="00B35587" w:rsidRPr="00D263AA" w:rsidRDefault="00B35587" w:rsidP="00B35587">
      <w:pPr>
        <w:pStyle w:val="Pagrindinistekstas"/>
      </w:pPr>
      <w:r w:rsidRPr="00D263AA">
        <w:t>arba</w:t>
      </w:r>
    </w:p>
    <w:p w14:paraId="06B592AC" w14:textId="77777777" w:rsidR="00B35587" w:rsidRPr="00D263AA" w:rsidRDefault="00B35587" w:rsidP="00B35587">
      <w:pPr>
        <w:pStyle w:val="Pagrindinistekstas"/>
      </w:pPr>
    </w:p>
    <w:p w14:paraId="7EC893FE" w14:textId="77777777" w:rsidR="00B35587" w:rsidRPr="00D263AA" w:rsidRDefault="00B35587" w:rsidP="00B35587">
      <w:pPr>
        <w:pStyle w:val="Pagrindinistekstas"/>
      </w:pPr>
      <w:r w:rsidRPr="00D263AA">
        <w:t>GALENICUM HEALTH, S.L.U</w:t>
      </w:r>
    </w:p>
    <w:p w14:paraId="6FE26A5C" w14:textId="77777777" w:rsidR="00B35587" w:rsidRPr="00D263AA" w:rsidRDefault="00B35587" w:rsidP="00B35587">
      <w:pPr>
        <w:pStyle w:val="Pagrindinistekstas"/>
      </w:pPr>
      <w:proofErr w:type="spellStart"/>
      <w:r w:rsidRPr="00D263AA">
        <w:t>Sant</w:t>
      </w:r>
      <w:proofErr w:type="spellEnd"/>
      <w:r w:rsidRPr="00D263AA">
        <w:t xml:space="preserve"> </w:t>
      </w:r>
      <w:proofErr w:type="spellStart"/>
      <w:r w:rsidRPr="00D263AA">
        <w:t>Gabriel</w:t>
      </w:r>
      <w:proofErr w:type="spellEnd"/>
      <w:r w:rsidRPr="00D263AA">
        <w:t>, 50</w:t>
      </w:r>
    </w:p>
    <w:p w14:paraId="5C174B9F" w14:textId="77777777" w:rsidR="00B35587" w:rsidRPr="00D263AA" w:rsidRDefault="00B35587" w:rsidP="00B35587">
      <w:pPr>
        <w:pStyle w:val="Pagrindinistekstas"/>
      </w:pPr>
      <w:proofErr w:type="spellStart"/>
      <w:r w:rsidRPr="00D263AA">
        <w:t>Esplugues</w:t>
      </w:r>
      <w:proofErr w:type="spellEnd"/>
      <w:r w:rsidRPr="00D263AA">
        <w:t xml:space="preserve"> </w:t>
      </w:r>
      <w:proofErr w:type="spellStart"/>
      <w:r w:rsidRPr="00D263AA">
        <w:t>se</w:t>
      </w:r>
      <w:proofErr w:type="spellEnd"/>
      <w:r w:rsidRPr="00D263AA">
        <w:t xml:space="preserve"> </w:t>
      </w:r>
      <w:proofErr w:type="spellStart"/>
      <w:r w:rsidRPr="00D263AA">
        <w:t>Llobregat</w:t>
      </w:r>
      <w:proofErr w:type="spellEnd"/>
      <w:r w:rsidRPr="00D263AA">
        <w:t xml:space="preserve">, 08950 </w:t>
      </w:r>
      <w:proofErr w:type="spellStart"/>
      <w:r w:rsidRPr="00D263AA">
        <w:t>Barcelona</w:t>
      </w:r>
      <w:proofErr w:type="spellEnd"/>
      <w:r w:rsidRPr="00D263AA">
        <w:t>,</w:t>
      </w:r>
    </w:p>
    <w:p w14:paraId="04BD0AE0" w14:textId="77777777" w:rsidR="00B35587" w:rsidRDefault="00B35587" w:rsidP="00B35587">
      <w:pPr>
        <w:pStyle w:val="Pagrindinistekstas"/>
      </w:pPr>
      <w:r w:rsidRPr="00D263AA">
        <w:lastRenderedPageBreak/>
        <w:t>Ispanija</w:t>
      </w:r>
    </w:p>
    <w:p w14:paraId="62DEF099" w14:textId="77777777" w:rsidR="00DE1032" w:rsidRDefault="00DE1032" w:rsidP="00B35587">
      <w:pPr>
        <w:pStyle w:val="Pagrindinistekstas"/>
      </w:pPr>
    </w:p>
    <w:p w14:paraId="4C508383" w14:textId="37D2D676" w:rsidR="00A01BAC" w:rsidRDefault="006A2E71" w:rsidP="00D867CD">
      <w:pPr>
        <w:pStyle w:val="Pagrindinistekstas"/>
        <w:rPr>
          <w:b/>
          <w:bCs/>
          <w:lang w:eastAsia="lt-LT"/>
        </w:rPr>
      </w:pPr>
      <w:r>
        <w:rPr>
          <w:b/>
          <w:bCs/>
          <w:lang w:eastAsia="lt-LT"/>
        </w:rPr>
        <w:t>Šis vaistas Europos ekonominės erdvės valstybėse narėse registruotas tokiais pavadinimais:</w:t>
      </w:r>
    </w:p>
    <w:p w14:paraId="67068145" w14:textId="495BA813" w:rsidR="00D03A58" w:rsidRPr="006A2E71" w:rsidRDefault="00D03A58" w:rsidP="00D867CD">
      <w:pPr>
        <w:pStyle w:val="Pagrindinistekstas"/>
        <w:rPr>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677"/>
      </w:tblGrid>
      <w:tr w:rsidR="00355F5D" w14:paraId="4FCD7526" w14:textId="77777777" w:rsidTr="00B360F3">
        <w:tc>
          <w:tcPr>
            <w:tcW w:w="2235" w:type="dxa"/>
          </w:tcPr>
          <w:p w14:paraId="0EB67B9A" w14:textId="7A1C32B6" w:rsidR="00355F5D" w:rsidRDefault="00355F5D" w:rsidP="00355F5D">
            <w:pPr>
              <w:pStyle w:val="Pagrindinistekstas"/>
            </w:pPr>
            <w:r w:rsidRPr="00695D59">
              <w:rPr>
                <w:lang w:eastAsia="lt-LT"/>
              </w:rPr>
              <w:t>Malta</w:t>
            </w:r>
          </w:p>
        </w:tc>
        <w:tc>
          <w:tcPr>
            <w:tcW w:w="4677" w:type="dxa"/>
          </w:tcPr>
          <w:p w14:paraId="09B06989" w14:textId="44EB87B7" w:rsidR="00355F5D" w:rsidRDefault="00D60E46" w:rsidP="00355F5D">
            <w:pPr>
              <w:pStyle w:val="Pagrindinistekstas"/>
            </w:pPr>
            <w:proofErr w:type="spellStart"/>
            <w:r w:rsidRPr="00D60E46">
              <w:t>Linagliptin</w:t>
            </w:r>
            <w:proofErr w:type="spellEnd"/>
            <w:r w:rsidRPr="00D60E46">
              <w:t xml:space="preserve"> Olpha 5</w:t>
            </w:r>
            <w:r w:rsidR="00D41C2E">
              <w:t> </w:t>
            </w:r>
            <w:r w:rsidRPr="00D60E46">
              <w:t xml:space="preserve">mg </w:t>
            </w:r>
            <w:proofErr w:type="spellStart"/>
            <w:r w:rsidRPr="00D60E46">
              <w:t>film-coated</w:t>
            </w:r>
            <w:proofErr w:type="spellEnd"/>
            <w:r w:rsidRPr="00D60E46">
              <w:t xml:space="preserve"> </w:t>
            </w:r>
            <w:proofErr w:type="spellStart"/>
            <w:r w:rsidRPr="00D60E46">
              <w:t>tablets</w:t>
            </w:r>
            <w:proofErr w:type="spellEnd"/>
          </w:p>
        </w:tc>
      </w:tr>
      <w:tr w:rsidR="00355F5D" w14:paraId="3879BD67" w14:textId="77777777" w:rsidTr="00B360F3">
        <w:tc>
          <w:tcPr>
            <w:tcW w:w="2235" w:type="dxa"/>
          </w:tcPr>
          <w:p w14:paraId="18141E7B" w14:textId="26D26A8D" w:rsidR="00355F5D" w:rsidRDefault="00355F5D" w:rsidP="00355F5D">
            <w:pPr>
              <w:pStyle w:val="Pagrindinistekstas"/>
            </w:pPr>
            <w:r w:rsidRPr="00695D59">
              <w:rPr>
                <w:lang w:eastAsia="lt-LT"/>
              </w:rPr>
              <w:t>Estija, Italija, Lenkija</w:t>
            </w:r>
          </w:p>
        </w:tc>
        <w:tc>
          <w:tcPr>
            <w:tcW w:w="4677" w:type="dxa"/>
          </w:tcPr>
          <w:p w14:paraId="56E208D5" w14:textId="2BACC6D9" w:rsidR="00355F5D" w:rsidRDefault="00D60E46" w:rsidP="00355F5D">
            <w:pPr>
              <w:pStyle w:val="Pagrindinistekstas"/>
            </w:pPr>
            <w:proofErr w:type="spellStart"/>
            <w:r>
              <w:t>Linagliptin</w:t>
            </w:r>
            <w:proofErr w:type="spellEnd"/>
            <w:r>
              <w:t xml:space="preserve"> Olpha</w:t>
            </w:r>
          </w:p>
        </w:tc>
      </w:tr>
      <w:tr w:rsidR="00355F5D" w14:paraId="2D6D097E" w14:textId="77777777" w:rsidTr="00B360F3">
        <w:tc>
          <w:tcPr>
            <w:tcW w:w="2235" w:type="dxa"/>
          </w:tcPr>
          <w:p w14:paraId="3163F315" w14:textId="714E7591" w:rsidR="00355F5D" w:rsidRDefault="00355F5D" w:rsidP="00355F5D">
            <w:pPr>
              <w:pStyle w:val="Pagrindinistekstas"/>
            </w:pPr>
            <w:r w:rsidRPr="00695D59">
              <w:rPr>
                <w:lang w:eastAsia="lt-LT"/>
              </w:rPr>
              <w:t>Latvija</w:t>
            </w:r>
          </w:p>
        </w:tc>
        <w:tc>
          <w:tcPr>
            <w:tcW w:w="4677" w:type="dxa"/>
          </w:tcPr>
          <w:p w14:paraId="62713E39" w14:textId="4489267B" w:rsidR="00355F5D" w:rsidRDefault="00D60E46" w:rsidP="00355F5D">
            <w:pPr>
              <w:pStyle w:val="Pagrindinistekstas"/>
            </w:pPr>
            <w:proofErr w:type="spellStart"/>
            <w:r w:rsidRPr="00D60E46">
              <w:t>Linagliptin</w:t>
            </w:r>
            <w:proofErr w:type="spellEnd"/>
            <w:r w:rsidRPr="00D60E46">
              <w:t xml:space="preserve"> Olpha 5</w:t>
            </w:r>
            <w:r w:rsidR="00D41C2E">
              <w:t> </w:t>
            </w:r>
            <w:r w:rsidRPr="00D60E46">
              <w:t xml:space="preserve">mg </w:t>
            </w:r>
            <w:proofErr w:type="spellStart"/>
            <w:r w:rsidRPr="00D60E46">
              <w:t>apvalkotās</w:t>
            </w:r>
            <w:proofErr w:type="spellEnd"/>
            <w:r w:rsidRPr="00D60E46">
              <w:t xml:space="preserve"> tabletes</w:t>
            </w:r>
          </w:p>
        </w:tc>
      </w:tr>
      <w:tr w:rsidR="00355F5D" w14:paraId="040C9415" w14:textId="77777777" w:rsidTr="00B360F3">
        <w:tc>
          <w:tcPr>
            <w:tcW w:w="2235" w:type="dxa"/>
          </w:tcPr>
          <w:p w14:paraId="4B11F91F" w14:textId="6A012D6A" w:rsidR="00355F5D" w:rsidRDefault="00355F5D" w:rsidP="00355F5D">
            <w:pPr>
              <w:pStyle w:val="Pagrindinistekstas"/>
            </w:pPr>
            <w:r w:rsidRPr="00695D59">
              <w:rPr>
                <w:lang w:eastAsia="lt-LT"/>
              </w:rPr>
              <w:t>Lietuva</w:t>
            </w:r>
          </w:p>
        </w:tc>
        <w:tc>
          <w:tcPr>
            <w:tcW w:w="4677" w:type="dxa"/>
          </w:tcPr>
          <w:p w14:paraId="0B8EE5A5" w14:textId="016DE152" w:rsidR="00355F5D" w:rsidRDefault="00D60E46" w:rsidP="00355F5D">
            <w:pPr>
              <w:pStyle w:val="Pagrindinistekstas"/>
            </w:pPr>
            <w:proofErr w:type="spellStart"/>
            <w:r w:rsidRPr="00D60E46">
              <w:t>Linagliptin</w:t>
            </w:r>
            <w:proofErr w:type="spellEnd"/>
            <w:r w:rsidRPr="00D60E46">
              <w:t xml:space="preserve"> Olpha 5</w:t>
            </w:r>
            <w:r w:rsidR="00D41C2E">
              <w:t> </w:t>
            </w:r>
            <w:r w:rsidRPr="00D60E46">
              <w:t>mg plėvele dengtos tabletės</w:t>
            </w:r>
          </w:p>
        </w:tc>
      </w:tr>
      <w:tr w:rsidR="00355F5D" w14:paraId="153DAFC9" w14:textId="77777777" w:rsidTr="00B360F3">
        <w:tc>
          <w:tcPr>
            <w:tcW w:w="2235" w:type="dxa"/>
          </w:tcPr>
          <w:p w14:paraId="71999263" w14:textId="4A383185" w:rsidR="00355F5D" w:rsidRDefault="00355F5D" w:rsidP="00355F5D">
            <w:pPr>
              <w:pStyle w:val="Pagrindinistekstas"/>
            </w:pPr>
            <w:r w:rsidRPr="00695D59">
              <w:rPr>
                <w:lang w:eastAsia="lt-LT"/>
              </w:rPr>
              <w:t>Slovakija</w:t>
            </w:r>
          </w:p>
        </w:tc>
        <w:tc>
          <w:tcPr>
            <w:tcW w:w="4677" w:type="dxa"/>
          </w:tcPr>
          <w:p w14:paraId="2B91D8FA" w14:textId="6EE8F001" w:rsidR="00355F5D" w:rsidRDefault="00B360F3" w:rsidP="00355F5D">
            <w:pPr>
              <w:pStyle w:val="Pagrindinistekstas"/>
            </w:pPr>
            <w:proofErr w:type="spellStart"/>
            <w:r w:rsidRPr="00B360F3">
              <w:t>Linagliptin</w:t>
            </w:r>
            <w:proofErr w:type="spellEnd"/>
            <w:r w:rsidRPr="00B360F3">
              <w:t xml:space="preserve"> Olpha 5</w:t>
            </w:r>
            <w:r w:rsidR="00D41C2E">
              <w:t> </w:t>
            </w:r>
            <w:r w:rsidRPr="00B360F3">
              <w:t xml:space="preserve">mg </w:t>
            </w:r>
            <w:proofErr w:type="spellStart"/>
            <w:r w:rsidRPr="00B360F3">
              <w:t>filmom</w:t>
            </w:r>
            <w:proofErr w:type="spellEnd"/>
            <w:r w:rsidRPr="00B360F3">
              <w:t xml:space="preserve"> </w:t>
            </w:r>
            <w:proofErr w:type="spellStart"/>
            <w:r w:rsidRPr="00B360F3">
              <w:t>obalené</w:t>
            </w:r>
            <w:proofErr w:type="spellEnd"/>
            <w:r w:rsidRPr="00B360F3">
              <w:t xml:space="preserve"> </w:t>
            </w:r>
            <w:proofErr w:type="spellStart"/>
            <w:r w:rsidRPr="00B360F3">
              <w:t>tablet</w:t>
            </w:r>
            <w:r>
              <w:t>y</w:t>
            </w:r>
            <w:proofErr w:type="spellEnd"/>
          </w:p>
        </w:tc>
      </w:tr>
    </w:tbl>
    <w:p w14:paraId="3EA53856" w14:textId="77777777" w:rsidR="006A2E71" w:rsidRPr="00D867CD" w:rsidRDefault="006A2E71" w:rsidP="00D867CD">
      <w:pPr>
        <w:pStyle w:val="Pagrindinistekstas"/>
      </w:pPr>
    </w:p>
    <w:p w14:paraId="4C508384" w14:textId="09896842" w:rsidR="00A01BAC" w:rsidRPr="00D867CD" w:rsidRDefault="00341B61" w:rsidP="00D867CD">
      <w:pPr>
        <w:pStyle w:val="Antrat2"/>
        <w:ind w:left="0"/>
      </w:pPr>
      <w:r w:rsidRPr="00D867CD">
        <w:t>Šis pakuotės lapelis paskutinį kartą peržiūrėtas</w:t>
      </w:r>
      <w:r>
        <w:t> </w:t>
      </w:r>
      <w:r w:rsidR="00771114">
        <w:t>2026-03-18</w:t>
      </w:r>
      <w:r w:rsidRPr="00D867CD">
        <w:t>.</w:t>
      </w:r>
    </w:p>
    <w:p w14:paraId="4C508385" w14:textId="77777777" w:rsidR="00A01BAC" w:rsidRPr="00D867CD" w:rsidRDefault="00A01BAC" w:rsidP="00D867CD">
      <w:pPr>
        <w:pStyle w:val="Pagrindinistekstas"/>
        <w:rPr>
          <w:b/>
        </w:rPr>
      </w:pPr>
    </w:p>
    <w:p w14:paraId="4C508386" w14:textId="61F8F7C4" w:rsidR="00A01BAC" w:rsidRPr="00D867CD" w:rsidRDefault="00C06C89" w:rsidP="00D867CD">
      <w:pPr>
        <w:pStyle w:val="Pagrindinistekstas"/>
      </w:pPr>
      <w:r>
        <w:rPr>
          <w:lang w:eastAsia="lt-LT"/>
        </w:rPr>
        <w:t xml:space="preserve">Išsami informacija apie šį vaistą pateikiama Valstybinės vaistų kontrolės tarnybos prie Lietuvos Respublikos sveikatos apsaugos ministerijos tinklalapyje </w:t>
      </w:r>
      <w:r>
        <w:rPr>
          <w:color w:val="0000EE"/>
          <w:u w:val="single"/>
          <w:lang w:eastAsia="lt-LT"/>
        </w:rPr>
        <w:t>https://vvkt.lrv.lt/lt/</w:t>
      </w:r>
      <w:r>
        <w:rPr>
          <w:lang w:eastAsia="lt-LT"/>
        </w:rPr>
        <w:t>.</w:t>
      </w:r>
    </w:p>
    <w:sectPr w:rsidR="00A01BAC" w:rsidRPr="00D867CD" w:rsidSect="00D867CD">
      <w:headerReference w:type="default" r:id="rId11"/>
      <w:footerReference w:type="default" r:id="rId12"/>
      <w:type w:val="continuous"/>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49E32" w14:textId="77777777" w:rsidR="007C6437" w:rsidRDefault="007C6437">
      <w:r>
        <w:separator/>
      </w:r>
    </w:p>
  </w:endnote>
  <w:endnote w:type="continuationSeparator" w:id="0">
    <w:p w14:paraId="23F74CBD" w14:textId="77777777" w:rsidR="007C6437" w:rsidRDefault="007C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83B9" w14:textId="77777777" w:rsidR="00A01BAC" w:rsidRDefault="00341B61">
    <w:pPr>
      <w:pStyle w:val="Pagrindinistekstas"/>
      <w:spacing w:line="14" w:lineRule="auto"/>
      <w:rPr>
        <w:sz w:val="20"/>
      </w:rPr>
    </w:pPr>
    <w:r>
      <w:rPr>
        <w:noProof/>
        <w:sz w:val="20"/>
      </w:rPr>
      <mc:AlternateContent>
        <mc:Choice Requires="wps">
          <w:drawing>
            <wp:anchor distT="0" distB="0" distL="0" distR="0" simplePos="0" relativeHeight="251658752" behindDoc="1" locked="0" layoutInCell="1" allowOverlap="1" wp14:anchorId="4C5083BA" wp14:editId="4C5083BB">
              <wp:simplePos x="0" y="0"/>
              <wp:positionH relativeFrom="page">
                <wp:posOffset>3682365</wp:posOffset>
              </wp:positionH>
              <wp:positionV relativeFrom="page">
                <wp:posOffset>10099568</wp:posOffset>
              </wp:positionV>
              <wp:extent cx="1384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700"/>
                      </a:xfrm>
                      <a:prstGeom prst="rect">
                        <a:avLst/>
                      </a:prstGeom>
                    </wps:spPr>
                    <wps:txbx>
                      <w:txbxContent>
                        <w:p w14:paraId="4C5083DA" w14:textId="77777777" w:rsidR="00A01BAC" w:rsidRPr="00B25F31" w:rsidRDefault="00341B61">
                          <w:pPr>
                            <w:spacing w:before="15"/>
                            <w:ind w:left="20"/>
                            <w:rPr>
                              <w:sz w:val="16"/>
                            </w:rPr>
                          </w:pPr>
                          <w:r w:rsidRPr="00B25F31">
                            <w:rPr>
                              <w:spacing w:val="-5"/>
                              <w:sz w:val="16"/>
                            </w:rPr>
                            <w:fldChar w:fldCharType="begin"/>
                          </w:r>
                          <w:r w:rsidRPr="00B25F31">
                            <w:rPr>
                              <w:spacing w:val="-5"/>
                              <w:sz w:val="16"/>
                            </w:rPr>
                            <w:instrText xml:space="preserve"> PAGE </w:instrText>
                          </w:r>
                          <w:r w:rsidRPr="00B25F31">
                            <w:rPr>
                              <w:spacing w:val="-5"/>
                              <w:sz w:val="16"/>
                            </w:rPr>
                            <w:fldChar w:fldCharType="separate"/>
                          </w:r>
                          <w:r w:rsidRPr="00B25F31">
                            <w:rPr>
                              <w:spacing w:val="-5"/>
                              <w:sz w:val="16"/>
                            </w:rPr>
                            <w:t>10</w:t>
                          </w:r>
                          <w:r w:rsidRPr="00B25F31">
                            <w:rPr>
                              <w:spacing w:val="-5"/>
                              <w:sz w:val="16"/>
                            </w:rPr>
                            <w:fldChar w:fldCharType="end"/>
                          </w:r>
                        </w:p>
                      </w:txbxContent>
                    </wps:txbx>
                    <wps:bodyPr wrap="square" lIns="0" tIns="0" rIns="0" bIns="0" rtlCol="0">
                      <a:noAutofit/>
                    </wps:bodyPr>
                  </wps:wsp>
                </a:graphicData>
              </a:graphic>
            </wp:anchor>
          </w:drawing>
        </mc:Choice>
        <mc:Fallback>
          <w:pict>
            <v:shapetype w14:anchorId="4C5083BA" id="_x0000_t202" coordsize="21600,21600" o:spt="202" path="m,l,21600r21600,l21600,xe">
              <v:stroke joinstyle="miter"/>
              <v:path gradientshapeok="t" o:connecttype="rect"/>
            </v:shapetype>
            <v:shape id="Textbox 1" o:spid="_x0000_s1026" type="#_x0000_t202" style="position:absolute;margin-left:289.95pt;margin-top:795.25pt;width:10.9pt;height:11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" filled="f" stroked="f">
              <v:textbox inset="0,0,0,0">
                <w:txbxContent>
                  <w:p w14:paraId="4C5083DA" w14:textId="77777777" w:rsidR="00A01BAC" w:rsidRPr="00B25F31" w:rsidRDefault="00341B61">
                    <w:pPr>
                      <w:spacing w:before="15"/>
                      <w:ind w:left="20"/>
                      <w:rPr>
                        <w:sz w:val="16"/>
                      </w:rPr>
                    </w:pPr>
                    <w:r w:rsidRPr="00B25F31">
                      <w:rPr>
                        <w:spacing w:val="-5"/>
                        <w:sz w:val="16"/>
                      </w:rPr>
                      <w:fldChar w:fldCharType="begin"/>
                    </w:r>
                    <w:r w:rsidRPr="00B25F31">
                      <w:rPr>
                        <w:spacing w:val="-5"/>
                        <w:sz w:val="16"/>
                      </w:rPr>
                      <w:instrText xml:space="preserve"> PAGE </w:instrText>
                    </w:r>
                    <w:r w:rsidRPr="00B25F31">
                      <w:rPr>
                        <w:spacing w:val="-5"/>
                        <w:sz w:val="16"/>
                      </w:rPr>
                      <w:fldChar w:fldCharType="separate"/>
                    </w:r>
                    <w:r w:rsidRPr="00B25F31">
                      <w:rPr>
                        <w:spacing w:val="-5"/>
                        <w:sz w:val="16"/>
                      </w:rPr>
                      <w:t>10</w:t>
                    </w:r>
                    <w:r w:rsidRPr="00B25F31">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BBFFE" w14:textId="77777777" w:rsidR="007C6437" w:rsidRDefault="007C6437">
      <w:r>
        <w:separator/>
      </w:r>
    </w:p>
  </w:footnote>
  <w:footnote w:type="continuationSeparator" w:id="0">
    <w:p w14:paraId="52B4E1EA" w14:textId="77777777" w:rsidR="007C6437" w:rsidRDefault="007C6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6003" w14:textId="77777777" w:rsidR="004A400F" w:rsidRDefault="004A40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FDE"/>
    <w:multiLevelType w:val="multilevel"/>
    <w:tmpl w:val="0EB0B21A"/>
    <w:lvl w:ilvl="0">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10" w:hanging="567"/>
      </w:pPr>
      <w:rPr>
        <w:rFonts w:ascii="Symbol" w:eastAsia="Symbol" w:hAnsi="Symbol" w:cs="Symbol" w:hint="default"/>
        <w:b w:val="0"/>
        <w:bCs w:val="0"/>
        <w:i w:val="0"/>
        <w:iCs w:val="0"/>
        <w:spacing w:val="0"/>
        <w:w w:val="100"/>
        <w:sz w:val="24"/>
        <w:szCs w:val="24"/>
        <w:lang w:val="lt-LT" w:eastAsia="en-US" w:bidi="ar-SA"/>
      </w:rPr>
    </w:lvl>
    <w:lvl w:ilvl="3">
      <w:numFmt w:val="bullet"/>
      <w:lvlText w:val="•"/>
      <w:lvlJc w:val="left"/>
      <w:pPr>
        <w:ind w:left="3310" w:hanging="567"/>
      </w:pPr>
      <w:rPr>
        <w:rFonts w:hint="default"/>
        <w:lang w:val="lt-LT" w:eastAsia="en-US" w:bidi="ar-SA"/>
      </w:rPr>
    </w:lvl>
    <w:lvl w:ilvl="4">
      <w:numFmt w:val="bullet"/>
      <w:lvlText w:val="•"/>
      <w:lvlJc w:val="left"/>
      <w:pPr>
        <w:ind w:left="4174" w:hanging="567"/>
      </w:pPr>
      <w:rPr>
        <w:rFonts w:hint="default"/>
        <w:lang w:val="lt-LT" w:eastAsia="en-US" w:bidi="ar-SA"/>
      </w:rPr>
    </w:lvl>
    <w:lvl w:ilvl="5">
      <w:numFmt w:val="bullet"/>
      <w:lvlText w:val="•"/>
      <w:lvlJc w:val="left"/>
      <w:pPr>
        <w:ind w:left="5038" w:hanging="567"/>
      </w:pPr>
      <w:rPr>
        <w:rFonts w:hint="default"/>
        <w:lang w:val="lt-LT" w:eastAsia="en-US" w:bidi="ar-SA"/>
      </w:rPr>
    </w:lvl>
    <w:lvl w:ilvl="6">
      <w:numFmt w:val="bullet"/>
      <w:lvlText w:val="•"/>
      <w:lvlJc w:val="left"/>
      <w:pPr>
        <w:ind w:left="5901" w:hanging="567"/>
      </w:pPr>
      <w:rPr>
        <w:rFonts w:hint="default"/>
        <w:lang w:val="lt-LT" w:eastAsia="en-US" w:bidi="ar-SA"/>
      </w:rPr>
    </w:lvl>
    <w:lvl w:ilvl="7">
      <w:numFmt w:val="bullet"/>
      <w:lvlText w:val="•"/>
      <w:lvlJc w:val="left"/>
      <w:pPr>
        <w:ind w:left="6765" w:hanging="567"/>
      </w:pPr>
      <w:rPr>
        <w:rFonts w:hint="default"/>
        <w:lang w:val="lt-LT" w:eastAsia="en-US" w:bidi="ar-SA"/>
      </w:rPr>
    </w:lvl>
    <w:lvl w:ilvl="8">
      <w:numFmt w:val="bullet"/>
      <w:lvlText w:val="•"/>
      <w:lvlJc w:val="left"/>
      <w:pPr>
        <w:ind w:left="7629" w:hanging="567"/>
      </w:pPr>
      <w:rPr>
        <w:rFonts w:hint="default"/>
        <w:lang w:val="lt-LT" w:eastAsia="en-US" w:bidi="ar-SA"/>
      </w:rPr>
    </w:lvl>
  </w:abstractNum>
  <w:abstractNum w:abstractNumId="1" w15:restartNumberingAfterBreak="0">
    <w:nsid w:val="13414B0A"/>
    <w:multiLevelType w:val="hybridMultilevel"/>
    <w:tmpl w:val="267CE018"/>
    <w:lvl w:ilvl="0" w:tplc="83468032">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6F6E4BA4">
      <w:numFmt w:val="bullet"/>
      <w:lvlText w:val="•"/>
      <w:lvlJc w:val="left"/>
      <w:pPr>
        <w:ind w:left="1583" w:hanging="567"/>
      </w:pPr>
      <w:rPr>
        <w:rFonts w:hint="default"/>
        <w:lang w:val="lt-LT" w:eastAsia="en-US" w:bidi="ar-SA"/>
      </w:rPr>
    </w:lvl>
    <w:lvl w:ilvl="2" w:tplc="63C87FA6">
      <w:numFmt w:val="bullet"/>
      <w:lvlText w:val="•"/>
      <w:lvlJc w:val="left"/>
      <w:pPr>
        <w:ind w:left="2447" w:hanging="567"/>
      </w:pPr>
      <w:rPr>
        <w:rFonts w:hint="default"/>
        <w:lang w:val="lt-LT" w:eastAsia="en-US" w:bidi="ar-SA"/>
      </w:rPr>
    </w:lvl>
    <w:lvl w:ilvl="3" w:tplc="6A107B36">
      <w:numFmt w:val="bullet"/>
      <w:lvlText w:val="•"/>
      <w:lvlJc w:val="left"/>
      <w:pPr>
        <w:ind w:left="3310" w:hanging="567"/>
      </w:pPr>
      <w:rPr>
        <w:rFonts w:hint="default"/>
        <w:lang w:val="lt-LT" w:eastAsia="en-US" w:bidi="ar-SA"/>
      </w:rPr>
    </w:lvl>
    <w:lvl w:ilvl="4" w:tplc="2DD6C134">
      <w:numFmt w:val="bullet"/>
      <w:lvlText w:val="•"/>
      <w:lvlJc w:val="left"/>
      <w:pPr>
        <w:ind w:left="4174" w:hanging="567"/>
      </w:pPr>
      <w:rPr>
        <w:rFonts w:hint="default"/>
        <w:lang w:val="lt-LT" w:eastAsia="en-US" w:bidi="ar-SA"/>
      </w:rPr>
    </w:lvl>
    <w:lvl w:ilvl="5" w:tplc="65222132">
      <w:numFmt w:val="bullet"/>
      <w:lvlText w:val="•"/>
      <w:lvlJc w:val="left"/>
      <w:pPr>
        <w:ind w:left="5038" w:hanging="567"/>
      </w:pPr>
      <w:rPr>
        <w:rFonts w:hint="default"/>
        <w:lang w:val="lt-LT" w:eastAsia="en-US" w:bidi="ar-SA"/>
      </w:rPr>
    </w:lvl>
    <w:lvl w:ilvl="6" w:tplc="03006FA6">
      <w:numFmt w:val="bullet"/>
      <w:lvlText w:val="•"/>
      <w:lvlJc w:val="left"/>
      <w:pPr>
        <w:ind w:left="5901" w:hanging="567"/>
      </w:pPr>
      <w:rPr>
        <w:rFonts w:hint="default"/>
        <w:lang w:val="lt-LT" w:eastAsia="en-US" w:bidi="ar-SA"/>
      </w:rPr>
    </w:lvl>
    <w:lvl w:ilvl="7" w:tplc="D0CA5348">
      <w:numFmt w:val="bullet"/>
      <w:lvlText w:val="•"/>
      <w:lvlJc w:val="left"/>
      <w:pPr>
        <w:ind w:left="6765" w:hanging="567"/>
      </w:pPr>
      <w:rPr>
        <w:rFonts w:hint="default"/>
        <w:lang w:val="lt-LT" w:eastAsia="en-US" w:bidi="ar-SA"/>
      </w:rPr>
    </w:lvl>
    <w:lvl w:ilvl="8" w:tplc="531A5DC0">
      <w:numFmt w:val="bullet"/>
      <w:lvlText w:val="•"/>
      <w:lvlJc w:val="left"/>
      <w:pPr>
        <w:ind w:left="7629" w:hanging="567"/>
      </w:pPr>
      <w:rPr>
        <w:rFonts w:hint="default"/>
        <w:lang w:val="lt-LT" w:eastAsia="en-US" w:bidi="ar-SA"/>
      </w:rPr>
    </w:lvl>
  </w:abstractNum>
  <w:abstractNum w:abstractNumId="2" w15:restartNumberingAfterBreak="0">
    <w:nsid w:val="16043A4B"/>
    <w:multiLevelType w:val="hybridMultilevel"/>
    <w:tmpl w:val="06D6B6E4"/>
    <w:lvl w:ilvl="0" w:tplc="C3DEABE4">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BB901856">
      <w:numFmt w:val="bullet"/>
      <w:lvlText w:val="•"/>
      <w:lvlJc w:val="left"/>
      <w:pPr>
        <w:ind w:left="1583" w:hanging="567"/>
      </w:pPr>
      <w:rPr>
        <w:rFonts w:hint="default"/>
        <w:lang w:val="lt-LT" w:eastAsia="en-US" w:bidi="ar-SA"/>
      </w:rPr>
    </w:lvl>
    <w:lvl w:ilvl="2" w:tplc="2438BA5E">
      <w:numFmt w:val="bullet"/>
      <w:lvlText w:val="•"/>
      <w:lvlJc w:val="left"/>
      <w:pPr>
        <w:ind w:left="2447" w:hanging="567"/>
      </w:pPr>
      <w:rPr>
        <w:rFonts w:hint="default"/>
        <w:lang w:val="lt-LT" w:eastAsia="en-US" w:bidi="ar-SA"/>
      </w:rPr>
    </w:lvl>
    <w:lvl w:ilvl="3" w:tplc="2054805E">
      <w:numFmt w:val="bullet"/>
      <w:lvlText w:val="•"/>
      <w:lvlJc w:val="left"/>
      <w:pPr>
        <w:ind w:left="3310" w:hanging="567"/>
      </w:pPr>
      <w:rPr>
        <w:rFonts w:hint="default"/>
        <w:lang w:val="lt-LT" w:eastAsia="en-US" w:bidi="ar-SA"/>
      </w:rPr>
    </w:lvl>
    <w:lvl w:ilvl="4" w:tplc="31E801AE">
      <w:numFmt w:val="bullet"/>
      <w:lvlText w:val="•"/>
      <w:lvlJc w:val="left"/>
      <w:pPr>
        <w:ind w:left="4174" w:hanging="567"/>
      </w:pPr>
      <w:rPr>
        <w:rFonts w:hint="default"/>
        <w:lang w:val="lt-LT" w:eastAsia="en-US" w:bidi="ar-SA"/>
      </w:rPr>
    </w:lvl>
    <w:lvl w:ilvl="5" w:tplc="A842572A">
      <w:numFmt w:val="bullet"/>
      <w:lvlText w:val="•"/>
      <w:lvlJc w:val="left"/>
      <w:pPr>
        <w:ind w:left="5038" w:hanging="567"/>
      </w:pPr>
      <w:rPr>
        <w:rFonts w:hint="default"/>
        <w:lang w:val="lt-LT" w:eastAsia="en-US" w:bidi="ar-SA"/>
      </w:rPr>
    </w:lvl>
    <w:lvl w:ilvl="6" w:tplc="577ED490">
      <w:numFmt w:val="bullet"/>
      <w:lvlText w:val="•"/>
      <w:lvlJc w:val="left"/>
      <w:pPr>
        <w:ind w:left="5901" w:hanging="567"/>
      </w:pPr>
      <w:rPr>
        <w:rFonts w:hint="default"/>
        <w:lang w:val="lt-LT" w:eastAsia="en-US" w:bidi="ar-SA"/>
      </w:rPr>
    </w:lvl>
    <w:lvl w:ilvl="7" w:tplc="450C52EE">
      <w:numFmt w:val="bullet"/>
      <w:lvlText w:val="•"/>
      <w:lvlJc w:val="left"/>
      <w:pPr>
        <w:ind w:left="6765" w:hanging="567"/>
      </w:pPr>
      <w:rPr>
        <w:rFonts w:hint="default"/>
        <w:lang w:val="lt-LT" w:eastAsia="en-US" w:bidi="ar-SA"/>
      </w:rPr>
    </w:lvl>
    <w:lvl w:ilvl="8" w:tplc="CCCAE2CE">
      <w:numFmt w:val="bullet"/>
      <w:lvlText w:val="•"/>
      <w:lvlJc w:val="left"/>
      <w:pPr>
        <w:ind w:left="7629" w:hanging="567"/>
      </w:pPr>
      <w:rPr>
        <w:rFonts w:hint="default"/>
        <w:lang w:val="lt-LT" w:eastAsia="en-US" w:bidi="ar-SA"/>
      </w:rPr>
    </w:lvl>
  </w:abstractNum>
  <w:abstractNum w:abstractNumId="3" w15:restartNumberingAfterBreak="0">
    <w:nsid w:val="1D3B1F6F"/>
    <w:multiLevelType w:val="hybridMultilevel"/>
    <w:tmpl w:val="6DE680A4"/>
    <w:lvl w:ilvl="0" w:tplc="FFFFFFFF">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FFFFFFFF">
      <w:start w:val="1"/>
      <w:numFmt w:val="bullet"/>
      <w:lvlText w:val="-"/>
      <w:lvlJc w:val="left"/>
      <w:pPr>
        <w:ind w:left="503" w:hanging="360"/>
      </w:pPr>
    </w:lvl>
    <w:lvl w:ilvl="2" w:tplc="FFFFFFFF">
      <w:numFmt w:val="bullet"/>
      <w:lvlText w:val="•"/>
      <w:lvlJc w:val="left"/>
      <w:pPr>
        <w:ind w:left="2447" w:hanging="567"/>
      </w:pPr>
      <w:rPr>
        <w:rFonts w:hint="default"/>
        <w:lang w:val="lt-LT" w:eastAsia="en-US" w:bidi="ar-SA"/>
      </w:rPr>
    </w:lvl>
    <w:lvl w:ilvl="3" w:tplc="FFFFFFFF">
      <w:numFmt w:val="bullet"/>
      <w:lvlText w:val="•"/>
      <w:lvlJc w:val="left"/>
      <w:pPr>
        <w:ind w:left="3310" w:hanging="567"/>
      </w:pPr>
      <w:rPr>
        <w:rFonts w:hint="default"/>
        <w:lang w:val="lt-LT" w:eastAsia="en-US" w:bidi="ar-SA"/>
      </w:rPr>
    </w:lvl>
    <w:lvl w:ilvl="4" w:tplc="FFFFFFFF">
      <w:numFmt w:val="bullet"/>
      <w:lvlText w:val="•"/>
      <w:lvlJc w:val="left"/>
      <w:pPr>
        <w:ind w:left="4174" w:hanging="567"/>
      </w:pPr>
      <w:rPr>
        <w:rFonts w:hint="default"/>
        <w:lang w:val="lt-LT" w:eastAsia="en-US" w:bidi="ar-SA"/>
      </w:rPr>
    </w:lvl>
    <w:lvl w:ilvl="5" w:tplc="FFFFFFFF">
      <w:numFmt w:val="bullet"/>
      <w:lvlText w:val="•"/>
      <w:lvlJc w:val="left"/>
      <w:pPr>
        <w:ind w:left="5038" w:hanging="567"/>
      </w:pPr>
      <w:rPr>
        <w:rFonts w:hint="default"/>
        <w:lang w:val="lt-LT" w:eastAsia="en-US" w:bidi="ar-SA"/>
      </w:rPr>
    </w:lvl>
    <w:lvl w:ilvl="6" w:tplc="FFFFFFFF">
      <w:numFmt w:val="bullet"/>
      <w:lvlText w:val="•"/>
      <w:lvlJc w:val="left"/>
      <w:pPr>
        <w:ind w:left="5901" w:hanging="567"/>
      </w:pPr>
      <w:rPr>
        <w:rFonts w:hint="default"/>
        <w:lang w:val="lt-LT" w:eastAsia="en-US" w:bidi="ar-SA"/>
      </w:rPr>
    </w:lvl>
    <w:lvl w:ilvl="7" w:tplc="FFFFFFFF">
      <w:numFmt w:val="bullet"/>
      <w:lvlText w:val="•"/>
      <w:lvlJc w:val="left"/>
      <w:pPr>
        <w:ind w:left="6765" w:hanging="567"/>
      </w:pPr>
      <w:rPr>
        <w:rFonts w:hint="default"/>
        <w:lang w:val="lt-LT" w:eastAsia="en-US" w:bidi="ar-SA"/>
      </w:rPr>
    </w:lvl>
    <w:lvl w:ilvl="8" w:tplc="FFFFFFFF">
      <w:numFmt w:val="bullet"/>
      <w:lvlText w:val="•"/>
      <w:lvlJc w:val="left"/>
      <w:pPr>
        <w:ind w:left="7629" w:hanging="567"/>
      </w:pPr>
      <w:rPr>
        <w:rFonts w:hint="default"/>
        <w:lang w:val="lt-LT" w:eastAsia="en-US" w:bidi="ar-SA"/>
      </w:rPr>
    </w:lvl>
  </w:abstractNum>
  <w:abstractNum w:abstractNumId="4" w15:restartNumberingAfterBreak="0">
    <w:nsid w:val="2B4B1964"/>
    <w:multiLevelType w:val="hybridMultilevel"/>
    <w:tmpl w:val="73085E36"/>
    <w:lvl w:ilvl="0" w:tplc="FFFFFFFF">
      <w:start w:val="1"/>
      <w:numFmt w:val="bullet"/>
      <w:lvlText w:val="-"/>
      <w:lvlJc w:val="left"/>
      <w:pPr>
        <w:ind w:left="710" w:hanging="567"/>
      </w:pPr>
      <w:rPr>
        <w:rFonts w:hint="default"/>
        <w:b w:val="0"/>
        <w:bCs w:val="0"/>
        <w:i w:val="0"/>
        <w:iCs w:val="0"/>
        <w:spacing w:val="0"/>
        <w:w w:val="100"/>
        <w:sz w:val="22"/>
        <w:szCs w:val="22"/>
        <w:lang w:val="lt-LT" w:eastAsia="en-US" w:bidi="ar-SA"/>
      </w:rPr>
    </w:lvl>
    <w:lvl w:ilvl="1" w:tplc="FFFFFFFF">
      <w:numFmt w:val="bullet"/>
      <w:lvlText w:val="•"/>
      <w:lvlJc w:val="left"/>
      <w:pPr>
        <w:ind w:left="1583" w:hanging="567"/>
      </w:pPr>
      <w:rPr>
        <w:rFonts w:hint="default"/>
        <w:lang w:val="lt-LT" w:eastAsia="en-US" w:bidi="ar-SA"/>
      </w:rPr>
    </w:lvl>
    <w:lvl w:ilvl="2" w:tplc="FFFFFFFF">
      <w:numFmt w:val="bullet"/>
      <w:lvlText w:val="•"/>
      <w:lvlJc w:val="left"/>
      <w:pPr>
        <w:ind w:left="2447" w:hanging="567"/>
      </w:pPr>
      <w:rPr>
        <w:rFonts w:hint="default"/>
        <w:lang w:val="lt-LT" w:eastAsia="en-US" w:bidi="ar-SA"/>
      </w:rPr>
    </w:lvl>
    <w:lvl w:ilvl="3" w:tplc="FFFFFFFF">
      <w:numFmt w:val="bullet"/>
      <w:lvlText w:val="•"/>
      <w:lvlJc w:val="left"/>
      <w:pPr>
        <w:ind w:left="3310" w:hanging="567"/>
      </w:pPr>
      <w:rPr>
        <w:rFonts w:hint="default"/>
        <w:lang w:val="lt-LT" w:eastAsia="en-US" w:bidi="ar-SA"/>
      </w:rPr>
    </w:lvl>
    <w:lvl w:ilvl="4" w:tplc="FFFFFFFF">
      <w:numFmt w:val="bullet"/>
      <w:lvlText w:val="•"/>
      <w:lvlJc w:val="left"/>
      <w:pPr>
        <w:ind w:left="4174" w:hanging="567"/>
      </w:pPr>
      <w:rPr>
        <w:rFonts w:hint="default"/>
        <w:lang w:val="lt-LT" w:eastAsia="en-US" w:bidi="ar-SA"/>
      </w:rPr>
    </w:lvl>
    <w:lvl w:ilvl="5" w:tplc="FFFFFFFF">
      <w:numFmt w:val="bullet"/>
      <w:lvlText w:val="•"/>
      <w:lvlJc w:val="left"/>
      <w:pPr>
        <w:ind w:left="5038" w:hanging="567"/>
      </w:pPr>
      <w:rPr>
        <w:rFonts w:hint="default"/>
        <w:lang w:val="lt-LT" w:eastAsia="en-US" w:bidi="ar-SA"/>
      </w:rPr>
    </w:lvl>
    <w:lvl w:ilvl="6" w:tplc="FFFFFFFF">
      <w:numFmt w:val="bullet"/>
      <w:lvlText w:val="•"/>
      <w:lvlJc w:val="left"/>
      <w:pPr>
        <w:ind w:left="5901" w:hanging="567"/>
      </w:pPr>
      <w:rPr>
        <w:rFonts w:hint="default"/>
        <w:lang w:val="lt-LT" w:eastAsia="en-US" w:bidi="ar-SA"/>
      </w:rPr>
    </w:lvl>
    <w:lvl w:ilvl="7" w:tplc="FFFFFFFF">
      <w:numFmt w:val="bullet"/>
      <w:lvlText w:val="•"/>
      <w:lvlJc w:val="left"/>
      <w:pPr>
        <w:ind w:left="6765" w:hanging="567"/>
      </w:pPr>
      <w:rPr>
        <w:rFonts w:hint="default"/>
        <w:lang w:val="lt-LT" w:eastAsia="en-US" w:bidi="ar-SA"/>
      </w:rPr>
    </w:lvl>
    <w:lvl w:ilvl="8" w:tplc="FFFFFFFF">
      <w:numFmt w:val="bullet"/>
      <w:lvlText w:val="•"/>
      <w:lvlJc w:val="left"/>
      <w:pPr>
        <w:ind w:left="7629" w:hanging="567"/>
      </w:pPr>
      <w:rPr>
        <w:rFonts w:hint="default"/>
        <w:lang w:val="lt-LT" w:eastAsia="en-US" w:bidi="ar-SA"/>
      </w:rPr>
    </w:lvl>
  </w:abstractNum>
  <w:abstractNum w:abstractNumId="5" w15:restartNumberingAfterBreak="0">
    <w:nsid w:val="47390A4F"/>
    <w:multiLevelType w:val="hybridMultilevel"/>
    <w:tmpl w:val="0C1AC64A"/>
    <w:lvl w:ilvl="0" w:tplc="B07C311E">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CDE8C02C">
      <w:numFmt w:val="bullet"/>
      <w:lvlText w:val="•"/>
      <w:lvlJc w:val="left"/>
      <w:pPr>
        <w:ind w:left="1583" w:hanging="567"/>
      </w:pPr>
      <w:rPr>
        <w:rFonts w:hint="default"/>
        <w:lang w:val="lt-LT" w:eastAsia="en-US" w:bidi="ar-SA"/>
      </w:rPr>
    </w:lvl>
    <w:lvl w:ilvl="2" w:tplc="D06EC382">
      <w:numFmt w:val="bullet"/>
      <w:lvlText w:val="•"/>
      <w:lvlJc w:val="left"/>
      <w:pPr>
        <w:ind w:left="2447" w:hanging="567"/>
      </w:pPr>
      <w:rPr>
        <w:rFonts w:hint="default"/>
        <w:lang w:val="lt-LT" w:eastAsia="en-US" w:bidi="ar-SA"/>
      </w:rPr>
    </w:lvl>
    <w:lvl w:ilvl="3" w:tplc="D8C69FFA">
      <w:numFmt w:val="bullet"/>
      <w:lvlText w:val="•"/>
      <w:lvlJc w:val="left"/>
      <w:pPr>
        <w:ind w:left="3310" w:hanging="567"/>
      </w:pPr>
      <w:rPr>
        <w:rFonts w:hint="default"/>
        <w:lang w:val="lt-LT" w:eastAsia="en-US" w:bidi="ar-SA"/>
      </w:rPr>
    </w:lvl>
    <w:lvl w:ilvl="4" w:tplc="A6D01C5E">
      <w:numFmt w:val="bullet"/>
      <w:lvlText w:val="•"/>
      <w:lvlJc w:val="left"/>
      <w:pPr>
        <w:ind w:left="4174" w:hanging="567"/>
      </w:pPr>
      <w:rPr>
        <w:rFonts w:hint="default"/>
        <w:lang w:val="lt-LT" w:eastAsia="en-US" w:bidi="ar-SA"/>
      </w:rPr>
    </w:lvl>
    <w:lvl w:ilvl="5" w:tplc="912255EA">
      <w:numFmt w:val="bullet"/>
      <w:lvlText w:val="•"/>
      <w:lvlJc w:val="left"/>
      <w:pPr>
        <w:ind w:left="5038" w:hanging="567"/>
      </w:pPr>
      <w:rPr>
        <w:rFonts w:hint="default"/>
        <w:lang w:val="lt-LT" w:eastAsia="en-US" w:bidi="ar-SA"/>
      </w:rPr>
    </w:lvl>
    <w:lvl w:ilvl="6" w:tplc="775699D4">
      <w:numFmt w:val="bullet"/>
      <w:lvlText w:val="•"/>
      <w:lvlJc w:val="left"/>
      <w:pPr>
        <w:ind w:left="5901" w:hanging="567"/>
      </w:pPr>
      <w:rPr>
        <w:rFonts w:hint="default"/>
        <w:lang w:val="lt-LT" w:eastAsia="en-US" w:bidi="ar-SA"/>
      </w:rPr>
    </w:lvl>
    <w:lvl w:ilvl="7" w:tplc="EE90BBFC">
      <w:numFmt w:val="bullet"/>
      <w:lvlText w:val="•"/>
      <w:lvlJc w:val="left"/>
      <w:pPr>
        <w:ind w:left="6765" w:hanging="567"/>
      </w:pPr>
      <w:rPr>
        <w:rFonts w:hint="default"/>
        <w:lang w:val="lt-LT" w:eastAsia="en-US" w:bidi="ar-SA"/>
      </w:rPr>
    </w:lvl>
    <w:lvl w:ilvl="8" w:tplc="5DB09B6A">
      <w:numFmt w:val="bullet"/>
      <w:lvlText w:val="•"/>
      <w:lvlJc w:val="left"/>
      <w:pPr>
        <w:ind w:left="7629" w:hanging="567"/>
      </w:pPr>
      <w:rPr>
        <w:rFonts w:hint="default"/>
        <w:lang w:val="lt-LT" w:eastAsia="en-US" w:bidi="ar-SA"/>
      </w:rPr>
    </w:lvl>
  </w:abstractNum>
  <w:abstractNum w:abstractNumId="6" w15:restartNumberingAfterBreak="0">
    <w:nsid w:val="4D7E2169"/>
    <w:multiLevelType w:val="hybridMultilevel"/>
    <w:tmpl w:val="04A45AFA"/>
    <w:lvl w:ilvl="0" w:tplc="87462F82">
      <w:start w:val="1"/>
      <w:numFmt w:val="upperLetter"/>
      <w:lvlText w:val="%1."/>
      <w:lvlJc w:val="left"/>
      <w:pPr>
        <w:ind w:left="1845" w:hanging="569"/>
      </w:pPr>
      <w:rPr>
        <w:rFonts w:ascii="Times New Roman" w:eastAsia="Times New Roman" w:hAnsi="Times New Roman" w:cs="Times New Roman" w:hint="default"/>
        <w:b/>
        <w:bCs/>
        <w:i w:val="0"/>
        <w:iCs w:val="0"/>
        <w:spacing w:val="-2"/>
        <w:w w:val="100"/>
        <w:sz w:val="22"/>
        <w:szCs w:val="22"/>
        <w:lang w:val="lt-LT" w:eastAsia="en-US" w:bidi="ar-SA"/>
      </w:rPr>
    </w:lvl>
    <w:lvl w:ilvl="1" w:tplc="D9121616">
      <w:numFmt w:val="bullet"/>
      <w:lvlText w:val="•"/>
      <w:lvlJc w:val="left"/>
      <w:pPr>
        <w:ind w:left="2591" w:hanging="569"/>
      </w:pPr>
      <w:rPr>
        <w:rFonts w:hint="default"/>
        <w:lang w:val="lt-LT" w:eastAsia="en-US" w:bidi="ar-SA"/>
      </w:rPr>
    </w:lvl>
    <w:lvl w:ilvl="2" w:tplc="C1BAA726">
      <w:numFmt w:val="bullet"/>
      <w:lvlText w:val="•"/>
      <w:lvlJc w:val="left"/>
      <w:pPr>
        <w:ind w:left="3343" w:hanging="569"/>
      </w:pPr>
      <w:rPr>
        <w:rFonts w:hint="default"/>
        <w:lang w:val="lt-LT" w:eastAsia="en-US" w:bidi="ar-SA"/>
      </w:rPr>
    </w:lvl>
    <w:lvl w:ilvl="3" w:tplc="FEC2FD9E">
      <w:numFmt w:val="bullet"/>
      <w:lvlText w:val="•"/>
      <w:lvlJc w:val="left"/>
      <w:pPr>
        <w:ind w:left="4094" w:hanging="569"/>
      </w:pPr>
      <w:rPr>
        <w:rFonts w:hint="default"/>
        <w:lang w:val="lt-LT" w:eastAsia="en-US" w:bidi="ar-SA"/>
      </w:rPr>
    </w:lvl>
    <w:lvl w:ilvl="4" w:tplc="19308B36">
      <w:numFmt w:val="bullet"/>
      <w:lvlText w:val="•"/>
      <w:lvlJc w:val="left"/>
      <w:pPr>
        <w:ind w:left="4846" w:hanging="569"/>
      </w:pPr>
      <w:rPr>
        <w:rFonts w:hint="default"/>
        <w:lang w:val="lt-LT" w:eastAsia="en-US" w:bidi="ar-SA"/>
      </w:rPr>
    </w:lvl>
    <w:lvl w:ilvl="5" w:tplc="12C4285A">
      <w:numFmt w:val="bullet"/>
      <w:lvlText w:val="•"/>
      <w:lvlJc w:val="left"/>
      <w:pPr>
        <w:ind w:left="5598" w:hanging="569"/>
      </w:pPr>
      <w:rPr>
        <w:rFonts w:hint="default"/>
        <w:lang w:val="lt-LT" w:eastAsia="en-US" w:bidi="ar-SA"/>
      </w:rPr>
    </w:lvl>
    <w:lvl w:ilvl="6" w:tplc="4EC421DA">
      <w:numFmt w:val="bullet"/>
      <w:lvlText w:val="•"/>
      <w:lvlJc w:val="left"/>
      <w:pPr>
        <w:ind w:left="6349" w:hanging="569"/>
      </w:pPr>
      <w:rPr>
        <w:rFonts w:hint="default"/>
        <w:lang w:val="lt-LT" w:eastAsia="en-US" w:bidi="ar-SA"/>
      </w:rPr>
    </w:lvl>
    <w:lvl w:ilvl="7" w:tplc="0D9C8192">
      <w:numFmt w:val="bullet"/>
      <w:lvlText w:val="•"/>
      <w:lvlJc w:val="left"/>
      <w:pPr>
        <w:ind w:left="7101" w:hanging="569"/>
      </w:pPr>
      <w:rPr>
        <w:rFonts w:hint="default"/>
        <w:lang w:val="lt-LT" w:eastAsia="en-US" w:bidi="ar-SA"/>
      </w:rPr>
    </w:lvl>
    <w:lvl w:ilvl="8" w:tplc="66707052">
      <w:numFmt w:val="bullet"/>
      <w:lvlText w:val="•"/>
      <w:lvlJc w:val="left"/>
      <w:pPr>
        <w:ind w:left="7853" w:hanging="569"/>
      </w:pPr>
      <w:rPr>
        <w:rFonts w:hint="default"/>
        <w:lang w:val="lt-LT" w:eastAsia="en-US" w:bidi="ar-SA"/>
      </w:rPr>
    </w:lvl>
  </w:abstractNum>
  <w:abstractNum w:abstractNumId="7" w15:restartNumberingAfterBreak="0">
    <w:nsid w:val="50435BC6"/>
    <w:multiLevelType w:val="hybridMultilevel"/>
    <w:tmpl w:val="175C8F98"/>
    <w:lvl w:ilvl="0" w:tplc="5C988564">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EFC4CBFE">
      <w:numFmt w:val="bullet"/>
      <w:lvlText w:val="•"/>
      <w:lvlJc w:val="left"/>
      <w:pPr>
        <w:ind w:left="1583" w:hanging="567"/>
      </w:pPr>
      <w:rPr>
        <w:rFonts w:hint="default"/>
        <w:lang w:val="lt-LT" w:eastAsia="en-US" w:bidi="ar-SA"/>
      </w:rPr>
    </w:lvl>
    <w:lvl w:ilvl="2" w:tplc="8B1AFCB0">
      <w:numFmt w:val="bullet"/>
      <w:lvlText w:val="•"/>
      <w:lvlJc w:val="left"/>
      <w:pPr>
        <w:ind w:left="2447" w:hanging="567"/>
      </w:pPr>
      <w:rPr>
        <w:rFonts w:hint="default"/>
        <w:lang w:val="lt-LT" w:eastAsia="en-US" w:bidi="ar-SA"/>
      </w:rPr>
    </w:lvl>
    <w:lvl w:ilvl="3" w:tplc="72129E26">
      <w:numFmt w:val="bullet"/>
      <w:lvlText w:val="•"/>
      <w:lvlJc w:val="left"/>
      <w:pPr>
        <w:ind w:left="3310" w:hanging="567"/>
      </w:pPr>
      <w:rPr>
        <w:rFonts w:hint="default"/>
        <w:lang w:val="lt-LT" w:eastAsia="en-US" w:bidi="ar-SA"/>
      </w:rPr>
    </w:lvl>
    <w:lvl w:ilvl="4" w:tplc="9FE0C5DC">
      <w:numFmt w:val="bullet"/>
      <w:lvlText w:val="•"/>
      <w:lvlJc w:val="left"/>
      <w:pPr>
        <w:ind w:left="4174" w:hanging="567"/>
      </w:pPr>
      <w:rPr>
        <w:rFonts w:hint="default"/>
        <w:lang w:val="lt-LT" w:eastAsia="en-US" w:bidi="ar-SA"/>
      </w:rPr>
    </w:lvl>
    <w:lvl w:ilvl="5" w:tplc="32CC02F0">
      <w:numFmt w:val="bullet"/>
      <w:lvlText w:val="•"/>
      <w:lvlJc w:val="left"/>
      <w:pPr>
        <w:ind w:left="5038" w:hanging="567"/>
      </w:pPr>
      <w:rPr>
        <w:rFonts w:hint="default"/>
        <w:lang w:val="lt-LT" w:eastAsia="en-US" w:bidi="ar-SA"/>
      </w:rPr>
    </w:lvl>
    <w:lvl w:ilvl="6" w:tplc="277E9462">
      <w:numFmt w:val="bullet"/>
      <w:lvlText w:val="•"/>
      <w:lvlJc w:val="left"/>
      <w:pPr>
        <w:ind w:left="5901" w:hanging="567"/>
      </w:pPr>
      <w:rPr>
        <w:rFonts w:hint="default"/>
        <w:lang w:val="lt-LT" w:eastAsia="en-US" w:bidi="ar-SA"/>
      </w:rPr>
    </w:lvl>
    <w:lvl w:ilvl="7" w:tplc="1700D55E">
      <w:numFmt w:val="bullet"/>
      <w:lvlText w:val="•"/>
      <w:lvlJc w:val="left"/>
      <w:pPr>
        <w:ind w:left="6765" w:hanging="567"/>
      </w:pPr>
      <w:rPr>
        <w:rFonts w:hint="default"/>
        <w:lang w:val="lt-LT" w:eastAsia="en-US" w:bidi="ar-SA"/>
      </w:rPr>
    </w:lvl>
    <w:lvl w:ilvl="8" w:tplc="140C8DAC">
      <w:numFmt w:val="bullet"/>
      <w:lvlText w:val="•"/>
      <w:lvlJc w:val="left"/>
      <w:pPr>
        <w:ind w:left="7629" w:hanging="567"/>
      </w:pPr>
      <w:rPr>
        <w:rFonts w:hint="default"/>
        <w:lang w:val="lt-LT" w:eastAsia="en-US" w:bidi="ar-SA"/>
      </w:rPr>
    </w:lvl>
  </w:abstractNum>
  <w:abstractNum w:abstractNumId="8" w15:restartNumberingAfterBreak="0">
    <w:nsid w:val="512A7ECC"/>
    <w:multiLevelType w:val="hybridMultilevel"/>
    <w:tmpl w:val="62A271E6"/>
    <w:lvl w:ilvl="0" w:tplc="E34A54C4">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45BEF738">
      <w:numFmt w:val="bullet"/>
      <w:lvlText w:val="•"/>
      <w:lvlJc w:val="left"/>
      <w:pPr>
        <w:ind w:left="1583" w:hanging="567"/>
      </w:pPr>
      <w:rPr>
        <w:rFonts w:hint="default"/>
        <w:lang w:val="lt-LT" w:eastAsia="en-US" w:bidi="ar-SA"/>
      </w:rPr>
    </w:lvl>
    <w:lvl w:ilvl="2" w:tplc="D4F2E976">
      <w:numFmt w:val="bullet"/>
      <w:lvlText w:val="•"/>
      <w:lvlJc w:val="left"/>
      <w:pPr>
        <w:ind w:left="2447" w:hanging="567"/>
      </w:pPr>
      <w:rPr>
        <w:rFonts w:hint="default"/>
        <w:lang w:val="lt-LT" w:eastAsia="en-US" w:bidi="ar-SA"/>
      </w:rPr>
    </w:lvl>
    <w:lvl w:ilvl="3" w:tplc="F96419F2">
      <w:numFmt w:val="bullet"/>
      <w:lvlText w:val="•"/>
      <w:lvlJc w:val="left"/>
      <w:pPr>
        <w:ind w:left="3310" w:hanging="567"/>
      </w:pPr>
      <w:rPr>
        <w:rFonts w:hint="default"/>
        <w:lang w:val="lt-LT" w:eastAsia="en-US" w:bidi="ar-SA"/>
      </w:rPr>
    </w:lvl>
    <w:lvl w:ilvl="4" w:tplc="B6AEE0A2">
      <w:numFmt w:val="bullet"/>
      <w:lvlText w:val="•"/>
      <w:lvlJc w:val="left"/>
      <w:pPr>
        <w:ind w:left="4174" w:hanging="567"/>
      </w:pPr>
      <w:rPr>
        <w:rFonts w:hint="default"/>
        <w:lang w:val="lt-LT" w:eastAsia="en-US" w:bidi="ar-SA"/>
      </w:rPr>
    </w:lvl>
    <w:lvl w:ilvl="5" w:tplc="2A16EC16">
      <w:numFmt w:val="bullet"/>
      <w:lvlText w:val="•"/>
      <w:lvlJc w:val="left"/>
      <w:pPr>
        <w:ind w:left="5038" w:hanging="567"/>
      </w:pPr>
      <w:rPr>
        <w:rFonts w:hint="default"/>
        <w:lang w:val="lt-LT" w:eastAsia="en-US" w:bidi="ar-SA"/>
      </w:rPr>
    </w:lvl>
    <w:lvl w:ilvl="6" w:tplc="C1661238">
      <w:numFmt w:val="bullet"/>
      <w:lvlText w:val="•"/>
      <w:lvlJc w:val="left"/>
      <w:pPr>
        <w:ind w:left="5901" w:hanging="567"/>
      </w:pPr>
      <w:rPr>
        <w:rFonts w:hint="default"/>
        <w:lang w:val="lt-LT" w:eastAsia="en-US" w:bidi="ar-SA"/>
      </w:rPr>
    </w:lvl>
    <w:lvl w:ilvl="7" w:tplc="735CF444">
      <w:numFmt w:val="bullet"/>
      <w:lvlText w:val="•"/>
      <w:lvlJc w:val="left"/>
      <w:pPr>
        <w:ind w:left="6765" w:hanging="567"/>
      </w:pPr>
      <w:rPr>
        <w:rFonts w:hint="default"/>
        <w:lang w:val="lt-LT" w:eastAsia="en-US" w:bidi="ar-SA"/>
      </w:rPr>
    </w:lvl>
    <w:lvl w:ilvl="8" w:tplc="9EDE46BE">
      <w:numFmt w:val="bullet"/>
      <w:lvlText w:val="•"/>
      <w:lvlJc w:val="left"/>
      <w:pPr>
        <w:ind w:left="7629" w:hanging="567"/>
      </w:pPr>
      <w:rPr>
        <w:rFonts w:hint="default"/>
        <w:lang w:val="lt-LT" w:eastAsia="en-US" w:bidi="ar-SA"/>
      </w:rPr>
    </w:lvl>
  </w:abstractNum>
  <w:abstractNum w:abstractNumId="9" w15:restartNumberingAfterBreak="0">
    <w:nsid w:val="53C74832"/>
    <w:multiLevelType w:val="hybridMultilevel"/>
    <w:tmpl w:val="E77E5774"/>
    <w:lvl w:ilvl="0" w:tplc="7ECA745A">
      <w:start w:val="1"/>
      <w:numFmt w:val="upperLetter"/>
      <w:lvlText w:val="%1."/>
      <w:lvlJc w:val="left"/>
      <w:pPr>
        <w:ind w:left="710" w:hanging="567"/>
      </w:pPr>
      <w:rPr>
        <w:rFonts w:ascii="Times New Roman" w:eastAsia="Times New Roman" w:hAnsi="Times New Roman" w:cs="Times New Roman" w:hint="default"/>
        <w:b/>
        <w:bCs/>
        <w:i w:val="0"/>
        <w:iCs w:val="0"/>
        <w:spacing w:val="-2"/>
        <w:w w:val="100"/>
        <w:sz w:val="22"/>
        <w:szCs w:val="22"/>
        <w:lang w:val="lt-LT" w:eastAsia="en-US" w:bidi="ar-SA"/>
      </w:rPr>
    </w:lvl>
    <w:lvl w:ilvl="1" w:tplc="045A60E8">
      <w:start w:val="1"/>
      <w:numFmt w:val="upperLetter"/>
      <w:lvlText w:val="%2."/>
      <w:lvlJc w:val="left"/>
      <w:pPr>
        <w:ind w:left="4018" w:hanging="270"/>
        <w:jc w:val="right"/>
      </w:pPr>
      <w:rPr>
        <w:rFonts w:ascii="Times New Roman" w:eastAsia="Times New Roman" w:hAnsi="Times New Roman" w:cs="Times New Roman" w:hint="default"/>
        <w:b/>
        <w:bCs/>
        <w:i w:val="0"/>
        <w:iCs w:val="0"/>
        <w:spacing w:val="-2"/>
        <w:w w:val="100"/>
        <w:sz w:val="22"/>
        <w:szCs w:val="22"/>
        <w:lang w:val="lt-LT" w:eastAsia="en-US" w:bidi="ar-SA"/>
      </w:rPr>
    </w:lvl>
    <w:lvl w:ilvl="2" w:tplc="3C584B76">
      <w:numFmt w:val="bullet"/>
      <w:lvlText w:val="•"/>
      <w:lvlJc w:val="left"/>
      <w:pPr>
        <w:ind w:left="4612" w:hanging="270"/>
      </w:pPr>
      <w:rPr>
        <w:rFonts w:hint="default"/>
        <w:lang w:val="lt-LT" w:eastAsia="en-US" w:bidi="ar-SA"/>
      </w:rPr>
    </w:lvl>
    <w:lvl w:ilvl="3" w:tplc="673014F8">
      <w:numFmt w:val="bullet"/>
      <w:lvlText w:val="•"/>
      <w:lvlJc w:val="left"/>
      <w:pPr>
        <w:ind w:left="5205" w:hanging="270"/>
      </w:pPr>
      <w:rPr>
        <w:rFonts w:hint="default"/>
        <w:lang w:val="lt-LT" w:eastAsia="en-US" w:bidi="ar-SA"/>
      </w:rPr>
    </w:lvl>
    <w:lvl w:ilvl="4" w:tplc="CCD48ED6">
      <w:numFmt w:val="bullet"/>
      <w:lvlText w:val="•"/>
      <w:lvlJc w:val="left"/>
      <w:pPr>
        <w:ind w:left="5798" w:hanging="270"/>
      </w:pPr>
      <w:rPr>
        <w:rFonts w:hint="default"/>
        <w:lang w:val="lt-LT" w:eastAsia="en-US" w:bidi="ar-SA"/>
      </w:rPr>
    </w:lvl>
    <w:lvl w:ilvl="5" w:tplc="0F2E958A">
      <w:numFmt w:val="bullet"/>
      <w:lvlText w:val="•"/>
      <w:lvlJc w:val="left"/>
      <w:pPr>
        <w:ind w:left="6391" w:hanging="270"/>
      </w:pPr>
      <w:rPr>
        <w:rFonts w:hint="default"/>
        <w:lang w:val="lt-LT" w:eastAsia="en-US" w:bidi="ar-SA"/>
      </w:rPr>
    </w:lvl>
    <w:lvl w:ilvl="6" w:tplc="5DBA340A">
      <w:numFmt w:val="bullet"/>
      <w:lvlText w:val="•"/>
      <w:lvlJc w:val="left"/>
      <w:pPr>
        <w:ind w:left="6984" w:hanging="270"/>
      </w:pPr>
      <w:rPr>
        <w:rFonts w:hint="default"/>
        <w:lang w:val="lt-LT" w:eastAsia="en-US" w:bidi="ar-SA"/>
      </w:rPr>
    </w:lvl>
    <w:lvl w:ilvl="7" w:tplc="BDACFA3E">
      <w:numFmt w:val="bullet"/>
      <w:lvlText w:val="•"/>
      <w:lvlJc w:val="left"/>
      <w:pPr>
        <w:ind w:left="7577" w:hanging="270"/>
      </w:pPr>
      <w:rPr>
        <w:rFonts w:hint="default"/>
        <w:lang w:val="lt-LT" w:eastAsia="en-US" w:bidi="ar-SA"/>
      </w:rPr>
    </w:lvl>
    <w:lvl w:ilvl="8" w:tplc="9FB8D824">
      <w:numFmt w:val="bullet"/>
      <w:lvlText w:val="•"/>
      <w:lvlJc w:val="left"/>
      <w:pPr>
        <w:ind w:left="8170" w:hanging="270"/>
      </w:pPr>
      <w:rPr>
        <w:rFonts w:hint="default"/>
        <w:lang w:val="lt-LT" w:eastAsia="en-US" w:bidi="ar-SA"/>
      </w:rPr>
    </w:lvl>
  </w:abstractNum>
  <w:abstractNum w:abstractNumId="10" w15:restartNumberingAfterBreak="0">
    <w:nsid w:val="54EE64B7"/>
    <w:multiLevelType w:val="hybridMultilevel"/>
    <w:tmpl w:val="D02A833C"/>
    <w:lvl w:ilvl="0" w:tplc="FFFFFFFF">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FFFFFFFF">
      <w:start w:val="1"/>
      <w:numFmt w:val="bullet"/>
      <w:lvlText w:val="-"/>
      <w:lvlJc w:val="left"/>
      <w:pPr>
        <w:ind w:left="503" w:hanging="360"/>
      </w:pPr>
    </w:lvl>
    <w:lvl w:ilvl="2" w:tplc="FFFFFFFF">
      <w:numFmt w:val="bullet"/>
      <w:lvlText w:val="•"/>
      <w:lvlJc w:val="left"/>
      <w:pPr>
        <w:ind w:left="2447" w:hanging="567"/>
      </w:pPr>
      <w:rPr>
        <w:rFonts w:hint="default"/>
        <w:lang w:val="lt-LT" w:eastAsia="en-US" w:bidi="ar-SA"/>
      </w:rPr>
    </w:lvl>
    <w:lvl w:ilvl="3" w:tplc="FFFFFFFF">
      <w:numFmt w:val="bullet"/>
      <w:lvlText w:val="•"/>
      <w:lvlJc w:val="left"/>
      <w:pPr>
        <w:ind w:left="3310" w:hanging="567"/>
      </w:pPr>
      <w:rPr>
        <w:rFonts w:hint="default"/>
        <w:lang w:val="lt-LT" w:eastAsia="en-US" w:bidi="ar-SA"/>
      </w:rPr>
    </w:lvl>
    <w:lvl w:ilvl="4" w:tplc="FFFFFFFF">
      <w:numFmt w:val="bullet"/>
      <w:lvlText w:val="•"/>
      <w:lvlJc w:val="left"/>
      <w:pPr>
        <w:ind w:left="4174" w:hanging="567"/>
      </w:pPr>
      <w:rPr>
        <w:rFonts w:hint="default"/>
        <w:lang w:val="lt-LT" w:eastAsia="en-US" w:bidi="ar-SA"/>
      </w:rPr>
    </w:lvl>
    <w:lvl w:ilvl="5" w:tplc="FFFFFFFF">
      <w:numFmt w:val="bullet"/>
      <w:lvlText w:val="•"/>
      <w:lvlJc w:val="left"/>
      <w:pPr>
        <w:ind w:left="5038" w:hanging="567"/>
      </w:pPr>
      <w:rPr>
        <w:rFonts w:hint="default"/>
        <w:lang w:val="lt-LT" w:eastAsia="en-US" w:bidi="ar-SA"/>
      </w:rPr>
    </w:lvl>
    <w:lvl w:ilvl="6" w:tplc="FFFFFFFF">
      <w:numFmt w:val="bullet"/>
      <w:lvlText w:val="•"/>
      <w:lvlJc w:val="left"/>
      <w:pPr>
        <w:ind w:left="5901" w:hanging="567"/>
      </w:pPr>
      <w:rPr>
        <w:rFonts w:hint="default"/>
        <w:lang w:val="lt-LT" w:eastAsia="en-US" w:bidi="ar-SA"/>
      </w:rPr>
    </w:lvl>
    <w:lvl w:ilvl="7" w:tplc="FFFFFFFF">
      <w:numFmt w:val="bullet"/>
      <w:lvlText w:val="•"/>
      <w:lvlJc w:val="left"/>
      <w:pPr>
        <w:ind w:left="6765" w:hanging="567"/>
      </w:pPr>
      <w:rPr>
        <w:rFonts w:hint="default"/>
        <w:lang w:val="lt-LT" w:eastAsia="en-US" w:bidi="ar-SA"/>
      </w:rPr>
    </w:lvl>
    <w:lvl w:ilvl="8" w:tplc="FFFFFFFF">
      <w:numFmt w:val="bullet"/>
      <w:lvlText w:val="•"/>
      <w:lvlJc w:val="left"/>
      <w:pPr>
        <w:ind w:left="7629" w:hanging="567"/>
      </w:pPr>
      <w:rPr>
        <w:rFonts w:hint="default"/>
        <w:lang w:val="lt-LT" w:eastAsia="en-US" w:bidi="ar-SA"/>
      </w:rPr>
    </w:lvl>
  </w:abstractNum>
  <w:abstractNum w:abstractNumId="11" w15:restartNumberingAfterBreak="0">
    <w:nsid w:val="5A3D25E9"/>
    <w:multiLevelType w:val="hybridMultilevel"/>
    <w:tmpl w:val="07C8E908"/>
    <w:lvl w:ilvl="0" w:tplc="9530EE1E">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B58686F2">
      <w:numFmt w:val="bullet"/>
      <w:lvlText w:val="•"/>
      <w:lvlJc w:val="left"/>
      <w:pPr>
        <w:ind w:left="1583" w:hanging="567"/>
      </w:pPr>
      <w:rPr>
        <w:rFonts w:hint="default"/>
        <w:lang w:val="lt-LT" w:eastAsia="en-US" w:bidi="ar-SA"/>
      </w:rPr>
    </w:lvl>
    <w:lvl w:ilvl="2" w:tplc="8F2E58AE">
      <w:numFmt w:val="bullet"/>
      <w:lvlText w:val="•"/>
      <w:lvlJc w:val="left"/>
      <w:pPr>
        <w:ind w:left="2447" w:hanging="567"/>
      </w:pPr>
      <w:rPr>
        <w:rFonts w:hint="default"/>
        <w:lang w:val="lt-LT" w:eastAsia="en-US" w:bidi="ar-SA"/>
      </w:rPr>
    </w:lvl>
    <w:lvl w:ilvl="3" w:tplc="7D92BD10">
      <w:numFmt w:val="bullet"/>
      <w:lvlText w:val="•"/>
      <w:lvlJc w:val="left"/>
      <w:pPr>
        <w:ind w:left="3310" w:hanging="567"/>
      </w:pPr>
      <w:rPr>
        <w:rFonts w:hint="default"/>
        <w:lang w:val="lt-LT" w:eastAsia="en-US" w:bidi="ar-SA"/>
      </w:rPr>
    </w:lvl>
    <w:lvl w:ilvl="4" w:tplc="92D0BC22">
      <w:numFmt w:val="bullet"/>
      <w:lvlText w:val="•"/>
      <w:lvlJc w:val="left"/>
      <w:pPr>
        <w:ind w:left="4174" w:hanging="567"/>
      </w:pPr>
      <w:rPr>
        <w:rFonts w:hint="default"/>
        <w:lang w:val="lt-LT" w:eastAsia="en-US" w:bidi="ar-SA"/>
      </w:rPr>
    </w:lvl>
    <w:lvl w:ilvl="5" w:tplc="E95624E0">
      <w:numFmt w:val="bullet"/>
      <w:lvlText w:val="•"/>
      <w:lvlJc w:val="left"/>
      <w:pPr>
        <w:ind w:left="5038" w:hanging="567"/>
      </w:pPr>
      <w:rPr>
        <w:rFonts w:hint="default"/>
        <w:lang w:val="lt-LT" w:eastAsia="en-US" w:bidi="ar-SA"/>
      </w:rPr>
    </w:lvl>
    <w:lvl w:ilvl="6" w:tplc="195C285A">
      <w:numFmt w:val="bullet"/>
      <w:lvlText w:val="•"/>
      <w:lvlJc w:val="left"/>
      <w:pPr>
        <w:ind w:left="5901" w:hanging="567"/>
      </w:pPr>
      <w:rPr>
        <w:rFonts w:hint="default"/>
        <w:lang w:val="lt-LT" w:eastAsia="en-US" w:bidi="ar-SA"/>
      </w:rPr>
    </w:lvl>
    <w:lvl w:ilvl="7" w:tplc="8BF25F86">
      <w:numFmt w:val="bullet"/>
      <w:lvlText w:val="•"/>
      <w:lvlJc w:val="left"/>
      <w:pPr>
        <w:ind w:left="6765" w:hanging="567"/>
      </w:pPr>
      <w:rPr>
        <w:rFonts w:hint="default"/>
        <w:lang w:val="lt-LT" w:eastAsia="en-US" w:bidi="ar-SA"/>
      </w:rPr>
    </w:lvl>
    <w:lvl w:ilvl="8" w:tplc="FF24B860">
      <w:numFmt w:val="bullet"/>
      <w:lvlText w:val="•"/>
      <w:lvlJc w:val="left"/>
      <w:pPr>
        <w:ind w:left="7629" w:hanging="567"/>
      </w:pPr>
      <w:rPr>
        <w:rFonts w:hint="default"/>
        <w:lang w:val="lt-LT" w:eastAsia="en-US" w:bidi="ar-SA"/>
      </w:rPr>
    </w:lvl>
  </w:abstractNum>
  <w:abstractNum w:abstractNumId="12" w15:restartNumberingAfterBreak="0">
    <w:nsid w:val="62A92DB6"/>
    <w:multiLevelType w:val="hybridMultilevel"/>
    <w:tmpl w:val="D5C6B064"/>
    <w:lvl w:ilvl="0" w:tplc="7BBC5446">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5E58E00E">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2" w:tplc="FA46D9D8">
      <w:numFmt w:val="bullet"/>
      <w:lvlText w:val="•"/>
      <w:lvlJc w:val="left"/>
      <w:pPr>
        <w:ind w:left="2447" w:hanging="567"/>
      </w:pPr>
      <w:rPr>
        <w:rFonts w:hint="default"/>
        <w:lang w:val="lt-LT" w:eastAsia="en-US" w:bidi="ar-SA"/>
      </w:rPr>
    </w:lvl>
    <w:lvl w:ilvl="3" w:tplc="B0902008">
      <w:numFmt w:val="bullet"/>
      <w:lvlText w:val="•"/>
      <w:lvlJc w:val="left"/>
      <w:pPr>
        <w:ind w:left="3310" w:hanging="567"/>
      </w:pPr>
      <w:rPr>
        <w:rFonts w:hint="default"/>
        <w:lang w:val="lt-LT" w:eastAsia="en-US" w:bidi="ar-SA"/>
      </w:rPr>
    </w:lvl>
    <w:lvl w:ilvl="4" w:tplc="527AA3A2">
      <w:numFmt w:val="bullet"/>
      <w:lvlText w:val="•"/>
      <w:lvlJc w:val="left"/>
      <w:pPr>
        <w:ind w:left="4174" w:hanging="567"/>
      </w:pPr>
      <w:rPr>
        <w:rFonts w:hint="default"/>
        <w:lang w:val="lt-LT" w:eastAsia="en-US" w:bidi="ar-SA"/>
      </w:rPr>
    </w:lvl>
    <w:lvl w:ilvl="5" w:tplc="0E2C1132">
      <w:numFmt w:val="bullet"/>
      <w:lvlText w:val="•"/>
      <w:lvlJc w:val="left"/>
      <w:pPr>
        <w:ind w:left="5038" w:hanging="567"/>
      </w:pPr>
      <w:rPr>
        <w:rFonts w:hint="default"/>
        <w:lang w:val="lt-LT" w:eastAsia="en-US" w:bidi="ar-SA"/>
      </w:rPr>
    </w:lvl>
    <w:lvl w:ilvl="6" w:tplc="0230592E">
      <w:numFmt w:val="bullet"/>
      <w:lvlText w:val="•"/>
      <w:lvlJc w:val="left"/>
      <w:pPr>
        <w:ind w:left="5901" w:hanging="567"/>
      </w:pPr>
      <w:rPr>
        <w:rFonts w:hint="default"/>
        <w:lang w:val="lt-LT" w:eastAsia="en-US" w:bidi="ar-SA"/>
      </w:rPr>
    </w:lvl>
    <w:lvl w:ilvl="7" w:tplc="8DE0455C">
      <w:numFmt w:val="bullet"/>
      <w:lvlText w:val="•"/>
      <w:lvlJc w:val="left"/>
      <w:pPr>
        <w:ind w:left="6765" w:hanging="567"/>
      </w:pPr>
      <w:rPr>
        <w:rFonts w:hint="default"/>
        <w:lang w:val="lt-LT" w:eastAsia="en-US" w:bidi="ar-SA"/>
      </w:rPr>
    </w:lvl>
    <w:lvl w:ilvl="8" w:tplc="3ECC9D84">
      <w:numFmt w:val="bullet"/>
      <w:lvlText w:val="•"/>
      <w:lvlJc w:val="left"/>
      <w:pPr>
        <w:ind w:left="7629" w:hanging="567"/>
      </w:pPr>
      <w:rPr>
        <w:rFonts w:hint="default"/>
        <w:lang w:val="lt-LT" w:eastAsia="en-US" w:bidi="ar-SA"/>
      </w:rPr>
    </w:lvl>
  </w:abstractNum>
  <w:abstractNum w:abstractNumId="13" w15:restartNumberingAfterBreak="0">
    <w:nsid w:val="62C56998"/>
    <w:multiLevelType w:val="hybridMultilevel"/>
    <w:tmpl w:val="902C748A"/>
    <w:lvl w:ilvl="0" w:tplc="5CD4A7FE">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272AD1C4">
      <w:numFmt w:val="bullet"/>
      <w:lvlText w:val="•"/>
      <w:lvlJc w:val="left"/>
      <w:pPr>
        <w:ind w:left="1583" w:hanging="567"/>
      </w:pPr>
      <w:rPr>
        <w:rFonts w:hint="default"/>
        <w:lang w:val="lt-LT" w:eastAsia="en-US" w:bidi="ar-SA"/>
      </w:rPr>
    </w:lvl>
    <w:lvl w:ilvl="2" w:tplc="0250FA06">
      <w:numFmt w:val="bullet"/>
      <w:lvlText w:val="•"/>
      <w:lvlJc w:val="left"/>
      <w:pPr>
        <w:ind w:left="2447" w:hanging="567"/>
      </w:pPr>
      <w:rPr>
        <w:rFonts w:hint="default"/>
        <w:lang w:val="lt-LT" w:eastAsia="en-US" w:bidi="ar-SA"/>
      </w:rPr>
    </w:lvl>
    <w:lvl w:ilvl="3" w:tplc="3C2AA378">
      <w:numFmt w:val="bullet"/>
      <w:lvlText w:val="•"/>
      <w:lvlJc w:val="left"/>
      <w:pPr>
        <w:ind w:left="3310" w:hanging="567"/>
      </w:pPr>
      <w:rPr>
        <w:rFonts w:hint="default"/>
        <w:lang w:val="lt-LT" w:eastAsia="en-US" w:bidi="ar-SA"/>
      </w:rPr>
    </w:lvl>
    <w:lvl w:ilvl="4" w:tplc="C0CCF840">
      <w:numFmt w:val="bullet"/>
      <w:lvlText w:val="•"/>
      <w:lvlJc w:val="left"/>
      <w:pPr>
        <w:ind w:left="4174" w:hanging="567"/>
      </w:pPr>
      <w:rPr>
        <w:rFonts w:hint="default"/>
        <w:lang w:val="lt-LT" w:eastAsia="en-US" w:bidi="ar-SA"/>
      </w:rPr>
    </w:lvl>
    <w:lvl w:ilvl="5" w:tplc="52260B66">
      <w:numFmt w:val="bullet"/>
      <w:lvlText w:val="•"/>
      <w:lvlJc w:val="left"/>
      <w:pPr>
        <w:ind w:left="5038" w:hanging="567"/>
      </w:pPr>
      <w:rPr>
        <w:rFonts w:hint="default"/>
        <w:lang w:val="lt-LT" w:eastAsia="en-US" w:bidi="ar-SA"/>
      </w:rPr>
    </w:lvl>
    <w:lvl w:ilvl="6" w:tplc="A59E43A4">
      <w:numFmt w:val="bullet"/>
      <w:lvlText w:val="•"/>
      <w:lvlJc w:val="left"/>
      <w:pPr>
        <w:ind w:left="5901" w:hanging="567"/>
      </w:pPr>
      <w:rPr>
        <w:rFonts w:hint="default"/>
        <w:lang w:val="lt-LT" w:eastAsia="en-US" w:bidi="ar-SA"/>
      </w:rPr>
    </w:lvl>
    <w:lvl w:ilvl="7" w:tplc="59162A4C">
      <w:numFmt w:val="bullet"/>
      <w:lvlText w:val="•"/>
      <w:lvlJc w:val="left"/>
      <w:pPr>
        <w:ind w:left="6765" w:hanging="567"/>
      </w:pPr>
      <w:rPr>
        <w:rFonts w:hint="default"/>
        <w:lang w:val="lt-LT" w:eastAsia="en-US" w:bidi="ar-SA"/>
      </w:rPr>
    </w:lvl>
    <w:lvl w:ilvl="8" w:tplc="FCB096B6">
      <w:numFmt w:val="bullet"/>
      <w:lvlText w:val="•"/>
      <w:lvlJc w:val="left"/>
      <w:pPr>
        <w:ind w:left="7629" w:hanging="567"/>
      </w:pPr>
      <w:rPr>
        <w:rFonts w:hint="default"/>
        <w:lang w:val="lt-LT" w:eastAsia="en-US" w:bidi="ar-SA"/>
      </w:rPr>
    </w:lvl>
  </w:abstractNum>
  <w:abstractNum w:abstractNumId="14" w15:restartNumberingAfterBreak="0">
    <w:nsid w:val="6F677FAF"/>
    <w:multiLevelType w:val="hybridMultilevel"/>
    <w:tmpl w:val="61964070"/>
    <w:lvl w:ilvl="0" w:tplc="FFFFFFFF">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FFFFFFFF">
      <w:start w:val="1"/>
      <w:numFmt w:val="bullet"/>
      <w:lvlText w:val="-"/>
      <w:lvlJc w:val="left"/>
      <w:pPr>
        <w:ind w:left="503" w:hanging="360"/>
      </w:pPr>
    </w:lvl>
    <w:lvl w:ilvl="2" w:tplc="FFFFFFFF">
      <w:numFmt w:val="bullet"/>
      <w:lvlText w:val="•"/>
      <w:lvlJc w:val="left"/>
      <w:pPr>
        <w:ind w:left="2447" w:hanging="567"/>
      </w:pPr>
      <w:rPr>
        <w:rFonts w:hint="default"/>
        <w:lang w:val="lt-LT" w:eastAsia="en-US" w:bidi="ar-SA"/>
      </w:rPr>
    </w:lvl>
    <w:lvl w:ilvl="3" w:tplc="FFFFFFFF">
      <w:numFmt w:val="bullet"/>
      <w:lvlText w:val="•"/>
      <w:lvlJc w:val="left"/>
      <w:pPr>
        <w:ind w:left="3310" w:hanging="567"/>
      </w:pPr>
      <w:rPr>
        <w:rFonts w:hint="default"/>
        <w:lang w:val="lt-LT" w:eastAsia="en-US" w:bidi="ar-SA"/>
      </w:rPr>
    </w:lvl>
    <w:lvl w:ilvl="4" w:tplc="FFFFFFFF">
      <w:numFmt w:val="bullet"/>
      <w:lvlText w:val="•"/>
      <w:lvlJc w:val="left"/>
      <w:pPr>
        <w:ind w:left="4174" w:hanging="567"/>
      </w:pPr>
      <w:rPr>
        <w:rFonts w:hint="default"/>
        <w:lang w:val="lt-LT" w:eastAsia="en-US" w:bidi="ar-SA"/>
      </w:rPr>
    </w:lvl>
    <w:lvl w:ilvl="5" w:tplc="FFFFFFFF">
      <w:numFmt w:val="bullet"/>
      <w:lvlText w:val="•"/>
      <w:lvlJc w:val="left"/>
      <w:pPr>
        <w:ind w:left="5038" w:hanging="567"/>
      </w:pPr>
      <w:rPr>
        <w:rFonts w:hint="default"/>
        <w:lang w:val="lt-LT" w:eastAsia="en-US" w:bidi="ar-SA"/>
      </w:rPr>
    </w:lvl>
    <w:lvl w:ilvl="6" w:tplc="FFFFFFFF">
      <w:numFmt w:val="bullet"/>
      <w:lvlText w:val="•"/>
      <w:lvlJc w:val="left"/>
      <w:pPr>
        <w:ind w:left="5901" w:hanging="567"/>
      </w:pPr>
      <w:rPr>
        <w:rFonts w:hint="default"/>
        <w:lang w:val="lt-LT" w:eastAsia="en-US" w:bidi="ar-SA"/>
      </w:rPr>
    </w:lvl>
    <w:lvl w:ilvl="7" w:tplc="FFFFFFFF">
      <w:numFmt w:val="bullet"/>
      <w:lvlText w:val="•"/>
      <w:lvlJc w:val="left"/>
      <w:pPr>
        <w:ind w:left="6765" w:hanging="567"/>
      </w:pPr>
      <w:rPr>
        <w:rFonts w:hint="default"/>
        <w:lang w:val="lt-LT" w:eastAsia="en-US" w:bidi="ar-SA"/>
      </w:rPr>
    </w:lvl>
    <w:lvl w:ilvl="8" w:tplc="FFFFFFFF">
      <w:numFmt w:val="bullet"/>
      <w:lvlText w:val="•"/>
      <w:lvlJc w:val="left"/>
      <w:pPr>
        <w:ind w:left="7629" w:hanging="567"/>
      </w:pPr>
      <w:rPr>
        <w:rFonts w:hint="default"/>
        <w:lang w:val="lt-LT" w:eastAsia="en-US" w:bidi="ar-SA"/>
      </w:rPr>
    </w:lvl>
  </w:abstractNum>
  <w:abstractNum w:abstractNumId="15" w15:restartNumberingAfterBreak="0">
    <w:nsid w:val="7404066F"/>
    <w:multiLevelType w:val="hybridMultilevel"/>
    <w:tmpl w:val="10C0D9B6"/>
    <w:lvl w:ilvl="0" w:tplc="C5307BFA">
      <w:start w:val="2"/>
      <w:numFmt w:val="decimal"/>
      <w:lvlText w:val="%1"/>
      <w:lvlJc w:val="left"/>
      <w:pPr>
        <w:ind w:left="143"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9410CF82">
      <w:numFmt w:val="bullet"/>
      <w:lvlText w:val="•"/>
      <w:lvlJc w:val="left"/>
      <w:pPr>
        <w:ind w:left="1061" w:hanging="166"/>
      </w:pPr>
      <w:rPr>
        <w:rFonts w:hint="default"/>
        <w:lang w:val="lt-LT" w:eastAsia="en-US" w:bidi="ar-SA"/>
      </w:rPr>
    </w:lvl>
    <w:lvl w:ilvl="2" w:tplc="2F229FD0">
      <w:numFmt w:val="bullet"/>
      <w:lvlText w:val="•"/>
      <w:lvlJc w:val="left"/>
      <w:pPr>
        <w:ind w:left="1983" w:hanging="166"/>
      </w:pPr>
      <w:rPr>
        <w:rFonts w:hint="default"/>
        <w:lang w:val="lt-LT" w:eastAsia="en-US" w:bidi="ar-SA"/>
      </w:rPr>
    </w:lvl>
    <w:lvl w:ilvl="3" w:tplc="925A0992">
      <w:numFmt w:val="bullet"/>
      <w:lvlText w:val="•"/>
      <w:lvlJc w:val="left"/>
      <w:pPr>
        <w:ind w:left="2904" w:hanging="166"/>
      </w:pPr>
      <w:rPr>
        <w:rFonts w:hint="default"/>
        <w:lang w:val="lt-LT" w:eastAsia="en-US" w:bidi="ar-SA"/>
      </w:rPr>
    </w:lvl>
    <w:lvl w:ilvl="4" w:tplc="721E7FD8">
      <w:numFmt w:val="bullet"/>
      <w:lvlText w:val="•"/>
      <w:lvlJc w:val="left"/>
      <w:pPr>
        <w:ind w:left="3826" w:hanging="166"/>
      </w:pPr>
      <w:rPr>
        <w:rFonts w:hint="default"/>
        <w:lang w:val="lt-LT" w:eastAsia="en-US" w:bidi="ar-SA"/>
      </w:rPr>
    </w:lvl>
    <w:lvl w:ilvl="5" w:tplc="1DF20C5E">
      <w:numFmt w:val="bullet"/>
      <w:lvlText w:val="•"/>
      <w:lvlJc w:val="left"/>
      <w:pPr>
        <w:ind w:left="4748" w:hanging="166"/>
      </w:pPr>
      <w:rPr>
        <w:rFonts w:hint="default"/>
        <w:lang w:val="lt-LT" w:eastAsia="en-US" w:bidi="ar-SA"/>
      </w:rPr>
    </w:lvl>
    <w:lvl w:ilvl="6" w:tplc="E84AEDA6">
      <w:numFmt w:val="bullet"/>
      <w:lvlText w:val="•"/>
      <w:lvlJc w:val="left"/>
      <w:pPr>
        <w:ind w:left="5669" w:hanging="166"/>
      </w:pPr>
      <w:rPr>
        <w:rFonts w:hint="default"/>
        <w:lang w:val="lt-LT" w:eastAsia="en-US" w:bidi="ar-SA"/>
      </w:rPr>
    </w:lvl>
    <w:lvl w:ilvl="7" w:tplc="900A485C">
      <w:numFmt w:val="bullet"/>
      <w:lvlText w:val="•"/>
      <w:lvlJc w:val="left"/>
      <w:pPr>
        <w:ind w:left="6591" w:hanging="166"/>
      </w:pPr>
      <w:rPr>
        <w:rFonts w:hint="default"/>
        <w:lang w:val="lt-LT" w:eastAsia="en-US" w:bidi="ar-SA"/>
      </w:rPr>
    </w:lvl>
    <w:lvl w:ilvl="8" w:tplc="500C6BB0">
      <w:numFmt w:val="bullet"/>
      <w:lvlText w:val="•"/>
      <w:lvlJc w:val="left"/>
      <w:pPr>
        <w:ind w:left="7513" w:hanging="166"/>
      </w:pPr>
      <w:rPr>
        <w:rFonts w:hint="default"/>
        <w:lang w:val="lt-LT" w:eastAsia="en-US" w:bidi="ar-SA"/>
      </w:rPr>
    </w:lvl>
  </w:abstractNum>
  <w:abstractNum w:abstractNumId="16" w15:restartNumberingAfterBreak="0">
    <w:nsid w:val="780B1B14"/>
    <w:multiLevelType w:val="hybridMultilevel"/>
    <w:tmpl w:val="E432D474"/>
    <w:lvl w:ilvl="0" w:tplc="04B02F0E">
      <w:start w:val="2"/>
      <w:numFmt w:val="upperRoman"/>
      <w:lvlText w:val="%1"/>
      <w:lvlJc w:val="left"/>
      <w:pPr>
        <w:ind w:left="143" w:hanging="200"/>
      </w:pPr>
      <w:rPr>
        <w:rFonts w:ascii="Times New Roman" w:eastAsia="Times New Roman" w:hAnsi="Times New Roman" w:cs="Times New Roman" w:hint="default"/>
        <w:b w:val="0"/>
        <w:bCs w:val="0"/>
        <w:i w:val="0"/>
        <w:iCs w:val="0"/>
        <w:spacing w:val="-2"/>
        <w:w w:val="100"/>
        <w:sz w:val="22"/>
        <w:szCs w:val="22"/>
        <w:lang w:val="lt-LT" w:eastAsia="en-US" w:bidi="ar-SA"/>
      </w:rPr>
    </w:lvl>
    <w:lvl w:ilvl="1" w:tplc="AAF8623C">
      <w:numFmt w:val="bullet"/>
      <w:lvlText w:val="•"/>
      <w:lvlJc w:val="left"/>
      <w:pPr>
        <w:ind w:left="1061" w:hanging="200"/>
      </w:pPr>
      <w:rPr>
        <w:rFonts w:hint="default"/>
        <w:lang w:val="lt-LT" w:eastAsia="en-US" w:bidi="ar-SA"/>
      </w:rPr>
    </w:lvl>
    <w:lvl w:ilvl="2" w:tplc="FEF81B36">
      <w:numFmt w:val="bullet"/>
      <w:lvlText w:val="•"/>
      <w:lvlJc w:val="left"/>
      <w:pPr>
        <w:ind w:left="1983" w:hanging="200"/>
      </w:pPr>
      <w:rPr>
        <w:rFonts w:hint="default"/>
        <w:lang w:val="lt-LT" w:eastAsia="en-US" w:bidi="ar-SA"/>
      </w:rPr>
    </w:lvl>
    <w:lvl w:ilvl="3" w:tplc="4CF814BC">
      <w:numFmt w:val="bullet"/>
      <w:lvlText w:val="•"/>
      <w:lvlJc w:val="left"/>
      <w:pPr>
        <w:ind w:left="2904" w:hanging="200"/>
      </w:pPr>
      <w:rPr>
        <w:rFonts w:hint="default"/>
        <w:lang w:val="lt-LT" w:eastAsia="en-US" w:bidi="ar-SA"/>
      </w:rPr>
    </w:lvl>
    <w:lvl w:ilvl="4" w:tplc="D1A40FF6">
      <w:numFmt w:val="bullet"/>
      <w:lvlText w:val="•"/>
      <w:lvlJc w:val="left"/>
      <w:pPr>
        <w:ind w:left="3826" w:hanging="200"/>
      </w:pPr>
      <w:rPr>
        <w:rFonts w:hint="default"/>
        <w:lang w:val="lt-LT" w:eastAsia="en-US" w:bidi="ar-SA"/>
      </w:rPr>
    </w:lvl>
    <w:lvl w:ilvl="5" w:tplc="975E8204">
      <w:numFmt w:val="bullet"/>
      <w:lvlText w:val="•"/>
      <w:lvlJc w:val="left"/>
      <w:pPr>
        <w:ind w:left="4748" w:hanging="200"/>
      </w:pPr>
      <w:rPr>
        <w:rFonts w:hint="default"/>
        <w:lang w:val="lt-LT" w:eastAsia="en-US" w:bidi="ar-SA"/>
      </w:rPr>
    </w:lvl>
    <w:lvl w:ilvl="6" w:tplc="55BEC2C8">
      <w:numFmt w:val="bullet"/>
      <w:lvlText w:val="•"/>
      <w:lvlJc w:val="left"/>
      <w:pPr>
        <w:ind w:left="5669" w:hanging="200"/>
      </w:pPr>
      <w:rPr>
        <w:rFonts w:hint="default"/>
        <w:lang w:val="lt-LT" w:eastAsia="en-US" w:bidi="ar-SA"/>
      </w:rPr>
    </w:lvl>
    <w:lvl w:ilvl="7" w:tplc="FA9A926C">
      <w:numFmt w:val="bullet"/>
      <w:lvlText w:val="•"/>
      <w:lvlJc w:val="left"/>
      <w:pPr>
        <w:ind w:left="6591" w:hanging="200"/>
      </w:pPr>
      <w:rPr>
        <w:rFonts w:hint="default"/>
        <w:lang w:val="lt-LT" w:eastAsia="en-US" w:bidi="ar-SA"/>
      </w:rPr>
    </w:lvl>
    <w:lvl w:ilvl="8" w:tplc="A2F63DAC">
      <w:numFmt w:val="bullet"/>
      <w:lvlText w:val="•"/>
      <w:lvlJc w:val="left"/>
      <w:pPr>
        <w:ind w:left="7513" w:hanging="200"/>
      </w:pPr>
      <w:rPr>
        <w:rFonts w:hint="default"/>
        <w:lang w:val="lt-LT" w:eastAsia="en-US" w:bidi="ar-SA"/>
      </w:rPr>
    </w:lvl>
  </w:abstractNum>
  <w:num w:numId="1" w16cid:durableId="104421962">
    <w:abstractNumId w:val="5"/>
  </w:num>
  <w:num w:numId="2" w16cid:durableId="224686281">
    <w:abstractNumId w:val="11"/>
  </w:num>
  <w:num w:numId="3" w16cid:durableId="1793287228">
    <w:abstractNumId w:val="8"/>
  </w:num>
  <w:num w:numId="4" w16cid:durableId="986712481">
    <w:abstractNumId w:val="12"/>
  </w:num>
  <w:num w:numId="5" w16cid:durableId="1700932153">
    <w:abstractNumId w:val="2"/>
  </w:num>
  <w:num w:numId="6" w16cid:durableId="863598344">
    <w:abstractNumId w:val="13"/>
  </w:num>
  <w:num w:numId="7" w16cid:durableId="94056460">
    <w:abstractNumId w:val="7"/>
  </w:num>
  <w:num w:numId="8" w16cid:durableId="1073502219">
    <w:abstractNumId w:val="9"/>
  </w:num>
  <w:num w:numId="9" w16cid:durableId="1350378086">
    <w:abstractNumId w:val="6"/>
  </w:num>
  <w:num w:numId="10" w16cid:durableId="1745104647">
    <w:abstractNumId w:val="16"/>
  </w:num>
  <w:num w:numId="11" w16cid:durableId="1063597258">
    <w:abstractNumId w:val="15"/>
  </w:num>
  <w:num w:numId="12" w16cid:durableId="1031296141">
    <w:abstractNumId w:val="1"/>
  </w:num>
  <w:num w:numId="13" w16cid:durableId="1962808326">
    <w:abstractNumId w:val="0"/>
  </w:num>
  <w:num w:numId="14" w16cid:durableId="930049305">
    <w:abstractNumId w:val="14"/>
  </w:num>
  <w:num w:numId="15" w16cid:durableId="355271068">
    <w:abstractNumId w:val="10"/>
  </w:num>
  <w:num w:numId="16" w16cid:durableId="283536772">
    <w:abstractNumId w:val="3"/>
  </w:num>
  <w:num w:numId="17" w16cid:durableId="876160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BAC"/>
    <w:rsid w:val="00001BEA"/>
    <w:rsid w:val="000025E8"/>
    <w:rsid w:val="00002E53"/>
    <w:rsid w:val="00005882"/>
    <w:rsid w:val="00012BE7"/>
    <w:rsid w:val="000138F1"/>
    <w:rsid w:val="000160FD"/>
    <w:rsid w:val="000219B1"/>
    <w:rsid w:val="00023BE0"/>
    <w:rsid w:val="0002566F"/>
    <w:rsid w:val="00031D19"/>
    <w:rsid w:val="00032CE2"/>
    <w:rsid w:val="0004095C"/>
    <w:rsid w:val="00040F45"/>
    <w:rsid w:val="0004130E"/>
    <w:rsid w:val="00044185"/>
    <w:rsid w:val="000447D3"/>
    <w:rsid w:val="000448BD"/>
    <w:rsid w:val="00053DE3"/>
    <w:rsid w:val="000643EF"/>
    <w:rsid w:val="000705C1"/>
    <w:rsid w:val="00073746"/>
    <w:rsid w:val="00075C8B"/>
    <w:rsid w:val="00076414"/>
    <w:rsid w:val="00082CE8"/>
    <w:rsid w:val="00083C43"/>
    <w:rsid w:val="00085BCA"/>
    <w:rsid w:val="000878CD"/>
    <w:rsid w:val="00093F75"/>
    <w:rsid w:val="00095954"/>
    <w:rsid w:val="00096B34"/>
    <w:rsid w:val="0009755E"/>
    <w:rsid w:val="000A5244"/>
    <w:rsid w:val="000B1A67"/>
    <w:rsid w:val="000B4BF2"/>
    <w:rsid w:val="000C0BF4"/>
    <w:rsid w:val="000C4162"/>
    <w:rsid w:val="000D7BA1"/>
    <w:rsid w:val="000D7E48"/>
    <w:rsid w:val="000F2033"/>
    <w:rsid w:val="000F4C11"/>
    <w:rsid w:val="00104B08"/>
    <w:rsid w:val="00107032"/>
    <w:rsid w:val="00107F24"/>
    <w:rsid w:val="00111B2A"/>
    <w:rsid w:val="001153C3"/>
    <w:rsid w:val="001256EF"/>
    <w:rsid w:val="00127BE9"/>
    <w:rsid w:val="0013562F"/>
    <w:rsid w:val="00137107"/>
    <w:rsid w:val="001479DC"/>
    <w:rsid w:val="00151B90"/>
    <w:rsid w:val="00152BD5"/>
    <w:rsid w:val="00154E18"/>
    <w:rsid w:val="00164EEF"/>
    <w:rsid w:val="001651C9"/>
    <w:rsid w:val="00171098"/>
    <w:rsid w:val="00175F14"/>
    <w:rsid w:val="001770FB"/>
    <w:rsid w:val="0019609A"/>
    <w:rsid w:val="001A23BB"/>
    <w:rsid w:val="001A4D83"/>
    <w:rsid w:val="001A7296"/>
    <w:rsid w:val="001B18ED"/>
    <w:rsid w:val="001B6E6B"/>
    <w:rsid w:val="001D5117"/>
    <w:rsid w:val="001D6CAF"/>
    <w:rsid w:val="001E57F3"/>
    <w:rsid w:val="001F4E51"/>
    <w:rsid w:val="002051E9"/>
    <w:rsid w:val="00206DEF"/>
    <w:rsid w:val="00212B35"/>
    <w:rsid w:val="00232D9B"/>
    <w:rsid w:val="0023611C"/>
    <w:rsid w:val="002377B1"/>
    <w:rsid w:val="00243FB4"/>
    <w:rsid w:val="00246094"/>
    <w:rsid w:val="00247081"/>
    <w:rsid w:val="0025741B"/>
    <w:rsid w:val="002576A9"/>
    <w:rsid w:val="0026432A"/>
    <w:rsid w:val="002713CC"/>
    <w:rsid w:val="00275F1E"/>
    <w:rsid w:val="002919D9"/>
    <w:rsid w:val="00294FC2"/>
    <w:rsid w:val="00297A86"/>
    <w:rsid w:val="002A000E"/>
    <w:rsid w:val="002B3549"/>
    <w:rsid w:val="002C0FA5"/>
    <w:rsid w:val="002D1288"/>
    <w:rsid w:val="002D2B00"/>
    <w:rsid w:val="002F0558"/>
    <w:rsid w:val="00300932"/>
    <w:rsid w:val="0030333E"/>
    <w:rsid w:val="00303D9C"/>
    <w:rsid w:val="00305397"/>
    <w:rsid w:val="00315191"/>
    <w:rsid w:val="003172CD"/>
    <w:rsid w:val="00330B69"/>
    <w:rsid w:val="0033143B"/>
    <w:rsid w:val="00335123"/>
    <w:rsid w:val="003403AE"/>
    <w:rsid w:val="00341B61"/>
    <w:rsid w:val="00344916"/>
    <w:rsid w:val="0034664B"/>
    <w:rsid w:val="00355F5D"/>
    <w:rsid w:val="0036702C"/>
    <w:rsid w:val="00372D02"/>
    <w:rsid w:val="00373ACE"/>
    <w:rsid w:val="0037506A"/>
    <w:rsid w:val="003758E0"/>
    <w:rsid w:val="00380EB7"/>
    <w:rsid w:val="003A22E8"/>
    <w:rsid w:val="003A47DE"/>
    <w:rsid w:val="003A6487"/>
    <w:rsid w:val="003B042D"/>
    <w:rsid w:val="003B23DB"/>
    <w:rsid w:val="003B26DF"/>
    <w:rsid w:val="003C0D27"/>
    <w:rsid w:val="003C348E"/>
    <w:rsid w:val="003C4541"/>
    <w:rsid w:val="003D041B"/>
    <w:rsid w:val="003D4631"/>
    <w:rsid w:val="003D4711"/>
    <w:rsid w:val="003D48A2"/>
    <w:rsid w:val="003D5FDF"/>
    <w:rsid w:val="003E04FB"/>
    <w:rsid w:val="003E5072"/>
    <w:rsid w:val="003E6009"/>
    <w:rsid w:val="003E64C4"/>
    <w:rsid w:val="003F59FC"/>
    <w:rsid w:val="003F64C0"/>
    <w:rsid w:val="00400348"/>
    <w:rsid w:val="004011F6"/>
    <w:rsid w:val="00405027"/>
    <w:rsid w:val="00410571"/>
    <w:rsid w:val="004106FF"/>
    <w:rsid w:val="0041140C"/>
    <w:rsid w:val="0041420E"/>
    <w:rsid w:val="00416027"/>
    <w:rsid w:val="00416376"/>
    <w:rsid w:val="00426014"/>
    <w:rsid w:val="0042733E"/>
    <w:rsid w:val="004333AD"/>
    <w:rsid w:val="00433D73"/>
    <w:rsid w:val="004504C9"/>
    <w:rsid w:val="004655AD"/>
    <w:rsid w:val="00466463"/>
    <w:rsid w:val="00471969"/>
    <w:rsid w:val="00473545"/>
    <w:rsid w:val="00474949"/>
    <w:rsid w:val="004A0F3E"/>
    <w:rsid w:val="004A400F"/>
    <w:rsid w:val="004C4ED1"/>
    <w:rsid w:val="004D451E"/>
    <w:rsid w:val="004D6156"/>
    <w:rsid w:val="004D6CEF"/>
    <w:rsid w:val="004D709C"/>
    <w:rsid w:val="004F4620"/>
    <w:rsid w:val="004F549A"/>
    <w:rsid w:val="004F7426"/>
    <w:rsid w:val="005049F6"/>
    <w:rsid w:val="00507AA8"/>
    <w:rsid w:val="00510C66"/>
    <w:rsid w:val="00517ACC"/>
    <w:rsid w:val="005200D4"/>
    <w:rsid w:val="00520248"/>
    <w:rsid w:val="0052449D"/>
    <w:rsid w:val="00525726"/>
    <w:rsid w:val="00535470"/>
    <w:rsid w:val="00542BA5"/>
    <w:rsid w:val="00547FA0"/>
    <w:rsid w:val="00551AE8"/>
    <w:rsid w:val="00552350"/>
    <w:rsid w:val="005523D1"/>
    <w:rsid w:val="00552BEE"/>
    <w:rsid w:val="0055377A"/>
    <w:rsid w:val="00553C48"/>
    <w:rsid w:val="00555F57"/>
    <w:rsid w:val="00562367"/>
    <w:rsid w:val="00563585"/>
    <w:rsid w:val="005641C1"/>
    <w:rsid w:val="00565BD1"/>
    <w:rsid w:val="0057297D"/>
    <w:rsid w:val="00573AFD"/>
    <w:rsid w:val="00573F11"/>
    <w:rsid w:val="00574BE1"/>
    <w:rsid w:val="00576DC0"/>
    <w:rsid w:val="0058151A"/>
    <w:rsid w:val="00585776"/>
    <w:rsid w:val="005878A8"/>
    <w:rsid w:val="005928C7"/>
    <w:rsid w:val="005947A8"/>
    <w:rsid w:val="005965CA"/>
    <w:rsid w:val="005A3079"/>
    <w:rsid w:val="005A3452"/>
    <w:rsid w:val="005A35BE"/>
    <w:rsid w:val="005C42CD"/>
    <w:rsid w:val="005C5ACD"/>
    <w:rsid w:val="005C60B5"/>
    <w:rsid w:val="005D21E6"/>
    <w:rsid w:val="005E0B4C"/>
    <w:rsid w:val="005E1572"/>
    <w:rsid w:val="005E326B"/>
    <w:rsid w:val="005E55B7"/>
    <w:rsid w:val="005F1434"/>
    <w:rsid w:val="005F3C32"/>
    <w:rsid w:val="00602168"/>
    <w:rsid w:val="0060558C"/>
    <w:rsid w:val="00607F0E"/>
    <w:rsid w:val="0061245E"/>
    <w:rsid w:val="00614973"/>
    <w:rsid w:val="00616851"/>
    <w:rsid w:val="00616B7B"/>
    <w:rsid w:val="00616D67"/>
    <w:rsid w:val="006233F1"/>
    <w:rsid w:val="0062477B"/>
    <w:rsid w:val="00625BBC"/>
    <w:rsid w:val="00626FDE"/>
    <w:rsid w:val="0063019C"/>
    <w:rsid w:val="00633C9B"/>
    <w:rsid w:val="006371E4"/>
    <w:rsid w:val="00651490"/>
    <w:rsid w:val="00652B73"/>
    <w:rsid w:val="00654FFD"/>
    <w:rsid w:val="006640DF"/>
    <w:rsid w:val="0067158A"/>
    <w:rsid w:val="00672D63"/>
    <w:rsid w:val="00675E76"/>
    <w:rsid w:val="00677448"/>
    <w:rsid w:val="006810A3"/>
    <w:rsid w:val="00682A0B"/>
    <w:rsid w:val="00682DCD"/>
    <w:rsid w:val="0069417C"/>
    <w:rsid w:val="006A2E71"/>
    <w:rsid w:val="006B5B21"/>
    <w:rsid w:val="006B7FF9"/>
    <w:rsid w:val="006C240D"/>
    <w:rsid w:val="006C3CE0"/>
    <w:rsid w:val="006C5383"/>
    <w:rsid w:val="006C7211"/>
    <w:rsid w:val="006D1CA8"/>
    <w:rsid w:val="006D2727"/>
    <w:rsid w:val="006D3D27"/>
    <w:rsid w:val="006D5B19"/>
    <w:rsid w:val="006D61B4"/>
    <w:rsid w:val="006E0A63"/>
    <w:rsid w:val="006E52FB"/>
    <w:rsid w:val="006E75BD"/>
    <w:rsid w:val="006F2B77"/>
    <w:rsid w:val="006F4C56"/>
    <w:rsid w:val="006F5071"/>
    <w:rsid w:val="007041C7"/>
    <w:rsid w:val="00714709"/>
    <w:rsid w:val="00716069"/>
    <w:rsid w:val="00725EDC"/>
    <w:rsid w:val="00725F2E"/>
    <w:rsid w:val="00730CDF"/>
    <w:rsid w:val="00736C10"/>
    <w:rsid w:val="00770F65"/>
    <w:rsid w:val="00771114"/>
    <w:rsid w:val="00776499"/>
    <w:rsid w:val="00776E37"/>
    <w:rsid w:val="007833F0"/>
    <w:rsid w:val="007858D0"/>
    <w:rsid w:val="0078707E"/>
    <w:rsid w:val="0079022E"/>
    <w:rsid w:val="00794B69"/>
    <w:rsid w:val="00796B8E"/>
    <w:rsid w:val="007A1304"/>
    <w:rsid w:val="007A1B1C"/>
    <w:rsid w:val="007A6515"/>
    <w:rsid w:val="007A6814"/>
    <w:rsid w:val="007A7293"/>
    <w:rsid w:val="007A7DB9"/>
    <w:rsid w:val="007B3F60"/>
    <w:rsid w:val="007B3FC9"/>
    <w:rsid w:val="007B6BC9"/>
    <w:rsid w:val="007C1251"/>
    <w:rsid w:val="007C6437"/>
    <w:rsid w:val="007C7FE8"/>
    <w:rsid w:val="007D0972"/>
    <w:rsid w:val="007D0A5D"/>
    <w:rsid w:val="007D0FD7"/>
    <w:rsid w:val="007E3CD3"/>
    <w:rsid w:val="007E5915"/>
    <w:rsid w:val="007E7CA2"/>
    <w:rsid w:val="007F08CA"/>
    <w:rsid w:val="00801B24"/>
    <w:rsid w:val="00812850"/>
    <w:rsid w:val="00814CE4"/>
    <w:rsid w:val="008239E6"/>
    <w:rsid w:val="008319B0"/>
    <w:rsid w:val="00836D37"/>
    <w:rsid w:val="00842DEB"/>
    <w:rsid w:val="008454F5"/>
    <w:rsid w:val="008545C4"/>
    <w:rsid w:val="00855B51"/>
    <w:rsid w:val="00863714"/>
    <w:rsid w:val="00866AA4"/>
    <w:rsid w:val="00870E57"/>
    <w:rsid w:val="008750B7"/>
    <w:rsid w:val="00881A5F"/>
    <w:rsid w:val="00883C9E"/>
    <w:rsid w:val="00887163"/>
    <w:rsid w:val="00896C3B"/>
    <w:rsid w:val="008A42DC"/>
    <w:rsid w:val="008A6310"/>
    <w:rsid w:val="008B0F38"/>
    <w:rsid w:val="008D02D9"/>
    <w:rsid w:val="008D0484"/>
    <w:rsid w:val="008D2CD0"/>
    <w:rsid w:val="008E0147"/>
    <w:rsid w:val="008E6216"/>
    <w:rsid w:val="008E6322"/>
    <w:rsid w:val="008F2F80"/>
    <w:rsid w:val="009001F6"/>
    <w:rsid w:val="009003F5"/>
    <w:rsid w:val="00900A4B"/>
    <w:rsid w:val="0090676D"/>
    <w:rsid w:val="00911FAC"/>
    <w:rsid w:val="009124B7"/>
    <w:rsid w:val="00915BFB"/>
    <w:rsid w:val="009172E0"/>
    <w:rsid w:val="00924BCE"/>
    <w:rsid w:val="00931955"/>
    <w:rsid w:val="00937F04"/>
    <w:rsid w:val="00960A14"/>
    <w:rsid w:val="009643B0"/>
    <w:rsid w:val="00965244"/>
    <w:rsid w:val="00966EC0"/>
    <w:rsid w:val="00973D3E"/>
    <w:rsid w:val="00985303"/>
    <w:rsid w:val="009A1DB6"/>
    <w:rsid w:val="009A7C44"/>
    <w:rsid w:val="009C2C4F"/>
    <w:rsid w:val="009D2379"/>
    <w:rsid w:val="009D2813"/>
    <w:rsid w:val="009D7263"/>
    <w:rsid w:val="009E7C50"/>
    <w:rsid w:val="009F16DB"/>
    <w:rsid w:val="00A00821"/>
    <w:rsid w:val="00A01BAC"/>
    <w:rsid w:val="00A030B8"/>
    <w:rsid w:val="00A10B50"/>
    <w:rsid w:val="00A141E8"/>
    <w:rsid w:val="00A1638A"/>
    <w:rsid w:val="00A2091C"/>
    <w:rsid w:val="00A2367A"/>
    <w:rsid w:val="00A436C9"/>
    <w:rsid w:val="00A467EE"/>
    <w:rsid w:val="00A517A1"/>
    <w:rsid w:val="00A663C7"/>
    <w:rsid w:val="00A818C5"/>
    <w:rsid w:val="00A84BDE"/>
    <w:rsid w:val="00A860ED"/>
    <w:rsid w:val="00A8743C"/>
    <w:rsid w:val="00A9034F"/>
    <w:rsid w:val="00A922D1"/>
    <w:rsid w:val="00A9400B"/>
    <w:rsid w:val="00A95BA0"/>
    <w:rsid w:val="00A97478"/>
    <w:rsid w:val="00AB0245"/>
    <w:rsid w:val="00AD32D2"/>
    <w:rsid w:val="00AD699F"/>
    <w:rsid w:val="00AD6DEB"/>
    <w:rsid w:val="00AE03CA"/>
    <w:rsid w:val="00B037E1"/>
    <w:rsid w:val="00B04CF0"/>
    <w:rsid w:val="00B06C68"/>
    <w:rsid w:val="00B12B54"/>
    <w:rsid w:val="00B1722B"/>
    <w:rsid w:val="00B2275A"/>
    <w:rsid w:val="00B25F31"/>
    <w:rsid w:val="00B33C7A"/>
    <w:rsid w:val="00B35587"/>
    <w:rsid w:val="00B360F3"/>
    <w:rsid w:val="00B363E9"/>
    <w:rsid w:val="00B37831"/>
    <w:rsid w:val="00B40FEA"/>
    <w:rsid w:val="00B43EE2"/>
    <w:rsid w:val="00B44E42"/>
    <w:rsid w:val="00B47142"/>
    <w:rsid w:val="00B4792D"/>
    <w:rsid w:val="00B5002C"/>
    <w:rsid w:val="00B54BB2"/>
    <w:rsid w:val="00B602CB"/>
    <w:rsid w:val="00B67B98"/>
    <w:rsid w:val="00B717BE"/>
    <w:rsid w:val="00B725D4"/>
    <w:rsid w:val="00B74D06"/>
    <w:rsid w:val="00B75178"/>
    <w:rsid w:val="00B75C4E"/>
    <w:rsid w:val="00B7625F"/>
    <w:rsid w:val="00B85658"/>
    <w:rsid w:val="00B87A46"/>
    <w:rsid w:val="00B91D99"/>
    <w:rsid w:val="00B93DC0"/>
    <w:rsid w:val="00BA5B43"/>
    <w:rsid w:val="00BA76BA"/>
    <w:rsid w:val="00BB15D1"/>
    <w:rsid w:val="00BB4790"/>
    <w:rsid w:val="00BB6FFA"/>
    <w:rsid w:val="00BC05ED"/>
    <w:rsid w:val="00BC45FE"/>
    <w:rsid w:val="00BC57C5"/>
    <w:rsid w:val="00BC62DF"/>
    <w:rsid w:val="00BC6367"/>
    <w:rsid w:val="00BD0F2E"/>
    <w:rsid w:val="00BD178B"/>
    <w:rsid w:val="00BD4DFD"/>
    <w:rsid w:val="00BE2268"/>
    <w:rsid w:val="00BE3405"/>
    <w:rsid w:val="00BE3C7E"/>
    <w:rsid w:val="00BF1491"/>
    <w:rsid w:val="00BF2BD1"/>
    <w:rsid w:val="00BF3497"/>
    <w:rsid w:val="00BF6F2E"/>
    <w:rsid w:val="00C06C89"/>
    <w:rsid w:val="00C07252"/>
    <w:rsid w:val="00C113E3"/>
    <w:rsid w:val="00C13462"/>
    <w:rsid w:val="00C15DFA"/>
    <w:rsid w:val="00C22A31"/>
    <w:rsid w:val="00C24D1C"/>
    <w:rsid w:val="00C25270"/>
    <w:rsid w:val="00C3019B"/>
    <w:rsid w:val="00C34A42"/>
    <w:rsid w:val="00C36F2E"/>
    <w:rsid w:val="00C41157"/>
    <w:rsid w:val="00C42466"/>
    <w:rsid w:val="00C508A7"/>
    <w:rsid w:val="00C51495"/>
    <w:rsid w:val="00C54A95"/>
    <w:rsid w:val="00C55199"/>
    <w:rsid w:val="00C56F55"/>
    <w:rsid w:val="00C64148"/>
    <w:rsid w:val="00C7015C"/>
    <w:rsid w:val="00C73E7E"/>
    <w:rsid w:val="00C74B2E"/>
    <w:rsid w:val="00C75536"/>
    <w:rsid w:val="00C8008D"/>
    <w:rsid w:val="00C8202D"/>
    <w:rsid w:val="00C838F6"/>
    <w:rsid w:val="00C87177"/>
    <w:rsid w:val="00C87537"/>
    <w:rsid w:val="00CA033D"/>
    <w:rsid w:val="00CA44AE"/>
    <w:rsid w:val="00CB05AE"/>
    <w:rsid w:val="00CB14EE"/>
    <w:rsid w:val="00CB4515"/>
    <w:rsid w:val="00CB46EC"/>
    <w:rsid w:val="00CC2E5D"/>
    <w:rsid w:val="00CC528C"/>
    <w:rsid w:val="00CC6B44"/>
    <w:rsid w:val="00CD2885"/>
    <w:rsid w:val="00CD427E"/>
    <w:rsid w:val="00CD5169"/>
    <w:rsid w:val="00CD5E97"/>
    <w:rsid w:val="00CE18AB"/>
    <w:rsid w:val="00D03A58"/>
    <w:rsid w:val="00D1398B"/>
    <w:rsid w:val="00D2506C"/>
    <w:rsid w:val="00D263AA"/>
    <w:rsid w:val="00D30817"/>
    <w:rsid w:val="00D411BA"/>
    <w:rsid w:val="00D41C2E"/>
    <w:rsid w:val="00D559A5"/>
    <w:rsid w:val="00D56789"/>
    <w:rsid w:val="00D60E46"/>
    <w:rsid w:val="00D65177"/>
    <w:rsid w:val="00D7125C"/>
    <w:rsid w:val="00D71BF4"/>
    <w:rsid w:val="00D74859"/>
    <w:rsid w:val="00D74F2E"/>
    <w:rsid w:val="00D77111"/>
    <w:rsid w:val="00D846BC"/>
    <w:rsid w:val="00D84DF6"/>
    <w:rsid w:val="00D867CD"/>
    <w:rsid w:val="00D938BC"/>
    <w:rsid w:val="00D95A6F"/>
    <w:rsid w:val="00DA261F"/>
    <w:rsid w:val="00DA38F6"/>
    <w:rsid w:val="00DA3F70"/>
    <w:rsid w:val="00DA6104"/>
    <w:rsid w:val="00DB12AD"/>
    <w:rsid w:val="00DB1478"/>
    <w:rsid w:val="00DB22A9"/>
    <w:rsid w:val="00DB4561"/>
    <w:rsid w:val="00DB58C4"/>
    <w:rsid w:val="00DC73C6"/>
    <w:rsid w:val="00DD75D3"/>
    <w:rsid w:val="00DE1032"/>
    <w:rsid w:val="00DE20A6"/>
    <w:rsid w:val="00DE2A54"/>
    <w:rsid w:val="00DF170A"/>
    <w:rsid w:val="00E045E7"/>
    <w:rsid w:val="00E07CE5"/>
    <w:rsid w:val="00E227A7"/>
    <w:rsid w:val="00E2287B"/>
    <w:rsid w:val="00E2310A"/>
    <w:rsid w:val="00E30619"/>
    <w:rsid w:val="00E321CE"/>
    <w:rsid w:val="00E36D2E"/>
    <w:rsid w:val="00E514F0"/>
    <w:rsid w:val="00E51B1F"/>
    <w:rsid w:val="00E54641"/>
    <w:rsid w:val="00E56750"/>
    <w:rsid w:val="00E614F3"/>
    <w:rsid w:val="00E6326A"/>
    <w:rsid w:val="00E65923"/>
    <w:rsid w:val="00E65B04"/>
    <w:rsid w:val="00E66E44"/>
    <w:rsid w:val="00E73EFE"/>
    <w:rsid w:val="00E76999"/>
    <w:rsid w:val="00E857EC"/>
    <w:rsid w:val="00E90DD4"/>
    <w:rsid w:val="00E91A71"/>
    <w:rsid w:val="00E930E5"/>
    <w:rsid w:val="00EB271B"/>
    <w:rsid w:val="00EC267F"/>
    <w:rsid w:val="00EC62F4"/>
    <w:rsid w:val="00EC705A"/>
    <w:rsid w:val="00ED2D6B"/>
    <w:rsid w:val="00EE192E"/>
    <w:rsid w:val="00EE60C1"/>
    <w:rsid w:val="00EF09E6"/>
    <w:rsid w:val="00EF5C35"/>
    <w:rsid w:val="00EF66DD"/>
    <w:rsid w:val="00EF77EC"/>
    <w:rsid w:val="00EF7848"/>
    <w:rsid w:val="00F0398D"/>
    <w:rsid w:val="00F24DDE"/>
    <w:rsid w:val="00F25656"/>
    <w:rsid w:val="00F27AD3"/>
    <w:rsid w:val="00F349C9"/>
    <w:rsid w:val="00F34B4E"/>
    <w:rsid w:val="00F34F43"/>
    <w:rsid w:val="00F50A24"/>
    <w:rsid w:val="00F53247"/>
    <w:rsid w:val="00F56A52"/>
    <w:rsid w:val="00F6217B"/>
    <w:rsid w:val="00F645F0"/>
    <w:rsid w:val="00F647B0"/>
    <w:rsid w:val="00F7120F"/>
    <w:rsid w:val="00F763AB"/>
    <w:rsid w:val="00F825E8"/>
    <w:rsid w:val="00F84478"/>
    <w:rsid w:val="00F916E2"/>
    <w:rsid w:val="00F91A5B"/>
    <w:rsid w:val="00F9583C"/>
    <w:rsid w:val="00F96400"/>
    <w:rsid w:val="00F97BF9"/>
    <w:rsid w:val="00F97E71"/>
    <w:rsid w:val="00FA0C2B"/>
    <w:rsid w:val="00FA1EBC"/>
    <w:rsid w:val="00FA6CAC"/>
    <w:rsid w:val="00FB217A"/>
    <w:rsid w:val="00FB4805"/>
    <w:rsid w:val="00FC0CC1"/>
    <w:rsid w:val="00FC747B"/>
    <w:rsid w:val="00FD4FAB"/>
    <w:rsid w:val="00FE044B"/>
    <w:rsid w:val="00FE2046"/>
    <w:rsid w:val="00FE367B"/>
    <w:rsid w:val="00FF3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07F8A"/>
  <w15:docId w15:val="{3BC8B798-5DDE-42B9-9CB9-CA0AEDFF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link w:val="Antrat1Diagrama"/>
    <w:uiPriority w:val="9"/>
    <w:qFormat/>
    <w:pPr>
      <w:spacing w:before="20"/>
      <w:ind w:left="107"/>
      <w:outlineLvl w:val="0"/>
    </w:pPr>
    <w:rPr>
      <w:b/>
      <w:bCs/>
    </w:rPr>
  </w:style>
  <w:style w:type="paragraph" w:styleId="Antrat2">
    <w:name w:val="heading 2"/>
    <w:basedOn w:val="prastasis"/>
    <w:uiPriority w:val="9"/>
    <w:unhideWhenUsed/>
    <w:qFormat/>
    <w:pPr>
      <w:ind w:left="251"/>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710" w:hanging="567"/>
    </w:pPr>
  </w:style>
  <w:style w:type="paragraph" w:customStyle="1" w:styleId="TableParagraph">
    <w:name w:val="Table Paragraph"/>
    <w:basedOn w:val="prastasis"/>
    <w:uiPriority w:val="1"/>
    <w:qFormat/>
    <w:pPr>
      <w:ind w:left="69"/>
      <w:jc w:val="center"/>
    </w:pPr>
  </w:style>
  <w:style w:type="character" w:styleId="Hipersaitas">
    <w:name w:val="Hyperlink"/>
    <w:uiPriority w:val="99"/>
    <w:rsid w:val="004504C9"/>
    <w:rPr>
      <w:color w:val="0000FF"/>
      <w:u w:val="single"/>
    </w:rPr>
  </w:style>
  <w:style w:type="character" w:customStyle="1" w:styleId="Antrat1Diagrama">
    <w:name w:val="Antraštė 1 Diagrama"/>
    <w:basedOn w:val="Numatytasispastraiposriftas"/>
    <w:link w:val="Antrat1"/>
    <w:uiPriority w:val="9"/>
    <w:rsid w:val="0067158A"/>
    <w:rPr>
      <w:rFonts w:ascii="Times New Roman" w:eastAsia="Times New Roman" w:hAnsi="Times New Roman" w:cs="Times New Roman"/>
      <w:b/>
      <w:bCs/>
      <w:lang w:val="lt-LT"/>
    </w:rPr>
  </w:style>
  <w:style w:type="paragraph" w:styleId="Antrats">
    <w:name w:val="header"/>
    <w:basedOn w:val="prastasis"/>
    <w:link w:val="AntratsDiagrama"/>
    <w:uiPriority w:val="99"/>
    <w:unhideWhenUsed/>
    <w:rsid w:val="00B35587"/>
    <w:pPr>
      <w:tabs>
        <w:tab w:val="center" w:pos="4680"/>
        <w:tab w:val="right" w:pos="9360"/>
      </w:tabs>
    </w:pPr>
  </w:style>
  <w:style w:type="character" w:customStyle="1" w:styleId="AntratsDiagrama">
    <w:name w:val="Antraštės Diagrama"/>
    <w:basedOn w:val="Numatytasispastraiposriftas"/>
    <w:link w:val="Antrats"/>
    <w:uiPriority w:val="99"/>
    <w:rsid w:val="00B35587"/>
    <w:rPr>
      <w:rFonts w:ascii="Times New Roman" w:eastAsia="Times New Roman" w:hAnsi="Times New Roman" w:cs="Times New Roman"/>
      <w:lang w:val="lt-LT"/>
    </w:rPr>
  </w:style>
  <w:style w:type="paragraph" w:styleId="Porat">
    <w:name w:val="footer"/>
    <w:basedOn w:val="prastasis"/>
    <w:link w:val="PoratDiagrama"/>
    <w:uiPriority w:val="99"/>
    <w:unhideWhenUsed/>
    <w:rsid w:val="00B35587"/>
    <w:pPr>
      <w:tabs>
        <w:tab w:val="center" w:pos="4680"/>
        <w:tab w:val="right" w:pos="9360"/>
      </w:tabs>
    </w:pPr>
  </w:style>
  <w:style w:type="character" w:customStyle="1" w:styleId="PoratDiagrama">
    <w:name w:val="Poraštė Diagrama"/>
    <w:basedOn w:val="Numatytasispastraiposriftas"/>
    <w:link w:val="Porat"/>
    <w:uiPriority w:val="99"/>
    <w:rsid w:val="00B35587"/>
    <w:rPr>
      <w:rFonts w:ascii="Times New Roman" w:eastAsia="Times New Roman" w:hAnsi="Times New Roman" w:cs="Times New Roman"/>
      <w:lang w:val="lt-LT"/>
    </w:rPr>
  </w:style>
  <w:style w:type="table" w:styleId="Lentelstinklelis">
    <w:name w:val="Table Grid"/>
    <w:basedOn w:val="prastojilentel"/>
    <w:uiPriority w:val="39"/>
    <w:rsid w:val="00355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77111"/>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E514F0"/>
    <w:rPr>
      <w:sz w:val="16"/>
      <w:szCs w:val="16"/>
    </w:rPr>
  </w:style>
  <w:style w:type="paragraph" w:styleId="Komentarotekstas">
    <w:name w:val="annotation text"/>
    <w:basedOn w:val="prastasis"/>
    <w:link w:val="KomentarotekstasDiagrama"/>
    <w:uiPriority w:val="99"/>
    <w:semiHidden/>
    <w:unhideWhenUsed/>
    <w:rsid w:val="00E514F0"/>
    <w:rPr>
      <w:sz w:val="20"/>
      <w:szCs w:val="20"/>
    </w:rPr>
  </w:style>
  <w:style w:type="character" w:customStyle="1" w:styleId="KomentarotekstasDiagrama">
    <w:name w:val="Komentaro tekstas Diagrama"/>
    <w:basedOn w:val="Numatytasispastraiposriftas"/>
    <w:link w:val="Komentarotekstas"/>
    <w:uiPriority w:val="99"/>
    <w:semiHidden/>
    <w:rsid w:val="00E514F0"/>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514F0"/>
    <w:rPr>
      <w:b/>
      <w:bCs/>
    </w:rPr>
  </w:style>
  <w:style w:type="character" w:customStyle="1" w:styleId="KomentarotemaDiagrama">
    <w:name w:val="Komentaro tema Diagrama"/>
    <w:basedOn w:val="KomentarotekstasDiagrama"/>
    <w:link w:val="Komentarotema"/>
    <w:uiPriority w:val="99"/>
    <w:semiHidden/>
    <w:rsid w:val="00E514F0"/>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2162c9d9d2ad90b4d36cba418aba4b3e">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bbb2cfaf1fcb16cc38a5d099d3968317"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B995B2-3FDD-4694-9EA6-0D9F24A60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55DD78-3A0F-448B-B12A-DDE0D7221046}">
  <ds:schemaRefs>
    <ds:schemaRef ds:uri="http://schemas.microsoft.com/sharepoint/v3/contenttype/forms"/>
  </ds:schemaRefs>
</ds:datastoreItem>
</file>

<file path=customXml/itemProps3.xml><?xml version="1.0" encoding="utf-8"?>
<ds:datastoreItem xmlns:ds="http://schemas.openxmlformats.org/officeDocument/2006/customXml" ds:itemID="{776F3820-4B3C-43BE-BBD4-27CBE49E56C4}">
  <ds:schemaRefs>
    <ds:schemaRef ds:uri="http://schemas.microsoft.com/office/2006/metadata/properties"/>
    <ds:schemaRef ds:uri="http://schemas.microsoft.com/office/infopath/2007/PartnerControls"/>
    <ds:schemaRef ds:uri="e608380a-33a8-4f44-9421-4b684550f93f"/>
    <ds:schemaRef ds:uri="274e3761-e78e-443b-b00b-2097563ba52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39093</Words>
  <Characters>22284</Characters>
  <Application>Microsoft Office Word</Application>
  <DocSecurity>0</DocSecurity>
  <Lines>185</Lines>
  <Paragraphs>122</Paragraphs>
  <ScaleCrop>false</ScaleCrop>
  <HeadingPairs>
    <vt:vector size="2" baseType="variant">
      <vt:variant>
        <vt:lpstr>Title</vt:lpstr>
      </vt:variant>
      <vt:variant>
        <vt:i4>1</vt:i4>
      </vt:variant>
    </vt:vector>
  </HeadingPairs>
  <TitlesOfParts>
    <vt:vector size="1" baseType="lpstr">
      <vt:lpstr>Trajenta, INN-linagliptin</vt:lpstr>
    </vt:vector>
  </TitlesOfParts>
  <Company/>
  <LinksUpToDate>false</LinksUpToDate>
  <CharactersWithSpaces>61255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Trajenta, INN-linagliptin</dc:title>
  <dc:subject>EPAR</dc:subject>
  <dc:creator>CHMP</dc:creator>
  <cp:keywords>Trajenta, INN-linagliptin</cp:keywords>
  <cp:lastModifiedBy>Birutė Valkauskaitė</cp:lastModifiedBy>
  <cp:revision>3</cp:revision>
  <dcterms:created xsi:type="dcterms:W3CDTF">2026-03-19T05:17:00Z</dcterms:created>
  <dcterms:modified xsi:type="dcterms:W3CDTF">2026-03-19T07:09:00Z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Veeva Vault</vt:lpwstr>
  </property>
  <property fmtid="{D5CDD505-2E9C-101B-9397-08002B2CF9AE}" pid="4" name="LastSaved">
    <vt:filetime>2025-11-06T00:00:00Z</vt:filetime>
  </property>
  <property fmtid="{D5CDD505-2E9C-101B-9397-08002B2CF9AE}" pid="5" name="Producer">
    <vt:lpwstr>Veeva Vault</vt:lpwstr>
  </property>
  <property fmtid="{D5CDD505-2E9C-101B-9397-08002B2CF9AE}" pid="6" name="ContentTypeId">
    <vt:lpwstr>0x010100EAA28F1D48C544479D4018E052664351</vt:lpwstr>
  </property>
  <property fmtid="{D5CDD505-2E9C-101B-9397-08002B2CF9AE}" pid="7" name="MediaServiceImageTags">
    <vt:lpwstr/>
  </property>
</Properties>
</file>