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D789" w14:textId="77777777" w:rsidR="003B31DC" w:rsidRDefault="003B31DC">
      <w:pPr>
        <w:pStyle w:val="Paprastasistekstas"/>
        <w:tabs>
          <w:tab w:val="left" w:pos="4962"/>
        </w:tabs>
        <w:rPr>
          <w:rFonts w:ascii="Times New Roman" w:hAnsi="Times New Roman"/>
          <w:snapToGrid w:val="0"/>
          <w:sz w:val="22"/>
          <w:szCs w:val="22"/>
          <w:lang w:val="lt-LT"/>
        </w:rPr>
      </w:pPr>
    </w:p>
    <w:p w14:paraId="04E65EDE" w14:textId="77777777" w:rsidR="003B31DC" w:rsidRDefault="003B31DC">
      <w:pPr>
        <w:pStyle w:val="Paprastasistekstas"/>
        <w:tabs>
          <w:tab w:val="left" w:pos="4962"/>
        </w:tabs>
        <w:rPr>
          <w:rFonts w:ascii="Times New Roman" w:hAnsi="Times New Roman"/>
          <w:sz w:val="22"/>
          <w:szCs w:val="22"/>
          <w:lang w:val="lt-LT"/>
        </w:rPr>
      </w:pPr>
    </w:p>
    <w:p w14:paraId="14D211B0" w14:textId="77777777" w:rsidR="003B31DC" w:rsidRDefault="003B31DC">
      <w:pPr>
        <w:pStyle w:val="Paprastasistekstas"/>
        <w:rPr>
          <w:rFonts w:ascii="Times New Roman" w:hAnsi="Times New Roman"/>
          <w:sz w:val="22"/>
          <w:szCs w:val="22"/>
          <w:lang w:val="lt-LT"/>
        </w:rPr>
      </w:pPr>
    </w:p>
    <w:p w14:paraId="59FD58C4" w14:textId="77777777" w:rsidR="003B31DC" w:rsidRDefault="003B31DC">
      <w:pPr>
        <w:widowControl w:val="0"/>
        <w:rPr>
          <w:sz w:val="22"/>
          <w:szCs w:val="22"/>
        </w:rPr>
      </w:pPr>
    </w:p>
    <w:p w14:paraId="67432A26" w14:textId="77777777" w:rsidR="003B31DC" w:rsidRDefault="003B31DC">
      <w:pPr>
        <w:outlineLvl w:val="0"/>
        <w:rPr>
          <w:b/>
          <w:sz w:val="22"/>
          <w:szCs w:val="22"/>
        </w:rPr>
      </w:pPr>
    </w:p>
    <w:p w14:paraId="16B4D092" w14:textId="77777777" w:rsidR="003B31DC" w:rsidRDefault="003B31DC">
      <w:pPr>
        <w:outlineLvl w:val="0"/>
        <w:rPr>
          <w:b/>
          <w:sz w:val="22"/>
          <w:szCs w:val="22"/>
        </w:rPr>
      </w:pPr>
    </w:p>
    <w:p w14:paraId="31B21F92" w14:textId="77777777" w:rsidR="003B31DC" w:rsidRDefault="003B31DC">
      <w:pPr>
        <w:outlineLvl w:val="0"/>
        <w:rPr>
          <w:b/>
          <w:sz w:val="22"/>
          <w:szCs w:val="22"/>
        </w:rPr>
      </w:pPr>
    </w:p>
    <w:p w14:paraId="1971F62A" w14:textId="77777777" w:rsidR="003B31DC" w:rsidRDefault="003B31DC">
      <w:pPr>
        <w:outlineLvl w:val="0"/>
        <w:rPr>
          <w:b/>
          <w:sz w:val="22"/>
          <w:szCs w:val="22"/>
        </w:rPr>
      </w:pPr>
    </w:p>
    <w:p w14:paraId="43FD5FBB" w14:textId="77777777" w:rsidR="003B31DC" w:rsidRDefault="003B31DC">
      <w:pPr>
        <w:tabs>
          <w:tab w:val="left" w:pos="-1440"/>
          <w:tab w:val="left" w:pos="-720"/>
        </w:tabs>
        <w:rPr>
          <w:b/>
          <w:sz w:val="22"/>
          <w:szCs w:val="22"/>
        </w:rPr>
      </w:pPr>
    </w:p>
    <w:p w14:paraId="6A4E64CB" w14:textId="77777777" w:rsidR="003B31DC" w:rsidRDefault="003B31DC">
      <w:pPr>
        <w:tabs>
          <w:tab w:val="left" w:pos="-1440"/>
          <w:tab w:val="left" w:pos="-720"/>
        </w:tabs>
        <w:rPr>
          <w:b/>
          <w:sz w:val="22"/>
          <w:szCs w:val="22"/>
        </w:rPr>
      </w:pPr>
    </w:p>
    <w:p w14:paraId="5C7DB41C" w14:textId="77777777" w:rsidR="003B31DC" w:rsidRDefault="003B31DC">
      <w:pPr>
        <w:tabs>
          <w:tab w:val="left" w:pos="-1440"/>
          <w:tab w:val="left" w:pos="-720"/>
        </w:tabs>
        <w:rPr>
          <w:b/>
          <w:sz w:val="22"/>
          <w:szCs w:val="22"/>
        </w:rPr>
      </w:pPr>
    </w:p>
    <w:p w14:paraId="5D737362" w14:textId="77777777" w:rsidR="003B31DC" w:rsidRDefault="003B31DC">
      <w:pPr>
        <w:tabs>
          <w:tab w:val="left" w:pos="-1440"/>
          <w:tab w:val="left" w:pos="-720"/>
        </w:tabs>
        <w:rPr>
          <w:b/>
          <w:sz w:val="22"/>
          <w:szCs w:val="22"/>
        </w:rPr>
      </w:pPr>
    </w:p>
    <w:p w14:paraId="311E4EF1" w14:textId="77777777" w:rsidR="003B31DC" w:rsidRDefault="003B31DC">
      <w:pPr>
        <w:tabs>
          <w:tab w:val="left" w:pos="-1440"/>
          <w:tab w:val="left" w:pos="-720"/>
        </w:tabs>
        <w:rPr>
          <w:b/>
          <w:sz w:val="22"/>
          <w:szCs w:val="22"/>
        </w:rPr>
      </w:pPr>
    </w:p>
    <w:p w14:paraId="72C7534E" w14:textId="77777777" w:rsidR="003B31DC" w:rsidRDefault="003B31DC">
      <w:pPr>
        <w:tabs>
          <w:tab w:val="left" w:pos="-1440"/>
          <w:tab w:val="left" w:pos="-720"/>
        </w:tabs>
        <w:rPr>
          <w:b/>
          <w:sz w:val="22"/>
          <w:szCs w:val="22"/>
        </w:rPr>
      </w:pPr>
    </w:p>
    <w:p w14:paraId="63D3DCC8" w14:textId="77777777" w:rsidR="003B31DC" w:rsidRDefault="003B31DC">
      <w:pPr>
        <w:tabs>
          <w:tab w:val="left" w:pos="-1440"/>
          <w:tab w:val="left" w:pos="-720"/>
        </w:tabs>
        <w:rPr>
          <w:b/>
          <w:sz w:val="22"/>
          <w:szCs w:val="22"/>
        </w:rPr>
      </w:pPr>
    </w:p>
    <w:p w14:paraId="51C9D1D3" w14:textId="77777777" w:rsidR="003B31DC" w:rsidRDefault="003B31DC">
      <w:pPr>
        <w:tabs>
          <w:tab w:val="left" w:pos="-1440"/>
          <w:tab w:val="left" w:pos="-720"/>
        </w:tabs>
        <w:rPr>
          <w:b/>
          <w:sz w:val="22"/>
          <w:szCs w:val="22"/>
        </w:rPr>
      </w:pPr>
    </w:p>
    <w:p w14:paraId="46837E71" w14:textId="77777777" w:rsidR="003B31DC" w:rsidRDefault="003B31DC">
      <w:pPr>
        <w:tabs>
          <w:tab w:val="left" w:pos="-1440"/>
          <w:tab w:val="left" w:pos="-720"/>
        </w:tabs>
        <w:rPr>
          <w:b/>
          <w:sz w:val="22"/>
          <w:szCs w:val="22"/>
        </w:rPr>
      </w:pPr>
    </w:p>
    <w:p w14:paraId="3D969961" w14:textId="77777777" w:rsidR="003B31DC" w:rsidRDefault="003B31DC">
      <w:pPr>
        <w:tabs>
          <w:tab w:val="left" w:pos="-1440"/>
          <w:tab w:val="left" w:pos="-720"/>
        </w:tabs>
        <w:rPr>
          <w:b/>
          <w:sz w:val="22"/>
          <w:szCs w:val="22"/>
        </w:rPr>
      </w:pPr>
    </w:p>
    <w:p w14:paraId="55870065" w14:textId="77777777" w:rsidR="003B31DC" w:rsidRDefault="003B31DC">
      <w:pPr>
        <w:tabs>
          <w:tab w:val="left" w:pos="-1440"/>
          <w:tab w:val="left" w:pos="-720"/>
        </w:tabs>
        <w:rPr>
          <w:b/>
          <w:sz w:val="22"/>
          <w:szCs w:val="22"/>
        </w:rPr>
      </w:pPr>
    </w:p>
    <w:p w14:paraId="3726FA95" w14:textId="77777777" w:rsidR="003B31DC" w:rsidRDefault="003B31DC">
      <w:pPr>
        <w:tabs>
          <w:tab w:val="left" w:pos="-1440"/>
          <w:tab w:val="left" w:pos="-720"/>
        </w:tabs>
        <w:rPr>
          <w:b/>
          <w:sz w:val="22"/>
          <w:szCs w:val="22"/>
        </w:rPr>
      </w:pPr>
    </w:p>
    <w:p w14:paraId="6D680270" w14:textId="77777777" w:rsidR="003B31DC" w:rsidRDefault="003B31DC">
      <w:pPr>
        <w:tabs>
          <w:tab w:val="left" w:pos="-1440"/>
          <w:tab w:val="left" w:pos="-720"/>
        </w:tabs>
        <w:rPr>
          <w:b/>
          <w:sz w:val="22"/>
          <w:szCs w:val="22"/>
        </w:rPr>
      </w:pPr>
    </w:p>
    <w:p w14:paraId="4A327A7F" w14:textId="77777777" w:rsidR="003B31DC" w:rsidRDefault="003B31DC">
      <w:pPr>
        <w:tabs>
          <w:tab w:val="left" w:pos="-1440"/>
          <w:tab w:val="left" w:pos="-720"/>
        </w:tabs>
        <w:rPr>
          <w:b/>
          <w:sz w:val="22"/>
          <w:szCs w:val="22"/>
        </w:rPr>
      </w:pPr>
    </w:p>
    <w:p w14:paraId="0D924510" w14:textId="77777777" w:rsidR="003B31DC" w:rsidRDefault="003B31DC">
      <w:pPr>
        <w:tabs>
          <w:tab w:val="left" w:pos="-1440"/>
          <w:tab w:val="left" w:pos="-720"/>
        </w:tabs>
        <w:rPr>
          <w:b/>
          <w:sz w:val="22"/>
          <w:szCs w:val="22"/>
        </w:rPr>
      </w:pPr>
    </w:p>
    <w:p w14:paraId="3F703202" w14:textId="77777777" w:rsidR="003B31DC" w:rsidRDefault="00913CBE">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4E3B3D3C" w14:textId="77777777" w:rsidR="003B31DC" w:rsidRDefault="003B31DC">
      <w:pPr>
        <w:jc w:val="center"/>
        <w:rPr>
          <w:sz w:val="22"/>
          <w:szCs w:val="22"/>
        </w:rPr>
      </w:pPr>
    </w:p>
    <w:p w14:paraId="51A8FDB7" w14:textId="77777777" w:rsidR="003B31DC" w:rsidRDefault="00913CBE">
      <w:pPr>
        <w:tabs>
          <w:tab w:val="left" w:pos="-1440"/>
          <w:tab w:val="left" w:pos="-720"/>
        </w:tabs>
        <w:jc w:val="center"/>
        <w:rPr>
          <w:b/>
          <w:sz w:val="22"/>
          <w:szCs w:val="22"/>
        </w:rPr>
      </w:pPr>
      <w:r>
        <w:rPr>
          <w:b/>
          <w:sz w:val="22"/>
          <w:szCs w:val="22"/>
        </w:rPr>
        <w:t>PREPARATO CHARAKTERISTIKŲ SANTRAUKA</w:t>
      </w:r>
    </w:p>
    <w:p w14:paraId="5B1A23EE" w14:textId="77777777" w:rsidR="003B31DC" w:rsidRDefault="00913CBE">
      <w:pPr>
        <w:tabs>
          <w:tab w:val="left" w:pos="-1440"/>
          <w:tab w:val="left" w:pos="-720"/>
        </w:tabs>
        <w:rPr>
          <w:sz w:val="22"/>
          <w:szCs w:val="22"/>
        </w:rPr>
      </w:pPr>
      <w:r>
        <w:rPr>
          <w:sz w:val="22"/>
          <w:szCs w:val="22"/>
          <w:lang w:eastAsia="zh-CN"/>
        </w:rPr>
        <w:br w:type="page"/>
      </w:r>
    </w:p>
    <w:p w14:paraId="14E1421F" w14:textId="77777777" w:rsidR="003B31DC" w:rsidRDefault="00913CBE">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20B25EE1" w14:textId="77777777" w:rsidR="003B31DC" w:rsidRDefault="003B31DC">
      <w:pPr>
        <w:rPr>
          <w:sz w:val="22"/>
          <w:szCs w:val="22"/>
        </w:rPr>
      </w:pPr>
    </w:p>
    <w:p w14:paraId="75EE9961" w14:textId="77777777" w:rsidR="003B31DC" w:rsidRDefault="00913CBE">
      <w:pPr>
        <w:rPr>
          <w:rFonts w:eastAsiaTheme="minorHAnsi"/>
          <w:color w:val="000000"/>
          <w:sz w:val="22"/>
          <w:szCs w:val="22"/>
          <w:lang w:eastAsia="en-US"/>
        </w:rPr>
      </w:pPr>
      <w:bookmarkStart w:id="0" w:name="_Hlk224215212"/>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5 mg/850 mg plėvele dengtos tabletės</w:t>
      </w:r>
    </w:p>
    <w:p w14:paraId="5D7F0E8E" w14:textId="77777777" w:rsidR="003B31DC" w:rsidRDefault="00913CBE">
      <w:pPr>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5 mg/1 000 mg plėvele dengtos tabletės</w:t>
      </w:r>
    </w:p>
    <w:p w14:paraId="6E5E4236" w14:textId="77777777" w:rsidR="003B31DC" w:rsidRDefault="00913CBE">
      <w:pPr>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12,5 mg/850 mg plėvele dengtos tabletės</w:t>
      </w:r>
    </w:p>
    <w:p w14:paraId="311F0FA6" w14:textId="77777777" w:rsidR="003B31DC" w:rsidRDefault="00913CBE">
      <w:pPr>
        <w:rPr>
          <w:sz w:val="22"/>
          <w:szCs w:val="22"/>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12,5 mg/1 000 mg plėvele dengtos tabletės</w:t>
      </w:r>
    </w:p>
    <w:bookmarkEnd w:id="0"/>
    <w:p w14:paraId="0FA81ADD" w14:textId="77777777" w:rsidR="003B31DC" w:rsidRDefault="003B31DC">
      <w:pPr>
        <w:rPr>
          <w:sz w:val="22"/>
          <w:szCs w:val="22"/>
        </w:rPr>
      </w:pPr>
    </w:p>
    <w:p w14:paraId="1B54C1CD" w14:textId="77777777" w:rsidR="00D90A56" w:rsidRDefault="00D90A56">
      <w:pPr>
        <w:rPr>
          <w:sz w:val="22"/>
          <w:szCs w:val="22"/>
        </w:rPr>
      </w:pPr>
    </w:p>
    <w:p w14:paraId="3F1B55AB" w14:textId="77777777" w:rsidR="003B31DC" w:rsidRDefault="00913CBE">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16B2629B" w14:textId="77777777" w:rsidR="003B31DC" w:rsidRDefault="003B31DC">
      <w:pPr>
        <w:rPr>
          <w:sz w:val="22"/>
          <w:szCs w:val="22"/>
        </w:rPr>
      </w:pPr>
    </w:p>
    <w:p w14:paraId="547D93D9"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mg/850 mg plėvele dengtos tabletės</w:t>
      </w:r>
    </w:p>
    <w:p w14:paraId="709DC6DE" w14:textId="77777777" w:rsidR="003B31DC" w:rsidRDefault="00913CBE">
      <w:pPr>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6FE32716" w14:textId="77777777" w:rsidR="003B31DC" w:rsidRDefault="003B31DC">
      <w:pPr>
        <w:rPr>
          <w:rFonts w:eastAsiaTheme="minorHAnsi"/>
          <w:color w:val="000000"/>
          <w:sz w:val="22"/>
          <w:szCs w:val="22"/>
          <w:u w:val="single"/>
          <w:lang w:eastAsia="en-US"/>
        </w:rPr>
      </w:pPr>
    </w:p>
    <w:p w14:paraId="785F5B51"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mg/1 000 mg plėvele dengtos tabletės</w:t>
      </w:r>
    </w:p>
    <w:p w14:paraId="7D3F3B04" w14:textId="77777777" w:rsidR="003B31DC" w:rsidRDefault="00913CBE">
      <w:pPr>
        <w:rPr>
          <w:rFonts w:eastAsiaTheme="minorHAnsi"/>
          <w:color w:val="000000"/>
          <w:sz w:val="22"/>
          <w:szCs w:val="22"/>
          <w:lang w:eastAsia="en-US"/>
        </w:rPr>
      </w:pPr>
      <w:bookmarkStart w:id="1" w:name="_Hlk224032109"/>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bookmarkEnd w:id="1"/>
    <w:p w14:paraId="7DC80DBF" w14:textId="77777777" w:rsidR="003B31DC" w:rsidRDefault="003B31DC">
      <w:pPr>
        <w:rPr>
          <w:rFonts w:eastAsiaTheme="minorHAnsi"/>
          <w:color w:val="000000"/>
          <w:sz w:val="22"/>
          <w:szCs w:val="22"/>
          <w:u w:val="single"/>
          <w:lang w:eastAsia="en-US"/>
        </w:rPr>
      </w:pPr>
    </w:p>
    <w:p w14:paraId="7EC45DFB"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mg/850 mg plėvele dengtos tabletės</w:t>
      </w:r>
    </w:p>
    <w:p w14:paraId="4E56614A" w14:textId="77777777" w:rsidR="003B31DC" w:rsidRDefault="00913CBE">
      <w:pPr>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12,5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62DF3E81" w14:textId="77777777" w:rsidR="003B31DC" w:rsidRDefault="003B31DC">
      <w:pPr>
        <w:rPr>
          <w:rFonts w:eastAsiaTheme="minorHAnsi"/>
          <w:color w:val="000000"/>
          <w:sz w:val="22"/>
          <w:szCs w:val="22"/>
          <w:u w:val="single"/>
          <w:lang w:eastAsia="en-US"/>
        </w:rPr>
      </w:pPr>
    </w:p>
    <w:p w14:paraId="296DC6E9"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mg/1 000 mg plėvele dengtos tabletės</w:t>
      </w:r>
    </w:p>
    <w:p w14:paraId="7374AFA2" w14:textId="77777777" w:rsidR="003B31DC" w:rsidRDefault="00913CBE">
      <w:pPr>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12,5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5E82D5A2" w14:textId="77777777" w:rsidR="003B31DC" w:rsidRDefault="003B31DC">
      <w:pPr>
        <w:rPr>
          <w:noProof/>
          <w:sz w:val="22"/>
          <w:szCs w:val="22"/>
        </w:rPr>
      </w:pPr>
    </w:p>
    <w:p w14:paraId="5C4A8463" w14:textId="77777777" w:rsidR="003B31DC" w:rsidRDefault="00913CBE">
      <w:pPr>
        <w:rPr>
          <w:sz w:val="22"/>
          <w:szCs w:val="22"/>
        </w:rPr>
      </w:pPr>
      <w:r>
        <w:rPr>
          <w:noProof/>
          <w:sz w:val="22"/>
          <w:szCs w:val="22"/>
        </w:rPr>
        <w:t>Visos pagalbinės medžiagos išvardytos 6.1 skyriuje.</w:t>
      </w:r>
    </w:p>
    <w:p w14:paraId="31C5B051" w14:textId="77777777" w:rsidR="003B31DC" w:rsidRDefault="003B31DC">
      <w:pPr>
        <w:rPr>
          <w:sz w:val="22"/>
          <w:szCs w:val="22"/>
        </w:rPr>
      </w:pPr>
    </w:p>
    <w:p w14:paraId="0809F1EA" w14:textId="77777777" w:rsidR="003B31DC" w:rsidRDefault="003B31DC">
      <w:pPr>
        <w:rPr>
          <w:sz w:val="22"/>
          <w:szCs w:val="22"/>
        </w:rPr>
      </w:pPr>
    </w:p>
    <w:p w14:paraId="0092535C" w14:textId="77777777" w:rsidR="003B31DC" w:rsidRDefault="00913CBE">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0894B07D" w14:textId="77777777" w:rsidR="003B31DC" w:rsidRDefault="003B31DC">
      <w:pPr>
        <w:rPr>
          <w:sz w:val="22"/>
          <w:szCs w:val="22"/>
        </w:rPr>
      </w:pPr>
    </w:p>
    <w:p w14:paraId="4B436A80" w14:textId="77777777" w:rsidR="003B31DC" w:rsidRDefault="00913CBE">
      <w:pPr>
        <w:rPr>
          <w:sz w:val="22"/>
          <w:szCs w:val="22"/>
        </w:rPr>
      </w:pPr>
      <w:r>
        <w:rPr>
          <w:sz w:val="22"/>
          <w:szCs w:val="22"/>
        </w:rPr>
        <w:t>Plėvele dengta tabletė (tabletė).</w:t>
      </w:r>
    </w:p>
    <w:p w14:paraId="74599397" w14:textId="77777777" w:rsidR="003B31DC" w:rsidRDefault="003B31DC">
      <w:pPr>
        <w:rPr>
          <w:noProof/>
          <w:sz w:val="22"/>
          <w:szCs w:val="22"/>
        </w:rPr>
      </w:pPr>
    </w:p>
    <w:p w14:paraId="2B7FFD58" w14:textId="77777777" w:rsidR="003B31DC" w:rsidRDefault="00913CBE">
      <w:pPr>
        <w:rPr>
          <w:rFonts w:eastAsiaTheme="minorHAnsi"/>
          <w:color w:val="000000"/>
          <w:sz w:val="22"/>
          <w:szCs w:val="22"/>
          <w:u w:val="single"/>
          <w:lang w:eastAsia="en-US"/>
        </w:rPr>
      </w:pPr>
      <w:bookmarkStart w:id="2" w:name="_Hlk224553900"/>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mg/850 mg plėvele dengtos tabletės</w:t>
      </w:r>
    </w:p>
    <w:p w14:paraId="6826EB9D" w14:textId="361E2FFF" w:rsidR="003B31DC" w:rsidRDefault="00913CBE">
      <w:pPr>
        <w:rPr>
          <w:rFonts w:eastAsiaTheme="minorHAnsi"/>
          <w:color w:val="000000"/>
          <w:sz w:val="22"/>
          <w:szCs w:val="22"/>
          <w:lang w:eastAsia="en-US"/>
        </w:rPr>
      </w:pPr>
      <w:r>
        <w:rPr>
          <w:rFonts w:eastAsiaTheme="minorHAnsi"/>
          <w:color w:val="000000"/>
          <w:sz w:val="22"/>
          <w:szCs w:val="22"/>
          <w:lang w:eastAsia="en-US"/>
        </w:rPr>
        <w:t xml:space="preserve">Šviesiai geltona, ovali (20 mm ilgio ir 10 mm pločio), abipus išgaubta, plėvele dengta tabletė, vienoje pusėje pažymėta </w:t>
      </w:r>
      <w:r w:rsidR="0038594F">
        <w:rPr>
          <w:rFonts w:eastAsiaTheme="minorHAnsi"/>
          <w:color w:val="000000"/>
          <w:sz w:val="22"/>
          <w:szCs w:val="22"/>
          <w:lang w:eastAsia="en-US"/>
        </w:rPr>
        <w:t>„</w:t>
      </w:r>
      <w:r>
        <w:rPr>
          <w:rFonts w:eastAsiaTheme="minorHAnsi"/>
          <w:color w:val="000000"/>
          <w:sz w:val="22"/>
          <w:szCs w:val="22"/>
          <w:lang w:eastAsia="en-US"/>
        </w:rPr>
        <w:t>G1</w:t>
      </w:r>
      <w:r w:rsidR="0038594F">
        <w:rPr>
          <w:rFonts w:eastAsiaTheme="minorHAnsi"/>
          <w:color w:val="000000"/>
          <w:sz w:val="22"/>
          <w:szCs w:val="22"/>
          <w:lang w:eastAsia="en-US"/>
        </w:rPr>
        <w:t>“</w:t>
      </w:r>
      <w:r>
        <w:rPr>
          <w:rFonts w:eastAsiaTheme="minorHAnsi"/>
          <w:color w:val="000000"/>
          <w:sz w:val="22"/>
          <w:szCs w:val="22"/>
          <w:lang w:eastAsia="en-US"/>
        </w:rPr>
        <w:t>.</w:t>
      </w:r>
    </w:p>
    <w:p w14:paraId="3829CD4A" w14:textId="77777777" w:rsidR="003B31DC" w:rsidRDefault="003B31DC">
      <w:pPr>
        <w:rPr>
          <w:sz w:val="22"/>
          <w:szCs w:val="22"/>
        </w:rPr>
      </w:pPr>
    </w:p>
    <w:p w14:paraId="36B54EE6"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mg/1 000 mg plėvele dengtos tabletės</w:t>
      </w:r>
    </w:p>
    <w:p w14:paraId="64A09E2D" w14:textId="2BBB126E" w:rsidR="003B31DC" w:rsidRDefault="00913CBE">
      <w:pPr>
        <w:rPr>
          <w:sz w:val="22"/>
          <w:szCs w:val="22"/>
        </w:rPr>
      </w:pPr>
      <w:r>
        <w:rPr>
          <w:rFonts w:eastAsiaTheme="minorHAnsi"/>
          <w:color w:val="000000"/>
          <w:sz w:val="22"/>
          <w:szCs w:val="22"/>
          <w:lang w:eastAsia="en-US"/>
        </w:rPr>
        <w:t xml:space="preserve">Rudai geltona, ovali (21 mm ilgio ir 10 mm pločio), abipus išgaubta, plėvele dengta tabletė, vienoje pusėje pažymėta </w:t>
      </w:r>
      <w:r w:rsidR="0038594F">
        <w:rPr>
          <w:rFonts w:eastAsiaTheme="minorHAnsi"/>
          <w:color w:val="000000"/>
          <w:sz w:val="22"/>
          <w:szCs w:val="22"/>
          <w:lang w:eastAsia="en-US"/>
        </w:rPr>
        <w:t>„</w:t>
      </w:r>
      <w:r>
        <w:rPr>
          <w:rFonts w:eastAsiaTheme="minorHAnsi"/>
          <w:color w:val="000000"/>
          <w:sz w:val="22"/>
          <w:szCs w:val="22"/>
          <w:lang w:eastAsia="en-US"/>
        </w:rPr>
        <w:t>G3</w:t>
      </w:r>
      <w:r w:rsidR="0038594F">
        <w:rPr>
          <w:rFonts w:eastAsiaTheme="minorHAnsi"/>
          <w:color w:val="000000"/>
          <w:sz w:val="22"/>
          <w:szCs w:val="22"/>
          <w:lang w:eastAsia="en-US"/>
        </w:rPr>
        <w:t>“</w:t>
      </w:r>
      <w:r>
        <w:rPr>
          <w:rFonts w:eastAsiaTheme="minorHAnsi"/>
          <w:color w:val="000000"/>
          <w:sz w:val="22"/>
          <w:szCs w:val="22"/>
          <w:lang w:eastAsia="en-US"/>
        </w:rPr>
        <w:t>.</w:t>
      </w:r>
    </w:p>
    <w:p w14:paraId="00E10F46" w14:textId="77777777" w:rsidR="003B31DC" w:rsidRDefault="003B31DC">
      <w:pPr>
        <w:rPr>
          <w:sz w:val="22"/>
          <w:szCs w:val="22"/>
        </w:rPr>
      </w:pPr>
    </w:p>
    <w:p w14:paraId="5513AB9F"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mg/850 mg plėvele dengtos tabletės</w:t>
      </w:r>
    </w:p>
    <w:p w14:paraId="6EABDFA2" w14:textId="2D90C3E0" w:rsidR="003B31DC" w:rsidRDefault="00913CBE">
      <w:pPr>
        <w:rPr>
          <w:sz w:val="22"/>
          <w:szCs w:val="22"/>
        </w:rPr>
      </w:pPr>
      <w:r>
        <w:rPr>
          <w:sz w:val="22"/>
          <w:szCs w:val="22"/>
        </w:rPr>
        <w:t xml:space="preserve">Pilkai rausva, ovali (20 mm ilgio ir 10 mm pločio), abipus išgaubta, plėvele dengta tabletė, vienoje pusėje pažymėta </w:t>
      </w:r>
      <w:r w:rsidR="00D01A71">
        <w:rPr>
          <w:sz w:val="22"/>
          <w:szCs w:val="22"/>
        </w:rPr>
        <w:t>„</w:t>
      </w:r>
      <w:r>
        <w:rPr>
          <w:sz w:val="22"/>
          <w:szCs w:val="22"/>
        </w:rPr>
        <w:t>G2</w:t>
      </w:r>
      <w:r w:rsidR="00D01A71">
        <w:rPr>
          <w:sz w:val="22"/>
          <w:szCs w:val="22"/>
        </w:rPr>
        <w:t>“</w:t>
      </w:r>
      <w:r>
        <w:rPr>
          <w:sz w:val="22"/>
          <w:szCs w:val="22"/>
        </w:rPr>
        <w:t>.</w:t>
      </w:r>
    </w:p>
    <w:p w14:paraId="52AF2C3B" w14:textId="77777777" w:rsidR="003B31DC" w:rsidRDefault="003B31DC">
      <w:pPr>
        <w:rPr>
          <w:sz w:val="22"/>
          <w:szCs w:val="22"/>
        </w:rPr>
      </w:pPr>
    </w:p>
    <w:p w14:paraId="2540C04E"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mg/1 000 mg plėvele dengtos tabletės</w:t>
      </w:r>
    </w:p>
    <w:p w14:paraId="401E4741" w14:textId="7B5BBBEB" w:rsidR="003B31DC" w:rsidRDefault="00913CBE">
      <w:pPr>
        <w:rPr>
          <w:sz w:val="22"/>
          <w:szCs w:val="22"/>
        </w:rPr>
      </w:pPr>
      <w:r>
        <w:rPr>
          <w:sz w:val="22"/>
          <w:szCs w:val="22"/>
        </w:rPr>
        <w:t xml:space="preserve">Rudai violetinė, ovali (21 mm ilgio ir 10 mm pločio), abipus išgaubta, plėvele dengta tabletė, vienoje pusėje pažymėta </w:t>
      </w:r>
      <w:r w:rsidR="00D01A71">
        <w:rPr>
          <w:sz w:val="22"/>
          <w:szCs w:val="22"/>
        </w:rPr>
        <w:t>„</w:t>
      </w:r>
      <w:r>
        <w:rPr>
          <w:sz w:val="22"/>
          <w:szCs w:val="22"/>
        </w:rPr>
        <w:t>G4</w:t>
      </w:r>
      <w:r w:rsidR="00D01A71">
        <w:rPr>
          <w:sz w:val="22"/>
          <w:szCs w:val="22"/>
        </w:rPr>
        <w:t>“</w:t>
      </w:r>
      <w:r>
        <w:rPr>
          <w:sz w:val="22"/>
          <w:szCs w:val="22"/>
        </w:rPr>
        <w:t>.</w:t>
      </w:r>
    </w:p>
    <w:bookmarkEnd w:id="2"/>
    <w:p w14:paraId="64A05710" w14:textId="77777777" w:rsidR="003B31DC" w:rsidRDefault="003B31DC">
      <w:pPr>
        <w:rPr>
          <w:sz w:val="22"/>
          <w:szCs w:val="22"/>
        </w:rPr>
      </w:pPr>
    </w:p>
    <w:p w14:paraId="7638E178" w14:textId="77777777" w:rsidR="003B31DC" w:rsidRDefault="003B31DC">
      <w:pPr>
        <w:rPr>
          <w:sz w:val="22"/>
          <w:szCs w:val="22"/>
        </w:rPr>
      </w:pPr>
    </w:p>
    <w:p w14:paraId="7F2E9E91" w14:textId="77777777" w:rsidR="003B31DC" w:rsidRDefault="00913CBE">
      <w:pPr>
        <w:widowControl w:val="0"/>
        <w:tabs>
          <w:tab w:val="left" w:pos="567"/>
        </w:tabs>
        <w:ind w:left="567" w:hanging="567"/>
        <w:outlineLvl w:val="1"/>
        <w:rPr>
          <w:b/>
          <w:sz w:val="22"/>
          <w:szCs w:val="22"/>
          <w:lang w:eastAsia="en-US"/>
        </w:rPr>
      </w:pPr>
      <w:r>
        <w:rPr>
          <w:b/>
          <w:sz w:val="22"/>
          <w:szCs w:val="22"/>
          <w:lang w:eastAsia="en-US"/>
        </w:rPr>
        <w:t>4.</w:t>
      </w:r>
      <w:r>
        <w:rPr>
          <w:b/>
          <w:sz w:val="22"/>
          <w:szCs w:val="22"/>
          <w:lang w:eastAsia="en-US"/>
        </w:rPr>
        <w:tab/>
        <w:t>KLINIKINĖ INFORMACIJA</w:t>
      </w:r>
    </w:p>
    <w:p w14:paraId="3A86291F" w14:textId="77777777" w:rsidR="003B31DC" w:rsidRDefault="003B31DC">
      <w:pPr>
        <w:widowControl w:val="0"/>
        <w:ind w:left="567" w:hanging="567"/>
        <w:rPr>
          <w:sz w:val="22"/>
          <w:szCs w:val="22"/>
          <w:lang w:eastAsia="en-US"/>
        </w:rPr>
      </w:pPr>
    </w:p>
    <w:p w14:paraId="47E45B42" w14:textId="77777777" w:rsidR="003B31DC" w:rsidRDefault="00913CBE">
      <w:pPr>
        <w:widowControl w:val="0"/>
        <w:tabs>
          <w:tab w:val="left" w:pos="567"/>
        </w:tabs>
        <w:ind w:left="567" w:hanging="567"/>
        <w:outlineLvl w:val="2"/>
        <w:rPr>
          <w:b/>
          <w:kern w:val="28"/>
          <w:sz w:val="22"/>
          <w:szCs w:val="22"/>
          <w:lang w:eastAsia="en-US"/>
        </w:rPr>
      </w:pPr>
      <w:r>
        <w:rPr>
          <w:b/>
          <w:kern w:val="28"/>
          <w:sz w:val="22"/>
          <w:szCs w:val="22"/>
          <w:lang w:eastAsia="en-US"/>
        </w:rPr>
        <w:t>4.1</w:t>
      </w:r>
      <w:r>
        <w:rPr>
          <w:b/>
          <w:kern w:val="28"/>
          <w:sz w:val="22"/>
          <w:szCs w:val="22"/>
          <w:lang w:eastAsia="en-US"/>
        </w:rPr>
        <w:tab/>
        <w:t>Terapinės indikacijos</w:t>
      </w:r>
    </w:p>
    <w:p w14:paraId="1E8DDA61" w14:textId="77777777" w:rsidR="003B31DC" w:rsidRDefault="003B31DC">
      <w:pPr>
        <w:widowControl w:val="0"/>
        <w:ind w:left="567" w:hanging="567"/>
        <w:rPr>
          <w:sz w:val="22"/>
          <w:szCs w:val="22"/>
          <w:lang w:eastAsia="en-US"/>
        </w:rPr>
      </w:pPr>
    </w:p>
    <w:p w14:paraId="42FF8831" w14:textId="12BE301F" w:rsidR="003B31DC" w:rsidRDefault="00913CBE">
      <w:pPr>
        <w:widowControl w:val="0"/>
        <w:autoSpaceDE w:val="0"/>
        <w:autoSpaceDN w:val="0"/>
        <w:adjustRightInd w:val="0"/>
        <w:rPr>
          <w:sz w:val="22"/>
          <w:szCs w:val="22"/>
          <w:lang w:eastAsia="en-US"/>
        </w:rPr>
      </w:pPr>
      <w:proofErr w:type="spellStart"/>
      <w:r>
        <w:rPr>
          <w:sz w:val="22"/>
          <w:szCs w:val="22"/>
          <w:lang w:eastAsia="en-US"/>
        </w:rPr>
        <w:t>Mempoglyn</w:t>
      </w:r>
      <w:proofErr w:type="spellEnd"/>
      <w:r>
        <w:rPr>
          <w:sz w:val="22"/>
          <w:szCs w:val="22"/>
          <w:lang w:eastAsia="en-US"/>
        </w:rPr>
        <w:t xml:space="preserve"> skirtas suaugusiesiems ir 10 metų bei vyresniems vaikams 2 tipo cukrinio diabeto gydymui </w:t>
      </w:r>
      <w:r w:rsidR="00846C9C">
        <w:rPr>
          <w:sz w:val="22"/>
          <w:szCs w:val="22"/>
          <w:lang w:eastAsia="en-US"/>
        </w:rPr>
        <w:t>papild</w:t>
      </w:r>
      <w:r w:rsidR="00B672B0">
        <w:rPr>
          <w:sz w:val="22"/>
          <w:szCs w:val="22"/>
          <w:lang w:eastAsia="en-US"/>
        </w:rPr>
        <w:t>ant</w:t>
      </w:r>
      <w:r w:rsidR="008F5F0C">
        <w:rPr>
          <w:sz w:val="22"/>
          <w:szCs w:val="22"/>
          <w:lang w:eastAsia="en-US"/>
        </w:rPr>
        <w:t xml:space="preserve"> </w:t>
      </w:r>
      <w:r>
        <w:rPr>
          <w:sz w:val="22"/>
          <w:szCs w:val="22"/>
          <w:lang w:eastAsia="en-US"/>
        </w:rPr>
        <w:t>diet</w:t>
      </w:r>
      <w:r w:rsidR="008F5F0C">
        <w:rPr>
          <w:sz w:val="22"/>
          <w:szCs w:val="22"/>
          <w:lang w:eastAsia="en-US"/>
        </w:rPr>
        <w:t>ą</w:t>
      </w:r>
      <w:r>
        <w:rPr>
          <w:sz w:val="22"/>
          <w:szCs w:val="22"/>
          <w:lang w:eastAsia="en-US"/>
        </w:rPr>
        <w:t xml:space="preserve"> ir </w:t>
      </w:r>
      <w:proofErr w:type="spellStart"/>
      <w:r>
        <w:rPr>
          <w:sz w:val="22"/>
          <w:szCs w:val="22"/>
          <w:lang w:eastAsia="en-US"/>
        </w:rPr>
        <w:t>fizini</w:t>
      </w:r>
      <w:r w:rsidR="008F5F0C">
        <w:rPr>
          <w:sz w:val="22"/>
          <w:szCs w:val="22"/>
          <w:lang w:eastAsia="en-US"/>
        </w:rPr>
        <w:t>į</w:t>
      </w:r>
      <w:proofErr w:type="spellEnd"/>
      <w:r>
        <w:rPr>
          <w:sz w:val="22"/>
          <w:szCs w:val="22"/>
          <w:lang w:eastAsia="en-US"/>
        </w:rPr>
        <w:t xml:space="preserve"> krūv</w:t>
      </w:r>
      <w:r w:rsidR="004953D0">
        <w:rPr>
          <w:sz w:val="22"/>
          <w:szCs w:val="22"/>
          <w:lang w:eastAsia="en-US"/>
        </w:rPr>
        <w:t>į</w:t>
      </w:r>
      <w:r>
        <w:rPr>
          <w:sz w:val="22"/>
          <w:szCs w:val="22"/>
          <w:lang w:eastAsia="en-US"/>
        </w:rPr>
        <w:t>:</w:t>
      </w:r>
    </w:p>
    <w:p w14:paraId="6018882E" w14:textId="56C068F8" w:rsidR="003B31DC" w:rsidRPr="00A02B90" w:rsidRDefault="00913CBE">
      <w:pPr>
        <w:numPr>
          <w:ilvl w:val="0"/>
          <w:numId w:val="14"/>
        </w:numPr>
        <w:spacing w:after="15" w:line="248" w:lineRule="auto"/>
        <w:ind w:right="11" w:hanging="566"/>
        <w:rPr>
          <w:sz w:val="22"/>
          <w:szCs w:val="22"/>
          <w:lang w:eastAsia="sl-SI"/>
        </w:rPr>
      </w:pPr>
      <w:r>
        <w:rPr>
          <w:sz w:val="22"/>
          <w:szCs w:val="22"/>
          <w:lang w:eastAsia="en-US"/>
        </w:rPr>
        <w:t>pacientams, kuri</w:t>
      </w:r>
      <w:r w:rsidR="002E016A">
        <w:rPr>
          <w:sz w:val="22"/>
          <w:szCs w:val="22"/>
          <w:lang w:eastAsia="en-US"/>
        </w:rPr>
        <w:t>ų</w:t>
      </w:r>
      <w:r>
        <w:rPr>
          <w:sz w:val="22"/>
          <w:szCs w:val="22"/>
          <w:lang w:eastAsia="en-US"/>
        </w:rPr>
        <w:t xml:space="preserve"> </w:t>
      </w:r>
      <w:proofErr w:type="spellStart"/>
      <w:r>
        <w:rPr>
          <w:sz w:val="22"/>
          <w:szCs w:val="22"/>
          <w:lang w:eastAsia="en-US"/>
        </w:rPr>
        <w:t>glikemija</w:t>
      </w:r>
      <w:proofErr w:type="spellEnd"/>
      <w:r>
        <w:rPr>
          <w:sz w:val="22"/>
          <w:szCs w:val="22"/>
          <w:lang w:eastAsia="en-US"/>
        </w:rPr>
        <w:t xml:space="preserve"> nepakankamai </w:t>
      </w:r>
      <w:r w:rsidR="00EC32CD">
        <w:rPr>
          <w:sz w:val="22"/>
          <w:szCs w:val="22"/>
          <w:lang w:eastAsia="en-US"/>
        </w:rPr>
        <w:t>s</w:t>
      </w:r>
      <w:r w:rsidR="009E0EF4">
        <w:rPr>
          <w:sz w:val="22"/>
          <w:szCs w:val="22"/>
          <w:lang w:eastAsia="en-US"/>
        </w:rPr>
        <w:t>u</w:t>
      </w:r>
      <w:r w:rsidR="00EC32CD">
        <w:rPr>
          <w:sz w:val="22"/>
          <w:szCs w:val="22"/>
          <w:lang w:eastAsia="en-US"/>
        </w:rPr>
        <w:t xml:space="preserve">reguliuota </w:t>
      </w:r>
      <w:r w:rsidR="0044131E">
        <w:rPr>
          <w:sz w:val="22"/>
          <w:szCs w:val="22"/>
          <w:lang w:eastAsia="en-US"/>
        </w:rPr>
        <w:t xml:space="preserve">vartojant </w:t>
      </w:r>
      <w:r>
        <w:rPr>
          <w:sz w:val="22"/>
          <w:szCs w:val="22"/>
          <w:lang w:eastAsia="en-US"/>
        </w:rPr>
        <w:t>didžiausi</w:t>
      </w:r>
      <w:r w:rsidR="0044131E">
        <w:rPr>
          <w:sz w:val="22"/>
          <w:szCs w:val="22"/>
          <w:lang w:eastAsia="en-US"/>
        </w:rPr>
        <w:t>ą</w:t>
      </w:r>
      <w:r>
        <w:rPr>
          <w:sz w:val="22"/>
          <w:szCs w:val="22"/>
          <w:lang w:eastAsia="en-US"/>
        </w:rPr>
        <w:t xml:space="preserve"> toleruojam</w:t>
      </w:r>
      <w:r w:rsidR="0044131E">
        <w:rPr>
          <w:sz w:val="22"/>
          <w:szCs w:val="22"/>
          <w:lang w:eastAsia="en-US"/>
        </w:rPr>
        <w:t>ą</w:t>
      </w:r>
      <w:r>
        <w:rPr>
          <w:sz w:val="22"/>
          <w:szCs w:val="22"/>
          <w:lang w:eastAsia="en-US"/>
        </w:rPr>
        <w:t xml:space="preserve"> vien </w:t>
      </w:r>
      <w:proofErr w:type="spellStart"/>
      <w:r>
        <w:rPr>
          <w:sz w:val="22"/>
          <w:szCs w:val="22"/>
          <w:lang w:eastAsia="en-US"/>
        </w:rPr>
        <w:t>metformino</w:t>
      </w:r>
      <w:proofErr w:type="spellEnd"/>
      <w:r>
        <w:rPr>
          <w:sz w:val="22"/>
          <w:szCs w:val="22"/>
          <w:lang w:eastAsia="en-US"/>
        </w:rPr>
        <w:t xml:space="preserve"> doz</w:t>
      </w:r>
      <w:r w:rsidR="00A220DE">
        <w:rPr>
          <w:sz w:val="22"/>
          <w:szCs w:val="22"/>
          <w:lang w:eastAsia="en-US"/>
        </w:rPr>
        <w:t>ę</w:t>
      </w:r>
      <w:r>
        <w:rPr>
          <w:sz w:val="22"/>
          <w:szCs w:val="22"/>
          <w:lang w:eastAsia="en-US"/>
        </w:rPr>
        <w:t>;</w:t>
      </w:r>
    </w:p>
    <w:p w14:paraId="282D3862" w14:textId="0F770D06" w:rsidR="003B31DC" w:rsidRPr="00A02B90" w:rsidRDefault="00913CBE">
      <w:pPr>
        <w:numPr>
          <w:ilvl w:val="0"/>
          <w:numId w:val="14"/>
        </w:numPr>
        <w:spacing w:after="15" w:line="248" w:lineRule="auto"/>
        <w:ind w:right="11" w:hanging="566"/>
        <w:rPr>
          <w:sz w:val="22"/>
          <w:szCs w:val="22"/>
          <w:lang w:val="fr-FR" w:eastAsia="sl-SI"/>
        </w:rPr>
      </w:pPr>
      <w:r>
        <w:rPr>
          <w:sz w:val="22"/>
          <w:szCs w:val="22"/>
          <w:lang w:eastAsia="en-US"/>
        </w:rPr>
        <w:t>derinant su kitais vaistiniais preparatais</w:t>
      </w:r>
      <w:r w:rsidR="00B53D8E">
        <w:rPr>
          <w:sz w:val="22"/>
          <w:szCs w:val="22"/>
          <w:lang w:eastAsia="en-US"/>
        </w:rPr>
        <w:t xml:space="preserve"> </w:t>
      </w:r>
      <w:r w:rsidR="00471D3B">
        <w:rPr>
          <w:sz w:val="22"/>
          <w:szCs w:val="22"/>
          <w:lang w:eastAsia="en-US"/>
        </w:rPr>
        <w:t>cukriniam diabetui gydyti</w:t>
      </w:r>
      <w:r>
        <w:rPr>
          <w:sz w:val="22"/>
          <w:szCs w:val="22"/>
          <w:lang w:eastAsia="en-US"/>
        </w:rPr>
        <w:t xml:space="preserve">, </w:t>
      </w:r>
      <w:r w:rsidR="00471D3B">
        <w:rPr>
          <w:sz w:val="22"/>
          <w:szCs w:val="22"/>
          <w:lang w:eastAsia="en-US"/>
        </w:rPr>
        <w:t xml:space="preserve">kai pacientų </w:t>
      </w:r>
      <w:proofErr w:type="spellStart"/>
      <w:r>
        <w:rPr>
          <w:sz w:val="22"/>
          <w:szCs w:val="22"/>
          <w:lang w:eastAsia="en-US"/>
        </w:rPr>
        <w:t>glikemija</w:t>
      </w:r>
      <w:proofErr w:type="spellEnd"/>
      <w:r>
        <w:rPr>
          <w:sz w:val="22"/>
          <w:szCs w:val="22"/>
          <w:lang w:eastAsia="en-US"/>
        </w:rPr>
        <w:t xml:space="preserve"> nepakankamai </w:t>
      </w:r>
      <w:r w:rsidR="0016422E">
        <w:rPr>
          <w:sz w:val="22"/>
          <w:szCs w:val="22"/>
          <w:lang w:eastAsia="en-US"/>
        </w:rPr>
        <w:t xml:space="preserve">sureguliuota </w:t>
      </w:r>
      <w:proofErr w:type="spellStart"/>
      <w:r>
        <w:rPr>
          <w:sz w:val="22"/>
          <w:szCs w:val="22"/>
          <w:lang w:eastAsia="en-US"/>
        </w:rPr>
        <w:t>metforminu</w:t>
      </w:r>
      <w:proofErr w:type="spellEnd"/>
      <w:r>
        <w:rPr>
          <w:sz w:val="22"/>
          <w:szCs w:val="22"/>
          <w:lang w:eastAsia="en-US"/>
        </w:rPr>
        <w:t xml:space="preserve"> ir šiais vaistiniais preparatais;</w:t>
      </w:r>
    </w:p>
    <w:p w14:paraId="69D8E21D" w14:textId="526083CB" w:rsidR="003B31DC" w:rsidRPr="00A02B90" w:rsidRDefault="00913CBE">
      <w:pPr>
        <w:numPr>
          <w:ilvl w:val="0"/>
          <w:numId w:val="14"/>
        </w:numPr>
        <w:spacing w:after="15" w:line="248" w:lineRule="auto"/>
        <w:ind w:right="11" w:hanging="566"/>
        <w:rPr>
          <w:sz w:val="22"/>
          <w:szCs w:val="22"/>
          <w:lang w:val="fr-FR" w:eastAsia="sl-SI"/>
        </w:rPr>
      </w:pPr>
      <w:r>
        <w:rPr>
          <w:sz w:val="22"/>
          <w:szCs w:val="22"/>
          <w:lang w:eastAsia="en-US"/>
        </w:rPr>
        <w:t xml:space="preserve">pacientams, </w:t>
      </w:r>
      <w:r w:rsidR="007D4B45">
        <w:rPr>
          <w:sz w:val="22"/>
          <w:szCs w:val="22"/>
          <w:lang w:eastAsia="en-US"/>
        </w:rPr>
        <w:t xml:space="preserve">kurie </w:t>
      </w:r>
      <w:r>
        <w:rPr>
          <w:sz w:val="22"/>
          <w:szCs w:val="22"/>
          <w:lang w:eastAsia="en-US"/>
        </w:rPr>
        <w:t xml:space="preserve">jau </w:t>
      </w:r>
      <w:r w:rsidR="007D4B45">
        <w:rPr>
          <w:sz w:val="22"/>
          <w:szCs w:val="22"/>
          <w:lang w:eastAsia="en-US"/>
        </w:rPr>
        <w:t xml:space="preserve">yra </w:t>
      </w:r>
      <w:r>
        <w:rPr>
          <w:sz w:val="22"/>
          <w:szCs w:val="22"/>
          <w:lang w:eastAsia="en-US"/>
        </w:rPr>
        <w:t xml:space="preserve">gydomi </w:t>
      </w:r>
      <w:proofErr w:type="spellStart"/>
      <w:r>
        <w:rPr>
          <w:sz w:val="22"/>
          <w:szCs w:val="22"/>
          <w:lang w:eastAsia="en-US"/>
        </w:rPr>
        <w:t>empagliflozino</w:t>
      </w:r>
      <w:proofErr w:type="spellEnd"/>
      <w:r>
        <w:rPr>
          <w:sz w:val="22"/>
          <w:szCs w:val="22"/>
          <w:lang w:eastAsia="en-US"/>
        </w:rPr>
        <w:t xml:space="preserve"> ir </w:t>
      </w:r>
      <w:proofErr w:type="spellStart"/>
      <w:r>
        <w:rPr>
          <w:sz w:val="22"/>
          <w:szCs w:val="22"/>
          <w:lang w:eastAsia="en-US"/>
        </w:rPr>
        <w:t>metformino</w:t>
      </w:r>
      <w:proofErr w:type="spellEnd"/>
      <w:r>
        <w:rPr>
          <w:sz w:val="22"/>
          <w:szCs w:val="22"/>
          <w:lang w:eastAsia="en-US"/>
        </w:rPr>
        <w:t xml:space="preserve"> </w:t>
      </w:r>
      <w:r w:rsidR="007D4B45">
        <w:rPr>
          <w:sz w:val="22"/>
          <w:szCs w:val="22"/>
          <w:lang w:eastAsia="en-US"/>
        </w:rPr>
        <w:t xml:space="preserve">deriniu vartojant </w:t>
      </w:r>
      <w:r>
        <w:rPr>
          <w:sz w:val="22"/>
          <w:szCs w:val="22"/>
          <w:lang w:eastAsia="en-US"/>
        </w:rPr>
        <w:t>atskir</w:t>
      </w:r>
      <w:r w:rsidR="007D4B45">
        <w:rPr>
          <w:sz w:val="22"/>
          <w:szCs w:val="22"/>
          <w:lang w:eastAsia="en-US"/>
        </w:rPr>
        <w:t>as</w:t>
      </w:r>
      <w:r>
        <w:rPr>
          <w:sz w:val="22"/>
          <w:szCs w:val="22"/>
          <w:lang w:eastAsia="en-US"/>
        </w:rPr>
        <w:t xml:space="preserve"> table</w:t>
      </w:r>
      <w:r w:rsidR="007D4B45">
        <w:rPr>
          <w:sz w:val="22"/>
          <w:szCs w:val="22"/>
          <w:lang w:eastAsia="en-US"/>
        </w:rPr>
        <w:t>tes</w:t>
      </w:r>
      <w:r>
        <w:rPr>
          <w:sz w:val="22"/>
          <w:szCs w:val="22"/>
          <w:lang w:eastAsia="en-US"/>
        </w:rPr>
        <w:t xml:space="preserve"> .</w:t>
      </w:r>
    </w:p>
    <w:p w14:paraId="40675C8F" w14:textId="5BACE37A" w:rsidR="003B31DC" w:rsidRDefault="00913CBE">
      <w:pPr>
        <w:widowControl w:val="0"/>
        <w:autoSpaceDE w:val="0"/>
        <w:autoSpaceDN w:val="0"/>
        <w:adjustRightInd w:val="0"/>
        <w:rPr>
          <w:sz w:val="22"/>
          <w:szCs w:val="22"/>
          <w:lang w:eastAsia="en-US"/>
        </w:rPr>
      </w:pPr>
      <w:r>
        <w:rPr>
          <w:sz w:val="22"/>
          <w:szCs w:val="22"/>
          <w:lang w:eastAsia="en-US"/>
        </w:rPr>
        <w:lastRenderedPageBreak/>
        <w:t xml:space="preserve">Tyrimų duomenys apie derinius, poveikį </w:t>
      </w:r>
      <w:proofErr w:type="spellStart"/>
      <w:r>
        <w:rPr>
          <w:sz w:val="22"/>
          <w:szCs w:val="22"/>
          <w:lang w:eastAsia="en-US"/>
        </w:rPr>
        <w:t>glikemijos</w:t>
      </w:r>
      <w:proofErr w:type="spellEnd"/>
      <w:r>
        <w:rPr>
          <w:sz w:val="22"/>
          <w:szCs w:val="22"/>
          <w:lang w:eastAsia="en-US"/>
        </w:rPr>
        <w:t xml:space="preserve"> </w:t>
      </w:r>
      <w:r w:rsidR="00444A48">
        <w:rPr>
          <w:sz w:val="22"/>
          <w:szCs w:val="22"/>
          <w:lang w:eastAsia="en-US"/>
        </w:rPr>
        <w:t xml:space="preserve">sureguliavimui </w:t>
      </w:r>
      <w:r>
        <w:rPr>
          <w:sz w:val="22"/>
          <w:szCs w:val="22"/>
          <w:lang w:eastAsia="en-US"/>
        </w:rPr>
        <w:t>ir širdies ir kraujagyslių reiškiniams bei apie tirtas populiacijas pateikiami 4.4, 4.5 ir 5.1 skyriuose.</w:t>
      </w:r>
    </w:p>
    <w:p w14:paraId="5856B49C" w14:textId="77777777" w:rsidR="003B31DC" w:rsidRPr="00A02B90" w:rsidRDefault="003B31DC">
      <w:pPr>
        <w:spacing w:after="15" w:line="248" w:lineRule="auto"/>
        <w:ind w:right="11"/>
        <w:rPr>
          <w:sz w:val="22"/>
          <w:szCs w:val="22"/>
          <w:lang w:val="fr-FR" w:eastAsia="sl-SI"/>
        </w:rPr>
      </w:pPr>
    </w:p>
    <w:p w14:paraId="115BBCA3" w14:textId="77777777" w:rsidR="003B31DC" w:rsidRDefault="00913CBE">
      <w:pPr>
        <w:widowControl w:val="0"/>
        <w:tabs>
          <w:tab w:val="left" w:pos="567"/>
        </w:tabs>
        <w:ind w:left="567" w:hanging="567"/>
        <w:outlineLvl w:val="2"/>
        <w:rPr>
          <w:b/>
          <w:kern w:val="28"/>
          <w:sz w:val="22"/>
          <w:szCs w:val="22"/>
          <w:lang w:eastAsia="en-US"/>
        </w:rPr>
      </w:pPr>
      <w:r>
        <w:rPr>
          <w:b/>
          <w:kern w:val="28"/>
          <w:sz w:val="22"/>
          <w:szCs w:val="22"/>
          <w:lang w:eastAsia="en-US"/>
        </w:rPr>
        <w:t>4.2</w:t>
      </w:r>
      <w:r>
        <w:rPr>
          <w:b/>
          <w:kern w:val="28"/>
          <w:sz w:val="22"/>
          <w:szCs w:val="22"/>
          <w:lang w:eastAsia="en-US"/>
        </w:rPr>
        <w:tab/>
        <w:t>Dozavimas ir vartojimo metodas</w:t>
      </w:r>
    </w:p>
    <w:p w14:paraId="07606547" w14:textId="77777777" w:rsidR="003B31DC" w:rsidRDefault="003B31DC">
      <w:pPr>
        <w:widowControl w:val="0"/>
        <w:ind w:left="567" w:hanging="567"/>
        <w:rPr>
          <w:bCs/>
          <w:sz w:val="22"/>
          <w:szCs w:val="22"/>
          <w:lang w:eastAsia="en-US"/>
        </w:rPr>
      </w:pPr>
    </w:p>
    <w:p w14:paraId="181A00C7" w14:textId="77777777" w:rsidR="003B31DC" w:rsidRDefault="00913CBE">
      <w:pPr>
        <w:widowControl w:val="0"/>
        <w:rPr>
          <w:sz w:val="22"/>
          <w:szCs w:val="22"/>
          <w:u w:val="single"/>
          <w:lang w:eastAsia="en-US"/>
        </w:rPr>
      </w:pPr>
      <w:r>
        <w:rPr>
          <w:sz w:val="22"/>
          <w:szCs w:val="22"/>
          <w:u w:val="single"/>
          <w:lang w:eastAsia="en-US"/>
        </w:rPr>
        <w:t>Dozavimas</w:t>
      </w:r>
    </w:p>
    <w:p w14:paraId="389C9DAC" w14:textId="77777777" w:rsidR="003B31DC" w:rsidRDefault="003B31DC">
      <w:pPr>
        <w:widowControl w:val="0"/>
        <w:rPr>
          <w:sz w:val="22"/>
          <w:szCs w:val="22"/>
          <w:lang w:eastAsia="en-US"/>
        </w:rPr>
      </w:pPr>
    </w:p>
    <w:p w14:paraId="6B599EFB" w14:textId="77777777" w:rsidR="003B31DC" w:rsidRDefault="00913CBE">
      <w:pPr>
        <w:rPr>
          <w:i/>
          <w:iCs/>
          <w:snapToGrid w:val="0"/>
          <w:sz w:val="22"/>
          <w:szCs w:val="22"/>
          <w:u w:val="single"/>
          <w:lang w:eastAsia="en-US"/>
        </w:rPr>
      </w:pPr>
      <w:r>
        <w:rPr>
          <w:i/>
          <w:iCs/>
          <w:snapToGrid w:val="0"/>
          <w:sz w:val="22"/>
          <w:szCs w:val="22"/>
          <w:u w:val="single"/>
          <w:lang w:eastAsia="en-US"/>
        </w:rPr>
        <w:t>Suaugusieji, kurių inkstų funkcija normali (</w:t>
      </w:r>
      <w:proofErr w:type="spellStart"/>
      <w:r>
        <w:rPr>
          <w:i/>
          <w:iCs/>
          <w:snapToGrid w:val="0"/>
          <w:sz w:val="22"/>
          <w:szCs w:val="22"/>
          <w:u w:val="single"/>
          <w:lang w:eastAsia="en-US"/>
        </w:rPr>
        <w:t>aGFG</w:t>
      </w:r>
      <w:proofErr w:type="spellEnd"/>
      <w:r>
        <w:rPr>
          <w:i/>
          <w:iCs/>
          <w:snapToGrid w:val="0"/>
          <w:sz w:val="22"/>
          <w:szCs w:val="22"/>
          <w:u w:val="single"/>
          <w:lang w:eastAsia="en-US"/>
        </w:rPr>
        <w:t xml:space="preserve">  ≥ 90 ml/min./1,73 m</w:t>
      </w:r>
      <w:r>
        <w:rPr>
          <w:i/>
          <w:iCs/>
          <w:snapToGrid w:val="0"/>
          <w:sz w:val="22"/>
          <w:szCs w:val="22"/>
          <w:u w:val="single"/>
          <w:vertAlign w:val="superscript"/>
          <w:lang w:eastAsia="en-US"/>
        </w:rPr>
        <w:t>2</w:t>
      </w:r>
      <w:r>
        <w:rPr>
          <w:i/>
          <w:iCs/>
          <w:snapToGrid w:val="0"/>
          <w:sz w:val="22"/>
          <w:szCs w:val="22"/>
          <w:u w:val="single"/>
          <w:lang w:eastAsia="en-US"/>
        </w:rPr>
        <w:t>.)</w:t>
      </w:r>
    </w:p>
    <w:p w14:paraId="6834F8AB" w14:textId="7051811A" w:rsidR="003B31DC" w:rsidRDefault="00913CBE">
      <w:pPr>
        <w:tabs>
          <w:tab w:val="left" w:pos="567"/>
        </w:tabs>
        <w:rPr>
          <w:snapToGrid w:val="0"/>
          <w:sz w:val="22"/>
          <w:szCs w:val="22"/>
          <w:lang w:eastAsia="en-US"/>
        </w:rPr>
      </w:pPr>
      <w:r>
        <w:rPr>
          <w:snapToGrid w:val="0"/>
          <w:sz w:val="22"/>
          <w:szCs w:val="22"/>
          <w:lang w:eastAsia="en-US"/>
        </w:rPr>
        <w:t xml:space="preserve">Rekomenduojama dozė </w:t>
      </w:r>
      <w:r w:rsidR="006B0AA9">
        <w:rPr>
          <w:snapToGrid w:val="0"/>
          <w:sz w:val="22"/>
          <w:szCs w:val="22"/>
          <w:lang w:eastAsia="en-US"/>
        </w:rPr>
        <w:t xml:space="preserve">yra </w:t>
      </w:r>
      <w:r w:rsidR="002A6340">
        <w:rPr>
          <w:snapToGrid w:val="0"/>
          <w:sz w:val="22"/>
          <w:szCs w:val="22"/>
          <w:lang w:eastAsia="en-US"/>
        </w:rPr>
        <w:t xml:space="preserve">po </w:t>
      </w:r>
      <w:r>
        <w:rPr>
          <w:snapToGrid w:val="0"/>
          <w:sz w:val="22"/>
          <w:szCs w:val="22"/>
          <w:lang w:eastAsia="en-US"/>
        </w:rPr>
        <w:t>vien</w:t>
      </w:r>
      <w:r w:rsidR="002A6340">
        <w:rPr>
          <w:snapToGrid w:val="0"/>
          <w:sz w:val="22"/>
          <w:szCs w:val="22"/>
          <w:lang w:eastAsia="en-US"/>
        </w:rPr>
        <w:t>ą</w:t>
      </w:r>
      <w:r>
        <w:rPr>
          <w:snapToGrid w:val="0"/>
          <w:sz w:val="22"/>
          <w:szCs w:val="22"/>
          <w:lang w:eastAsia="en-US"/>
        </w:rPr>
        <w:t xml:space="preserve"> tablet</w:t>
      </w:r>
      <w:r w:rsidR="002A6340">
        <w:rPr>
          <w:snapToGrid w:val="0"/>
          <w:sz w:val="22"/>
          <w:szCs w:val="22"/>
          <w:lang w:eastAsia="en-US"/>
        </w:rPr>
        <w:t>ę</w:t>
      </w:r>
      <w:r>
        <w:rPr>
          <w:snapToGrid w:val="0"/>
          <w:sz w:val="22"/>
          <w:szCs w:val="22"/>
          <w:lang w:eastAsia="en-US"/>
        </w:rPr>
        <w:t xml:space="preserve"> du kartus per parą. Dozavimas turi būti</w:t>
      </w:r>
      <w:r w:rsidR="00F00929">
        <w:rPr>
          <w:snapToGrid w:val="0"/>
          <w:sz w:val="22"/>
          <w:szCs w:val="22"/>
          <w:lang w:eastAsia="en-US"/>
        </w:rPr>
        <w:t xml:space="preserve"> nustatomas individualiai</w:t>
      </w:r>
      <w:r>
        <w:rPr>
          <w:snapToGrid w:val="0"/>
          <w:sz w:val="22"/>
          <w:szCs w:val="22"/>
          <w:lang w:eastAsia="en-US"/>
        </w:rPr>
        <w:t xml:space="preserve">, </w:t>
      </w:r>
      <w:r w:rsidR="00F00929">
        <w:rPr>
          <w:snapToGrid w:val="0"/>
          <w:sz w:val="22"/>
          <w:szCs w:val="22"/>
          <w:lang w:eastAsia="en-US"/>
        </w:rPr>
        <w:t xml:space="preserve">atsižvelgiant į </w:t>
      </w:r>
      <w:r w:rsidR="008A0805">
        <w:rPr>
          <w:snapToGrid w:val="0"/>
          <w:sz w:val="22"/>
          <w:szCs w:val="22"/>
          <w:lang w:eastAsia="en-US"/>
        </w:rPr>
        <w:t>paciento tuo metu vartojamą gydymo schemą</w:t>
      </w:r>
      <w:r w:rsidR="008A0805" w:rsidRPr="001249E3">
        <w:rPr>
          <w:snapToGrid w:val="0"/>
          <w:sz w:val="22"/>
          <w:szCs w:val="22"/>
          <w:lang w:eastAsia="en-US"/>
        </w:rPr>
        <w:t>,</w:t>
      </w:r>
      <w:r w:rsidR="001249E3" w:rsidRPr="001249E3">
        <w:rPr>
          <w:snapToGrid w:val="0"/>
          <w:sz w:val="22"/>
          <w:szCs w:val="22"/>
          <w:lang w:eastAsia="en-US"/>
        </w:rPr>
        <w:t xml:space="preserve"> </w:t>
      </w:r>
      <w:r w:rsidR="001249E3" w:rsidRPr="00FA2F7A">
        <w:rPr>
          <w:sz w:val="22"/>
          <w:szCs w:val="22"/>
        </w:rPr>
        <w:t xml:space="preserve">efektyvumą ir toleravimą, vartojant rekomenduojamą 10 mg arba 25 mg paros dozę </w:t>
      </w:r>
      <w:proofErr w:type="spellStart"/>
      <w:r w:rsidR="001249E3" w:rsidRPr="00FA2F7A">
        <w:rPr>
          <w:sz w:val="22"/>
          <w:szCs w:val="22"/>
        </w:rPr>
        <w:t>empagliflozino</w:t>
      </w:r>
      <w:proofErr w:type="spellEnd"/>
      <w:r w:rsidR="001249E3" w:rsidRPr="00FA2F7A">
        <w:rPr>
          <w:sz w:val="22"/>
          <w:szCs w:val="22"/>
        </w:rPr>
        <w:t xml:space="preserve"> ir</w:t>
      </w:r>
      <w:r w:rsidR="001249E3">
        <w:rPr>
          <w:sz w:val="22"/>
          <w:szCs w:val="22"/>
        </w:rPr>
        <w:t xml:space="preserve"> </w:t>
      </w:r>
      <w:r>
        <w:rPr>
          <w:snapToGrid w:val="0"/>
          <w:sz w:val="22"/>
          <w:szCs w:val="22"/>
          <w:lang w:eastAsia="en-US"/>
        </w:rPr>
        <w:t xml:space="preserve"> neviršijant didžiausios rekomenduojamos </w:t>
      </w:r>
      <w:proofErr w:type="spellStart"/>
      <w:r>
        <w:rPr>
          <w:snapToGrid w:val="0"/>
          <w:sz w:val="22"/>
          <w:szCs w:val="22"/>
          <w:lang w:eastAsia="en-US"/>
        </w:rPr>
        <w:t>metformino</w:t>
      </w:r>
      <w:proofErr w:type="spellEnd"/>
      <w:r>
        <w:rPr>
          <w:snapToGrid w:val="0"/>
          <w:sz w:val="22"/>
          <w:szCs w:val="22"/>
          <w:lang w:eastAsia="en-US"/>
        </w:rPr>
        <w:t xml:space="preserve"> paros dozės.</w:t>
      </w:r>
    </w:p>
    <w:p w14:paraId="5334B121" w14:textId="77777777" w:rsidR="003B31DC" w:rsidRDefault="003B31DC">
      <w:pPr>
        <w:tabs>
          <w:tab w:val="left" w:pos="567"/>
        </w:tabs>
        <w:rPr>
          <w:snapToGrid w:val="0"/>
          <w:sz w:val="22"/>
          <w:szCs w:val="22"/>
          <w:u w:val="single"/>
          <w:lang w:eastAsia="en-US"/>
        </w:rPr>
      </w:pPr>
    </w:p>
    <w:p w14:paraId="277C263E" w14:textId="486E95A8" w:rsidR="003B31DC" w:rsidRPr="00FE3BD2" w:rsidRDefault="00913CBE">
      <w:pPr>
        <w:tabs>
          <w:tab w:val="left" w:pos="567"/>
        </w:tabs>
        <w:rPr>
          <w:i/>
          <w:iCs/>
          <w:snapToGrid w:val="0"/>
          <w:sz w:val="22"/>
          <w:szCs w:val="22"/>
          <w:u w:val="single"/>
          <w:lang w:eastAsia="en-US"/>
        </w:rPr>
      </w:pPr>
      <w:r>
        <w:rPr>
          <w:i/>
          <w:iCs/>
          <w:snapToGrid w:val="0"/>
          <w:sz w:val="22"/>
          <w:szCs w:val="22"/>
          <w:u w:val="single"/>
          <w:lang w:eastAsia="en-US"/>
        </w:rPr>
        <w:t>Pacientams</w:t>
      </w:r>
      <w:r w:rsidR="001D48A0" w:rsidRPr="00FE3BD2">
        <w:rPr>
          <w:i/>
          <w:iCs/>
          <w:snapToGrid w:val="0"/>
          <w:sz w:val="22"/>
          <w:szCs w:val="22"/>
          <w:u w:val="single"/>
          <w:lang w:eastAsia="en-US"/>
        </w:rPr>
        <w:t xml:space="preserve"> </w:t>
      </w:r>
      <w:r w:rsidR="001D48A0" w:rsidRPr="00FA2F7A">
        <w:rPr>
          <w:i/>
          <w:iCs/>
          <w:sz w:val="22"/>
          <w:szCs w:val="22"/>
        </w:rPr>
        <w:t xml:space="preserve">kurių </w:t>
      </w:r>
      <w:proofErr w:type="spellStart"/>
      <w:r w:rsidR="001D48A0" w:rsidRPr="00FA2F7A">
        <w:rPr>
          <w:i/>
          <w:iCs/>
          <w:sz w:val="22"/>
          <w:szCs w:val="22"/>
        </w:rPr>
        <w:t>glikemija</w:t>
      </w:r>
      <w:proofErr w:type="spellEnd"/>
      <w:r w:rsidR="001D48A0" w:rsidRPr="00FA2F7A">
        <w:rPr>
          <w:i/>
          <w:iCs/>
          <w:sz w:val="22"/>
          <w:szCs w:val="22"/>
        </w:rPr>
        <w:t xml:space="preserve"> nepakankamai </w:t>
      </w:r>
      <w:r w:rsidR="009E0EF4">
        <w:rPr>
          <w:i/>
          <w:iCs/>
          <w:sz w:val="22"/>
          <w:szCs w:val="22"/>
        </w:rPr>
        <w:t>sureguliuota</w:t>
      </w:r>
      <w:r w:rsidR="001D48A0" w:rsidRPr="00FA2F7A">
        <w:rPr>
          <w:i/>
          <w:iCs/>
          <w:sz w:val="22"/>
          <w:szCs w:val="22"/>
        </w:rPr>
        <w:t xml:space="preserve"> </w:t>
      </w:r>
      <w:proofErr w:type="spellStart"/>
      <w:r w:rsidR="001D48A0" w:rsidRPr="00FA2F7A">
        <w:rPr>
          <w:i/>
          <w:iCs/>
          <w:sz w:val="22"/>
          <w:szCs w:val="22"/>
        </w:rPr>
        <w:t>metforminu</w:t>
      </w:r>
      <w:proofErr w:type="spellEnd"/>
      <w:r w:rsidR="001D48A0" w:rsidRPr="00FA2F7A">
        <w:rPr>
          <w:i/>
          <w:iCs/>
          <w:sz w:val="22"/>
          <w:szCs w:val="22"/>
        </w:rPr>
        <w:t xml:space="preserve"> (vienu arba derinyje su kitais vaistiniais preparatais diabetui gydyti)</w:t>
      </w:r>
    </w:p>
    <w:p w14:paraId="60D3D789" w14:textId="672C36DA" w:rsidR="003B31DC" w:rsidRDefault="00913CBE">
      <w:pPr>
        <w:tabs>
          <w:tab w:val="left" w:pos="567"/>
        </w:tabs>
        <w:rPr>
          <w:snapToGrid w:val="0"/>
          <w:sz w:val="22"/>
          <w:szCs w:val="22"/>
          <w:lang w:eastAsia="en-US"/>
        </w:rPr>
      </w:pPr>
      <w:r>
        <w:rPr>
          <w:snapToGrid w:val="0"/>
          <w:sz w:val="22"/>
          <w:szCs w:val="22"/>
          <w:lang w:eastAsia="en-US"/>
        </w:rPr>
        <w:t xml:space="preserve">Pacientams, </w:t>
      </w:r>
      <w:r w:rsidR="00525E75" w:rsidRPr="00FA2F7A">
        <w:rPr>
          <w:sz w:val="22"/>
          <w:szCs w:val="22"/>
        </w:rPr>
        <w:t xml:space="preserve">kurių </w:t>
      </w:r>
      <w:proofErr w:type="spellStart"/>
      <w:r w:rsidR="00525E75" w:rsidRPr="00FA2F7A">
        <w:rPr>
          <w:sz w:val="22"/>
          <w:szCs w:val="22"/>
        </w:rPr>
        <w:t>glikemija</w:t>
      </w:r>
      <w:proofErr w:type="spellEnd"/>
      <w:r w:rsidR="00525E75" w:rsidRPr="00FA2F7A">
        <w:rPr>
          <w:sz w:val="22"/>
          <w:szCs w:val="22"/>
        </w:rPr>
        <w:t xml:space="preserve"> nepakankamai </w:t>
      </w:r>
      <w:r w:rsidR="009E0EF4">
        <w:rPr>
          <w:sz w:val="22"/>
          <w:szCs w:val="22"/>
        </w:rPr>
        <w:t>sureguliuota</w:t>
      </w:r>
      <w:r w:rsidR="00525E75" w:rsidRPr="00FA2F7A">
        <w:rPr>
          <w:sz w:val="22"/>
          <w:szCs w:val="22"/>
        </w:rPr>
        <w:t xml:space="preserve"> vartojant</w:t>
      </w:r>
      <w:r w:rsidR="00525E75">
        <w:t xml:space="preserve"> </w:t>
      </w:r>
      <w:r>
        <w:rPr>
          <w:snapToGrid w:val="0"/>
          <w:sz w:val="22"/>
          <w:szCs w:val="22"/>
          <w:lang w:eastAsia="en-US"/>
        </w:rPr>
        <w:t xml:space="preserve"> vien </w:t>
      </w:r>
      <w:proofErr w:type="spellStart"/>
      <w:r>
        <w:rPr>
          <w:snapToGrid w:val="0"/>
          <w:sz w:val="22"/>
          <w:szCs w:val="22"/>
          <w:lang w:eastAsia="en-US"/>
        </w:rPr>
        <w:t>metformin</w:t>
      </w:r>
      <w:r w:rsidR="00D90616">
        <w:rPr>
          <w:snapToGrid w:val="0"/>
          <w:sz w:val="22"/>
          <w:szCs w:val="22"/>
          <w:lang w:eastAsia="en-US"/>
        </w:rPr>
        <w:t>ą</w:t>
      </w:r>
      <w:proofErr w:type="spellEnd"/>
      <w:r>
        <w:rPr>
          <w:snapToGrid w:val="0"/>
          <w:sz w:val="22"/>
          <w:szCs w:val="22"/>
          <w:lang w:eastAsia="en-US"/>
        </w:rPr>
        <w:t xml:space="preserve"> ar </w:t>
      </w:r>
      <w:proofErr w:type="spellStart"/>
      <w:r>
        <w:rPr>
          <w:snapToGrid w:val="0"/>
          <w:sz w:val="22"/>
          <w:szCs w:val="22"/>
          <w:lang w:eastAsia="en-US"/>
        </w:rPr>
        <w:t>metformino</w:t>
      </w:r>
      <w:proofErr w:type="spellEnd"/>
      <w:r>
        <w:rPr>
          <w:snapToGrid w:val="0"/>
          <w:sz w:val="22"/>
          <w:szCs w:val="22"/>
          <w:lang w:eastAsia="en-US"/>
        </w:rPr>
        <w:t xml:space="preserve"> </w:t>
      </w:r>
      <w:r w:rsidR="00D90616">
        <w:rPr>
          <w:snapToGrid w:val="0"/>
          <w:sz w:val="22"/>
          <w:szCs w:val="22"/>
          <w:lang w:eastAsia="en-US"/>
        </w:rPr>
        <w:t xml:space="preserve">derinį su </w:t>
      </w:r>
      <w:r>
        <w:rPr>
          <w:snapToGrid w:val="0"/>
          <w:sz w:val="22"/>
          <w:szCs w:val="22"/>
          <w:lang w:eastAsia="en-US"/>
        </w:rPr>
        <w:t>kit</w:t>
      </w:r>
      <w:r w:rsidR="00526ACE">
        <w:rPr>
          <w:snapToGrid w:val="0"/>
          <w:sz w:val="22"/>
          <w:szCs w:val="22"/>
          <w:lang w:eastAsia="en-US"/>
        </w:rPr>
        <w:t>ais</w:t>
      </w:r>
      <w:r>
        <w:rPr>
          <w:snapToGrid w:val="0"/>
          <w:sz w:val="22"/>
          <w:szCs w:val="22"/>
          <w:lang w:eastAsia="en-US"/>
        </w:rPr>
        <w:t xml:space="preserve"> vaistini</w:t>
      </w:r>
      <w:r w:rsidR="00526ACE">
        <w:rPr>
          <w:snapToGrid w:val="0"/>
          <w:sz w:val="22"/>
          <w:szCs w:val="22"/>
          <w:lang w:eastAsia="en-US"/>
        </w:rPr>
        <w:t>ais</w:t>
      </w:r>
      <w:r>
        <w:rPr>
          <w:snapToGrid w:val="0"/>
          <w:sz w:val="22"/>
          <w:szCs w:val="22"/>
          <w:lang w:eastAsia="en-US"/>
        </w:rPr>
        <w:t xml:space="preserve"> preparat</w:t>
      </w:r>
      <w:r w:rsidR="00526ACE">
        <w:rPr>
          <w:snapToGrid w:val="0"/>
          <w:sz w:val="22"/>
          <w:szCs w:val="22"/>
          <w:lang w:eastAsia="en-US"/>
        </w:rPr>
        <w:t>ais diabetui gydyti</w:t>
      </w:r>
      <w:r>
        <w:rPr>
          <w:snapToGrid w:val="0"/>
          <w:sz w:val="22"/>
          <w:szCs w:val="22"/>
          <w:lang w:eastAsia="en-US"/>
        </w:rPr>
        <w:t>, rekomenduojam</w:t>
      </w:r>
      <w:r w:rsidR="009C3056">
        <w:rPr>
          <w:snapToGrid w:val="0"/>
          <w:sz w:val="22"/>
          <w:szCs w:val="22"/>
          <w:lang w:eastAsia="en-US"/>
        </w:rPr>
        <w:t>a</w:t>
      </w:r>
      <w:r>
        <w:rPr>
          <w:snapToGrid w:val="0"/>
          <w:sz w:val="22"/>
          <w:szCs w:val="22"/>
          <w:lang w:eastAsia="en-US"/>
        </w:rPr>
        <w:t xml:space="preserve"> pradinė </w:t>
      </w:r>
      <w:proofErr w:type="spellStart"/>
      <w:r>
        <w:rPr>
          <w:snapToGrid w:val="0"/>
          <w:sz w:val="22"/>
          <w:szCs w:val="22"/>
          <w:lang w:eastAsia="en-US"/>
        </w:rPr>
        <w:t>Mempoglyn</w:t>
      </w:r>
      <w:proofErr w:type="spellEnd"/>
      <w:r>
        <w:rPr>
          <w:snapToGrid w:val="0"/>
          <w:sz w:val="22"/>
          <w:szCs w:val="22"/>
          <w:lang w:eastAsia="en-US"/>
        </w:rPr>
        <w:t xml:space="preserve"> dozė turi </w:t>
      </w:r>
      <w:r w:rsidR="00C26B2D">
        <w:rPr>
          <w:snapToGrid w:val="0"/>
          <w:sz w:val="22"/>
          <w:szCs w:val="22"/>
          <w:lang w:eastAsia="en-US"/>
        </w:rPr>
        <w:t xml:space="preserve">užtikrinti </w:t>
      </w:r>
      <w:r>
        <w:rPr>
          <w:snapToGrid w:val="0"/>
          <w:sz w:val="22"/>
          <w:szCs w:val="22"/>
          <w:lang w:eastAsia="en-US"/>
        </w:rPr>
        <w:t xml:space="preserve">5 mg </w:t>
      </w:r>
      <w:proofErr w:type="spellStart"/>
      <w:r>
        <w:rPr>
          <w:snapToGrid w:val="0"/>
          <w:sz w:val="22"/>
          <w:szCs w:val="22"/>
          <w:lang w:eastAsia="en-US"/>
        </w:rPr>
        <w:t>empagliflozino</w:t>
      </w:r>
      <w:proofErr w:type="spellEnd"/>
      <w:r>
        <w:rPr>
          <w:snapToGrid w:val="0"/>
          <w:sz w:val="22"/>
          <w:szCs w:val="22"/>
          <w:lang w:eastAsia="en-US"/>
        </w:rPr>
        <w:t xml:space="preserve"> </w:t>
      </w:r>
      <w:r w:rsidR="00C26B2D">
        <w:rPr>
          <w:snapToGrid w:val="0"/>
          <w:sz w:val="22"/>
          <w:szCs w:val="22"/>
          <w:lang w:eastAsia="en-US"/>
        </w:rPr>
        <w:t xml:space="preserve">dozę </w:t>
      </w:r>
      <w:r>
        <w:rPr>
          <w:snapToGrid w:val="0"/>
          <w:sz w:val="22"/>
          <w:szCs w:val="22"/>
          <w:lang w:eastAsia="en-US"/>
        </w:rPr>
        <w:t xml:space="preserve">du kartus per parą (10 mg paros dozė) ir </w:t>
      </w:r>
      <w:proofErr w:type="spellStart"/>
      <w:r>
        <w:rPr>
          <w:snapToGrid w:val="0"/>
          <w:sz w:val="22"/>
          <w:szCs w:val="22"/>
          <w:lang w:eastAsia="en-US"/>
        </w:rPr>
        <w:t>metformino</w:t>
      </w:r>
      <w:proofErr w:type="spellEnd"/>
      <w:r>
        <w:rPr>
          <w:snapToGrid w:val="0"/>
          <w:sz w:val="22"/>
          <w:szCs w:val="22"/>
          <w:lang w:eastAsia="en-US"/>
        </w:rPr>
        <w:t xml:space="preserve"> doz</w:t>
      </w:r>
      <w:r w:rsidR="00C26B2D">
        <w:rPr>
          <w:snapToGrid w:val="0"/>
          <w:sz w:val="22"/>
          <w:szCs w:val="22"/>
          <w:lang w:eastAsia="en-US"/>
        </w:rPr>
        <w:t>ę</w:t>
      </w:r>
      <w:r w:rsidR="00C83D16">
        <w:rPr>
          <w:snapToGrid w:val="0"/>
          <w:sz w:val="22"/>
          <w:szCs w:val="22"/>
          <w:lang w:eastAsia="en-US"/>
        </w:rPr>
        <w:t xml:space="preserve">, panašią į </w:t>
      </w:r>
      <w:r>
        <w:rPr>
          <w:snapToGrid w:val="0"/>
          <w:sz w:val="22"/>
          <w:szCs w:val="22"/>
          <w:lang w:eastAsia="en-US"/>
        </w:rPr>
        <w:t xml:space="preserve"> jau vartojam</w:t>
      </w:r>
      <w:r w:rsidR="00C83D16">
        <w:rPr>
          <w:snapToGrid w:val="0"/>
          <w:sz w:val="22"/>
          <w:szCs w:val="22"/>
          <w:lang w:eastAsia="en-US"/>
        </w:rPr>
        <w:t>ą</w:t>
      </w:r>
      <w:r>
        <w:rPr>
          <w:snapToGrid w:val="0"/>
          <w:sz w:val="22"/>
          <w:szCs w:val="22"/>
          <w:lang w:eastAsia="en-US"/>
        </w:rPr>
        <w:t xml:space="preserve">. Pacientams, kurie toleruoja bendrą 10 mg </w:t>
      </w:r>
      <w:proofErr w:type="spellStart"/>
      <w:r>
        <w:rPr>
          <w:snapToGrid w:val="0"/>
          <w:sz w:val="22"/>
          <w:szCs w:val="22"/>
          <w:lang w:eastAsia="en-US"/>
        </w:rPr>
        <w:t>empagliflozino</w:t>
      </w:r>
      <w:proofErr w:type="spellEnd"/>
      <w:r>
        <w:rPr>
          <w:snapToGrid w:val="0"/>
          <w:sz w:val="22"/>
          <w:szCs w:val="22"/>
          <w:lang w:eastAsia="en-US"/>
        </w:rPr>
        <w:t xml:space="preserve"> paros dozę ir kuriems reikalinga griežtesnė </w:t>
      </w:r>
      <w:proofErr w:type="spellStart"/>
      <w:r>
        <w:rPr>
          <w:snapToGrid w:val="0"/>
          <w:sz w:val="22"/>
          <w:szCs w:val="22"/>
          <w:lang w:eastAsia="en-US"/>
        </w:rPr>
        <w:t>glikemijos</w:t>
      </w:r>
      <w:proofErr w:type="spellEnd"/>
      <w:r>
        <w:rPr>
          <w:snapToGrid w:val="0"/>
          <w:sz w:val="22"/>
          <w:szCs w:val="22"/>
          <w:lang w:eastAsia="en-US"/>
        </w:rPr>
        <w:t xml:space="preserve"> kontrolė, dozė gali būti padidinta iki bendros 25 mg </w:t>
      </w:r>
      <w:proofErr w:type="spellStart"/>
      <w:r>
        <w:rPr>
          <w:snapToGrid w:val="0"/>
          <w:sz w:val="22"/>
          <w:szCs w:val="22"/>
          <w:lang w:eastAsia="en-US"/>
        </w:rPr>
        <w:t>empagliflozino</w:t>
      </w:r>
      <w:proofErr w:type="spellEnd"/>
      <w:r>
        <w:rPr>
          <w:snapToGrid w:val="0"/>
          <w:sz w:val="22"/>
          <w:szCs w:val="22"/>
          <w:lang w:eastAsia="en-US"/>
        </w:rPr>
        <w:t xml:space="preserve"> paros dozės. </w:t>
      </w:r>
      <w:r w:rsidR="00B54E6A">
        <w:rPr>
          <w:snapToGrid w:val="0"/>
          <w:sz w:val="22"/>
          <w:szCs w:val="22"/>
          <w:lang w:eastAsia="en-US"/>
        </w:rPr>
        <w:t xml:space="preserve">Kai </w:t>
      </w:r>
      <w:proofErr w:type="spellStart"/>
      <w:r>
        <w:rPr>
          <w:snapToGrid w:val="0"/>
          <w:sz w:val="22"/>
          <w:szCs w:val="22"/>
          <w:lang w:eastAsia="en-US"/>
        </w:rPr>
        <w:t>Mempoglyn</w:t>
      </w:r>
      <w:proofErr w:type="spellEnd"/>
      <w:r>
        <w:rPr>
          <w:snapToGrid w:val="0"/>
          <w:sz w:val="22"/>
          <w:szCs w:val="22"/>
          <w:lang w:eastAsia="en-US"/>
        </w:rPr>
        <w:t xml:space="preserve"> </w:t>
      </w:r>
      <w:r w:rsidR="00B54E6A">
        <w:rPr>
          <w:snapToGrid w:val="0"/>
          <w:sz w:val="22"/>
          <w:szCs w:val="22"/>
          <w:lang w:eastAsia="en-US"/>
        </w:rPr>
        <w:t xml:space="preserve">vartojamas kartu </w:t>
      </w:r>
      <w:r>
        <w:rPr>
          <w:snapToGrid w:val="0"/>
          <w:sz w:val="22"/>
          <w:szCs w:val="22"/>
          <w:lang w:eastAsia="en-US"/>
        </w:rPr>
        <w:t xml:space="preserve">su </w:t>
      </w:r>
      <w:proofErr w:type="spellStart"/>
      <w:r>
        <w:rPr>
          <w:snapToGrid w:val="0"/>
          <w:sz w:val="22"/>
          <w:szCs w:val="22"/>
          <w:lang w:eastAsia="en-US"/>
        </w:rPr>
        <w:t>sulfonilkarbamido</w:t>
      </w:r>
      <w:proofErr w:type="spellEnd"/>
      <w:r>
        <w:rPr>
          <w:snapToGrid w:val="0"/>
          <w:sz w:val="22"/>
          <w:szCs w:val="22"/>
          <w:lang w:eastAsia="en-US"/>
        </w:rPr>
        <w:t xml:space="preserve"> darini</w:t>
      </w:r>
      <w:r w:rsidR="00B54E6A">
        <w:rPr>
          <w:snapToGrid w:val="0"/>
          <w:sz w:val="22"/>
          <w:szCs w:val="22"/>
          <w:lang w:eastAsia="en-US"/>
        </w:rPr>
        <w:t>ais</w:t>
      </w:r>
      <w:r>
        <w:rPr>
          <w:snapToGrid w:val="0"/>
          <w:sz w:val="22"/>
          <w:szCs w:val="22"/>
          <w:lang w:eastAsia="en-US"/>
        </w:rPr>
        <w:t xml:space="preserve"> ir (arba) insulinu, gali reikėti mažesnės </w:t>
      </w:r>
      <w:proofErr w:type="spellStart"/>
      <w:r>
        <w:rPr>
          <w:snapToGrid w:val="0"/>
          <w:sz w:val="22"/>
          <w:szCs w:val="22"/>
          <w:lang w:eastAsia="en-US"/>
        </w:rPr>
        <w:t>sulfonilkarbamido</w:t>
      </w:r>
      <w:proofErr w:type="spellEnd"/>
      <w:r>
        <w:rPr>
          <w:snapToGrid w:val="0"/>
          <w:sz w:val="22"/>
          <w:szCs w:val="22"/>
          <w:lang w:eastAsia="en-US"/>
        </w:rPr>
        <w:t xml:space="preserve"> </w:t>
      </w:r>
      <w:r w:rsidR="00B54E6A">
        <w:rPr>
          <w:snapToGrid w:val="0"/>
          <w:sz w:val="22"/>
          <w:szCs w:val="22"/>
          <w:lang w:eastAsia="en-US"/>
        </w:rPr>
        <w:t xml:space="preserve">darinio </w:t>
      </w:r>
      <w:r>
        <w:rPr>
          <w:snapToGrid w:val="0"/>
          <w:sz w:val="22"/>
          <w:szCs w:val="22"/>
          <w:lang w:eastAsia="en-US"/>
        </w:rPr>
        <w:t xml:space="preserve">ir (arba) insulino dozės, </w:t>
      </w:r>
      <w:r w:rsidR="00B54E6A">
        <w:rPr>
          <w:snapToGrid w:val="0"/>
          <w:sz w:val="22"/>
          <w:szCs w:val="22"/>
          <w:lang w:eastAsia="en-US"/>
        </w:rPr>
        <w:t>siekiant sumažinti</w:t>
      </w:r>
      <w:r>
        <w:rPr>
          <w:snapToGrid w:val="0"/>
          <w:sz w:val="22"/>
          <w:szCs w:val="22"/>
          <w:lang w:eastAsia="en-US"/>
        </w:rPr>
        <w:t xml:space="preserve"> hipoglikemijos rizik</w:t>
      </w:r>
      <w:r w:rsidR="00F00B95">
        <w:rPr>
          <w:snapToGrid w:val="0"/>
          <w:sz w:val="22"/>
          <w:szCs w:val="22"/>
          <w:lang w:eastAsia="en-US"/>
        </w:rPr>
        <w:t>ą</w:t>
      </w:r>
      <w:r>
        <w:rPr>
          <w:snapToGrid w:val="0"/>
          <w:sz w:val="22"/>
          <w:szCs w:val="22"/>
          <w:lang w:eastAsia="en-US"/>
        </w:rPr>
        <w:t xml:space="preserve"> (žr. 4.5 ir 4.8 skyrius).</w:t>
      </w:r>
    </w:p>
    <w:p w14:paraId="3A0099C2" w14:textId="77777777" w:rsidR="003B31DC" w:rsidRDefault="003B31DC">
      <w:pPr>
        <w:tabs>
          <w:tab w:val="left" w:pos="567"/>
        </w:tabs>
        <w:rPr>
          <w:snapToGrid w:val="0"/>
          <w:sz w:val="22"/>
          <w:szCs w:val="22"/>
          <w:u w:val="single"/>
          <w:lang w:eastAsia="en-US"/>
        </w:rPr>
      </w:pPr>
    </w:p>
    <w:p w14:paraId="44176C09" w14:textId="2E5C85C0" w:rsidR="003B31DC" w:rsidRPr="00AC5DB6" w:rsidRDefault="00913CBE">
      <w:pPr>
        <w:tabs>
          <w:tab w:val="left" w:pos="567"/>
        </w:tabs>
        <w:rPr>
          <w:i/>
          <w:iCs/>
          <w:snapToGrid w:val="0"/>
          <w:sz w:val="22"/>
          <w:szCs w:val="22"/>
          <w:u w:val="single"/>
          <w:lang w:eastAsia="en-US"/>
        </w:rPr>
      </w:pPr>
      <w:r>
        <w:rPr>
          <w:i/>
          <w:iCs/>
          <w:snapToGrid w:val="0"/>
          <w:sz w:val="22"/>
          <w:szCs w:val="22"/>
          <w:u w:val="single"/>
          <w:lang w:eastAsia="en-US"/>
        </w:rPr>
        <w:t xml:space="preserve">Pacientams, </w:t>
      </w:r>
      <w:r w:rsidR="00006602" w:rsidRPr="00AC5DB6">
        <w:rPr>
          <w:i/>
          <w:iCs/>
          <w:snapToGrid w:val="0"/>
          <w:sz w:val="22"/>
          <w:szCs w:val="22"/>
          <w:u w:val="single"/>
          <w:lang w:eastAsia="en-US"/>
        </w:rPr>
        <w:t xml:space="preserve"> </w:t>
      </w:r>
      <w:r w:rsidR="00006602" w:rsidRPr="00FA2F7A">
        <w:rPr>
          <w:i/>
          <w:iCs/>
          <w:sz w:val="22"/>
          <w:szCs w:val="22"/>
        </w:rPr>
        <w:t xml:space="preserve">keičiantiems atskiras </w:t>
      </w:r>
      <w:proofErr w:type="spellStart"/>
      <w:r w:rsidR="00006602" w:rsidRPr="00FA2F7A">
        <w:rPr>
          <w:i/>
          <w:iCs/>
          <w:sz w:val="22"/>
          <w:szCs w:val="22"/>
        </w:rPr>
        <w:t>empagliflozino</w:t>
      </w:r>
      <w:proofErr w:type="spellEnd"/>
      <w:r w:rsidR="00006602" w:rsidRPr="00FA2F7A">
        <w:rPr>
          <w:i/>
          <w:iCs/>
          <w:sz w:val="22"/>
          <w:szCs w:val="22"/>
        </w:rPr>
        <w:t xml:space="preserve"> ir </w:t>
      </w:r>
      <w:proofErr w:type="spellStart"/>
      <w:r w:rsidR="00006602" w:rsidRPr="00FA2F7A">
        <w:rPr>
          <w:i/>
          <w:iCs/>
          <w:sz w:val="22"/>
          <w:szCs w:val="22"/>
        </w:rPr>
        <w:t>metformino</w:t>
      </w:r>
      <w:proofErr w:type="spellEnd"/>
      <w:r w:rsidR="00006602" w:rsidRPr="00FA2F7A">
        <w:rPr>
          <w:i/>
          <w:iCs/>
          <w:sz w:val="22"/>
          <w:szCs w:val="22"/>
        </w:rPr>
        <w:t xml:space="preserve"> tabletes į </w:t>
      </w:r>
      <w:proofErr w:type="spellStart"/>
      <w:r w:rsidR="00006602" w:rsidRPr="00FA2F7A">
        <w:rPr>
          <w:i/>
          <w:iCs/>
          <w:sz w:val="22"/>
          <w:szCs w:val="22"/>
        </w:rPr>
        <w:t>Mempoglyn</w:t>
      </w:r>
      <w:proofErr w:type="spellEnd"/>
    </w:p>
    <w:p w14:paraId="519876D3" w14:textId="3A3A8A83" w:rsidR="003B31DC" w:rsidRDefault="00913CBE">
      <w:pPr>
        <w:tabs>
          <w:tab w:val="left" w:pos="567"/>
        </w:tabs>
        <w:rPr>
          <w:snapToGrid w:val="0"/>
          <w:sz w:val="22"/>
          <w:szCs w:val="22"/>
          <w:lang w:eastAsia="en-US"/>
        </w:rPr>
      </w:pPr>
      <w:r>
        <w:rPr>
          <w:snapToGrid w:val="0"/>
          <w:sz w:val="22"/>
          <w:szCs w:val="22"/>
          <w:lang w:eastAsia="en-US"/>
        </w:rPr>
        <w:t xml:space="preserve">Pacientai, </w:t>
      </w:r>
      <w:r w:rsidR="00240863" w:rsidRPr="00FA2F7A">
        <w:rPr>
          <w:sz w:val="22"/>
          <w:szCs w:val="22"/>
        </w:rPr>
        <w:t>keičiantys atskiras</w:t>
      </w:r>
      <w:r w:rsidR="00240863">
        <w:t xml:space="preserve"> </w:t>
      </w:r>
      <w:proofErr w:type="spellStart"/>
      <w:r>
        <w:rPr>
          <w:snapToGrid w:val="0"/>
          <w:sz w:val="22"/>
          <w:szCs w:val="22"/>
          <w:lang w:eastAsia="en-US"/>
        </w:rPr>
        <w:t>empagliflozino</w:t>
      </w:r>
      <w:proofErr w:type="spellEnd"/>
      <w:r>
        <w:rPr>
          <w:snapToGrid w:val="0"/>
          <w:sz w:val="22"/>
          <w:szCs w:val="22"/>
          <w:lang w:eastAsia="en-US"/>
        </w:rPr>
        <w:t xml:space="preserve"> (10 mg ar 25 mg bendrą paros dozę) ir </w:t>
      </w:r>
      <w:proofErr w:type="spellStart"/>
      <w:r>
        <w:rPr>
          <w:snapToGrid w:val="0"/>
          <w:sz w:val="22"/>
          <w:szCs w:val="22"/>
          <w:lang w:eastAsia="en-US"/>
        </w:rPr>
        <w:t>metformino</w:t>
      </w:r>
      <w:proofErr w:type="spellEnd"/>
      <w:r>
        <w:rPr>
          <w:snapToGrid w:val="0"/>
          <w:sz w:val="22"/>
          <w:szCs w:val="22"/>
          <w:lang w:eastAsia="en-US"/>
        </w:rPr>
        <w:t xml:space="preserve"> tablet</w:t>
      </w:r>
      <w:r w:rsidR="001B192A">
        <w:rPr>
          <w:snapToGrid w:val="0"/>
          <w:sz w:val="22"/>
          <w:szCs w:val="22"/>
          <w:lang w:eastAsia="en-US"/>
        </w:rPr>
        <w:t>es į</w:t>
      </w:r>
      <w:r>
        <w:rPr>
          <w:snapToGrid w:val="0"/>
          <w:sz w:val="22"/>
          <w:szCs w:val="22"/>
          <w:lang w:eastAsia="en-US"/>
        </w:rPr>
        <w:t xml:space="preserve">  </w:t>
      </w:r>
      <w:proofErr w:type="spellStart"/>
      <w:r>
        <w:rPr>
          <w:snapToGrid w:val="0"/>
          <w:sz w:val="22"/>
          <w:szCs w:val="22"/>
          <w:lang w:eastAsia="en-US"/>
        </w:rPr>
        <w:t>Mempoglyn</w:t>
      </w:r>
      <w:proofErr w:type="spellEnd"/>
      <w:r>
        <w:rPr>
          <w:snapToGrid w:val="0"/>
          <w:sz w:val="22"/>
          <w:szCs w:val="22"/>
          <w:lang w:eastAsia="en-US"/>
        </w:rPr>
        <w:t>, turi gauti toki</w:t>
      </w:r>
      <w:r w:rsidR="00E56140">
        <w:rPr>
          <w:snapToGrid w:val="0"/>
          <w:sz w:val="22"/>
          <w:szCs w:val="22"/>
          <w:lang w:eastAsia="en-US"/>
        </w:rPr>
        <w:t>ą</w:t>
      </w:r>
      <w:r>
        <w:rPr>
          <w:snapToGrid w:val="0"/>
          <w:sz w:val="22"/>
          <w:szCs w:val="22"/>
          <w:lang w:eastAsia="en-US"/>
        </w:rPr>
        <w:t xml:space="preserve"> pači</w:t>
      </w:r>
      <w:r w:rsidR="00E56140">
        <w:rPr>
          <w:snapToGrid w:val="0"/>
          <w:sz w:val="22"/>
          <w:szCs w:val="22"/>
          <w:lang w:eastAsia="en-US"/>
        </w:rPr>
        <w:t>ą</w:t>
      </w:r>
      <w:r>
        <w:rPr>
          <w:snapToGrid w:val="0"/>
          <w:sz w:val="22"/>
          <w:szCs w:val="22"/>
          <w:lang w:eastAsia="en-US"/>
        </w:rPr>
        <w:t xml:space="preserve"> </w:t>
      </w:r>
      <w:proofErr w:type="spellStart"/>
      <w:r>
        <w:rPr>
          <w:snapToGrid w:val="0"/>
          <w:sz w:val="22"/>
          <w:szCs w:val="22"/>
          <w:lang w:eastAsia="en-US"/>
        </w:rPr>
        <w:t>empagliflozino</w:t>
      </w:r>
      <w:proofErr w:type="spellEnd"/>
      <w:r>
        <w:rPr>
          <w:snapToGrid w:val="0"/>
          <w:sz w:val="22"/>
          <w:szCs w:val="22"/>
          <w:lang w:eastAsia="en-US"/>
        </w:rPr>
        <w:t xml:space="preserve"> ir </w:t>
      </w:r>
      <w:proofErr w:type="spellStart"/>
      <w:r>
        <w:rPr>
          <w:snapToGrid w:val="0"/>
          <w:sz w:val="22"/>
          <w:szCs w:val="22"/>
          <w:lang w:eastAsia="en-US"/>
        </w:rPr>
        <w:t>metformino</w:t>
      </w:r>
      <w:proofErr w:type="spellEnd"/>
      <w:r>
        <w:rPr>
          <w:snapToGrid w:val="0"/>
          <w:sz w:val="22"/>
          <w:szCs w:val="22"/>
          <w:lang w:eastAsia="en-US"/>
        </w:rPr>
        <w:t xml:space="preserve"> paros doz</w:t>
      </w:r>
      <w:r w:rsidR="00E56140">
        <w:rPr>
          <w:snapToGrid w:val="0"/>
          <w:sz w:val="22"/>
          <w:szCs w:val="22"/>
          <w:lang w:eastAsia="en-US"/>
        </w:rPr>
        <w:t>ę</w:t>
      </w:r>
      <w:r>
        <w:rPr>
          <w:snapToGrid w:val="0"/>
          <w:sz w:val="22"/>
          <w:szCs w:val="22"/>
          <w:lang w:eastAsia="en-US"/>
        </w:rPr>
        <w:t xml:space="preserve">, </w:t>
      </w:r>
      <w:r w:rsidR="00E56140">
        <w:rPr>
          <w:snapToGrid w:val="0"/>
          <w:sz w:val="22"/>
          <w:szCs w:val="22"/>
          <w:lang w:eastAsia="en-US"/>
        </w:rPr>
        <w:t xml:space="preserve"> kokią vartojo </w:t>
      </w:r>
      <w:r w:rsidR="001359AD">
        <w:rPr>
          <w:snapToGrid w:val="0"/>
          <w:sz w:val="22"/>
          <w:szCs w:val="22"/>
          <w:lang w:eastAsia="en-US"/>
        </w:rPr>
        <w:t>iki tol</w:t>
      </w:r>
      <w:r>
        <w:rPr>
          <w:snapToGrid w:val="0"/>
          <w:sz w:val="22"/>
          <w:szCs w:val="22"/>
          <w:lang w:eastAsia="en-US"/>
        </w:rPr>
        <w:t xml:space="preserve">, arba artimiausią </w:t>
      </w:r>
      <w:proofErr w:type="spellStart"/>
      <w:r>
        <w:rPr>
          <w:snapToGrid w:val="0"/>
          <w:sz w:val="22"/>
          <w:szCs w:val="22"/>
          <w:lang w:eastAsia="en-US"/>
        </w:rPr>
        <w:t>terapiškai</w:t>
      </w:r>
      <w:proofErr w:type="spellEnd"/>
      <w:r>
        <w:rPr>
          <w:snapToGrid w:val="0"/>
          <w:sz w:val="22"/>
          <w:szCs w:val="22"/>
          <w:lang w:eastAsia="en-US"/>
        </w:rPr>
        <w:t xml:space="preserve"> tinkamą </w:t>
      </w:r>
      <w:proofErr w:type="spellStart"/>
      <w:r>
        <w:rPr>
          <w:snapToGrid w:val="0"/>
          <w:sz w:val="22"/>
          <w:szCs w:val="22"/>
          <w:lang w:eastAsia="en-US"/>
        </w:rPr>
        <w:t>metformino</w:t>
      </w:r>
      <w:proofErr w:type="spellEnd"/>
      <w:r>
        <w:rPr>
          <w:snapToGrid w:val="0"/>
          <w:sz w:val="22"/>
          <w:szCs w:val="22"/>
          <w:lang w:eastAsia="en-US"/>
        </w:rPr>
        <w:t xml:space="preserve"> dozę (</w:t>
      </w:r>
      <w:r w:rsidR="001359AD">
        <w:rPr>
          <w:snapToGrid w:val="0"/>
          <w:sz w:val="22"/>
          <w:szCs w:val="22"/>
          <w:lang w:eastAsia="en-US"/>
        </w:rPr>
        <w:t xml:space="preserve">galimas </w:t>
      </w:r>
      <w:r>
        <w:rPr>
          <w:snapToGrid w:val="0"/>
          <w:sz w:val="22"/>
          <w:szCs w:val="22"/>
          <w:lang w:eastAsia="en-US"/>
        </w:rPr>
        <w:t>stipruma</w:t>
      </w:r>
      <w:r w:rsidR="001359AD">
        <w:rPr>
          <w:snapToGrid w:val="0"/>
          <w:sz w:val="22"/>
          <w:szCs w:val="22"/>
          <w:lang w:eastAsia="en-US"/>
        </w:rPr>
        <w:t>s</w:t>
      </w:r>
      <w:r>
        <w:rPr>
          <w:snapToGrid w:val="0"/>
          <w:sz w:val="22"/>
          <w:szCs w:val="22"/>
          <w:lang w:eastAsia="en-US"/>
        </w:rPr>
        <w:t xml:space="preserve"> nurodyt</w:t>
      </w:r>
      <w:r w:rsidR="001359AD">
        <w:rPr>
          <w:snapToGrid w:val="0"/>
          <w:sz w:val="22"/>
          <w:szCs w:val="22"/>
          <w:lang w:eastAsia="en-US"/>
        </w:rPr>
        <w:t>as</w:t>
      </w:r>
      <w:r>
        <w:rPr>
          <w:snapToGrid w:val="0"/>
          <w:sz w:val="22"/>
          <w:szCs w:val="22"/>
          <w:lang w:eastAsia="en-US"/>
        </w:rPr>
        <w:t xml:space="preserve"> 2 skyriuje).</w:t>
      </w:r>
    </w:p>
    <w:p w14:paraId="61136985" w14:textId="77777777" w:rsidR="003B31DC" w:rsidRDefault="003B31DC">
      <w:pPr>
        <w:tabs>
          <w:tab w:val="left" w:pos="567"/>
        </w:tabs>
        <w:rPr>
          <w:snapToGrid w:val="0"/>
          <w:sz w:val="22"/>
          <w:szCs w:val="22"/>
          <w:u w:val="single"/>
          <w:lang w:eastAsia="en-US"/>
        </w:rPr>
      </w:pPr>
    </w:p>
    <w:p w14:paraId="40C41099" w14:textId="77777777" w:rsidR="003B31DC" w:rsidRDefault="00913CBE">
      <w:pPr>
        <w:tabs>
          <w:tab w:val="left" w:pos="567"/>
        </w:tabs>
        <w:rPr>
          <w:i/>
          <w:iCs/>
          <w:snapToGrid w:val="0"/>
          <w:sz w:val="22"/>
          <w:szCs w:val="22"/>
          <w:u w:val="single"/>
          <w:lang w:eastAsia="en-US"/>
        </w:rPr>
      </w:pPr>
      <w:r>
        <w:rPr>
          <w:i/>
          <w:iCs/>
          <w:snapToGrid w:val="0"/>
          <w:sz w:val="22"/>
          <w:szCs w:val="22"/>
          <w:u w:val="single"/>
          <w:lang w:eastAsia="en-US"/>
        </w:rPr>
        <w:t>Praleista dozė</w:t>
      </w:r>
    </w:p>
    <w:p w14:paraId="3CBD8C08" w14:textId="5D017172" w:rsidR="003B31DC" w:rsidRDefault="00913CBE">
      <w:pPr>
        <w:tabs>
          <w:tab w:val="left" w:pos="567"/>
        </w:tabs>
        <w:rPr>
          <w:snapToGrid w:val="0"/>
          <w:sz w:val="22"/>
          <w:szCs w:val="22"/>
          <w:lang w:eastAsia="en-US"/>
        </w:rPr>
      </w:pPr>
      <w:r>
        <w:rPr>
          <w:snapToGrid w:val="0"/>
          <w:sz w:val="22"/>
          <w:szCs w:val="22"/>
          <w:lang w:eastAsia="en-US"/>
        </w:rPr>
        <w:t xml:space="preserve">Jeigu dozė praleidžiama, ją pacientas turi išgerti tuoj pat, kai tik prisimena; </w:t>
      </w:r>
      <w:r w:rsidR="000460A4">
        <w:rPr>
          <w:snapToGrid w:val="0"/>
          <w:sz w:val="22"/>
          <w:szCs w:val="22"/>
          <w:lang w:eastAsia="en-US"/>
        </w:rPr>
        <w:t xml:space="preserve">tačiau </w:t>
      </w:r>
      <w:r>
        <w:rPr>
          <w:snapToGrid w:val="0"/>
          <w:sz w:val="22"/>
          <w:szCs w:val="22"/>
          <w:lang w:eastAsia="en-US"/>
        </w:rPr>
        <w:t>negalima vartoti dvigubos dozės tuo pačiu metu. Tokiu atveju nesuvartotą dozę reikia praleisti.</w:t>
      </w:r>
    </w:p>
    <w:p w14:paraId="4EB1EF90" w14:textId="77777777" w:rsidR="003B31DC" w:rsidRDefault="003B31DC">
      <w:pPr>
        <w:tabs>
          <w:tab w:val="left" w:pos="567"/>
        </w:tabs>
        <w:rPr>
          <w:snapToGrid w:val="0"/>
          <w:sz w:val="22"/>
          <w:szCs w:val="22"/>
          <w:u w:val="single"/>
          <w:lang w:eastAsia="en-US"/>
        </w:rPr>
      </w:pPr>
    </w:p>
    <w:p w14:paraId="1B404D4B" w14:textId="77777777" w:rsidR="003B31DC" w:rsidRDefault="00913CBE">
      <w:pPr>
        <w:tabs>
          <w:tab w:val="left" w:pos="567"/>
        </w:tabs>
        <w:rPr>
          <w:snapToGrid w:val="0"/>
          <w:sz w:val="22"/>
          <w:szCs w:val="22"/>
          <w:u w:val="single"/>
          <w:lang w:eastAsia="en-US"/>
        </w:rPr>
      </w:pPr>
      <w:r>
        <w:rPr>
          <w:snapToGrid w:val="0"/>
          <w:sz w:val="22"/>
          <w:szCs w:val="22"/>
          <w:u w:val="single"/>
          <w:lang w:eastAsia="en-US"/>
        </w:rPr>
        <w:t>Ypatingos populiacijos</w:t>
      </w:r>
    </w:p>
    <w:p w14:paraId="0CE1F1E4" w14:textId="77777777" w:rsidR="003B31DC" w:rsidRDefault="003B31DC">
      <w:pPr>
        <w:rPr>
          <w:i/>
          <w:iCs/>
          <w:snapToGrid w:val="0"/>
          <w:color w:val="000000"/>
          <w:sz w:val="22"/>
          <w:szCs w:val="22"/>
          <w:lang w:eastAsia="en-US"/>
        </w:rPr>
      </w:pPr>
    </w:p>
    <w:p w14:paraId="530981C8" w14:textId="77777777" w:rsidR="003B31DC" w:rsidRDefault="00913CBE">
      <w:pPr>
        <w:rPr>
          <w:bCs/>
          <w:i/>
          <w:iCs/>
          <w:snapToGrid w:val="0"/>
          <w:sz w:val="22"/>
          <w:szCs w:val="22"/>
          <w:lang w:eastAsia="en-US"/>
        </w:rPr>
      </w:pPr>
      <w:r>
        <w:rPr>
          <w:i/>
          <w:iCs/>
          <w:snapToGrid w:val="0"/>
          <w:color w:val="000000"/>
          <w:sz w:val="22"/>
          <w:szCs w:val="22"/>
          <w:lang w:eastAsia="en-US"/>
        </w:rPr>
        <w:t>Pacientams, kurių inkstų funkcija sutrikusi</w:t>
      </w:r>
    </w:p>
    <w:p w14:paraId="2EC4BA36" w14:textId="36AC10A6" w:rsidR="003B31DC" w:rsidRPr="00E31FA2" w:rsidRDefault="006B725D">
      <w:pPr>
        <w:rPr>
          <w:sz w:val="22"/>
          <w:szCs w:val="22"/>
          <w:lang w:eastAsia="sl-SI"/>
        </w:rPr>
      </w:pPr>
      <w:proofErr w:type="spellStart"/>
      <w:r>
        <w:rPr>
          <w:sz w:val="22"/>
          <w:szCs w:val="22"/>
          <w:lang w:eastAsia="sl-SI"/>
        </w:rPr>
        <w:t>Glikeminis</w:t>
      </w:r>
      <w:proofErr w:type="spellEnd"/>
      <w:r>
        <w:rPr>
          <w:sz w:val="22"/>
          <w:szCs w:val="22"/>
          <w:lang w:eastAsia="sl-SI"/>
        </w:rPr>
        <w:t xml:space="preserve"> </w:t>
      </w:r>
      <w:proofErr w:type="spellStart"/>
      <w:r>
        <w:rPr>
          <w:sz w:val="22"/>
          <w:szCs w:val="22"/>
          <w:lang w:eastAsia="sl-SI"/>
        </w:rPr>
        <w:t>e</w:t>
      </w:r>
      <w:r w:rsidR="00913CBE">
        <w:rPr>
          <w:sz w:val="22"/>
          <w:szCs w:val="22"/>
          <w:lang w:eastAsia="sl-SI"/>
        </w:rPr>
        <w:t>mpagliflozino</w:t>
      </w:r>
      <w:proofErr w:type="spellEnd"/>
      <w:r w:rsidR="00913CBE">
        <w:rPr>
          <w:sz w:val="22"/>
          <w:szCs w:val="22"/>
          <w:lang w:eastAsia="sl-SI"/>
        </w:rPr>
        <w:t xml:space="preserve"> veiksmingumas priklauso nuo inkstų funkcijos. </w:t>
      </w:r>
      <w:r w:rsidR="003944D0" w:rsidRPr="00FA2F7A">
        <w:rPr>
          <w:sz w:val="22"/>
          <w:szCs w:val="22"/>
        </w:rPr>
        <w:t xml:space="preserve">Širdies ir kraujagyslių ligų rizikos mažinimui papildomai prie standartinio gydymo pacientams, kurių </w:t>
      </w:r>
      <w:proofErr w:type="spellStart"/>
      <w:r w:rsidR="003944D0" w:rsidRPr="00FA2F7A">
        <w:rPr>
          <w:sz w:val="22"/>
          <w:szCs w:val="22"/>
        </w:rPr>
        <w:t>aGFG</w:t>
      </w:r>
      <w:proofErr w:type="spellEnd"/>
      <w:r w:rsidR="003944D0" w:rsidRPr="00FA2F7A">
        <w:rPr>
          <w:sz w:val="22"/>
          <w:szCs w:val="22"/>
        </w:rPr>
        <w:t xml:space="preserve"> yra mažesnis nei 60 ml/min/1,73 m², turi būti vartojama 10 mg </w:t>
      </w:r>
      <w:proofErr w:type="spellStart"/>
      <w:r w:rsidR="003944D0" w:rsidRPr="00FA2F7A">
        <w:rPr>
          <w:sz w:val="22"/>
          <w:szCs w:val="22"/>
        </w:rPr>
        <w:t>empagliflozino</w:t>
      </w:r>
      <w:proofErr w:type="spellEnd"/>
      <w:r w:rsidR="003944D0" w:rsidRPr="00FA2F7A">
        <w:rPr>
          <w:sz w:val="22"/>
          <w:szCs w:val="22"/>
        </w:rPr>
        <w:t xml:space="preserve"> paros dozė</w:t>
      </w:r>
      <w:r w:rsidR="003944D0">
        <w:rPr>
          <w:sz w:val="22"/>
          <w:szCs w:val="22"/>
          <w:lang w:eastAsia="sl-SI"/>
        </w:rPr>
        <w:t xml:space="preserve"> </w:t>
      </w:r>
      <w:r w:rsidR="00913CBE">
        <w:rPr>
          <w:sz w:val="22"/>
          <w:szCs w:val="22"/>
          <w:lang w:eastAsia="sl-SI"/>
        </w:rPr>
        <w:t xml:space="preserve">(žr. 1 lentelę). Kadangi </w:t>
      </w:r>
      <w:proofErr w:type="spellStart"/>
      <w:r w:rsidR="00913CBE">
        <w:rPr>
          <w:sz w:val="22"/>
          <w:szCs w:val="22"/>
          <w:lang w:eastAsia="sl-SI"/>
        </w:rPr>
        <w:t>empagliflozin</w:t>
      </w:r>
      <w:r w:rsidR="00251E20">
        <w:rPr>
          <w:sz w:val="22"/>
          <w:szCs w:val="22"/>
          <w:lang w:eastAsia="sl-SI"/>
        </w:rPr>
        <w:t>o</w:t>
      </w:r>
      <w:proofErr w:type="spellEnd"/>
      <w:r w:rsidR="00251E20">
        <w:rPr>
          <w:sz w:val="22"/>
          <w:szCs w:val="22"/>
          <w:lang w:eastAsia="sl-SI"/>
        </w:rPr>
        <w:t xml:space="preserve"> </w:t>
      </w:r>
      <w:proofErr w:type="spellStart"/>
      <w:r w:rsidR="00E31FA2" w:rsidRPr="00FA2F7A">
        <w:rPr>
          <w:sz w:val="22"/>
          <w:szCs w:val="22"/>
        </w:rPr>
        <w:t>glikemiją</w:t>
      </w:r>
      <w:proofErr w:type="spellEnd"/>
      <w:r w:rsidR="00E31FA2" w:rsidRPr="00FA2F7A">
        <w:rPr>
          <w:sz w:val="22"/>
          <w:szCs w:val="22"/>
        </w:rPr>
        <w:t xml:space="preserve"> mažinantis poveikis susilpnėja pacientams, kuriems yra vidutinio sunkumo inkstų nepakankamumas, ir tikriausiai visai neišryškėja pacientams, kuriems yra sunkus inkstų nepakankamumas, prireikus papildomos </w:t>
      </w:r>
      <w:proofErr w:type="spellStart"/>
      <w:r w:rsidR="00E31FA2" w:rsidRPr="00FA2F7A">
        <w:rPr>
          <w:sz w:val="22"/>
          <w:szCs w:val="22"/>
        </w:rPr>
        <w:t>glikemijos</w:t>
      </w:r>
      <w:proofErr w:type="spellEnd"/>
      <w:r w:rsidR="00E31FA2" w:rsidRPr="00FA2F7A">
        <w:rPr>
          <w:sz w:val="22"/>
          <w:szCs w:val="22"/>
        </w:rPr>
        <w:t xml:space="preserve"> kontrolės, reikia apsvarstyti kitų </w:t>
      </w:r>
      <w:proofErr w:type="spellStart"/>
      <w:r w:rsidR="00E31FA2" w:rsidRPr="00FA2F7A">
        <w:rPr>
          <w:sz w:val="22"/>
          <w:szCs w:val="22"/>
        </w:rPr>
        <w:t>antihiperglikeminių</w:t>
      </w:r>
      <w:proofErr w:type="spellEnd"/>
      <w:r w:rsidR="00E31FA2" w:rsidRPr="00FA2F7A">
        <w:rPr>
          <w:sz w:val="22"/>
          <w:szCs w:val="22"/>
        </w:rPr>
        <w:t xml:space="preserve"> vaistų pridėjimą</w:t>
      </w:r>
      <w:r w:rsidR="00913CBE" w:rsidRPr="00E31FA2">
        <w:rPr>
          <w:sz w:val="22"/>
          <w:szCs w:val="22"/>
          <w:lang w:eastAsia="sl-SI"/>
        </w:rPr>
        <w:t>.</w:t>
      </w:r>
    </w:p>
    <w:p w14:paraId="4C287A51" w14:textId="02076F2C" w:rsidR="003B31DC" w:rsidRDefault="00913CBE">
      <w:pPr>
        <w:rPr>
          <w:sz w:val="22"/>
          <w:szCs w:val="22"/>
          <w:lang w:eastAsia="sl-SI"/>
        </w:rPr>
      </w:pPr>
      <w:r>
        <w:rPr>
          <w:sz w:val="22"/>
          <w:szCs w:val="22"/>
          <w:lang w:eastAsia="sl-SI"/>
        </w:rPr>
        <w:t>Dozės koregavimo</w:t>
      </w:r>
      <w:r w:rsidR="00BD599A">
        <w:rPr>
          <w:sz w:val="22"/>
          <w:szCs w:val="22"/>
          <w:lang w:eastAsia="sl-SI"/>
        </w:rPr>
        <w:t xml:space="preserve"> rekomendacij</w:t>
      </w:r>
      <w:r w:rsidR="00DE1FFE">
        <w:rPr>
          <w:sz w:val="22"/>
          <w:szCs w:val="22"/>
          <w:lang w:eastAsia="sl-SI"/>
        </w:rPr>
        <w:t>a</w:t>
      </w:r>
      <w:r w:rsidR="00BD599A">
        <w:rPr>
          <w:sz w:val="22"/>
          <w:szCs w:val="22"/>
          <w:lang w:eastAsia="sl-SI"/>
        </w:rPr>
        <w:t>s</w:t>
      </w:r>
      <w:r>
        <w:rPr>
          <w:sz w:val="22"/>
          <w:szCs w:val="22"/>
          <w:lang w:eastAsia="sl-SI"/>
        </w:rPr>
        <w:t xml:space="preserve"> pagal </w:t>
      </w:r>
      <w:proofErr w:type="spellStart"/>
      <w:r>
        <w:rPr>
          <w:sz w:val="22"/>
          <w:szCs w:val="22"/>
          <w:lang w:eastAsia="sl-SI"/>
        </w:rPr>
        <w:t>aGFG</w:t>
      </w:r>
      <w:proofErr w:type="spellEnd"/>
      <w:r>
        <w:rPr>
          <w:sz w:val="22"/>
          <w:szCs w:val="22"/>
          <w:lang w:eastAsia="sl-SI"/>
        </w:rPr>
        <w:t xml:space="preserve"> arba kreatinino klirensą </w:t>
      </w:r>
      <w:r w:rsidR="00BD599A">
        <w:rPr>
          <w:sz w:val="22"/>
          <w:szCs w:val="22"/>
          <w:lang w:eastAsia="sl-SI"/>
        </w:rPr>
        <w:t xml:space="preserve">žr. </w:t>
      </w:r>
      <w:r>
        <w:rPr>
          <w:sz w:val="22"/>
          <w:szCs w:val="22"/>
          <w:lang w:eastAsia="sl-SI"/>
        </w:rPr>
        <w:t>1 lentelėje.</w:t>
      </w:r>
    </w:p>
    <w:p w14:paraId="47E940F4" w14:textId="77777777" w:rsidR="003B31DC" w:rsidRDefault="003B31DC">
      <w:pPr>
        <w:rPr>
          <w:bCs/>
          <w:iCs/>
          <w:sz w:val="22"/>
          <w:szCs w:val="22"/>
          <w:lang w:eastAsia="sl-SI"/>
        </w:rPr>
      </w:pPr>
    </w:p>
    <w:p w14:paraId="5A6DAE13" w14:textId="396E2455" w:rsidR="003B31DC" w:rsidRDefault="002C4B30">
      <w:pPr>
        <w:rPr>
          <w:bCs/>
          <w:iCs/>
          <w:sz w:val="22"/>
          <w:szCs w:val="22"/>
          <w:lang w:eastAsia="sl-SI"/>
        </w:rPr>
      </w:pPr>
      <w:r>
        <w:rPr>
          <w:bCs/>
          <w:iCs/>
          <w:sz w:val="22"/>
          <w:szCs w:val="22"/>
          <w:lang w:eastAsia="sl-SI"/>
        </w:rPr>
        <w:t xml:space="preserve"> </w:t>
      </w:r>
      <w:proofErr w:type="spellStart"/>
      <w:r w:rsidRPr="00FA2F7A">
        <w:rPr>
          <w:sz w:val="22"/>
          <w:szCs w:val="22"/>
        </w:rPr>
        <w:t>aGFG</w:t>
      </w:r>
      <w:proofErr w:type="spellEnd"/>
      <w:r w:rsidRPr="00FA2F7A">
        <w:rPr>
          <w:sz w:val="22"/>
          <w:szCs w:val="22"/>
        </w:rPr>
        <w:t xml:space="preserve"> turi būti įvertintas prieš pradedant gydymą preparatais, kurių sudėtyje yra </w:t>
      </w:r>
      <w:proofErr w:type="spellStart"/>
      <w:r w:rsidRPr="00FA2F7A">
        <w:rPr>
          <w:sz w:val="22"/>
          <w:szCs w:val="22"/>
        </w:rPr>
        <w:t>metformino</w:t>
      </w:r>
      <w:proofErr w:type="spellEnd"/>
      <w:r w:rsidRPr="00FA2F7A">
        <w:rPr>
          <w:sz w:val="22"/>
          <w:szCs w:val="22"/>
        </w:rPr>
        <w:t>, ir vėliau bent kartą per metus</w:t>
      </w:r>
      <w:r w:rsidR="00913CBE" w:rsidRPr="002C4B30">
        <w:rPr>
          <w:bCs/>
          <w:iCs/>
          <w:sz w:val="22"/>
          <w:szCs w:val="22"/>
          <w:lang w:eastAsia="sl-SI"/>
        </w:rPr>
        <w:t>.</w:t>
      </w:r>
      <w:r w:rsidR="00913CBE">
        <w:rPr>
          <w:bCs/>
          <w:iCs/>
          <w:sz w:val="22"/>
          <w:szCs w:val="22"/>
          <w:lang w:eastAsia="sl-SI"/>
        </w:rPr>
        <w:t xml:space="preserve"> Pacientams, kuriems yra padidėjusi inkstų funkcijos sutrikimo progresavimo rizika, ir senyviems </w:t>
      </w:r>
      <w:r w:rsidR="008B2825">
        <w:rPr>
          <w:bCs/>
          <w:iCs/>
          <w:sz w:val="22"/>
          <w:szCs w:val="22"/>
          <w:lang w:eastAsia="sl-SI"/>
        </w:rPr>
        <w:t>asmenims</w:t>
      </w:r>
      <w:r w:rsidR="00BA15A6">
        <w:rPr>
          <w:bCs/>
          <w:iCs/>
          <w:sz w:val="22"/>
          <w:szCs w:val="22"/>
          <w:lang w:eastAsia="sl-SI"/>
        </w:rPr>
        <w:t>,</w:t>
      </w:r>
      <w:r w:rsidR="008B2825">
        <w:rPr>
          <w:bCs/>
          <w:iCs/>
          <w:sz w:val="22"/>
          <w:szCs w:val="22"/>
          <w:lang w:eastAsia="sl-SI"/>
        </w:rPr>
        <w:t xml:space="preserve"> </w:t>
      </w:r>
      <w:r w:rsidR="00913CBE">
        <w:rPr>
          <w:bCs/>
          <w:iCs/>
          <w:sz w:val="22"/>
          <w:szCs w:val="22"/>
          <w:lang w:eastAsia="sl-SI"/>
        </w:rPr>
        <w:t>inkstų funkciją reikia vertinti dažniau, pvz., kas 3-6 mėnesius.</w:t>
      </w:r>
    </w:p>
    <w:p w14:paraId="3CBBFC26" w14:textId="77777777" w:rsidR="003B31DC" w:rsidRDefault="003B31DC">
      <w:pPr>
        <w:rPr>
          <w:bCs/>
          <w:iCs/>
          <w:sz w:val="22"/>
          <w:szCs w:val="22"/>
          <w:lang w:eastAsia="sl-SI"/>
        </w:rPr>
      </w:pPr>
    </w:p>
    <w:p w14:paraId="12C51134" w14:textId="77777777" w:rsidR="003B31DC" w:rsidRDefault="00913CBE">
      <w:pPr>
        <w:rPr>
          <w:bCs/>
          <w:iCs/>
          <w:sz w:val="22"/>
          <w:szCs w:val="22"/>
          <w:lang w:eastAsia="sl-SI"/>
        </w:rPr>
      </w:pPr>
      <w:r>
        <w:rPr>
          <w:bCs/>
          <w:iCs/>
          <w:sz w:val="22"/>
          <w:szCs w:val="22"/>
          <w:lang w:eastAsia="sl-SI"/>
        </w:rPr>
        <w:t xml:space="preserve">Jei nėra tinkamo </w:t>
      </w:r>
      <w:proofErr w:type="spellStart"/>
      <w:r>
        <w:rPr>
          <w:bCs/>
          <w:iCs/>
          <w:sz w:val="22"/>
          <w:szCs w:val="22"/>
          <w:lang w:eastAsia="sl-SI"/>
        </w:rPr>
        <w:t>Mempoglyn</w:t>
      </w:r>
      <w:proofErr w:type="spellEnd"/>
      <w:r>
        <w:rPr>
          <w:bCs/>
          <w:iCs/>
          <w:sz w:val="22"/>
          <w:szCs w:val="22"/>
          <w:lang w:eastAsia="sl-SI"/>
        </w:rPr>
        <w:t xml:space="preserve"> stiprumo, vietoj fiksuotų dozių derinio reikia vartoti atskirus vieną veikliąją medžiagą turinčius komponentus.</w:t>
      </w:r>
    </w:p>
    <w:p w14:paraId="2D31B1BD" w14:textId="77777777" w:rsidR="003B31DC" w:rsidRDefault="003B31DC">
      <w:pPr>
        <w:rPr>
          <w:bCs/>
          <w:iCs/>
          <w:sz w:val="22"/>
          <w:szCs w:val="22"/>
          <w:lang w:eastAsia="sl-SI"/>
        </w:rPr>
      </w:pPr>
    </w:p>
    <w:p w14:paraId="667C5BD3" w14:textId="0092EB61" w:rsidR="003B31DC" w:rsidRDefault="00921245">
      <w:pPr>
        <w:rPr>
          <w:bCs/>
          <w:iCs/>
          <w:sz w:val="22"/>
          <w:szCs w:val="22"/>
          <w:lang w:eastAsia="sl-SI"/>
        </w:rPr>
      </w:pPr>
      <w:r w:rsidRPr="00FA2F7A">
        <w:rPr>
          <w:sz w:val="22"/>
          <w:szCs w:val="22"/>
        </w:rPr>
        <w:t xml:space="preserve">Vaikų populiacijos dozavimo rekomendacijas žr. poskyryje „Vaikų populiacija“ </w:t>
      </w:r>
      <w:r w:rsidR="00913CBE" w:rsidRPr="00921245">
        <w:rPr>
          <w:bCs/>
          <w:iCs/>
          <w:sz w:val="22"/>
          <w:szCs w:val="22"/>
          <w:lang w:eastAsia="sl-SI"/>
        </w:rPr>
        <w:t>toliau.</w:t>
      </w:r>
    </w:p>
    <w:p w14:paraId="4BDBA862" w14:textId="77777777" w:rsidR="003B31DC" w:rsidRDefault="003B31DC">
      <w:pPr>
        <w:rPr>
          <w:bCs/>
          <w:iCs/>
          <w:sz w:val="22"/>
          <w:szCs w:val="22"/>
          <w:lang w:eastAsia="sl-SI"/>
        </w:rPr>
      </w:pPr>
    </w:p>
    <w:p w14:paraId="44D7A5AC" w14:textId="77777777" w:rsidR="003B31DC" w:rsidRDefault="00913CBE">
      <w:pPr>
        <w:rPr>
          <w:bCs/>
          <w:iCs/>
          <w:sz w:val="22"/>
          <w:szCs w:val="22"/>
          <w:lang w:eastAsia="sl-SI"/>
        </w:rPr>
      </w:pPr>
      <w:r>
        <w:rPr>
          <w:bCs/>
          <w:iCs/>
          <w:sz w:val="22"/>
          <w:szCs w:val="22"/>
          <w:lang w:eastAsia="sl-SI"/>
        </w:rPr>
        <w:t>1 lentelė. Dozavimas suaugusiems pacientams, kuriems yra inkstų funkcijos sutrikimas</w:t>
      </w:r>
    </w:p>
    <w:tbl>
      <w:tblPr>
        <w:tblStyle w:val="TableGrid1"/>
        <w:tblW w:w="9288" w:type="dxa"/>
        <w:tblInd w:w="-108" w:type="dxa"/>
        <w:tblCellMar>
          <w:top w:w="51" w:type="dxa"/>
          <w:left w:w="108" w:type="dxa"/>
          <w:right w:w="115" w:type="dxa"/>
        </w:tblCellMar>
        <w:tblLook w:val="04A0" w:firstRow="1" w:lastRow="0" w:firstColumn="1" w:lastColumn="0" w:noHBand="0" w:noVBand="1"/>
      </w:tblPr>
      <w:tblGrid>
        <w:gridCol w:w="1673"/>
        <w:gridCol w:w="3809"/>
        <w:gridCol w:w="3806"/>
      </w:tblGrid>
      <w:tr w:rsidR="003B31DC" w14:paraId="0C19A896" w14:textId="77777777">
        <w:trPr>
          <w:trHeight w:val="264"/>
        </w:trPr>
        <w:tc>
          <w:tcPr>
            <w:tcW w:w="1673" w:type="dxa"/>
            <w:tcBorders>
              <w:top w:val="single" w:sz="4" w:space="0" w:color="000000"/>
              <w:left w:val="single" w:sz="4" w:space="0" w:color="000000"/>
              <w:bottom w:val="single" w:sz="4" w:space="0" w:color="000000"/>
              <w:right w:val="single" w:sz="4" w:space="0" w:color="000000"/>
            </w:tcBorders>
          </w:tcPr>
          <w:p w14:paraId="1FFB8ACF" w14:textId="77777777" w:rsidR="003B31DC" w:rsidRDefault="00913CBE">
            <w:pPr>
              <w:spacing w:line="259" w:lineRule="auto"/>
              <w:rPr>
                <w:b/>
                <w:bCs/>
                <w:lang w:eastAsia="sl-SI"/>
              </w:rPr>
            </w:pPr>
            <w:r>
              <w:rPr>
                <w:b/>
                <w:bCs/>
                <w:lang w:eastAsia="sl-SI"/>
              </w:rPr>
              <w:t>GFG ml/min</w:t>
            </w:r>
          </w:p>
        </w:tc>
        <w:tc>
          <w:tcPr>
            <w:tcW w:w="3809" w:type="dxa"/>
            <w:tcBorders>
              <w:top w:val="single" w:sz="4" w:space="0" w:color="000000"/>
              <w:left w:val="single" w:sz="4" w:space="0" w:color="000000"/>
              <w:bottom w:val="single" w:sz="4" w:space="0" w:color="000000"/>
              <w:right w:val="single" w:sz="4" w:space="0" w:color="000000"/>
            </w:tcBorders>
          </w:tcPr>
          <w:p w14:paraId="1008DA14" w14:textId="77777777" w:rsidR="003B31DC" w:rsidRDefault="00913CBE">
            <w:pPr>
              <w:spacing w:line="259" w:lineRule="auto"/>
              <w:rPr>
                <w:b/>
                <w:bCs/>
                <w:lang w:eastAsia="sl-SI"/>
              </w:rPr>
            </w:pPr>
            <w:r>
              <w:rPr>
                <w:b/>
                <w:bCs/>
                <w:lang w:eastAsia="sl-SI"/>
              </w:rPr>
              <w:t>Metforminas</w:t>
            </w:r>
          </w:p>
        </w:tc>
        <w:tc>
          <w:tcPr>
            <w:tcW w:w="3806" w:type="dxa"/>
            <w:tcBorders>
              <w:top w:val="single" w:sz="4" w:space="0" w:color="000000"/>
              <w:left w:val="single" w:sz="4" w:space="0" w:color="000000"/>
              <w:bottom w:val="single" w:sz="4" w:space="0" w:color="000000"/>
              <w:right w:val="single" w:sz="4" w:space="0" w:color="000000"/>
            </w:tcBorders>
          </w:tcPr>
          <w:p w14:paraId="3EA2F18E" w14:textId="77777777" w:rsidR="003B31DC" w:rsidRDefault="00913CBE">
            <w:pPr>
              <w:spacing w:line="259" w:lineRule="auto"/>
              <w:rPr>
                <w:b/>
                <w:bCs/>
                <w:lang w:eastAsia="sl-SI"/>
              </w:rPr>
            </w:pPr>
            <w:r>
              <w:rPr>
                <w:b/>
                <w:bCs/>
                <w:lang w:eastAsia="sl-SI"/>
              </w:rPr>
              <w:t>Empagliflozinas</w:t>
            </w:r>
          </w:p>
        </w:tc>
      </w:tr>
      <w:tr w:rsidR="003B31DC" w14:paraId="0EE8F421" w14:textId="77777777">
        <w:trPr>
          <w:trHeight w:val="768"/>
        </w:trPr>
        <w:tc>
          <w:tcPr>
            <w:tcW w:w="1673" w:type="dxa"/>
            <w:tcBorders>
              <w:top w:val="single" w:sz="4" w:space="0" w:color="000000"/>
              <w:left w:val="single" w:sz="4" w:space="0" w:color="000000"/>
              <w:bottom w:val="single" w:sz="4" w:space="0" w:color="000000"/>
              <w:right w:val="single" w:sz="4" w:space="0" w:color="000000"/>
            </w:tcBorders>
          </w:tcPr>
          <w:p w14:paraId="4F65275B" w14:textId="77777777" w:rsidR="003B31DC" w:rsidRDefault="00913CBE">
            <w:pPr>
              <w:spacing w:line="259" w:lineRule="auto"/>
              <w:rPr>
                <w:lang w:eastAsia="sl-SI"/>
              </w:rPr>
            </w:pPr>
            <w:r>
              <w:rPr>
                <w:lang w:eastAsia="sl-SI"/>
              </w:rPr>
              <w:lastRenderedPageBreak/>
              <w:t>≥ 60</w:t>
            </w:r>
          </w:p>
        </w:tc>
        <w:tc>
          <w:tcPr>
            <w:tcW w:w="3809" w:type="dxa"/>
            <w:tcBorders>
              <w:top w:val="single" w:sz="4" w:space="0" w:color="000000"/>
              <w:left w:val="single" w:sz="4" w:space="0" w:color="000000"/>
              <w:bottom w:val="single" w:sz="4" w:space="0" w:color="000000"/>
              <w:right w:val="single" w:sz="4" w:space="0" w:color="000000"/>
            </w:tcBorders>
          </w:tcPr>
          <w:p w14:paraId="76A3B5FB" w14:textId="77777777" w:rsidR="003B31DC" w:rsidRDefault="00913CBE">
            <w:pPr>
              <w:spacing w:line="259" w:lineRule="auto"/>
              <w:ind w:right="121"/>
              <w:rPr>
                <w:lang w:eastAsia="sl-SI"/>
              </w:rPr>
            </w:pPr>
            <w:r>
              <w:rPr>
                <w:lang w:eastAsia="sl-SI"/>
              </w:rPr>
              <w:t>Didžiausia paros dozė yra 3 000 mg.</w:t>
            </w:r>
          </w:p>
          <w:p w14:paraId="01895BEB" w14:textId="2333FE42" w:rsidR="003B31DC" w:rsidRDefault="00913CBE">
            <w:pPr>
              <w:spacing w:line="259" w:lineRule="auto"/>
              <w:ind w:right="121"/>
              <w:rPr>
                <w:lang w:eastAsia="sl-SI"/>
              </w:rPr>
            </w:pPr>
            <w:r>
              <w:rPr>
                <w:lang w:eastAsia="sl-SI"/>
              </w:rPr>
              <w:t xml:space="preserve">Dėl </w:t>
            </w:r>
            <w:r w:rsidR="00BC5D59">
              <w:rPr>
                <w:lang w:eastAsia="sl-SI"/>
              </w:rPr>
              <w:t xml:space="preserve">blogėjančios </w:t>
            </w:r>
            <w:r>
              <w:rPr>
                <w:lang w:eastAsia="sl-SI"/>
              </w:rPr>
              <w:t xml:space="preserve">inkstų funkcijos galima svarstyti </w:t>
            </w:r>
            <w:r w:rsidR="007F3906">
              <w:rPr>
                <w:lang w:eastAsia="sl-SI"/>
              </w:rPr>
              <w:t xml:space="preserve">dozės mažinimo </w:t>
            </w:r>
            <w:r>
              <w:rPr>
                <w:lang w:eastAsia="sl-SI"/>
              </w:rPr>
              <w:t>galimybę .</w:t>
            </w:r>
          </w:p>
        </w:tc>
        <w:tc>
          <w:tcPr>
            <w:tcW w:w="3806" w:type="dxa"/>
            <w:tcBorders>
              <w:top w:val="single" w:sz="4" w:space="0" w:color="000000"/>
              <w:left w:val="single" w:sz="4" w:space="0" w:color="000000"/>
              <w:bottom w:val="single" w:sz="4" w:space="0" w:color="000000"/>
              <w:right w:val="single" w:sz="4" w:space="0" w:color="000000"/>
            </w:tcBorders>
          </w:tcPr>
          <w:p w14:paraId="0D97F20F" w14:textId="55A25679" w:rsidR="003B31DC" w:rsidRDefault="00913CBE">
            <w:pPr>
              <w:spacing w:line="259" w:lineRule="auto"/>
              <w:rPr>
                <w:lang w:eastAsia="sl-SI"/>
              </w:rPr>
            </w:pPr>
            <w:r>
              <w:rPr>
                <w:lang w:eastAsia="sl-SI"/>
              </w:rPr>
              <w:t xml:space="preserve">Pradėti </w:t>
            </w:r>
            <w:r w:rsidR="00033539">
              <w:rPr>
                <w:lang w:eastAsia="sl-SI"/>
              </w:rPr>
              <w:t>gydymą</w:t>
            </w:r>
            <w:r>
              <w:rPr>
                <w:lang w:eastAsia="sl-SI"/>
              </w:rPr>
              <w:t xml:space="preserve"> 10 mg doz</w:t>
            </w:r>
            <w:r w:rsidR="00033539">
              <w:rPr>
                <w:lang w:eastAsia="sl-SI"/>
              </w:rPr>
              <w:t>e</w:t>
            </w:r>
            <w:r>
              <w:rPr>
                <w:lang w:eastAsia="sl-SI"/>
              </w:rPr>
              <w:t>.</w:t>
            </w:r>
          </w:p>
          <w:p w14:paraId="192DD8F5" w14:textId="77777777" w:rsidR="003B31DC" w:rsidRDefault="00913CBE">
            <w:pPr>
              <w:spacing w:line="259" w:lineRule="auto"/>
              <w:rPr>
                <w:lang w:eastAsia="sl-SI"/>
              </w:rPr>
            </w:pPr>
            <w:r>
              <w:rPr>
                <w:lang w:eastAsia="sl-SI"/>
              </w:rPr>
              <w:t>Pacientams, kurie toleruoja 10 mg dozę ir kuriems reikalinga papildoma glikemijos kontrolė, dozę galima padidinti iki 25 mg.</w:t>
            </w:r>
          </w:p>
        </w:tc>
      </w:tr>
      <w:tr w:rsidR="003B31DC" w14:paraId="08EFA5B1" w14:textId="77777777">
        <w:trPr>
          <w:trHeight w:val="768"/>
        </w:trPr>
        <w:tc>
          <w:tcPr>
            <w:tcW w:w="1673" w:type="dxa"/>
            <w:tcBorders>
              <w:top w:val="single" w:sz="4" w:space="0" w:color="000000"/>
              <w:left w:val="single" w:sz="4" w:space="0" w:color="000000"/>
              <w:bottom w:val="single" w:sz="4" w:space="0" w:color="000000"/>
              <w:right w:val="single" w:sz="4" w:space="0" w:color="000000"/>
            </w:tcBorders>
          </w:tcPr>
          <w:p w14:paraId="19EA4BE7" w14:textId="77777777" w:rsidR="003B31DC" w:rsidRDefault="00913CBE">
            <w:pPr>
              <w:spacing w:line="259" w:lineRule="auto"/>
              <w:rPr>
                <w:lang w:eastAsia="sl-SI"/>
              </w:rPr>
            </w:pPr>
            <w:r>
              <w:rPr>
                <w:lang w:eastAsia="sl-SI"/>
              </w:rPr>
              <w:t>Nuo 45 iki &lt; 60</w:t>
            </w:r>
          </w:p>
        </w:tc>
        <w:tc>
          <w:tcPr>
            <w:tcW w:w="3809" w:type="dxa"/>
            <w:tcBorders>
              <w:top w:val="single" w:sz="4" w:space="0" w:color="000000"/>
              <w:left w:val="single" w:sz="4" w:space="0" w:color="000000"/>
              <w:bottom w:val="single" w:sz="4" w:space="0" w:color="000000"/>
              <w:right w:val="single" w:sz="4" w:space="0" w:color="000000"/>
            </w:tcBorders>
          </w:tcPr>
          <w:p w14:paraId="4C6E97B3" w14:textId="77777777" w:rsidR="003B31DC" w:rsidRDefault="00913CBE">
            <w:pPr>
              <w:spacing w:line="259" w:lineRule="auto"/>
              <w:rPr>
                <w:lang w:eastAsia="sl-SI"/>
              </w:rPr>
            </w:pPr>
            <w:r>
              <w:rPr>
                <w:lang w:eastAsia="sl-SI"/>
              </w:rPr>
              <w:t>Didžiausia paros dozė yra 2 000 mg.</w:t>
            </w:r>
          </w:p>
          <w:p w14:paraId="49BE87C1" w14:textId="4FDC5598" w:rsidR="003B31DC" w:rsidRDefault="00913CBE">
            <w:pPr>
              <w:spacing w:line="259" w:lineRule="auto"/>
              <w:rPr>
                <w:lang w:eastAsia="sl-SI"/>
              </w:rPr>
            </w:pPr>
            <w:r>
              <w:rPr>
                <w:lang w:eastAsia="sl-SI"/>
              </w:rPr>
              <w:t xml:space="preserve">Pradinė dozė yra ne </w:t>
            </w:r>
            <w:r w:rsidR="001E2338">
              <w:rPr>
                <w:lang w:eastAsia="sl-SI"/>
              </w:rPr>
              <w:t xml:space="preserve">didesnė </w:t>
            </w:r>
            <w:r>
              <w:rPr>
                <w:lang w:eastAsia="sl-SI"/>
              </w:rPr>
              <w:t>kaip pusė didžiausios dozės.</w:t>
            </w:r>
          </w:p>
        </w:tc>
        <w:tc>
          <w:tcPr>
            <w:tcW w:w="3806" w:type="dxa"/>
            <w:tcBorders>
              <w:top w:val="single" w:sz="4" w:space="0" w:color="000000"/>
              <w:left w:val="single" w:sz="4" w:space="0" w:color="000000"/>
              <w:bottom w:val="single" w:sz="4" w:space="0" w:color="000000"/>
              <w:right w:val="single" w:sz="4" w:space="0" w:color="000000"/>
            </w:tcBorders>
          </w:tcPr>
          <w:p w14:paraId="2D6AD17A" w14:textId="6D5DF7CF" w:rsidR="003B31DC" w:rsidRDefault="00913CBE">
            <w:pPr>
              <w:spacing w:line="259" w:lineRule="auto"/>
              <w:rPr>
                <w:lang w:eastAsia="sl-SI"/>
              </w:rPr>
            </w:pPr>
            <w:r>
              <w:rPr>
                <w:lang w:eastAsia="sl-SI"/>
              </w:rPr>
              <w:t xml:space="preserve">Pradėti </w:t>
            </w:r>
            <w:r w:rsidR="00D76B19">
              <w:rPr>
                <w:lang w:eastAsia="sl-SI"/>
              </w:rPr>
              <w:t xml:space="preserve">gydymą </w:t>
            </w:r>
            <w:r>
              <w:rPr>
                <w:lang w:eastAsia="sl-SI"/>
              </w:rPr>
              <w:t xml:space="preserve"> 10 mg doz</w:t>
            </w:r>
            <w:r w:rsidR="00D76B19">
              <w:rPr>
                <w:lang w:eastAsia="sl-SI"/>
              </w:rPr>
              <w:t>e</w:t>
            </w:r>
            <w:r>
              <w:rPr>
                <w:lang w:eastAsia="sl-SI"/>
              </w:rPr>
              <w:t>.</w:t>
            </w:r>
            <w:r>
              <w:rPr>
                <w:vertAlign w:val="superscript"/>
                <w:lang w:eastAsia="sl-SI"/>
              </w:rPr>
              <w:t>b</w:t>
            </w:r>
          </w:p>
          <w:p w14:paraId="75F31167" w14:textId="48F8B024" w:rsidR="003B31DC" w:rsidRDefault="00913CBE">
            <w:pPr>
              <w:spacing w:line="259" w:lineRule="auto"/>
              <w:rPr>
                <w:lang w:eastAsia="sl-SI"/>
              </w:rPr>
            </w:pPr>
            <w:r>
              <w:rPr>
                <w:lang w:eastAsia="sl-SI"/>
              </w:rPr>
              <w:t xml:space="preserve">Pacientams, kurie jau vartoja empaglifloziną, </w:t>
            </w:r>
            <w:r w:rsidR="00D121CC">
              <w:rPr>
                <w:lang w:eastAsia="sl-SI"/>
              </w:rPr>
              <w:t>tęsti gydymą</w:t>
            </w:r>
            <w:r>
              <w:rPr>
                <w:lang w:eastAsia="sl-SI"/>
              </w:rPr>
              <w:t xml:space="preserve"> 10 mg</w:t>
            </w:r>
            <w:r w:rsidR="00B95108">
              <w:rPr>
                <w:lang w:eastAsia="sl-SI"/>
              </w:rPr>
              <w:t xml:space="preserve"> doze</w:t>
            </w:r>
            <w:r>
              <w:rPr>
                <w:lang w:eastAsia="sl-SI"/>
              </w:rPr>
              <w:t>.</w:t>
            </w:r>
          </w:p>
        </w:tc>
      </w:tr>
      <w:tr w:rsidR="003B31DC" w14:paraId="007CF6DF" w14:textId="77777777">
        <w:trPr>
          <w:trHeight w:val="770"/>
        </w:trPr>
        <w:tc>
          <w:tcPr>
            <w:tcW w:w="1673" w:type="dxa"/>
            <w:tcBorders>
              <w:top w:val="single" w:sz="4" w:space="0" w:color="000000"/>
              <w:left w:val="single" w:sz="4" w:space="0" w:color="000000"/>
              <w:bottom w:val="single" w:sz="4" w:space="0" w:color="000000"/>
              <w:right w:val="single" w:sz="4" w:space="0" w:color="000000"/>
            </w:tcBorders>
          </w:tcPr>
          <w:p w14:paraId="6CB421C8" w14:textId="77777777" w:rsidR="003B31DC" w:rsidRDefault="00913CBE">
            <w:pPr>
              <w:spacing w:line="259" w:lineRule="auto"/>
              <w:rPr>
                <w:lang w:eastAsia="sl-SI"/>
              </w:rPr>
            </w:pPr>
            <w:r>
              <w:rPr>
                <w:lang w:eastAsia="sl-SI"/>
              </w:rPr>
              <w:t>Nuo 30 iki &lt; 45</w:t>
            </w:r>
          </w:p>
        </w:tc>
        <w:tc>
          <w:tcPr>
            <w:tcW w:w="3809" w:type="dxa"/>
            <w:tcBorders>
              <w:top w:val="single" w:sz="4" w:space="0" w:color="000000"/>
              <w:left w:val="single" w:sz="4" w:space="0" w:color="000000"/>
              <w:bottom w:val="single" w:sz="4" w:space="0" w:color="000000"/>
              <w:right w:val="single" w:sz="4" w:space="0" w:color="000000"/>
            </w:tcBorders>
          </w:tcPr>
          <w:p w14:paraId="5580F57C" w14:textId="77777777" w:rsidR="003B31DC" w:rsidRDefault="00913CBE">
            <w:pPr>
              <w:spacing w:line="259" w:lineRule="auto"/>
              <w:rPr>
                <w:lang w:eastAsia="sl-SI"/>
              </w:rPr>
            </w:pPr>
            <w:r>
              <w:rPr>
                <w:lang w:eastAsia="sl-SI"/>
              </w:rPr>
              <w:t>Didžiausia paros dozė yra 1 000 mg.</w:t>
            </w:r>
          </w:p>
          <w:p w14:paraId="4F566B64" w14:textId="078A3D4F" w:rsidR="003B31DC" w:rsidRDefault="00913CBE">
            <w:pPr>
              <w:spacing w:line="259" w:lineRule="auto"/>
              <w:rPr>
                <w:lang w:eastAsia="sl-SI"/>
              </w:rPr>
            </w:pPr>
            <w:r>
              <w:rPr>
                <w:lang w:eastAsia="sl-SI"/>
              </w:rPr>
              <w:t xml:space="preserve">Pradinė dozė yra ne </w:t>
            </w:r>
            <w:r w:rsidR="001E2338">
              <w:rPr>
                <w:lang w:eastAsia="sl-SI"/>
              </w:rPr>
              <w:t xml:space="preserve">didesnė </w:t>
            </w:r>
            <w:r>
              <w:rPr>
                <w:lang w:eastAsia="sl-SI"/>
              </w:rPr>
              <w:t>kaip pusė didžiausios dozės.</w:t>
            </w:r>
          </w:p>
        </w:tc>
        <w:tc>
          <w:tcPr>
            <w:tcW w:w="3806" w:type="dxa"/>
            <w:tcBorders>
              <w:top w:val="single" w:sz="4" w:space="0" w:color="000000"/>
              <w:left w:val="single" w:sz="4" w:space="0" w:color="000000"/>
              <w:bottom w:val="single" w:sz="4" w:space="0" w:color="000000"/>
              <w:right w:val="single" w:sz="4" w:space="0" w:color="000000"/>
            </w:tcBorders>
          </w:tcPr>
          <w:p w14:paraId="4162B0E5" w14:textId="131B4D65" w:rsidR="003B31DC" w:rsidRDefault="00913CBE">
            <w:pPr>
              <w:spacing w:line="259" w:lineRule="auto"/>
              <w:rPr>
                <w:lang w:eastAsia="sl-SI"/>
              </w:rPr>
            </w:pPr>
            <w:r>
              <w:rPr>
                <w:lang w:eastAsia="sl-SI"/>
              </w:rPr>
              <w:t xml:space="preserve">Pradėti </w:t>
            </w:r>
            <w:r w:rsidR="004873D1">
              <w:rPr>
                <w:lang w:eastAsia="sl-SI"/>
              </w:rPr>
              <w:t>gydymą</w:t>
            </w:r>
            <w:r>
              <w:rPr>
                <w:lang w:eastAsia="sl-SI"/>
              </w:rPr>
              <w:t xml:space="preserve"> 10 mg doz</w:t>
            </w:r>
            <w:r w:rsidR="00887C25">
              <w:rPr>
                <w:lang w:eastAsia="sl-SI"/>
              </w:rPr>
              <w:t>e</w:t>
            </w:r>
            <w:r>
              <w:rPr>
                <w:lang w:eastAsia="sl-SI"/>
              </w:rPr>
              <w:t>.</w:t>
            </w:r>
            <w:r>
              <w:rPr>
                <w:vertAlign w:val="superscript"/>
                <w:lang w:eastAsia="sl-SI"/>
              </w:rPr>
              <w:t>b</w:t>
            </w:r>
          </w:p>
          <w:p w14:paraId="02292BAB" w14:textId="1974E520" w:rsidR="003B31DC" w:rsidRDefault="00913CBE">
            <w:pPr>
              <w:spacing w:line="259" w:lineRule="auto"/>
              <w:rPr>
                <w:lang w:eastAsia="sl-SI"/>
              </w:rPr>
            </w:pPr>
            <w:r>
              <w:rPr>
                <w:lang w:eastAsia="sl-SI"/>
              </w:rPr>
              <w:t xml:space="preserve">Pacientams, kurie jau vartoja empaglifloziną, </w:t>
            </w:r>
            <w:r w:rsidR="00AD611A">
              <w:rPr>
                <w:lang w:eastAsia="sl-SI"/>
              </w:rPr>
              <w:t xml:space="preserve">tęsti </w:t>
            </w:r>
            <w:r w:rsidR="00FC509E">
              <w:rPr>
                <w:lang w:eastAsia="sl-SI"/>
              </w:rPr>
              <w:t>gydymą</w:t>
            </w:r>
            <w:r>
              <w:rPr>
                <w:lang w:eastAsia="sl-SI"/>
              </w:rPr>
              <w:t xml:space="preserve"> 10 mg</w:t>
            </w:r>
            <w:r w:rsidR="00FC509E">
              <w:rPr>
                <w:lang w:eastAsia="sl-SI"/>
              </w:rPr>
              <w:t xml:space="preserve"> doze</w:t>
            </w:r>
            <w:r>
              <w:rPr>
                <w:lang w:eastAsia="sl-SI"/>
              </w:rPr>
              <w:t>.</w:t>
            </w:r>
            <w:r>
              <w:rPr>
                <w:vertAlign w:val="superscript"/>
                <w:lang w:eastAsia="sl-SI"/>
              </w:rPr>
              <w:t>b</w:t>
            </w:r>
          </w:p>
        </w:tc>
      </w:tr>
      <w:tr w:rsidR="003B31DC" w14:paraId="73362044" w14:textId="77777777">
        <w:trPr>
          <w:trHeight w:val="262"/>
        </w:trPr>
        <w:tc>
          <w:tcPr>
            <w:tcW w:w="1673" w:type="dxa"/>
            <w:tcBorders>
              <w:top w:val="single" w:sz="4" w:space="0" w:color="000000"/>
              <w:left w:val="single" w:sz="4" w:space="0" w:color="000000"/>
              <w:bottom w:val="single" w:sz="4" w:space="0" w:color="000000"/>
              <w:right w:val="single" w:sz="4" w:space="0" w:color="000000"/>
            </w:tcBorders>
          </w:tcPr>
          <w:p w14:paraId="551781E2" w14:textId="77777777" w:rsidR="003B31DC" w:rsidRDefault="00913CBE">
            <w:pPr>
              <w:spacing w:line="259" w:lineRule="auto"/>
              <w:rPr>
                <w:lang w:eastAsia="sl-SI"/>
              </w:rPr>
            </w:pPr>
            <w:r>
              <w:rPr>
                <w:lang w:eastAsia="sl-SI"/>
              </w:rPr>
              <w:t>&lt; 30</w:t>
            </w:r>
          </w:p>
        </w:tc>
        <w:tc>
          <w:tcPr>
            <w:tcW w:w="3809" w:type="dxa"/>
            <w:tcBorders>
              <w:top w:val="single" w:sz="4" w:space="0" w:color="000000"/>
              <w:left w:val="single" w:sz="4" w:space="0" w:color="000000"/>
              <w:bottom w:val="single" w:sz="4" w:space="0" w:color="000000"/>
              <w:right w:val="single" w:sz="4" w:space="0" w:color="000000"/>
            </w:tcBorders>
          </w:tcPr>
          <w:p w14:paraId="01DEA6C6" w14:textId="3486B067" w:rsidR="003B31DC" w:rsidRDefault="00913CBE">
            <w:pPr>
              <w:spacing w:line="259" w:lineRule="auto"/>
              <w:rPr>
                <w:lang w:eastAsia="sl-SI"/>
              </w:rPr>
            </w:pPr>
            <w:r>
              <w:rPr>
                <w:lang w:eastAsia="sl-SI"/>
              </w:rPr>
              <w:t xml:space="preserve">Metformino </w:t>
            </w:r>
            <w:r w:rsidR="00D81190">
              <w:rPr>
                <w:lang w:eastAsia="sl-SI"/>
              </w:rPr>
              <w:t xml:space="preserve">skirti </w:t>
            </w:r>
            <w:r>
              <w:rPr>
                <w:lang w:eastAsia="sl-SI"/>
              </w:rPr>
              <w:t>draudžiama.</w:t>
            </w:r>
          </w:p>
        </w:tc>
        <w:tc>
          <w:tcPr>
            <w:tcW w:w="3806" w:type="dxa"/>
            <w:tcBorders>
              <w:top w:val="single" w:sz="4" w:space="0" w:color="000000"/>
              <w:left w:val="single" w:sz="4" w:space="0" w:color="000000"/>
              <w:bottom w:val="single" w:sz="4" w:space="0" w:color="000000"/>
              <w:right w:val="single" w:sz="4" w:space="0" w:color="000000"/>
            </w:tcBorders>
          </w:tcPr>
          <w:p w14:paraId="55B09AF9" w14:textId="2E2A269A" w:rsidR="003B31DC" w:rsidRDefault="00913CBE">
            <w:pPr>
              <w:spacing w:line="259" w:lineRule="auto"/>
              <w:rPr>
                <w:lang w:eastAsia="sl-SI"/>
              </w:rPr>
            </w:pPr>
            <w:r>
              <w:rPr>
                <w:lang w:eastAsia="sl-SI"/>
              </w:rPr>
              <w:t xml:space="preserve">Empagliflozino </w:t>
            </w:r>
            <w:r w:rsidR="00E85E17">
              <w:rPr>
                <w:lang w:eastAsia="sl-SI"/>
              </w:rPr>
              <w:t xml:space="preserve">skirti </w:t>
            </w:r>
            <w:r>
              <w:rPr>
                <w:lang w:eastAsia="sl-SI"/>
              </w:rPr>
              <w:t>nerekomenduojama.</w:t>
            </w:r>
          </w:p>
        </w:tc>
      </w:tr>
    </w:tbl>
    <w:p w14:paraId="7E80D16D" w14:textId="77777777" w:rsidR="003B31DC" w:rsidRDefault="00913CBE">
      <w:pPr>
        <w:rPr>
          <w:sz w:val="20"/>
          <w:szCs w:val="20"/>
          <w:lang w:eastAsia="sl-SI"/>
        </w:rPr>
      </w:pPr>
      <w:r>
        <w:rPr>
          <w:sz w:val="20"/>
          <w:szCs w:val="20"/>
          <w:vertAlign w:val="superscript"/>
          <w:lang w:eastAsia="sl-SI"/>
        </w:rPr>
        <w:t>a</w:t>
      </w:r>
      <w:r>
        <w:rPr>
          <w:i/>
          <w:iCs/>
          <w:sz w:val="20"/>
          <w:szCs w:val="20"/>
          <w:lang w:eastAsia="sl-SI"/>
        </w:rPr>
        <w:t xml:space="preserve"> </w:t>
      </w:r>
      <w:r>
        <w:rPr>
          <w:sz w:val="20"/>
          <w:szCs w:val="20"/>
          <w:lang w:eastAsia="sl-SI"/>
        </w:rPr>
        <w:t>Žr. 4.4, 4.8, 5.1 ir 5.2 skyrius</w:t>
      </w:r>
    </w:p>
    <w:p w14:paraId="2EEF4533" w14:textId="77777777" w:rsidR="003B31DC" w:rsidRDefault="00913CBE">
      <w:pPr>
        <w:rPr>
          <w:sz w:val="20"/>
          <w:szCs w:val="20"/>
          <w:lang w:eastAsia="sl-SI"/>
        </w:rPr>
      </w:pPr>
      <w:r>
        <w:rPr>
          <w:sz w:val="20"/>
          <w:szCs w:val="20"/>
          <w:vertAlign w:val="superscript"/>
          <w:lang w:eastAsia="sl-SI"/>
        </w:rPr>
        <w:t>b</w:t>
      </w:r>
      <w:r>
        <w:rPr>
          <w:sz w:val="20"/>
          <w:szCs w:val="20"/>
          <w:lang w:eastAsia="sl-SI"/>
        </w:rPr>
        <w:t xml:space="preserve"> Pacientai, sergantys 2 tipo cukriniu diabetu ir nustatyta širdies bei kraujagyslių liga</w:t>
      </w:r>
    </w:p>
    <w:p w14:paraId="2C3E8015" w14:textId="77777777" w:rsidR="003B31DC" w:rsidRDefault="003B31DC">
      <w:pPr>
        <w:rPr>
          <w:sz w:val="22"/>
          <w:szCs w:val="22"/>
          <w:lang w:eastAsia="sl-SI"/>
        </w:rPr>
      </w:pPr>
    </w:p>
    <w:p w14:paraId="74C47533" w14:textId="77777777" w:rsidR="003B31DC" w:rsidRDefault="00913CBE">
      <w:pPr>
        <w:rPr>
          <w:bCs/>
          <w:i/>
          <w:iCs/>
          <w:snapToGrid w:val="0"/>
          <w:sz w:val="22"/>
          <w:szCs w:val="22"/>
          <w:lang w:eastAsia="en-US"/>
        </w:rPr>
      </w:pPr>
      <w:r>
        <w:rPr>
          <w:i/>
          <w:iCs/>
          <w:snapToGrid w:val="0"/>
          <w:color w:val="000000"/>
          <w:sz w:val="22"/>
          <w:szCs w:val="22"/>
          <w:lang w:eastAsia="en-US"/>
        </w:rPr>
        <w:t>Pacientams, kurių kepenų funkcija sutrikusi</w:t>
      </w:r>
    </w:p>
    <w:p w14:paraId="2FD121FC" w14:textId="77777777" w:rsidR="003B31DC" w:rsidRDefault="00913CBE">
      <w:pPr>
        <w:tabs>
          <w:tab w:val="left" w:pos="567"/>
        </w:tabs>
        <w:rPr>
          <w:snapToGrid w:val="0"/>
          <w:sz w:val="22"/>
          <w:szCs w:val="22"/>
          <w:lang w:eastAsia="en-US"/>
        </w:rPr>
      </w:pPr>
      <w:r>
        <w:rPr>
          <w:snapToGrid w:val="0"/>
          <w:sz w:val="22"/>
          <w:szCs w:val="22"/>
          <w:lang w:eastAsia="en-US"/>
        </w:rPr>
        <w:t>Šio vaistinio preparato negalima vartoti pacientams, kurių kepenų funkcija sutrikusi (žr. 4.3, 4.4 ir 5.2 skyrius).</w:t>
      </w:r>
    </w:p>
    <w:p w14:paraId="05118F27" w14:textId="77777777" w:rsidR="003B31DC" w:rsidRDefault="003B31DC">
      <w:pPr>
        <w:tabs>
          <w:tab w:val="left" w:pos="567"/>
        </w:tabs>
        <w:rPr>
          <w:snapToGrid w:val="0"/>
          <w:sz w:val="22"/>
          <w:szCs w:val="22"/>
          <w:lang w:eastAsia="en-US"/>
        </w:rPr>
      </w:pPr>
    </w:p>
    <w:p w14:paraId="0DAD6D0A" w14:textId="77777777" w:rsidR="003B31DC" w:rsidRDefault="00913CBE">
      <w:pPr>
        <w:tabs>
          <w:tab w:val="left" w:pos="567"/>
        </w:tabs>
        <w:rPr>
          <w:i/>
          <w:iCs/>
          <w:snapToGrid w:val="0"/>
          <w:sz w:val="22"/>
          <w:szCs w:val="22"/>
          <w:lang w:eastAsia="en-US"/>
        </w:rPr>
      </w:pPr>
      <w:r>
        <w:rPr>
          <w:i/>
          <w:iCs/>
          <w:snapToGrid w:val="0"/>
          <w:sz w:val="22"/>
          <w:szCs w:val="22"/>
          <w:lang w:eastAsia="en-US"/>
        </w:rPr>
        <w:t>Senyviems pacientams</w:t>
      </w:r>
    </w:p>
    <w:p w14:paraId="513CD001" w14:textId="431AE24C" w:rsidR="003B31DC" w:rsidRDefault="00913CBE">
      <w:pPr>
        <w:tabs>
          <w:tab w:val="left" w:pos="567"/>
        </w:tabs>
        <w:rPr>
          <w:snapToGrid w:val="0"/>
          <w:sz w:val="22"/>
          <w:szCs w:val="22"/>
          <w:lang w:eastAsia="en-US"/>
        </w:rPr>
      </w:pPr>
      <w:r>
        <w:rPr>
          <w:snapToGrid w:val="0"/>
          <w:sz w:val="22"/>
          <w:szCs w:val="22"/>
          <w:lang w:eastAsia="en-US"/>
        </w:rPr>
        <w:t>Dėl veikimo mechanizmo</w:t>
      </w:r>
      <w:r w:rsidR="007A5A01">
        <w:rPr>
          <w:snapToGrid w:val="0"/>
          <w:sz w:val="22"/>
          <w:szCs w:val="22"/>
          <w:lang w:eastAsia="en-US"/>
        </w:rPr>
        <w:t>,</w:t>
      </w:r>
      <w:r>
        <w:rPr>
          <w:snapToGrid w:val="0"/>
          <w:sz w:val="22"/>
          <w:szCs w:val="22"/>
          <w:lang w:eastAsia="en-US"/>
        </w:rPr>
        <w:t xml:space="preserve"> susilpnėjus</w:t>
      </w:r>
      <w:r w:rsidR="00CF5276">
        <w:rPr>
          <w:snapToGrid w:val="0"/>
          <w:sz w:val="22"/>
          <w:szCs w:val="22"/>
          <w:lang w:eastAsia="en-US"/>
        </w:rPr>
        <w:t>i</w:t>
      </w:r>
      <w:r>
        <w:rPr>
          <w:snapToGrid w:val="0"/>
          <w:sz w:val="22"/>
          <w:szCs w:val="22"/>
          <w:lang w:eastAsia="en-US"/>
        </w:rPr>
        <w:t xml:space="preserve"> inkstų funkcija </w:t>
      </w:r>
      <w:r w:rsidR="00CA6942">
        <w:rPr>
          <w:snapToGrid w:val="0"/>
          <w:sz w:val="22"/>
          <w:szCs w:val="22"/>
          <w:lang w:eastAsia="en-US"/>
        </w:rPr>
        <w:t xml:space="preserve">lemia mažesnį </w:t>
      </w:r>
      <w:proofErr w:type="spellStart"/>
      <w:r>
        <w:rPr>
          <w:snapToGrid w:val="0"/>
          <w:sz w:val="22"/>
          <w:szCs w:val="22"/>
          <w:lang w:eastAsia="en-US"/>
        </w:rPr>
        <w:t>empagliflozino</w:t>
      </w:r>
      <w:proofErr w:type="spellEnd"/>
      <w:r>
        <w:rPr>
          <w:snapToGrid w:val="0"/>
          <w:sz w:val="22"/>
          <w:szCs w:val="22"/>
          <w:lang w:eastAsia="en-US"/>
        </w:rPr>
        <w:t xml:space="preserve"> </w:t>
      </w:r>
      <w:proofErr w:type="spellStart"/>
      <w:r>
        <w:rPr>
          <w:snapToGrid w:val="0"/>
          <w:sz w:val="22"/>
          <w:szCs w:val="22"/>
          <w:lang w:eastAsia="en-US"/>
        </w:rPr>
        <w:t>glikemin</w:t>
      </w:r>
      <w:r w:rsidR="00CA6942">
        <w:rPr>
          <w:snapToGrid w:val="0"/>
          <w:sz w:val="22"/>
          <w:szCs w:val="22"/>
          <w:lang w:eastAsia="en-US"/>
        </w:rPr>
        <w:t>į</w:t>
      </w:r>
      <w:proofErr w:type="spellEnd"/>
      <w:r>
        <w:rPr>
          <w:snapToGrid w:val="0"/>
          <w:sz w:val="22"/>
          <w:szCs w:val="22"/>
          <w:lang w:eastAsia="en-US"/>
        </w:rPr>
        <w:t xml:space="preserve"> veiksmingum</w:t>
      </w:r>
      <w:r w:rsidR="00CA6942">
        <w:rPr>
          <w:snapToGrid w:val="0"/>
          <w:sz w:val="22"/>
          <w:szCs w:val="22"/>
          <w:lang w:eastAsia="en-US"/>
        </w:rPr>
        <w:t>ą</w:t>
      </w:r>
      <w:r>
        <w:rPr>
          <w:snapToGrid w:val="0"/>
          <w:sz w:val="22"/>
          <w:szCs w:val="22"/>
          <w:lang w:eastAsia="en-US"/>
        </w:rPr>
        <w:t xml:space="preserve">. Kadangi </w:t>
      </w:r>
      <w:proofErr w:type="spellStart"/>
      <w:r>
        <w:rPr>
          <w:snapToGrid w:val="0"/>
          <w:sz w:val="22"/>
          <w:szCs w:val="22"/>
          <w:lang w:eastAsia="en-US"/>
        </w:rPr>
        <w:t>metforminas</w:t>
      </w:r>
      <w:proofErr w:type="spellEnd"/>
      <w:r>
        <w:rPr>
          <w:snapToGrid w:val="0"/>
          <w:sz w:val="22"/>
          <w:szCs w:val="22"/>
          <w:lang w:eastAsia="en-US"/>
        </w:rPr>
        <w:t xml:space="preserve"> išskiriamas per inkstus, o senyviems pacientams </w:t>
      </w:r>
      <w:r w:rsidR="00B51F95">
        <w:rPr>
          <w:snapToGrid w:val="0"/>
          <w:sz w:val="22"/>
          <w:szCs w:val="22"/>
          <w:lang w:eastAsia="en-US"/>
        </w:rPr>
        <w:t>didesnė</w:t>
      </w:r>
      <w:r>
        <w:rPr>
          <w:snapToGrid w:val="0"/>
          <w:sz w:val="22"/>
          <w:szCs w:val="22"/>
          <w:lang w:eastAsia="en-US"/>
        </w:rPr>
        <w:t xml:space="preserve"> inkstų funkcijos susilpnėjim</w:t>
      </w:r>
      <w:r w:rsidR="00F84FF3">
        <w:rPr>
          <w:snapToGrid w:val="0"/>
          <w:sz w:val="22"/>
          <w:szCs w:val="22"/>
          <w:lang w:eastAsia="en-US"/>
        </w:rPr>
        <w:t>o tikimybė</w:t>
      </w:r>
      <w:r>
        <w:rPr>
          <w:snapToGrid w:val="0"/>
          <w:sz w:val="22"/>
          <w:szCs w:val="22"/>
          <w:lang w:eastAsia="en-US"/>
        </w:rPr>
        <w:t xml:space="preserve">, šiems pacientams </w:t>
      </w:r>
      <w:proofErr w:type="spellStart"/>
      <w:r>
        <w:rPr>
          <w:snapToGrid w:val="0"/>
          <w:sz w:val="22"/>
          <w:szCs w:val="22"/>
          <w:lang w:eastAsia="en-US"/>
        </w:rPr>
        <w:t>Mempoglyn</w:t>
      </w:r>
      <w:proofErr w:type="spellEnd"/>
      <w:r>
        <w:rPr>
          <w:snapToGrid w:val="0"/>
          <w:sz w:val="22"/>
          <w:szCs w:val="22"/>
          <w:lang w:eastAsia="en-US"/>
        </w:rPr>
        <w:t xml:space="preserve"> reikia vartoti atsargiai. Būtina </w:t>
      </w:r>
      <w:r w:rsidR="008F534C">
        <w:rPr>
          <w:snapToGrid w:val="0"/>
          <w:sz w:val="22"/>
          <w:szCs w:val="22"/>
          <w:lang w:eastAsia="en-US"/>
        </w:rPr>
        <w:t xml:space="preserve">stebėti </w:t>
      </w:r>
      <w:r>
        <w:rPr>
          <w:snapToGrid w:val="0"/>
          <w:sz w:val="22"/>
          <w:szCs w:val="22"/>
          <w:lang w:eastAsia="en-US"/>
        </w:rPr>
        <w:t xml:space="preserve">inkstų funkciją, kad būtų išvengta su </w:t>
      </w:r>
      <w:proofErr w:type="spellStart"/>
      <w:r>
        <w:rPr>
          <w:snapToGrid w:val="0"/>
          <w:sz w:val="22"/>
          <w:szCs w:val="22"/>
          <w:lang w:eastAsia="en-US"/>
        </w:rPr>
        <w:t>metformino</w:t>
      </w:r>
      <w:proofErr w:type="spellEnd"/>
      <w:r>
        <w:rPr>
          <w:snapToGrid w:val="0"/>
          <w:sz w:val="22"/>
          <w:szCs w:val="22"/>
          <w:lang w:eastAsia="en-US"/>
        </w:rPr>
        <w:t xml:space="preserve"> vartojimu susijusios pieno rūgšties </w:t>
      </w:r>
      <w:proofErr w:type="spellStart"/>
      <w:r>
        <w:rPr>
          <w:snapToGrid w:val="0"/>
          <w:sz w:val="22"/>
          <w:szCs w:val="22"/>
          <w:lang w:eastAsia="en-US"/>
        </w:rPr>
        <w:t>acidozės</w:t>
      </w:r>
      <w:proofErr w:type="spellEnd"/>
      <w:r>
        <w:rPr>
          <w:snapToGrid w:val="0"/>
          <w:sz w:val="22"/>
          <w:szCs w:val="22"/>
          <w:lang w:eastAsia="en-US"/>
        </w:rPr>
        <w:t xml:space="preserve">, ypač senyviems pacientams (žr. 4.3 ir 4.4 skyrius). Reikia atsižvelgti į padidėjusį </w:t>
      </w:r>
      <w:proofErr w:type="spellStart"/>
      <w:r>
        <w:rPr>
          <w:snapToGrid w:val="0"/>
          <w:sz w:val="22"/>
          <w:szCs w:val="22"/>
          <w:lang w:eastAsia="en-US"/>
        </w:rPr>
        <w:t>hipovolemijos</w:t>
      </w:r>
      <w:proofErr w:type="spellEnd"/>
      <w:r>
        <w:rPr>
          <w:snapToGrid w:val="0"/>
          <w:sz w:val="22"/>
          <w:szCs w:val="22"/>
          <w:lang w:eastAsia="en-US"/>
        </w:rPr>
        <w:t xml:space="preserve"> pavojų 75 metų ir vyresniems pacientams (žr. 4.4 ir 4.8 skyrius).</w:t>
      </w:r>
    </w:p>
    <w:p w14:paraId="2504991F" w14:textId="77777777" w:rsidR="003B31DC" w:rsidRDefault="003B31DC">
      <w:pPr>
        <w:tabs>
          <w:tab w:val="left" w:pos="567"/>
        </w:tabs>
        <w:rPr>
          <w:snapToGrid w:val="0"/>
          <w:sz w:val="22"/>
          <w:szCs w:val="22"/>
          <w:lang w:eastAsia="en-US"/>
        </w:rPr>
      </w:pPr>
    </w:p>
    <w:p w14:paraId="3C72FD2C" w14:textId="77777777" w:rsidR="003B31DC" w:rsidRDefault="00913CBE">
      <w:pPr>
        <w:tabs>
          <w:tab w:val="left" w:pos="567"/>
        </w:tabs>
        <w:rPr>
          <w:i/>
          <w:snapToGrid w:val="0"/>
          <w:sz w:val="22"/>
          <w:szCs w:val="22"/>
          <w:lang w:eastAsia="en-US"/>
        </w:rPr>
      </w:pPr>
      <w:r>
        <w:rPr>
          <w:i/>
          <w:snapToGrid w:val="0"/>
          <w:sz w:val="22"/>
          <w:szCs w:val="22"/>
          <w:lang w:eastAsia="en-US"/>
        </w:rPr>
        <w:t>Vaikų populiacija</w:t>
      </w:r>
    </w:p>
    <w:p w14:paraId="226762B1" w14:textId="2ADA51C8" w:rsidR="003B31DC" w:rsidRDefault="00913CBE">
      <w:pPr>
        <w:tabs>
          <w:tab w:val="left" w:pos="567"/>
        </w:tabs>
        <w:rPr>
          <w:bCs/>
          <w:iCs/>
          <w:sz w:val="22"/>
          <w:szCs w:val="22"/>
          <w:lang w:eastAsia="sl-SI"/>
        </w:rPr>
      </w:pPr>
      <w:r>
        <w:rPr>
          <w:bCs/>
          <w:iCs/>
          <w:sz w:val="22"/>
          <w:szCs w:val="22"/>
          <w:lang w:eastAsia="sl-SI"/>
        </w:rPr>
        <w:t xml:space="preserve">Dozavimas turi būti </w:t>
      </w:r>
      <w:r w:rsidR="00096C50">
        <w:rPr>
          <w:bCs/>
          <w:iCs/>
          <w:sz w:val="22"/>
          <w:szCs w:val="22"/>
          <w:lang w:eastAsia="sl-SI"/>
        </w:rPr>
        <w:t>pritaikomas individualiai</w:t>
      </w:r>
      <w:r w:rsidRPr="001E10EF">
        <w:rPr>
          <w:bCs/>
          <w:iCs/>
          <w:sz w:val="22"/>
          <w:szCs w:val="22"/>
          <w:lang w:eastAsia="sl-SI"/>
        </w:rPr>
        <w:t xml:space="preserve">, </w:t>
      </w:r>
      <w:r w:rsidR="001E10EF" w:rsidRPr="00FA2F7A">
        <w:rPr>
          <w:sz w:val="22"/>
          <w:szCs w:val="22"/>
        </w:rPr>
        <w:t>atsižvelgiant į paciento tuo metu vartojamą gydymo schemą</w:t>
      </w:r>
      <w:r>
        <w:rPr>
          <w:bCs/>
          <w:iCs/>
          <w:sz w:val="22"/>
          <w:szCs w:val="22"/>
          <w:lang w:eastAsia="sl-SI"/>
        </w:rPr>
        <w:t>, veiksmingum</w:t>
      </w:r>
      <w:r w:rsidR="00BA689B">
        <w:rPr>
          <w:bCs/>
          <w:iCs/>
          <w:sz w:val="22"/>
          <w:szCs w:val="22"/>
          <w:lang w:eastAsia="sl-SI"/>
        </w:rPr>
        <w:t>ą</w:t>
      </w:r>
      <w:r>
        <w:rPr>
          <w:bCs/>
          <w:iCs/>
          <w:sz w:val="22"/>
          <w:szCs w:val="22"/>
          <w:lang w:eastAsia="sl-SI"/>
        </w:rPr>
        <w:t xml:space="preserve"> ir toleravim</w:t>
      </w:r>
      <w:r w:rsidR="00BA689B">
        <w:rPr>
          <w:bCs/>
          <w:iCs/>
          <w:sz w:val="22"/>
          <w:szCs w:val="22"/>
          <w:lang w:eastAsia="sl-SI"/>
        </w:rPr>
        <w:t>ą</w:t>
      </w:r>
      <w:r>
        <w:rPr>
          <w:bCs/>
          <w:iCs/>
          <w:sz w:val="22"/>
          <w:szCs w:val="22"/>
          <w:lang w:eastAsia="sl-SI"/>
        </w:rPr>
        <w:t>.</w:t>
      </w:r>
    </w:p>
    <w:p w14:paraId="7341F4BE" w14:textId="14803D40" w:rsidR="003B31DC" w:rsidRDefault="00913CBE">
      <w:pPr>
        <w:tabs>
          <w:tab w:val="left" w:pos="567"/>
        </w:tabs>
        <w:rPr>
          <w:bCs/>
          <w:iCs/>
          <w:sz w:val="22"/>
          <w:szCs w:val="22"/>
          <w:lang w:eastAsia="sl-SI"/>
        </w:rPr>
      </w:pPr>
      <w:r>
        <w:rPr>
          <w:bCs/>
          <w:iCs/>
          <w:sz w:val="22"/>
          <w:szCs w:val="22"/>
          <w:lang w:eastAsia="sl-SI"/>
        </w:rPr>
        <w:t xml:space="preserve">Jeigu </w:t>
      </w:r>
      <w:proofErr w:type="spellStart"/>
      <w:r>
        <w:rPr>
          <w:bCs/>
          <w:iCs/>
          <w:sz w:val="22"/>
          <w:szCs w:val="22"/>
          <w:lang w:eastAsia="sl-SI"/>
        </w:rPr>
        <w:t>empagliflozinas</w:t>
      </w:r>
      <w:proofErr w:type="spellEnd"/>
      <w:r>
        <w:rPr>
          <w:bCs/>
          <w:iCs/>
          <w:sz w:val="22"/>
          <w:szCs w:val="22"/>
          <w:lang w:eastAsia="sl-SI"/>
        </w:rPr>
        <w:t xml:space="preserve"> pridedamas pacientams, jau vartojantiems </w:t>
      </w:r>
      <w:proofErr w:type="spellStart"/>
      <w:r>
        <w:rPr>
          <w:bCs/>
          <w:iCs/>
          <w:sz w:val="22"/>
          <w:szCs w:val="22"/>
          <w:lang w:eastAsia="sl-SI"/>
        </w:rPr>
        <w:t>metforminą</w:t>
      </w:r>
      <w:proofErr w:type="spellEnd"/>
      <w:r>
        <w:rPr>
          <w:bCs/>
          <w:iCs/>
          <w:sz w:val="22"/>
          <w:szCs w:val="22"/>
          <w:lang w:eastAsia="sl-SI"/>
        </w:rPr>
        <w:t xml:space="preserve">, </w:t>
      </w:r>
      <w:proofErr w:type="spellStart"/>
      <w:r>
        <w:rPr>
          <w:bCs/>
          <w:iCs/>
          <w:sz w:val="22"/>
          <w:szCs w:val="22"/>
          <w:lang w:eastAsia="sl-SI"/>
        </w:rPr>
        <w:t>metformino</w:t>
      </w:r>
      <w:proofErr w:type="spellEnd"/>
      <w:r>
        <w:rPr>
          <w:bCs/>
          <w:iCs/>
          <w:sz w:val="22"/>
          <w:szCs w:val="22"/>
          <w:lang w:eastAsia="sl-SI"/>
        </w:rPr>
        <w:t xml:space="preserve"> dozė turi išlikti ta pati, kurią pacientai jau vartoja. Rekomenduojama pradinė </w:t>
      </w:r>
      <w:proofErr w:type="spellStart"/>
      <w:r>
        <w:rPr>
          <w:bCs/>
          <w:iCs/>
          <w:sz w:val="22"/>
          <w:szCs w:val="22"/>
          <w:lang w:eastAsia="sl-SI"/>
        </w:rPr>
        <w:t>empagliflozino</w:t>
      </w:r>
      <w:proofErr w:type="spellEnd"/>
      <w:r>
        <w:rPr>
          <w:bCs/>
          <w:iCs/>
          <w:sz w:val="22"/>
          <w:szCs w:val="22"/>
          <w:lang w:eastAsia="sl-SI"/>
        </w:rPr>
        <w:t xml:space="preserve"> dozė yra 5 mg du kartus per parą (10 mg bendra paros dozė). Pacientams, kurie toleruoja 5 mg </w:t>
      </w:r>
      <w:proofErr w:type="spellStart"/>
      <w:r w:rsidR="006838F7">
        <w:rPr>
          <w:bCs/>
          <w:iCs/>
          <w:sz w:val="22"/>
          <w:szCs w:val="22"/>
          <w:lang w:eastAsia="sl-SI"/>
        </w:rPr>
        <w:t>empagliflozino</w:t>
      </w:r>
      <w:proofErr w:type="spellEnd"/>
      <w:r w:rsidR="006838F7">
        <w:rPr>
          <w:bCs/>
          <w:iCs/>
          <w:sz w:val="22"/>
          <w:szCs w:val="22"/>
          <w:lang w:eastAsia="sl-SI"/>
        </w:rPr>
        <w:t xml:space="preserve"> </w:t>
      </w:r>
      <w:r>
        <w:rPr>
          <w:bCs/>
          <w:iCs/>
          <w:sz w:val="22"/>
          <w:szCs w:val="22"/>
          <w:lang w:eastAsia="sl-SI"/>
        </w:rPr>
        <w:t xml:space="preserve">du kartus per parą ir kuriems reikalinga papildoma </w:t>
      </w:r>
      <w:proofErr w:type="spellStart"/>
      <w:r>
        <w:rPr>
          <w:bCs/>
          <w:iCs/>
          <w:sz w:val="22"/>
          <w:szCs w:val="22"/>
          <w:lang w:eastAsia="sl-SI"/>
        </w:rPr>
        <w:t>glikemijos</w:t>
      </w:r>
      <w:proofErr w:type="spellEnd"/>
      <w:r>
        <w:rPr>
          <w:bCs/>
          <w:iCs/>
          <w:sz w:val="22"/>
          <w:szCs w:val="22"/>
          <w:lang w:eastAsia="sl-SI"/>
        </w:rPr>
        <w:t xml:space="preserve"> kontrolė, dozę galima padidinti iki 12,5 mg du kartus per parą (25 mg bendra paros dozė).</w:t>
      </w:r>
    </w:p>
    <w:p w14:paraId="44571210" w14:textId="55054AFF" w:rsidR="003B31DC" w:rsidRDefault="00BE7C98">
      <w:pPr>
        <w:tabs>
          <w:tab w:val="left" w:pos="567"/>
        </w:tabs>
        <w:rPr>
          <w:bCs/>
          <w:iCs/>
          <w:sz w:val="22"/>
          <w:szCs w:val="22"/>
          <w:lang w:eastAsia="sl-SI"/>
        </w:rPr>
      </w:pPr>
      <w:r w:rsidRPr="00FA2F7A">
        <w:rPr>
          <w:sz w:val="22"/>
          <w:szCs w:val="22"/>
        </w:rPr>
        <w:t xml:space="preserve">Pacientams, keičiantiems atskiras </w:t>
      </w:r>
      <w:proofErr w:type="spellStart"/>
      <w:r w:rsidRPr="00FA2F7A">
        <w:rPr>
          <w:sz w:val="22"/>
          <w:szCs w:val="22"/>
        </w:rPr>
        <w:t>empagliflozino</w:t>
      </w:r>
      <w:proofErr w:type="spellEnd"/>
      <w:r w:rsidRPr="00FA2F7A">
        <w:rPr>
          <w:sz w:val="22"/>
          <w:szCs w:val="22"/>
        </w:rPr>
        <w:t xml:space="preserve"> ir </w:t>
      </w:r>
      <w:proofErr w:type="spellStart"/>
      <w:r w:rsidRPr="00FA2F7A">
        <w:rPr>
          <w:sz w:val="22"/>
          <w:szCs w:val="22"/>
        </w:rPr>
        <w:t>metformino</w:t>
      </w:r>
      <w:proofErr w:type="spellEnd"/>
      <w:r w:rsidRPr="00FA2F7A">
        <w:rPr>
          <w:sz w:val="22"/>
          <w:szCs w:val="22"/>
        </w:rPr>
        <w:t xml:space="preserve"> tabletes į</w:t>
      </w:r>
      <w:r>
        <w:rPr>
          <w:bCs/>
          <w:iCs/>
          <w:sz w:val="22"/>
          <w:szCs w:val="22"/>
          <w:lang w:eastAsia="sl-SI"/>
        </w:rPr>
        <w:t xml:space="preserve"> </w:t>
      </w:r>
      <w:proofErr w:type="spellStart"/>
      <w:r w:rsidR="00913CBE">
        <w:rPr>
          <w:bCs/>
          <w:iCs/>
          <w:sz w:val="22"/>
          <w:szCs w:val="22"/>
          <w:lang w:eastAsia="sl-SI"/>
        </w:rPr>
        <w:t>Mempoglyn</w:t>
      </w:r>
      <w:proofErr w:type="spellEnd"/>
      <w:r w:rsidR="00913CBE">
        <w:rPr>
          <w:bCs/>
          <w:iCs/>
          <w:sz w:val="22"/>
          <w:szCs w:val="22"/>
          <w:lang w:eastAsia="sl-SI"/>
        </w:rPr>
        <w:t xml:space="preserve">, </w:t>
      </w:r>
      <w:r w:rsidR="00BA4CE4">
        <w:rPr>
          <w:bCs/>
          <w:iCs/>
          <w:sz w:val="22"/>
          <w:szCs w:val="22"/>
          <w:lang w:eastAsia="sl-SI"/>
        </w:rPr>
        <w:t>turi išlikti tokia pati</w:t>
      </w:r>
      <w:r w:rsidR="00913CBE">
        <w:rPr>
          <w:bCs/>
          <w:iCs/>
          <w:sz w:val="22"/>
          <w:szCs w:val="22"/>
          <w:lang w:eastAsia="sl-SI"/>
        </w:rPr>
        <w:t xml:space="preserve"> </w:t>
      </w:r>
      <w:proofErr w:type="spellStart"/>
      <w:r w:rsidR="00913CBE">
        <w:rPr>
          <w:bCs/>
          <w:iCs/>
          <w:sz w:val="22"/>
          <w:szCs w:val="22"/>
          <w:lang w:eastAsia="sl-SI"/>
        </w:rPr>
        <w:t>empagliflozino</w:t>
      </w:r>
      <w:proofErr w:type="spellEnd"/>
      <w:r w:rsidR="00913CBE">
        <w:rPr>
          <w:bCs/>
          <w:iCs/>
          <w:sz w:val="22"/>
          <w:szCs w:val="22"/>
          <w:lang w:eastAsia="sl-SI"/>
        </w:rPr>
        <w:t xml:space="preserve"> ir </w:t>
      </w:r>
      <w:proofErr w:type="spellStart"/>
      <w:r w:rsidR="00913CBE">
        <w:rPr>
          <w:bCs/>
          <w:iCs/>
          <w:sz w:val="22"/>
          <w:szCs w:val="22"/>
          <w:lang w:eastAsia="sl-SI"/>
        </w:rPr>
        <w:t>metformino</w:t>
      </w:r>
      <w:proofErr w:type="spellEnd"/>
      <w:r w:rsidR="00913CBE">
        <w:rPr>
          <w:bCs/>
          <w:iCs/>
          <w:sz w:val="22"/>
          <w:szCs w:val="22"/>
          <w:lang w:eastAsia="sl-SI"/>
        </w:rPr>
        <w:t xml:space="preserve"> paros doz</w:t>
      </w:r>
      <w:r w:rsidR="006613FD">
        <w:rPr>
          <w:bCs/>
          <w:iCs/>
          <w:sz w:val="22"/>
          <w:szCs w:val="22"/>
          <w:lang w:eastAsia="sl-SI"/>
        </w:rPr>
        <w:t>ė</w:t>
      </w:r>
      <w:r w:rsidR="00913CBE">
        <w:rPr>
          <w:bCs/>
          <w:iCs/>
          <w:sz w:val="22"/>
          <w:szCs w:val="22"/>
          <w:lang w:eastAsia="sl-SI"/>
        </w:rPr>
        <w:t xml:space="preserve">, kuri buvo vartota, arba artimiausią </w:t>
      </w:r>
      <w:proofErr w:type="spellStart"/>
      <w:r w:rsidR="00913CBE">
        <w:rPr>
          <w:bCs/>
          <w:iCs/>
          <w:sz w:val="22"/>
          <w:szCs w:val="22"/>
          <w:lang w:eastAsia="sl-SI"/>
        </w:rPr>
        <w:t>terapiškai</w:t>
      </w:r>
      <w:proofErr w:type="spellEnd"/>
      <w:r w:rsidR="00913CBE">
        <w:rPr>
          <w:bCs/>
          <w:iCs/>
          <w:sz w:val="22"/>
          <w:szCs w:val="22"/>
          <w:lang w:eastAsia="sl-SI"/>
        </w:rPr>
        <w:t xml:space="preserve"> tinkamą </w:t>
      </w:r>
      <w:proofErr w:type="spellStart"/>
      <w:r w:rsidR="00913CBE">
        <w:rPr>
          <w:bCs/>
          <w:iCs/>
          <w:sz w:val="22"/>
          <w:szCs w:val="22"/>
          <w:lang w:eastAsia="sl-SI"/>
        </w:rPr>
        <w:t>metformino</w:t>
      </w:r>
      <w:proofErr w:type="spellEnd"/>
      <w:r w:rsidR="00913CBE">
        <w:rPr>
          <w:bCs/>
          <w:iCs/>
          <w:sz w:val="22"/>
          <w:szCs w:val="22"/>
          <w:lang w:eastAsia="sl-SI"/>
        </w:rPr>
        <w:t xml:space="preserve"> dozę.</w:t>
      </w:r>
    </w:p>
    <w:p w14:paraId="5B5CBF29" w14:textId="77777777" w:rsidR="003B31DC" w:rsidRDefault="00913CBE">
      <w:pPr>
        <w:tabs>
          <w:tab w:val="left" w:pos="567"/>
        </w:tabs>
        <w:rPr>
          <w:bCs/>
          <w:iCs/>
          <w:sz w:val="22"/>
          <w:szCs w:val="22"/>
          <w:lang w:eastAsia="sl-SI"/>
        </w:rPr>
      </w:pPr>
      <w:r>
        <w:rPr>
          <w:bCs/>
          <w:iCs/>
          <w:sz w:val="22"/>
          <w:szCs w:val="22"/>
          <w:lang w:eastAsia="sl-SI"/>
        </w:rPr>
        <w:t xml:space="preserve">Didžiausia rekomenduojama </w:t>
      </w:r>
      <w:proofErr w:type="spellStart"/>
      <w:r>
        <w:rPr>
          <w:bCs/>
          <w:iCs/>
          <w:sz w:val="22"/>
          <w:szCs w:val="22"/>
          <w:lang w:eastAsia="sl-SI"/>
        </w:rPr>
        <w:t>Mempoglyn</w:t>
      </w:r>
      <w:proofErr w:type="spellEnd"/>
      <w:r>
        <w:rPr>
          <w:bCs/>
          <w:iCs/>
          <w:sz w:val="22"/>
          <w:szCs w:val="22"/>
          <w:lang w:eastAsia="sl-SI"/>
        </w:rPr>
        <w:t xml:space="preserve"> paros dozė yra 25 mg </w:t>
      </w:r>
      <w:proofErr w:type="spellStart"/>
      <w:r>
        <w:rPr>
          <w:bCs/>
          <w:iCs/>
          <w:sz w:val="22"/>
          <w:szCs w:val="22"/>
          <w:lang w:eastAsia="sl-SI"/>
        </w:rPr>
        <w:t>empagliflozino</w:t>
      </w:r>
      <w:proofErr w:type="spellEnd"/>
      <w:r>
        <w:rPr>
          <w:bCs/>
          <w:iCs/>
          <w:sz w:val="22"/>
          <w:szCs w:val="22"/>
          <w:lang w:eastAsia="sl-SI"/>
        </w:rPr>
        <w:t xml:space="preserve"> ir 2 000 mg </w:t>
      </w:r>
      <w:proofErr w:type="spellStart"/>
      <w:r>
        <w:rPr>
          <w:bCs/>
          <w:iCs/>
          <w:sz w:val="22"/>
          <w:szCs w:val="22"/>
          <w:lang w:eastAsia="sl-SI"/>
        </w:rPr>
        <w:t>metformino</w:t>
      </w:r>
      <w:proofErr w:type="spellEnd"/>
      <w:r>
        <w:rPr>
          <w:bCs/>
          <w:iCs/>
          <w:sz w:val="22"/>
          <w:szCs w:val="22"/>
          <w:lang w:eastAsia="sl-SI"/>
        </w:rPr>
        <w:t xml:space="preserve"> (žr. bendrąją informaciją 4.2 skyriuje pirmiau).</w:t>
      </w:r>
    </w:p>
    <w:p w14:paraId="101E6F73" w14:textId="77777777" w:rsidR="003B31DC" w:rsidRDefault="00913CBE">
      <w:pPr>
        <w:tabs>
          <w:tab w:val="left" w:pos="567"/>
        </w:tabs>
        <w:rPr>
          <w:bCs/>
          <w:iCs/>
          <w:sz w:val="22"/>
          <w:szCs w:val="22"/>
          <w:lang w:eastAsia="sl-SI"/>
        </w:rPr>
      </w:pPr>
      <w:r>
        <w:rPr>
          <w:bCs/>
          <w:iCs/>
          <w:sz w:val="22"/>
          <w:szCs w:val="22"/>
          <w:lang w:eastAsia="sl-SI"/>
        </w:rPr>
        <w:t xml:space="preserve">Duomenų apie skyrimą vaikams, kurių </w:t>
      </w:r>
      <w:proofErr w:type="spellStart"/>
      <w:r>
        <w:rPr>
          <w:bCs/>
          <w:iCs/>
          <w:sz w:val="22"/>
          <w:szCs w:val="22"/>
          <w:lang w:eastAsia="sl-SI"/>
        </w:rPr>
        <w:t>aGFG</w:t>
      </w:r>
      <w:proofErr w:type="spellEnd"/>
      <w:r>
        <w:rPr>
          <w:bCs/>
          <w:iCs/>
          <w:sz w:val="22"/>
          <w:szCs w:val="22"/>
          <w:lang w:eastAsia="sl-SI"/>
        </w:rPr>
        <w:t xml:space="preserve"> &lt;60 ml/min./1,73 m², ir jaunesniems kaip 10 metų vaikams, nėra.</w:t>
      </w:r>
    </w:p>
    <w:p w14:paraId="7AA6434C" w14:textId="77777777" w:rsidR="003B31DC" w:rsidRDefault="003B31DC">
      <w:pPr>
        <w:tabs>
          <w:tab w:val="left" w:pos="567"/>
        </w:tabs>
        <w:rPr>
          <w:snapToGrid w:val="0"/>
          <w:sz w:val="22"/>
          <w:szCs w:val="22"/>
          <w:lang w:eastAsia="en-US"/>
        </w:rPr>
      </w:pPr>
    </w:p>
    <w:p w14:paraId="5770C779" w14:textId="77777777" w:rsidR="003B31DC" w:rsidRDefault="00913CBE">
      <w:pPr>
        <w:tabs>
          <w:tab w:val="left" w:pos="567"/>
        </w:tabs>
        <w:rPr>
          <w:snapToGrid w:val="0"/>
          <w:sz w:val="22"/>
          <w:szCs w:val="22"/>
          <w:u w:val="single"/>
          <w:lang w:eastAsia="en-US"/>
        </w:rPr>
      </w:pPr>
      <w:r>
        <w:rPr>
          <w:snapToGrid w:val="0"/>
          <w:sz w:val="22"/>
          <w:szCs w:val="22"/>
          <w:u w:val="single"/>
          <w:lang w:eastAsia="en-US"/>
        </w:rPr>
        <w:t>Vartojimo metodas</w:t>
      </w:r>
    </w:p>
    <w:p w14:paraId="1CA15961" w14:textId="6932C4F1" w:rsidR="003B31DC" w:rsidRDefault="00913CBE">
      <w:pPr>
        <w:widowControl w:val="0"/>
        <w:autoSpaceDE w:val="0"/>
        <w:autoSpaceDN w:val="0"/>
        <w:adjustRightInd w:val="0"/>
        <w:rPr>
          <w:rFonts w:eastAsia="TimesNewRoman"/>
          <w:sz w:val="22"/>
          <w:szCs w:val="22"/>
          <w:lang w:eastAsia="en-US"/>
        </w:rPr>
      </w:pPr>
      <w:proofErr w:type="spellStart"/>
      <w:r>
        <w:rPr>
          <w:rFonts w:eastAsia="TimesNewRoman"/>
          <w:sz w:val="22"/>
          <w:szCs w:val="22"/>
          <w:lang w:eastAsia="en-US"/>
        </w:rPr>
        <w:t>Mempoglyn</w:t>
      </w:r>
      <w:proofErr w:type="spellEnd"/>
      <w:r>
        <w:rPr>
          <w:rFonts w:eastAsia="TimesNewRoman"/>
          <w:sz w:val="22"/>
          <w:szCs w:val="22"/>
          <w:lang w:eastAsia="en-US"/>
        </w:rPr>
        <w:t xml:space="preserve"> reikia </w:t>
      </w:r>
      <w:r w:rsidR="000E3584">
        <w:rPr>
          <w:rFonts w:eastAsia="TimesNewRoman"/>
          <w:sz w:val="22"/>
          <w:szCs w:val="22"/>
          <w:lang w:eastAsia="en-US"/>
        </w:rPr>
        <w:t xml:space="preserve">vartoti </w:t>
      </w:r>
      <w:r>
        <w:rPr>
          <w:rFonts w:eastAsia="TimesNewRoman"/>
          <w:sz w:val="22"/>
          <w:szCs w:val="22"/>
          <w:lang w:eastAsia="en-US"/>
        </w:rPr>
        <w:t xml:space="preserve">du kartus per parą </w:t>
      </w:r>
      <w:r w:rsidR="00B5232B">
        <w:rPr>
          <w:rFonts w:eastAsia="TimesNewRoman"/>
          <w:sz w:val="22"/>
          <w:szCs w:val="22"/>
          <w:lang w:eastAsia="en-US"/>
        </w:rPr>
        <w:t>valgio metu</w:t>
      </w:r>
      <w:r>
        <w:rPr>
          <w:rFonts w:eastAsia="TimesNewRoman"/>
          <w:sz w:val="22"/>
          <w:szCs w:val="22"/>
          <w:lang w:eastAsia="en-US"/>
        </w:rPr>
        <w:t xml:space="preserve">, kad būtų sumažintos nepageidaujamos virškinimo trakto reakcijos, susijusios su </w:t>
      </w:r>
      <w:proofErr w:type="spellStart"/>
      <w:r>
        <w:rPr>
          <w:rFonts w:eastAsia="TimesNewRoman"/>
          <w:sz w:val="22"/>
          <w:szCs w:val="22"/>
          <w:lang w:eastAsia="en-US"/>
        </w:rPr>
        <w:t>metforminu</w:t>
      </w:r>
      <w:proofErr w:type="spellEnd"/>
      <w:r>
        <w:rPr>
          <w:rFonts w:eastAsia="TimesNewRoman"/>
          <w:sz w:val="22"/>
          <w:szCs w:val="22"/>
          <w:lang w:eastAsia="en-US"/>
        </w:rPr>
        <w:t xml:space="preserve">. Tabletę reikia nuryti </w:t>
      </w:r>
      <w:r w:rsidR="00E55812">
        <w:rPr>
          <w:rFonts w:eastAsia="TimesNewRoman"/>
          <w:sz w:val="22"/>
          <w:szCs w:val="22"/>
          <w:lang w:eastAsia="en-US"/>
        </w:rPr>
        <w:t xml:space="preserve">nepažeistą </w:t>
      </w:r>
      <w:r>
        <w:rPr>
          <w:rFonts w:eastAsia="TimesNewRoman"/>
          <w:sz w:val="22"/>
          <w:szCs w:val="22"/>
          <w:lang w:eastAsia="en-US"/>
        </w:rPr>
        <w:t>užgeriant vandeniu. Visi pacientai turi ir toliau laikytis dietos ir tinkam</w:t>
      </w:r>
      <w:r w:rsidR="00CA6A99">
        <w:rPr>
          <w:rFonts w:eastAsia="TimesNewRoman"/>
          <w:sz w:val="22"/>
          <w:szCs w:val="22"/>
          <w:lang w:eastAsia="en-US"/>
        </w:rPr>
        <w:t>ai</w:t>
      </w:r>
      <w:r w:rsidR="00154C7F">
        <w:rPr>
          <w:rFonts w:eastAsia="TimesNewRoman"/>
          <w:sz w:val="22"/>
          <w:szCs w:val="22"/>
          <w:lang w:eastAsia="en-US"/>
        </w:rPr>
        <w:t xml:space="preserve"> paskirsty</w:t>
      </w:r>
      <w:r w:rsidR="00A01ACE">
        <w:rPr>
          <w:rFonts w:eastAsia="TimesNewRoman"/>
          <w:sz w:val="22"/>
          <w:szCs w:val="22"/>
          <w:lang w:eastAsia="en-US"/>
        </w:rPr>
        <w:t>ti</w:t>
      </w:r>
      <w:r>
        <w:rPr>
          <w:rFonts w:eastAsia="TimesNewRoman"/>
          <w:sz w:val="22"/>
          <w:szCs w:val="22"/>
          <w:lang w:eastAsia="en-US"/>
        </w:rPr>
        <w:t xml:space="preserve"> angliavandenių suvartojim</w:t>
      </w:r>
      <w:r w:rsidR="00154C7F">
        <w:rPr>
          <w:rFonts w:eastAsia="TimesNewRoman"/>
          <w:sz w:val="22"/>
          <w:szCs w:val="22"/>
          <w:lang w:eastAsia="en-US"/>
        </w:rPr>
        <w:t>ą</w:t>
      </w:r>
      <w:r>
        <w:rPr>
          <w:rFonts w:eastAsia="TimesNewRoman"/>
          <w:sz w:val="22"/>
          <w:szCs w:val="22"/>
          <w:lang w:eastAsia="en-US"/>
        </w:rPr>
        <w:t xml:space="preserve"> per dieną. Antsvorio turintys pacientai turi ir toliau laikytis sumažinto energijos kiekio dietos.</w:t>
      </w:r>
    </w:p>
    <w:p w14:paraId="74EEB1B5" w14:textId="77777777" w:rsidR="003B31DC" w:rsidRDefault="003B31DC">
      <w:pPr>
        <w:widowControl w:val="0"/>
        <w:ind w:left="567" w:hanging="567"/>
        <w:rPr>
          <w:bCs/>
          <w:iCs/>
          <w:sz w:val="22"/>
          <w:szCs w:val="22"/>
          <w:lang w:eastAsia="sl-SI"/>
        </w:rPr>
      </w:pPr>
    </w:p>
    <w:p w14:paraId="042453EF" w14:textId="77777777" w:rsidR="003B31DC" w:rsidRDefault="00913CBE">
      <w:pPr>
        <w:widowControl w:val="0"/>
        <w:tabs>
          <w:tab w:val="left" w:pos="567"/>
        </w:tabs>
        <w:ind w:left="567" w:hanging="567"/>
        <w:outlineLvl w:val="2"/>
        <w:rPr>
          <w:b/>
          <w:kern w:val="28"/>
          <w:sz w:val="22"/>
          <w:szCs w:val="22"/>
          <w:lang w:eastAsia="en-US"/>
        </w:rPr>
      </w:pPr>
      <w:r>
        <w:rPr>
          <w:b/>
          <w:kern w:val="28"/>
          <w:sz w:val="22"/>
          <w:szCs w:val="22"/>
          <w:lang w:eastAsia="en-US"/>
        </w:rPr>
        <w:t>4.3</w:t>
      </w:r>
      <w:r>
        <w:rPr>
          <w:b/>
          <w:kern w:val="28"/>
          <w:sz w:val="22"/>
          <w:szCs w:val="22"/>
          <w:lang w:eastAsia="en-US"/>
        </w:rPr>
        <w:tab/>
        <w:t>Kontraindikacijos</w:t>
      </w:r>
    </w:p>
    <w:p w14:paraId="00B4AFF3" w14:textId="77777777" w:rsidR="003B31DC" w:rsidRDefault="003B31DC">
      <w:pPr>
        <w:widowControl w:val="0"/>
        <w:tabs>
          <w:tab w:val="left" w:pos="567"/>
        </w:tabs>
        <w:rPr>
          <w:snapToGrid w:val="0"/>
          <w:sz w:val="22"/>
          <w:szCs w:val="22"/>
          <w:lang w:eastAsia="en-US"/>
        </w:rPr>
      </w:pPr>
    </w:p>
    <w:p w14:paraId="2ECEB2A1" w14:textId="77777777" w:rsidR="003B31DC" w:rsidRDefault="00913CB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Padidėjęs jautrumas veikliajai arba bet kuriai 6.1 skyriuje nurodytai pagalbinei medžiagai.</w:t>
      </w:r>
    </w:p>
    <w:p w14:paraId="4AA78A8E" w14:textId="5BBA4D8E" w:rsidR="003B31DC" w:rsidRDefault="00913CB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lastRenderedPageBreak/>
        <w:t xml:space="preserve">Bet kokio tipo ūminė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(pvz., pieno rūgšties </w:t>
      </w:r>
      <w:proofErr w:type="spellStart"/>
      <w:r>
        <w:rPr>
          <w:sz w:val="22"/>
          <w:szCs w:val="22"/>
          <w:lang w:eastAsia="sl-SI"/>
        </w:rPr>
        <w:t>acidozė</w:t>
      </w:r>
      <w:proofErr w:type="spellEnd"/>
      <w:r>
        <w:rPr>
          <w:sz w:val="22"/>
          <w:szCs w:val="22"/>
          <w:lang w:eastAsia="sl-SI"/>
        </w:rPr>
        <w:t xml:space="preserve">, diabetinė </w:t>
      </w:r>
      <w:proofErr w:type="spellStart"/>
      <w:r>
        <w:rPr>
          <w:sz w:val="22"/>
          <w:szCs w:val="22"/>
          <w:lang w:eastAsia="sl-SI"/>
        </w:rPr>
        <w:t>ketoacidozė</w:t>
      </w:r>
      <w:proofErr w:type="spellEnd"/>
      <w:r>
        <w:rPr>
          <w:sz w:val="22"/>
          <w:szCs w:val="22"/>
          <w:lang w:eastAsia="sl-SI"/>
        </w:rPr>
        <w:t>).</w:t>
      </w:r>
    </w:p>
    <w:p w14:paraId="187B342E" w14:textId="77777777" w:rsidR="003B31DC" w:rsidRDefault="00913CB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Diabetinė </w:t>
      </w:r>
      <w:proofErr w:type="spellStart"/>
      <w:r>
        <w:rPr>
          <w:sz w:val="22"/>
          <w:szCs w:val="22"/>
          <w:lang w:eastAsia="sl-SI"/>
        </w:rPr>
        <w:t>prekoma</w:t>
      </w:r>
      <w:proofErr w:type="spellEnd"/>
      <w:r>
        <w:rPr>
          <w:sz w:val="22"/>
          <w:szCs w:val="22"/>
          <w:lang w:eastAsia="sl-SI"/>
        </w:rPr>
        <w:t>.</w:t>
      </w:r>
    </w:p>
    <w:p w14:paraId="498D888D" w14:textId="77777777" w:rsidR="003B31DC" w:rsidRDefault="00913CB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Sunkus inkstų nepakankamumas (</w:t>
      </w:r>
      <w:proofErr w:type="spellStart"/>
      <w:r>
        <w:rPr>
          <w:sz w:val="22"/>
          <w:szCs w:val="22"/>
          <w:lang w:eastAsia="sl-SI"/>
        </w:rPr>
        <w:t>aGFG</w:t>
      </w:r>
      <w:proofErr w:type="spellEnd"/>
      <w:r>
        <w:rPr>
          <w:sz w:val="22"/>
          <w:szCs w:val="22"/>
          <w:lang w:eastAsia="sl-SI"/>
        </w:rPr>
        <w:t xml:space="preserve"> &lt; 30 ml/min/1,73 m2) (žr. 4.2 ir 4.4 skyrius).</w:t>
      </w:r>
    </w:p>
    <w:p w14:paraId="55BC59C5" w14:textId="77777777" w:rsidR="003B31DC" w:rsidRDefault="00913CB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Ūmios būklės, galinčios pakeisti inkstų funkciją, pvz., dehidratacija, sunki infekcija, šokas (žr. 4.4 ir 4.8 skyrius).</w:t>
      </w:r>
    </w:p>
    <w:p w14:paraId="35CCBE86" w14:textId="0E121089" w:rsidR="003B31DC" w:rsidRDefault="00913CB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Liga, galinti sukelti audinių hipoksiją (ypač ūmi liga ar lėtinės ligos </w:t>
      </w:r>
      <w:r w:rsidR="003C244D">
        <w:rPr>
          <w:sz w:val="22"/>
          <w:szCs w:val="22"/>
          <w:lang w:eastAsia="sl-SI"/>
        </w:rPr>
        <w:t>paūmėjimas</w:t>
      </w:r>
      <w:r>
        <w:rPr>
          <w:sz w:val="22"/>
          <w:szCs w:val="22"/>
          <w:lang w:eastAsia="sl-SI"/>
        </w:rPr>
        <w:t xml:space="preserve">), pvz., </w:t>
      </w:r>
      <w:proofErr w:type="spellStart"/>
      <w:r>
        <w:rPr>
          <w:sz w:val="22"/>
          <w:szCs w:val="22"/>
          <w:lang w:eastAsia="sl-SI"/>
        </w:rPr>
        <w:t>dekompensuotas</w:t>
      </w:r>
      <w:proofErr w:type="spellEnd"/>
      <w:r>
        <w:rPr>
          <w:sz w:val="22"/>
          <w:szCs w:val="22"/>
          <w:lang w:eastAsia="sl-SI"/>
        </w:rPr>
        <w:t xml:space="preserve"> širdies arba kvėpavimo nepakankamumas, nesen</w:t>
      </w:r>
      <w:r w:rsidR="00B62D0B">
        <w:rPr>
          <w:sz w:val="22"/>
          <w:szCs w:val="22"/>
          <w:lang w:eastAsia="sl-SI"/>
        </w:rPr>
        <w:t>i</w:t>
      </w:r>
      <w:r>
        <w:rPr>
          <w:sz w:val="22"/>
          <w:szCs w:val="22"/>
          <w:lang w:eastAsia="sl-SI"/>
        </w:rPr>
        <w:t>a</w:t>
      </w:r>
      <w:r w:rsidR="00B62D0B">
        <w:rPr>
          <w:sz w:val="22"/>
          <w:szCs w:val="22"/>
          <w:lang w:eastAsia="sl-SI"/>
        </w:rPr>
        <w:t>i įvykęs</w:t>
      </w:r>
      <w:r>
        <w:rPr>
          <w:sz w:val="22"/>
          <w:szCs w:val="22"/>
          <w:lang w:eastAsia="sl-SI"/>
        </w:rPr>
        <w:t xml:space="preserve"> miokardo infarktas, šokas (žr. 4.4 skyrių).</w:t>
      </w:r>
    </w:p>
    <w:p w14:paraId="0AB5D9FF" w14:textId="77777777" w:rsidR="003B31DC" w:rsidRDefault="00913CB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Kepenų funkcijos sutrikimas, ūmus apsinuodijimas alkoholiu, alkoholizmas (žr. 4.2 ir 4.5 skyrius).</w:t>
      </w:r>
    </w:p>
    <w:p w14:paraId="7D78D1C4" w14:textId="77777777" w:rsidR="003B31DC" w:rsidRDefault="003B31DC">
      <w:pPr>
        <w:widowControl w:val="0"/>
        <w:tabs>
          <w:tab w:val="left" w:pos="567"/>
        </w:tabs>
        <w:autoSpaceDE w:val="0"/>
        <w:autoSpaceDN w:val="0"/>
        <w:adjustRightInd w:val="0"/>
        <w:spacing w:line="260" w:lineRule="exact"/>
        <w:rPr>
          <w:sz w:val="22"/>
          <w:szCs w:val="22"/>
          <w:lang w:eastAsia="sl-SI"/>
        </w:rPr>
      </w:pPr>
    </w:p>
    <w:p w14:paraId="1F144D02" w14:textId="77777777" w:rsidR="003B31DC" w:rsidRDefault="00913CBE">
      <w:pPr>
        <w:widowControl w:val="0"/>
        <w:tabs>
          <w:tab w:val="left" w:pos="567"/>
        </w:tabs>
        <w:ind w:left="567" w:hanging="567"/>
        <w:outlineLvl w:val="2"/>
        <w:rPr>
          <w:b/>
          <w:sz w:val="22"/>
          <w:szCs w:val="22"/>
          <w:lang w:eastAsia="en-US"/>
        </w:rPr>
      </w:pPr>
      <w:r>
        <w:rPr>
          <w:b/>
          <w:kern w:val="28"/>
          <w:sz w:val="22"/>
          <w:szCs w:val="22"/>
          <w:lang w:eastAsia="en-US"/>
        </w:rPr>
        <w:t>4.4</w:t>
      </w:r>
      <w:r>
        <w:rPr>
          <w:b/>
          <w:kern w:val="28"/>
          <w:sz w:val="22"/>
          <w:szCs w:val="22"/>
          <w:lang w:eastAsia="en-US"/>
        </w:rPr>
        <w:tab/>
        <w:t>Specialūs įspėjimai ir atsargumo priemonės</w:t>
      </w:r>
    </w:p>
    <w:p w14:paraId="68DB027E" w14:textId="77777777" w:rsidR="003B31DC" w:rsidRDefault="003B31DC">
      <w:pPr>
        <w:widowControl w:val="0"/>
        <w:ind w:left="567" w:hanging="567"/>
        <w:rPr>
          <w:bCs/>
          <w:sz w:val="22"/>
          <w:szCs w:val="22"/>
          <w:lang w:eastAsia="en-US"/>
        </w:rPr>
      </w:pPr>
    </w:p>
    <w:p w14:paraId="34FB8187" w14:textId="77777777" w:rsidR="003B31DC" w:rsidRDefault="00913CBE">
      <w:pPr>
        <w:widowControl w:val="0"/>
        <w:ind w:left="567" w:hanging="567"/>
        <w:rPr>
          <w:bCs/>
          <w:sz w:val="22"/>
          <w:szCs w:val="22"/>
          <w:u w:val="single"/>
          <w:lang w:eastAsia="en-US"/>
        </w:rPr>
      </w:pPr>
      <w:r>
        <w:rPr>
          <w:bCs/>
          <w:sz w:val="22"/>
          <w:szCs w:val="22"/>
          <w:u w:val="single"/>
          <w:lang w:eastAsia="en-US"/>
        </w:rPr>
        <w:t>Bendrieji įspėjimai</w:t>
      </w:r>
    </w:p>
    <w:p w14:paraId="2FA4E525" w14:textId="77777777" w:rsidR="003B31DC" w:rsidRDefault="003B31DC">
      <w:pPr>
        <w:widowControl w:val="0"/>
        <w:ind w:left="567" w:hanging="567"/>
        <w:rPr>
          <w:bCs/>
          <w:sz w:val="22"/>
          <w:szCs w:val="22"/>
          <w:u w:val="single"/>
          <w:lang w:eastAsia="en-US"/>
        </w:rPr>
      </w:pPr>
    </w:p>
    <w:p w14:paraId="63F792C2" w14:textId="77777777" w:rsidR="003B31DC" w:rsidRDefault="00913CBE">
      <w:pPr>
        <w:tabs>
          <w:tab w:val="left" w:pos="567"/>
        </w:tabs>
        <w:spacing w:line="260" w:lineRule="exact"/>
        <w:jc w:val="both"/>
        <w:rPr>
          <w:bCs/>
          <w:sz w:val="22"/>
          <w:szCs w:val="22"/>
          <w:lang w:eastAsia="en-US"/>
        </w:rPr>
      </w:pPr>
      <w:proofErr w:type="spellStart"/>
      <w:r>
        <w:rPr>
          <w:bCs/>
          <w:sz w:val="22"/>
          <w:szCs w:val="22"/>
          <w:lang w:eastAsia="en-US"/>
        </w:rPr>
        <w:t>Empagliflozino</w:t>
      </w:r>
      <w:proofErr w:type="spellEnd"/>
      <w:r>
        <w:rPr>
          <w:bCs/>
          <w:sz w:val="22"/>
          <w:szCs w:val="22"/>
          <w:lang w:eastAsia="en-US"/>
        </w:rPr>
        <w:t xml:space="preserve"> negalima vartoti pacientams, sergantiems 1 tipo cukriniu diabetu (žr. „Diabetinė </w:t>
      </w:r>
      <w:proofErr w:type="spellStart"/>
      <w:r>
        <w:rPr>
          <w:bCs/>
          <w:sz w:val="22"/>
          <w:szCs w:val="22"/>
          <w:lang w:eastAsia="en-US"/>
        </w:rPr>
        <w:t>ketoacidozė</w:t>
      </w:r>
      <w:proofErr w:type="spellEnd"/>
      <w:r>
        <w:rPr>
          <w:bCs/>
          <w:sz w:val="22"/>
          <w:szCs w:val="22"/>
          <w:lang w:eastAsia="en-US"/>
        </w:rPr>
        <w:t>“ 4.4 skyriuje).</w:t>
      </w:r>
    </w:p>
    <w:p w14:paraId="2BC5FFE8" w14:textId="77777777" w:rsidR="003B31DC" w:rsidRDefault="003B31DC">
      <w:pPr>
        <w:tabs>
          <w:tab w:val="left" w:pos="567"/>
        </w:tabs>
        <w:jc w:val="both"/>
        <w:rPr>
          <w:snapToGrid w:val="0"/>
          <w:sz w:val="22"/>
          <w:szCs w:val="22"/>
          <w:lang w:eastAsia="en-US"/>
        </w:rPr>
      </w:pPr>
    </w:p>
    <w:p w14:paraId="65F7428B" w14:textId="77777777" w:rsidR="003B31DC" w:rsidRDefault="00913CBE">
      <w:pPr>
        <w:tabs>
          <w:tab w:val="left" w:pos="567"/>
        </w:tabs>
        <w:jc w:val="both"/>
        <w:rPr>
          <w:snapToGrid w:val="0"/>
          <w:sz w:val="22"/>
          <w:szCs w:val="22"/>
          <w:u w:val="single"/>
          <w:lang w:eastAsia="en-US"/>
        </w:rPr>
      </w:pPr>
      <w:r>
        <w:rPr>
          <w:snapToGrid w:val="0"/>
          <w:sz w:val="22"/>
          <w:szCs w:val="22"/>
          <w:u w:val="single"/>
          <w:lang w:eastAsia="en-US"/>
        </w:rPr>
        <w:t xml:space="preserve">Pieno rūgšties </w:t>
      </w:r>
      <w:proofErr w:type="spellStart"/>
      <w:r>
        <w:rPr>
          <w:snapToGrid w:val="0"/>
          <w:sz w:val="22"/>
          <w:szCs w:val="22"/>
          <w:u w:val="single"/>
          <w:lang w:eastAsia="en-US"/>
        </w:rPr>
        <w:t>acidozė</w:t>
      </w:r>
      <w:proofErr w:type="spellEnd"/>
    </w:p>
    <w:p w14:paraId="59C0B17A" w14:textId="37C6979A" w:rsidR="003B31DC" w:rsidRDefault="00913CBE">
      <w:pPr>
        <w:tabs>
          <w:tab w:val="left" w:pos="567"/>
        </w:tabs>
        <w:jc w:val="both"/>
        <w:rPr>
          <w:snapToGrid w:val="0"/>
          <w:sz w:val="22"/>
          <w:szCs w:val="22"/>
          <w:lang w:eastAsia="en-US"/>
        </w:rPr>
      </w:pPr>
      <w:r>
        <w:rPr>
          <w:snapToGrid w:val="0"/>
          <w:sz w:val="22"/>
          <w:szCs w:val="22"/>
          <w:lang w:eastAsia="en-US"/>
        </w:rPr>
        <w:t xml:space="preserve">Pieno rūgšties </w:t>
      </w:r>
      <w:proofErr w:type="spellStart"/>
      <w:r>
        <w:rPr>
          <w:snapToGrid w:val="0"/>
          <w:sz w:val="22"/>
          <w:szCs w:val="22"/>
          <w:lang w:eastAsia="en-US"/>
        </w:rPr>
        <w:t>acidozė</w:t>
      </w:r>
      <w:proofErr w:type="spellEnd"/>
      <w:r>
        <w:rPr>
          <w:snapToGrid w:val="0"/>
          <w:sz w:val="22"/>
          <w:szCs w:val="22"/>
          <w:lang w:eastAsia="en-US"/>
        </w:rPr>
        <w:t xml:space="preserve"> – labai reta, bet sunki </w:t>
      </w:r>
      <w:proofErr w:type="spellStart"/>
      <w:r>
        <w:rPr>
          <w:snapToGrid w:val="0"/>
          <w:sz w:val="22"/>
          <w:szCs w:val="22"/>
          <w:lang w:eastAsia="en-US"/>
        </w:rPr>
        <w:t>metabolinė</w:t>
      </w:r>
      <w:proofErr w:type="spellEnd"/>
      <w:r>
        <w:rPr>
          <w:snapToGrid w:val="0"/>
          <w:sz w:val="22"/>
          <w:szCs w:val="22"/>
          <w:lang w:eastAsia="en-US"/>
        </w:rPr>
        <w:t xml:space="preserve"> komplikacija, </w:t>
      </w:r>
      <w:r w:rsidR="001E5D98">
        <w:rPr>
          <w:snapToGrid w:val="0"/>
          <w:sz w:val="22"/>
          <w:szCs w:val="22"/>
          <w:lang w:eastAsia="en-US"/>
        </w:rPr>
        <w:t xml:space="preserve">kuri </w:t>
      </w:r>
      <w:r>
        <w:rPr>
          <w:snapToGrid w:val="0"/>
          <w:sz w:val="22"/>
          <w:szCs w:val="22"/>
          <w:lang w:eastAsia="en-US"/>
        </w:rPr>
        <w:t xml:space="preserve">dažniausiai pasireiškia esant ūminiam inkstų funkcijos </w:t>
      </w:r>
      <w:r w:rsidR="004C62E0">
        <w:rPr>
          <w:snapToGrid w:val="0"/>
          <w:sz w:val="22"/>
          <w:szCs w:val="22"/>
          <w:lang w:eastAsia="en-US"/>
        </w:rPr>
        <w:t>pablogėjimui</w:t>
      </w:r>
      <w:r>
        <w:rPr>
          <w:snapToGrid w:val="0"/>
          <w:sz w:val="22"/>
          <w:szCs w:val="22"/>
          <w:lang w:eastAsia="en-US"/>
        </w:rPr>
        <w:t xml:space="preserve">, širdies ir kvėpavimo </w:t>
      </w:r>
      <w:r w:rsidR="00117F0B">
        <w:rPr>
          <w:snapToGrid w:val="0"/>
          <w:sz w:val="22"/>
          <w:szCs w:val="22"/>
          <w:lang w:eastAsia="en-US"/>
        </w:rPr>
        <w:t xml:space="preserve">takų </w:t>
      </w:r>
      <w:r>
        <w:rPr>
          <w:snapToGrid w:val="0"/>
          <w:sz w:val="22"/>
          <w:szCs w:val="22"/>
          <w:lang w:eastAsia="en-US"/>
        </w:rPr>
        <w:t xml:space="preserve">ligai arba sepsiui. Esant ūminiam inkstų funkcijos </w:t>
      </w:r>
      <w:r w:rsidR="002831AE">
        <w:rPr>
          <w:snapToGrid w:val="0"/>
          <w:sz w:val="22"/>
          <w:szCs w:val="22"/>
          <w:lang w:eastAsia="en-US"/>
        </w:rPr>
        <w:t>pablogėjimui</w:t>
      </w:r>
      <w:r>
        <w:rPr>
          <w:snapToGrid w:val="0"/>
          <w:sz w:val="22"/>
          <w:szCs w:val="22"/>
          <w:lang w:eastAsia="en-US"/>
        </w:rPr>
        <w:t xml:space="preserve">, </w:t>
      </w:r>
      <w:proofErr w:type="spellStart"/>
      <w:r>
        <w:rPr>
          <w:snapToGrid w:val="0"/>
          <w:sz w:val="22"/>
          <w:szCs w:val="22"/>
          <w:lang w:eastAsia="en-US"/>
        </w:rPr>
        <w:t>metforminas</w:t>
      </w:r>
      <w:proofErr w:type="spellEnd"/>
      <w:r>
        <w:rPr>
          <w:snapToGrid w:val="0"/>
          <w:sz w:val="22"/>
          <w:szCs w:val="22"/>
          <w:lang w:eastAsia="en-US"/>
        </w:rPr>
        <w:t xml:space="preserve"> kaupiasi </w:t>
      </w:r>
      <w:r w:rsidR="002831AE">
        <w:rPr>
          <w:snapToGrid w:val="0"/>
          <w:sz w:val="22"/>
          <w:szCs w:val="22"/>
          <w:lang w:eastAsia="en-US"/>
        </w:rPr>
        <w:t xml:space="preserve">organizme </w:t>
      </w:r>
      <w:r>
        <w:rPr>
          <w:snapToGrid w:val="0"/>
          <w:sz w:val="22"/>
          <w:szCs w:val="22"/>
          <w:lang w:eastAsia="en-US"/>
        </w:rPr>
        <w:t xml:space="preserve">ir didina pieno rūgšties </w:t>
      </w:r>
      <w:proofErr w:type="spellStart"/>
      <w:r>
        <w:rPr>
          <w:snapToGrid w:val="0"/>
          <w:sz w:val="22"/>
          <w:szCs w:val="22"/>
          <w:lang w:eastAsia="en-US"/>
        </w:rPr>
        <w:t>acidozės</w:t>
      </w:r>
      <w:proofErr w:type="spellEnd"/>
      <w:r>
        <w:rPr>
          <w:snapToGrid w:val="0"/>
          <w:sz w:val="22"/>
          <w:szCs w:val="22"/>
          <w:lang w:eastAsia="en-US"/>
        </w:rPr>
        <w:t xml:space="preserve"> riziką.</w:t>
      </w:r>
    </w:p>
    <w:p w14:paraId="50656D23" w14:textId="77777777" w:rsidR="003B31DC" w:rsidRDefault="00913CBE">
      <w:pPr>
        <w:tabs>
          <w:tab w:val="left" w:pos="567"/>
        </w:tabs>
        <w:jc w:val="both"/>
        <w:rPr>
          <w:snapToGrid w:val="0"/>
          <w:sz w:val="22"/>
          <w:szCs w:val="22"/>
          <w:lang w:eastAsia="en-US"/>
        </w:rPr>
      </w:pPr>
      <w:r>
        <w:rPr>
          <w:snapToGrid w:val="0"/>
          <w:sz w:val="22"/>
          <w:szCs w:val="22"/>
          <w:lang w:eastAsia="en-US"/>
        </w:rPr>
        <w:t xml:space="preserve">Esant dehidratacijai (sunkiam viduriavimui ar vėmimui, karščiavimui ar sumažėjusiam skysčių vartojimui), reikia laikinai nutraukti </w:t>
      </w:r>
      <w:proofErr w:type="spellStart"/>
      <w:r>
        <w:rPr>
          <w:snapToGrid w:val="0"/>
          <w:sz w:val="22"/>
          <w:szCs w:val="22"/>
          <w:lang w:eastAsia="en-US"/>
        </w:rPr>
        <w:t>metformino</w:t>
      </w:r>
      <w:proofErr w:type="spellEnd"/>
      <w:r>
        <w:rPr>
          <w:snapToGrid w:val="0"/>
          <w:sz w:val="22"/>
          <w:szCs w:val="22"/>
          <w:lang w:eastAsia="en-US"/>
        </w:rPr>
        <w:t xml:space="preserve"> vartojimą ir rekomenduojama kreiptis į sveikatos priežiūros specialistą.</w:t>
      </w:r>
    </w:p>
    <w:p w14:paraId="5E18AD0F" w14:textId="0D991D4B" w:rsidR="003B31DC" w:rsidRDefault="00913CBE">
      <w:pPr>
        <w:tabs>
          <w:tab w:val="left" w:pos="567"/>
        </w:tabs>
        <w:jc w:val="both"/>
        <w:rPr>
          <w:snapToGrid w:val="0"/>
          <w:sz w:val="22"/>
          <w:szCs w:val="22"/>
          <w:lang w:eastAsia="en-US"/>
        </w:rPr>
      </w:pPr>
      <w:r>
        <w:rPr>
          <w:snapToGrid w:val="0"/>
          <w:sz w:val="22"/>
          <w:szCs w:val="22"/>
          <w:lang w:eastAsia="en-US"/>
        </w:rPr>
        <w:t xml:space="preserve">Vaistinius preparatus, kurie gali sukelti ūminį inkstų funkcijos </w:t>
      </w:r>
      <w:r w:rsidR="004B1DBF">
        <w:rPr>
          <w:snapToGrid w:val="0"/>
          <w:sz w:val="22"/>
          <w:szCs w:val="22"/>
          <w:lang w:eastAsia="en-US"/>
        </w:rPr>
        <w:t>pa</w:t>
      </w:r>
      <w:r w:rsidR="00A57B5A">
        <w:rPr>
          <w:snapToGrid w:val="0"/>
          <w:sz w:val="22"/>
          <w:szCs w:val="22"/>
          <w:lang w:eastAsia="en-US"/>
        </w:rPr>
        <w:t>blogėjimą</w:t>
      </w:r>
      <w:r w:rsidR="004B1DBF">
        <w:rPr>
          <w:snapToGrid w:val="0"/>
          <w:sz w:val="22"/>
          <w:szCs w:val="22"/>
          <w:lang w:eastAsia="en-US"/>
        </w:rPr>
        <w:t xml:space="preserve"> </w:t>
      </w:r>
      <w:r>
        <w:rPr>
          <w:snapToGrid w:val="0"/>
          <w:sz w:val="22"/>
          <w:szCs w:val="22"/>
          <w:lang w:eastAsia="en-US"/>
        </w:rPr>
        <w:t xml:space="preserve">(pvz., </w:t>
      </w:r>
      <w:proofErr w:type="spellStart"/>
      <w:r>
        <w:rPr>
          <w:snapToGrid w:val="0"/>
          <w:sz w:val="22"/>
          <w:szCs w:val="22"/>
          <w:lang w:eastAsia="en-US"/>
        </w:rPr>
        <w:t>antihipertenzinius</w:t>
      </w:r>
      <w:proofErr w:type="spellEnd"/>
      <w:r>
        <w:rPr>
          <w:snapToGrid w:val="0"/>
          <w:sz w:val="22"/>
          <w:szCs w:val="22"/>
          <w:lang w:eastAsia="en-US"/>
        </w:rPr>
        <w:t xml:space="preserve"> vaistinius preparatus, diuretikus ir NVNU), </w:t>
      </w:r>
      <w:proofErr w:type="spellStart"/>
      <w:r>
        <w:rPr>
          <w:snapToGrid w:val="0"/>
          <w:sz w:val="22"/>
          <w:szCs w:val="22"/>
          <w:lang w:eastAsia="en-US"/>
        </w:rPr>
        <w:t>metforminu</w:t>
      </w:r>
      <w:proofErr w:type="spellEnd"/>
      <w:r>
        <w:rPr>
          <w:snapToGrid w:val="0"/>
          <w:sz w:val="22"/>
          <w:szCs w:val="22"/>
          <w:lang w:eastAsia="en-US"/>
        </w:rPr>
        <w:t xml:space="preserve"> gydomiems pacientams reikia skirti atsargiai. Kiti pieno rūgšties </w:t>
      </w:r>
      <w:proofErr w:type="spellStart"/>
      <w:r>
        <w:rPr>
          <w:snapToGrid w:val="0"/>
          <w:sz w:val="22"/>
          <w:szCs w:val="22"/>
          <w:lang w:eastAsia="en-US"/>
        </w:rPr>
        <w:t>acidozės</w:t>
      </w:r>
      <w:proofErr w:type="spellEnd"/>
      <w:r>
        <w:rPr>
          <w:snapToGrid w:val="0"/>
          <w:sz w:val="22"/>
          <w:szCs w:val="22"/>
          <w:lang w:eastAsia="en-US"/>
        </w:rPr>
        <w:t xml:space="preserve"> rizikos veiksniai yra piktnaudžiavimas alkoholiu, kepenų funkcijos sutrikimas, nepakankamai </w:t>
      </w:r>
      <w:r w:rsidR="009E0EF4">
        <w:rPr>
          <w:snapToGrid w:val="0"/>
          <w:sz w:val="22"/>
          <w:szCs w:val="22"/>
          <w:lang w:eastAsia="en-US"/>
        </w:rPr>
        <w:t>sureguliuota</w:t>
      </w:r>
      <w:r>
        <w:rPr>
          <w:snapToGrid w:val="0"/>
          <w:sz w:val="22"/>
          <w:szCs w:val="22"/>
          <w:lang w:eastAsia="en-US"/>
        </w:rPr>
        <w:t xml:space="preserve">s </w:t>
      </w:r>
      <w:r w:rsidR="0018311B">
        <w:rPr>
          <w:snapToGrid w:val="0"/>
          <w:sz w:val="22"/>
          <w:szCs w:val="22"/>
          <w:lang w:eastAsia="en-US"/>
        </w:rPr>
        <w:t xml:space="preserve">cukrinis </w:t>
      </w:r>
      <w:r>
        <w:rPr>
          <w:snapToGrid w:val="0"/>
          <w:sz w:val="22"/>
          <w:szCs w:val="22"/>
          <w:lang w:eastAsia="en-US"/>
        </w:rPr>
        <w:t>diabetas, ketozė, ilgalaikis badavimas ir su hipoksija susijusios būklės, taip pat kartu vartoj</w:t>
      </w:r>
      <w:r w:rsidR="00D31F8B">
        <w:rPr>
          <w:snapToGrid w:val="0"/>
          <w:sz w:val="22"/>
          <w:szCs w:val="22"/>
          <w:lang w:eastAsia="en-US"/>
        </w:rPr>
        <w:t>ami</w:t>
      </w:r>
      <w:r>
        <w:rPr>
          <w:snapToGrid w:val="0"/>
          <w:sz w:val="22"/>
          <w:szCs w:val="22"/>
          <w:lang w:eastAsia="en-US"/>
        </w:rPr>
        <w:t xml:space="preserve"> vaistini</w:t>
      </w:r>
      <w:r w:rsidR="00D31F8B">
        <w:rPr>
          <w:snapToGrid w:val="0"/>
          <w:sz w:val="22"/>
          <w:szCs w:val="22"/>
          <w:lang w:eastAsia="en-US"/>
        </w:rPr>
        <w:t>ai</w:t>
      </w:r>
      <w:r>
        <w:rPr>
          <w:snapToGrid w:val="0"/>
          <w:sz w:val="22"/>
          <w:szCs w:val="22"/>
          <w:lang w:eastAsia="en-US"/>
        </w:rPr>
        <w:t xml:space="preserve"> preparat</w:t>
      </w:r>
      <w:r w:rsidR="00D31F8B">
        <w:rPr>
          <w:snapToGrid w:val="0"/>
          <w:sz w:val="22"/>
          <w:szCs w:val="22"/>
          <w:lang w:eastAsia="en-US"/>
        </w:rPr>
        <w:t>ai</w:t>
      </w:r>
      <w:r>
        <w:rPr>
          <w:snapToGrid w:val="0"/>
          <w:sz w:val="22"/>
          <w:szCs w:val="22"/>
          <w:lang w:eastAsia="en-US"/>
        </w:rPr>
        <w:t xml:space="preserve">, kurie gali sukelti pieno rūgšties </w:t>
      </w:r>
      <w:proofErr w:type="spellStart"/>
      <w:r>
        <w:rPr>
          <w:snapToGrid w:val="0"/>
          <w:sz w:val="22"/>
          <w:szCs w:val="22"/>
          <w:lang w:eastAsia="en-US"/>
        </w:rPr>
        <w:t>acidozę</w:t>
      </w:r>
      <w:proofErr w:type="spellEnd"/>
      <w:r>
        <w:rPr>
          <w:snapToGrid w:val="0"/>
          <w:sz w:val="22"/>
          <w:szCs w:val="22"/>
          <w:lang w:eastAsia="en-US"/>
        </w:rPr>
        <w:t xml:space="preserve"> (žr. 4.3 ir 4.5 skyrius).</w:t>
      </w:r>
    </w:p>
    <w:p w14:paraId="73B3EE04" w14:textId="77777777" w:rsidR="003B31DC" w:rsidRDefault="003B31DC">
      <w:pPr>
        <w:tabs>
          <w:tab w:val="left" w:pos="567"/>
        </w:tabs>
        <w:jc w:val="both"/>
        <w:rPr>
          <w:snapToGrid w:val="0"/>
          <w:sz w:val="22"/>
          <w:szCs w:val="22"/>
          <w:lang w:eastAsia="en-US"/>
        </w:rPr>
      </w:pPr>
    </w:p>
    <w:p w14:paraId="58BEF9ED" w14:textId="68277A26" w:rsidR="003B31DC" w:rsidRDefault="00913CBE">
      <w:pPr>
        <w:tabs>
          <w:tab w:val="left" w:pos="567"/>
        </w:tabs>
        <w:jc w:val="both"/>
        <w:rPr>
          <w:snapToGrid w:val="0"/>
          <w:sz w:val="22"/>
          <w:szCs w:val="22"/>
          <w:lang w:eastAsia="en-US"/>
        </w:rPr>
      </w:pPr>
      <w:r>
        <w:rPr>
          <w:snapToGrid w:val="0"/>
          <w:sz w:val="22"/>
          <w:szCs w:val="22"/>
          <w:lang w:eastAsia="en-US"/>
        </w:rPr>
        <w:t xml:space="preserve">Pacientus ir (arba) juos slaugančius asmenis reikia informuoti apie pieno rūgšties </w:t>
      </w:r>
      <w:proofErr w:type="spellStart"/>
      <w:r>
        <w:rPr>
          <w:snapToGrid w:val="0"/>
          <w:sz w:val="22"/>
          <w:szCs w:val="22"/>
          <w:lang w:eastAsia="en-US"/>
        </w:rPr>
        <w:t>acidozės</w:t>
      </w:r>
      <w:proofErr w:type="spellEnd"/>
      <w:r>
        <w:rPr>
          <w:snapToGrid w:val="0"/>
          <w:sz w:val="22"/>
          <w:szCs w:val="22"/>
          <w:lang w:eastAsia="en-US"/>
        </w:rPr>
        <w:t xml:space="preserve"> riziką. Pieno rūgšties </w:t>
      </w:r>
      <w:proofErr w:type="spellStart"/>
      <w:r>
        <w:rPr>
          <w:snapToGrid w:val="0"/>
          <w:sz w:val="22"/>
          <w:szCs w:val="22"/>
          <w:lang w:eastAsia="en-US"/>
        </w:rPr>
        <w:t>acidozei</w:t>
      </w:r>
      <w:proofErr w:type="spellEnd"/>
      <w:r>
        <w:rPr>
          <w:snapToGrid w:val="0"/>
          <w:sz w:val="22"/>
          <w:szCs w:val="22"/>
          <w:lang w:eastAsia="en-US"/>
        </w:rPr>
        <w:t xml:space="preserve"> būdingas </w:t>
      </w:r>
      <w:proofErr w:type="spellStart"/>
      <w:r>
        <w:rPr>
          <w:snapToGrid w:val="0"/>
          <w:sz w:val="22"/>
          <w:szCs w:val="22"/>
          <w:lang w:eastAsia="en-US"/>
        </w:rPr>
        <w:t>acidozinis</w:t>
      </w:r>
      <w:proofErr w:type="spellEnd"/>
      <w:r>
        <w:rPr>
          <w:snapToGrid w:val="0"/>
          <w:sz w:val="22"/>
          <w:szCs w:val="22"/>
          <w:lang w:eastAsia="en-US"/>
        </w:rPr>
        <w:t xml:space="preserve"> dusulys, pilvo skausmas, raumenų mėšlungis, </w:t>
      </w:r>
      <w:proofErr w:type="spellStart"/>
      <w:r>
        <w:rPr>
          <w:snapToGrid w:val="0"/>
          <w:sz w:val="22"/>
          <w:szCs w:val="22"/>
          <w:lang w:eastAsia="en-US"/>
        </w:rPr>
        <w:t>astenija</w:t>
      </w:r>
      <w:proofErr w:type="spellEnd"/>
      <w:r>
        <w:rPr>
          <w:snapToGrid w:val="0"/>
          <w:sz w:val="22"/>
          <w:szCs w:val="22"/>
          <w:lang w:eastAsia="en-US"/>
        </w:rPr>
        <w:t xml:space="preserve"> ir hipotermija, po kurių ištinka koma. Įtarus simptomus, pacientas turi nutraukti </w:t>
      </w:r>
      <w:proofErr w:type="spellStart"/>
      <w:r>
        <w:rPr>
          <w:snapToGrid w:val="0"/>
          <w:sz w:val="22"/>
          <w:szCs w:val="22"/>
          <w:lang w:eastAsia="en-US"/>
        </w:rPr>
        <w:t>metformino</w:t>
      </w:r>
      <w:proofErr w:type="spellEnd"/>
      <w:r>
        <w:rPr>
          <w:snapToGrid w:val="0"/>
          <w:sz w:val="22"/>
          <w:szCs w:val="22"/>
          <w:lang w:eastAsia="en-US"/>
        </w:rPr>
        <w:t xml:space="preserve"> vartojimą ir nedelsdamas </w:t>
      </w:r>
      <w:proofErr w:type="spellStart"/>
      <w:r>
        <w:rPr>
          <w:snapToGrid w:val="0"/>
          <w:sz w:val="22"/>
          <w:szCs w:val="22"/>
          <w:lang w:eastAsia="en-US"/>
        </w:rPr>
        <w:t>kreiptis</w:t>
      </w:r>
      <w:r w:rsidR="00352E5D">
        <w:rPr>
          <w:snapToGrid w:val="0"/>
          <w:sz w:val="22"/>
          <w:szCs w:val="22"/>
          <w:lang w:eastAsia="en-US"/>
        </w:rPr>
        <w:t>į</w:t>
      </w:r>
      <w:proofErr w:type="spellEnd"/>
      <w:r w:rsidR="00352E5D">
        <w:rPr>
          <w:snapToGrid w:val="0"/>
          <w:sz w:val="22"/>
          <w:szCs w:val="22"/>
          <w:lang w:eastAsia="en-US"/>
        </w:rPr>
        <w:t xml:space="preserve"> gydytoją</w:t>
      </w:r>
      <w:r>
        <w:rPr>
          <w:snapToGrid w:val="0"/>
          <w:sz w:val="22"/>
          <w:szCs w:val="22"/>
          <w:lang w:eastAsia="en-US"/>
        </w:rPr>
        <w:t xml:space="preserve">. Diagnostiniai laboratorinių tyrimų </w:t>
      </w:r>
      <w:r w:rsidR="00675FB2">
        <w:rPr>
          <w:snapToGrid w:val="0"/>
          <w:sz w:val="22"/>
          <w:szCs w:val="22"/>
          <w:lang w:eastAsia="en-US"/>
        </w:rPr>
        <w:t>rodikliai</w:t>
      </w:r>
      <w:r w:rsidR="00886F0B">
        <w:rPr>
          <w:snapToGrid w:val="0"/>
          <w:sz w:val="22"/>
          <w:szCs w:val="22"/>
          <w:lang w:eastAsia="en-US"/>
        </w:rPr>
        <w:t xml:space="preserve"> </w:t>
      </w:r>
      <w:r>
        <w:rPr>
          <w:snapToGrid w:val="0"/>
          <w:sz w:val="22"/>
          <w:szCs w:val="22"/>
          <w:lang w:eastAsia="en-US"/>
        </w:rPr>
        <w:t>yra sumažėjęs kraujo pH (&lt; 7,35), padidėjusi laktat</w:t>
      </w:r>
      <w:r w:rsidR="00886F0B">
        <w:rPr>
          <w:snapToGrid w:val="0"/>
          <w:sz w:val="22"/>
          <w:szCs w:val="22"/>
          <w:lang w:eastAsia="en-US"/>
        </w:rPr>
        <w:t>o</w:t>
      </w:r>
      <w:r>
        <w:rPr>
          <w:snapToGrid w:val="0"/>
          <w:sz w:val="22"/>
          <w:szCs w:val="22"/>
          <w:lang w:eastAsia="en-US"/>
        </w:rPr>
        <w:t xml:space="preserve"> koncentracija kraujo plazmoje (&gt; 5 </w:t>
      </w:r>
      <w:proofErr w:type="spellStart"/>
      <w:r>
        <w:rPr>
          <w:snapToGrid w:val="0"/>
          <w:sz w:val="22"/>
          <w:szCs w:val="22"/>
          <w:lang w:eastAsia="en-US"/>
        </w:rPr>
        <w:t>mmol</w:t>
      </w:r>
      <w:proofErr w:type="spellEnd"/>
      <w:r>
        <w:rPr>
          <w:snapToGrid w:val="0"/>
          <w:sz w:val="22"/>
          <w:szCs w:val="22"/>
          <w:lang w:eastAsia="en-US"/>
        </w:rPr>
        <w:t>/l) ir padidėjęs anijoninis tarpas bei laktat</w:t>
      </w:r>
      <w:r w:rsidR="00CD75F4">
        <w:rPr>
          <w:snapToGrid w:val="0"/>
          <w:sz w:val="22"/>
          <w:szCs w:val="22"/>
          <w:lang w:eastAsia="en-US"/>
        </w:rPr>
        <w:t>o</w:t>
      </w:r>
      <w:r>
        <w:rPr>
          <w:snapToGrid w:val="0"/>
          <w:sz w:val="22"/>
          <w:szCs w:val="22"/>
          <w:lang w:eastAsia="en-US"/>
        </w:rPr>
        <w:t xml:space="preserve"> / </w:t>
      </w:r>
      <w:proofErr w:type="spellStart"/>
      <w:r>
        <w:rPr>
          <w:snapToGrid w:val="0"/>
          <w:sz w:val="22"/>
          <w:szCs w:val="22"/>
          <w:lang w:eastAsia="en-US"/>
        </w:rPr>
        <w:t>piruvato</w:t>
      </w:r>
      <w:proofErr w:type="spellEnd"/>
      <w:r>
        <w:rPr>
          <w:snapToGrid w:val="0"/>
          <w:sz w:val="22"/>
          <w:szCs w:val="22"/>
          <w:lang w:eastAsia="en-US"/>
        </w:rPr>
        <w:t xml:space="preserve"> santykis.</w:t>
      </w:r>
    </w:p>
    <w:p w14:paraId="3186D749" w14:textId="77777777" w:rsidR="003B31DC" w:rsidRDefault="003B31DC">
      <w:pPr>
        <w:tabs>
          <w:tab w:val="left" w:pos="567"/>
        </w:tabs>
        <w:jc w:val="both"/>
        <w:rPr>
          <w:snapToGrid w:val="0"/>
          <w:sz w:val="22"/>
          <w:szCs w:val="22"/>
          <w:lang w:eastAsia="en-US"/>
        </w:rPr>
      </w:pPr>
    </w:p>
    <w:p w14:paraId="1CFDCB5C" w14:textId="4D85E5E3" w:rsidR="003B31DC" w:rsidRDefault="00913CBE">
      <w:pPr>
        <w:tabs>
          <w:tab w:val="left" w:pos="567"/>
        </w:tabs>
        <w:jc w:val="both"/>
        <w:rPr>
          <w:i/>
          <w:iCs/>
          <w:snapToGrid w:val="0"/>
          <w:sz w:val="22"/>
          <w:szCs w:val="22"/>
          <w:lang w:eastAsia="en-US"/>
        </w:rPr>
      </w:pPr>
      <w:r>
        <w:rPr>
          <w:i/>
          <w:iCs/>
          <w:snapToGrid w:val="0"/>
          <w:sz w:val="22"/>
          <w:szCs w:val="22"/>
          <w:lang w:eastAsia="en-US"/>
        </w:rPr>
        <w:t xml:space="preserve">Pacientai, kuriems diagnozuotos arba įtariamos </w:t>
      </w:r>
      <w:proofErr w:type="spellStart"/>
      <w:r>
        <w:rPr>
          <w:i/>
          <w:iCs/>
          <w:snapToGrid w:val="0"/>
          <w:sz w:val="22"/>
          <w:szCs w:val="22"/>
          <w:lang w:eastAsia="en-US"/>
        </w:rPr>
        <w:t>mitochondri</w:t>
      </w:r>
      <w:r w:rsidR="00921685">
        <w:rPr>
          <w:i/>
          <w:iCs/>
          <w:snapToGrid w:val="0"/>
          <w:sz w:val="22"/>
          <w:szCs w:val="22"/>
          <w:lang w:eastAsia="en-US"/>
        </w:rPr>
        <w:t>jų</w:t>
      </w:r>
      <w:proofErr w:type="spellEnd"/>
      <w:r>
        <w:rPr>
          <w:i/>
          <w:iCs/>
          <w:snapToGrid w:val="0"/>
          <w:sz w:val="22"/>
          <w:szCs w:val="22"/>
          <w:lang w:eastAsia="en-US"/>
        </w:rPr>
        <w:t xml:space="preserve"> ligos</w:t>
      </w:r>
    </w:p>
    <w:p w14:paraId="4F6F58F8" w14:textId="43FE90EB" w:rsidR="003B31DC" w:rsidRDefault="00913CBE">
      <w:pPr>
        <w:tabs>
          <w:tab w:val="left" w:pos="567"/>
        </w:tabs>
        <w:jc w:val="both"/>
        <w:rPr>
          <w:snapToGrid w:val="0"/>
          <w:sz w:val="22"/>
          <w:szCs w:val="22"/>
          <w:lang w:eastAsia="en-US"/>
        </w:rPr>
      </w:pPr>
      <w:r>
        <w:rPr>
          <w:snapToGrid w:val="0"/>
          <w:sz w:val="22"/>
          <w:szCs w:val="22"/>
          <w:lang w:eastAsia="en-US"/>
        </w:rPr>
        <w:t xml:space="preserve">Pacientams, kuriems diagnozuotos </w:t>
      </w:r>
      <w:proofErr w:type="spellStart"/>
      <w:r>
        <w:rPr>
          <w:snapToGrid w:val="0"/>
          <w:sz w:val="22"/>
          <w:szCs w:val="22"/>
          <w:lang w:eastAsia="en-US"/>
        </w:rPr>
        <w:t>mitochondri</w:t>
      </w:r>
      <w:r w:rsidR="005F0582">
        <w:rPr>
          <w:snapToGrid w:val="0"/>
          <w:sz w:val="22"/>
          <w:szCs w:val="22"/>
          <w:lang w:eastAsia="en-US"/>
        </w:rPr>
        <w:t>jų</w:t>
      </w:r>
      <w:proofErr w:type="spellEnd"/>
      <w:r>
        <w:rPr>
          <w:snapToGrid w:val="0"/>
          <w:sz w:val="22"/>
          <w:szCs w:val="22"/>
          <w:lang w:eastAsia="en-US"/>
        </w:rPr>
        <w:t xml:space="preserve"> ligos, pvz., </w:t>
      </w:r>
      <w:proofErr w:type="spellStart"/>
      <w:r>
        <w:rPr>
          <w:snapToGrid w:val="0"/>
          <w:sz w:val="22"/>
          <w:szCs w:val="22"/>
          <w:lang w:eastAsia="en-US"/>
        </w:rPr>
        <w:t>mitochondrinė</w:t>
      </w:r>
      <w:proofErr w:type="spellEnd"/>
      <w:r>
        <w:rPr>
          <w:snapToGrid w:val="0"/>
          <w:sz w:val="22"/>
          <w:szCs w:val="22"/>
          <w:lang w:eastAsia="en-US"/>
        </w:rPr>
        <w:t xml:space="preserve"> </w:t>
      </w:r>
      <w:proofErr w:type="spellStart"/>
      <w:r>
        <w:rPr>
          <w:snapToGrid w:val="0"/>
          <w:sz w:val="22"/>
          <w:szCs w:val="22"/>
          <w:lang w:eastAsia="en-US"/>
        </w:rPr>
        <w:t>encefalopatij</w:t>
      </w:r>
      <w:r w:rsidR="005F0582">
        <w:rPr>
          <w:snapToGrid w:val="0"/>
          <w:sz w:val="22"/>
          <w:szCs w:val="22"/>
          <w:lang w:eastAsia="en-US"/>
        </w:rPr>
        <w:t>a</w:t>
      </w:r>
      <w:proofErr w:type="spellEnd"/>
      <w:r>
        <w:rPr>
          <w:snapToGrid w:val="0"/>
          <w:sz w:val="22"/>
          <w:szCs w:val="22"/>
          <w:lang w:eastAsia="en-US"/>
        </w:rPr>
        <w:t xml:space="preserve"> su pieno rūgšties </w:t>
      </w:r>
      <w:proofErr w:type="spellStart"/>
      <w:r>
        <w:rPr>
          <w:snapToGrid w:val="0"/>
          <w:sz w:val="22"/>
          <w:szCs w:val="22"/>
          <w:lang w:eastAsia="en-US"/>
        </w:rPr>
        <w:t>acidoze</w:t>
      </w:r>
      <w:proofErr w:type="spellEnd"/>
      <w:r>
        <w:rPr>
          <w:snapToGrid w:val="0"/>
          <w:sz w:val="22"/>
          <w:szCs w:val="22"/>
          <w:lang w:eastAsia="en-US"/>
        </w:rPr>
        <w:t xml:space="preserve"> ir į insultą panaš</w:t>
      </w:r>
      <w:r w:rsidR="008C425B">
        <w:rPr>
          <w:snapToGrid w:val="0"/>
          <w:sz w:val="22"/>
          <w:szCs w:val="22"/>
          <w:lang w:eastAsia="en-US"/>
        </w:rPr>
        <w:t>ūs</w:t>
      </w:r>
      <w:r>
        <w:rPr>
          <w:snapToGrid w:val="0"/>
          <w:sz w:val="22"/>
          <w:szCs w:val="22"/>
          <w:lang w:eastAsia="en-US"/>
        </w:rPr>
        <w:t xml:space="preserve"> epizodai (angl. </w:t>
      </w:r>
      <w:proofErr w:type="spellStart"/>
      <w:r>
        <w:rPr>
          <w:snapToGrid w:val="0"/>
          <w:sz w:val="22"/>
          <w:szCs w:val="22"/>
          <w:lang w:eastAsia="en-US"/>
        </w:rPr>
        <w:t>Mitochondrial</w:t>
      </w:r>
      <w:proofErr w:type="spellEnd"/>
      <w:r>
        <w:rPr>
          <w:snapToGrid w:val="0"/>
          <w:sz w:val="22"/>
          <w:szCs w:val="22"/>
          <w:lang w:eastAsia="en-US"/>
        </w:rPr>
        <w:t xml:space="preserve"> </w:t>
      </w:r>
      <w:proofErr w:type="spellStart"/>
      <w:r>
        <w:rPr>
          <w:snapToGrid w:val="0"/>
          <w:sz w:val="22"/>
          <w:szCs w:val="22"/>
          <w:lang w:eastAsia="en-US"/>
        </w:rPr>
        <w:t>encephalomyopathy</w:t>
      </w:r>
      <w:proofErr w:type="spellEnd"/>
      <w:r>
        <w:rPr>
          <w:snapToGrid w:val="0"/>
          <w:sz w:val="22"/>
          <w:szCs w:val="22"/>
          <w:lang w:eastAsia="en-US"/>
        </w:rPr>
        <w:t xml:space="preserve"> </w:t>
      </w:r>
      <w:proofErr w:type="spellStart"/>
      <w:r>
        <w:rPr>
          <w:snapToGrid w:val="0"/>
          <w:sz w:val="22"/>
          <w:szCs w:val="22"/>
          <w:lang w:eastAsia="en-US"/>
        </w:rPr>
        <w:t>with</w:t>
      </w:r>
      <w:proofErr w:type="spellEnd"/>
      <w:r>
        <w:rPr>
          <w:snapToGrid w:val="0"/>
          <w:sz w:val="22"/>
          <w:szCs w:val="22"/>
          <w:lang w:eastAsia="en-US"/>
        </w:rPr>
        <w:t xml:space="preserve"> </w:t>
      </w:r>
      <w:proofErr w:type="spellStart"/>
      <w:r>
        <w:rPr>
          <w:snapToGrid w:val="0"/>
          <w:sz w:val="22"/>
          <w:szCs w:val="22"/>
          <w:lang w:eastAsia="en-US"/>
        </w:rPr>
        <w:t>lactic</w:t>
      </w:r>
      <w:proofErr w:type="spellEnd"/>
      <w:r>
        <w:rPr>
          <w:snapToGrid w:val="0"/>
          <w:sz w:val="22"/>
          <w:szCs w:val="22"/>
          <w:lang w:eastAsia="en-US"/>
        </w:rPr>
        <w:t xml:space="preserve"> </w:t>
      </w:r>
      <w:proofErr w:type="spellStart"/>
      <w:r>
        <w:rPr>
          <w:snapToGrid w:val="0"/>
          <w:sz w:val="22"/>
          <w:szCs w:val="22"/>
          <w:lang w:eastAsia="en-US"/>
        </w:rPr>
        <w:t>acidosis</w:t>
      </w:r>
      <w:proofErr w:type="spellEnd"/>
      <w:r>
        <w:rPr>
          <w:snapToGrid w:val="0"/>
          <w:sz w:val="22"/>
          <w:szCs w:val="22"/>
          <w:lang w:eastAsia="en-US"/>
        </w:rPr>
        <w:t xml:space="preserve"> </w:t>
      </w:r>
      <w:proofErr w:type="spellStart"/>
      <w:r>
        <w:rPr>
          <w:snapToGrid w:val="0"/>
          <w:sz w:val="22"/>
          <w:szCs w:val="22"/>
          <w:lang w:eastAsia="en-US"/>
        </w:rPr>
        <w:t>and</w:t>
      </w:r>
      <w:proofErr w:type="spellEnd"/>
      <w:r>
        <w:rPr>
          <w:snapToGrid w:val="0"/>
          <w:sz w:val="22"/>
          <w:szCs w:val="22"/>
          <w:lang w:eastAsia="en-US"/>
        </w:rPr>
        <w:t xml:space="preserve"> </w:t>
      </w:r>
      <w:proofErr w:type="spellStart"/>
      <w:r>
        <w:rPr>
          <w:snapToGrid w:val="0"/>
          <w:sz w:val="22"/>
          <w:szCs w:val="22"/>
          <w:lang w:eastAsia="en-US"/>
        </w:rPr>
        <w:t>stroke-like</w:t>
      </w:r>
      <w:proofErr w:type="spellEnd"/>
      <w:r>
        <w:rPr>
          <w:snapToGrid w:val="0"/>
          <w:sz w:val="22"/>
          <w:szCs w:val="22"/>
          <w:lang w:eastAsia="en-US"/>
        </w:rPr>
        <w:t xml:space="preserve"> </w:t>
      </w:r>
      <w:proofErr w:type="spellStart"/>
      <w:r>
        <w:rPr>
          <w:snapToGrid w:val="0"/>
          <w:sz w:val="22"/>
          <w:szCs w:val="22"/>
          <w:lang w:eastAsia="en-US"/>
        </w:rPr>
        <w:t>episodes</w:t>
      </w:r>
      <w:proofErr w:type="spellEnd"/>
      <w:r>
        <w:rPr>
          <w:snapToGrid w:val="0"/>
          <w:sz w:val="22"/>
          <w:szCs w:val="22"/>
          <w:lang w:eastAsia="en-US"/>
        </w:rPr>
        <w:t xml:space="preserve">, MELAS) sindromas </w:t>
      </w:r>
      <w:r w:rsidR="00B73C10">
        <w:rPr>
          <w:snapToGrid w:val="0"/>
          <w:sz w:val="22"/>
          <w:szCs w:val="22"/>
          <w:lang w:eastAsia="en-US"/>
        </w:rPr>
        <w:t>arba</w:t>
      </w:r>
      <w:r>
        <w:rPr>
          <w:snapToGrid w:val="0"/>
          <w:sz w:val="22"/>
          <w:szCs w:val="22"/>
          <w:lang w:eastAsia="en-US"/>
        </w:rPr>
        <w:t xml:space="preserve"> motinos </w:t>
      </w:r>
      <w:r w:rsidR="00B73C10">
        <w:rPr>
          <w:snapToGrid w:val="0"/>
          <w:sz w:val="22"/>
          <w:szCs w:val="22"/>
          <w:lang w:eastAsia="en-US"/>
        </w:rPr>
        <w:t xml:space="preserve">linija </w:t>
      </w:r>
      <w:r>
        <w:rPr>
          <w:snapToGrid w:val="0"/>
          <w:sz w:val="22"/>
          <w:szCs w:val="22"/>
          <w:lang w:eastAsia="en-US"/>
        </w:rPr>
        <w:t>paveld</w:t>
      </w:r>
      <w:r w:rsidR="00B73C10">
        <w:rPr>
          <w:snapToGrid w:val="0"/>
          <w:sz w:val="22"/>
          <w:szCs w:val="22"/>
          <w:lang w:eastAsia="en-US"/>
        </w:rPr>
        <w:t>imas</w:t>
      </w:r>
      <w:r>
        <w:rPr>
          <w:snapToGrid w:val="0"/>
          <w:sz w:val="22"/>
          <w:szCs w:val="22"/>
          <w:lang w:eastAsia="en-US"/>
        </w:rPr>
        <w:t xml:space="preserve"> </w:t>
      </w:r>
      <w:r w:rsidR="00FD474B">
        <w:rPr>
          <w:snapToGrid w:val="0"/>
          <w:sz w:val="22"/>
          <w:szCs w:val="22"/>
          <w:lang w:eastAsia="en-US"/>
        </w:rPr>
        <w:t xml:space="preserve">cukrinis </w:t>
      </w:r>
      <w:r>
        <w:rPr>
          <w:snapToGrid w:val="0"/>
          <w:sz w:val="22"/>
          <w:szCs w:val="22"/>
          <w:lang w:eastAsia="en-US"/>
        </w:rPr>
        <w:t xml:space="preserve">diabetas bei kurtumas (angl. </w:t>
      </w:r>
      <w:proofErr w:type="spellStart"/>
      <w:r>
        <w:rPr>
          <w:snapToGrid w:val="0"/>
          <w:sz w:val="22"/>
          <w:szCs w:val="22"/>
          <w:lang w:eastAsia="en-US"/>
        </w:rPr>
        <w:t>Maternal</w:t>
      </w:r>
      <w:proofErr w:type="spellEnd"/>
      <w:r>
        <w:rPr>
          <w:snapToGrid w:val="0"/>
          <w:sz w:val="22"/>
          <w:szCs w:val="22"/>
          <w:lang w:eastAsia="en-US"/>
        </w:rPr>
        <w:t xml:space="preserve"> </w:t>
      </w:r>
      <w:proofErr w:type="spellStart"/>
      <w:r>
        <w:rPr>
          <w:snapToGrid w:val="0"/>
          <w:sz w:val="22"/>
          <w:szCs w:val="22"/>
          <w:lang w:eastAsia="en-US"/>
        </w:rPr>
        <w:t>inherited</w:t>
      </w:r>
      <w:proofErr w:type="spellEnd"/>
      <w:r>
        <w:rPr>
          <w:snapToGrid w:val="0"/>
          <w:sz w:val="22"/>
          <w:szCs w:val="22"/>
          <w:lang w:eastAsia="en-US"/>
        </w:rPr>
        <w:t xml:space="preserve"> </w:t>
      </w:r>
      <w:proofErr w:type="spellStart"/>
      <w:r>
        <w:rPr>
          <w:snapToGrid w:val="0"/>
          <w:sz w:val="22"/>
          <w:szCs w:val="22"/>
          <w:lang w:eastAsia="en-US"/>
        </w:rPr>
        <w:t>diabetes</w:t>
      </w:r>
      <w:proofErr w:type="spellEnd"/>
      <w:r>
        <w:rPr>
          <w:snapToGrid w:val="0"/>
          <w:sz w:val="22"/>
          <w:szCs w:val="22"/>
          <w:lang w:eastAsia="en-US"/>
        </w:rPr>
        <w:t xml:space="preserve"> </w:t>
      </w:r>
      <w:proofErr w:type="spellStart"/>
      <w:r>
        <w:rPr>
          <w:snapToGrid w:val="0"/>
          <w:sz w:val="22"/>
          <w:szCs w:val="22"/>
          <w:lang w:eastAsia="en-US"/>
        </w:rPr>
        <w:t>and</w:t>
      </w:r>
      <w:proofErr w:type="spellEnd"/>
      <w:r>
        <w:rPr>
          <w:snapToGrid w:val="0"/>
          <w:sz w:val="22"/>
          <w:szCs w:val="22"/>
          <w:lang w:eastAsia="en-US"/>
        </w:rPr>
        <w:t xml:space="preserve"> </w:t>
      </w:r>
      <w:proofErr w:type="spellStart"/>
      <w:r>
        <w:rPr>
          <w:snapToGrid w:val="0"/>
          <w:sz w:val="22"/>
          <w:szCs w:val="22"/>
          <w:lang w:eastAsia="en-US"/>
        </w:rPr>
        <w:t>deafness</w:t>
      </w:r>
      <w:proofErr w:type="spellEnd"/>
      <w:r>
        <w:rPr>
          <w:snapToGrid w:val="0"/>
          <w:sz w:val="22"/>
          <w:szCs w:val="22"/>
          <w:lang w:eastAsia="en-US"/>
        </w:rPr>
        <w:t xml:space="preserve">, MIDD), </w:t>
      </w:r>
      <w:proofErr w:type="spellStart"/>
      <w:r>
        <w:rPr>
          <w:snapToGrid w:val="0"/>
          <w:sz w:val="22"/>
          <w:szCs w:val="22"/>
          <w:lang w:eastAsia="en-US"/>
        </w:rPr>
        <w:t>metformino</w:t>
      </w:r>
      <w:proofErr w:type="spellEnd"/>
      <w:r>
        <w:rPr>
          <w:snapToGrid w:val="0"/>
          <w:sz w:val="22"/>
          <w:szCs w:val="22"/>
          <w:lang w:eastAsia="en-US"/>
        </w:rPr>
        <w:t xml:space="preserve"> vartoti nerekomenduojama dėl pieno rūgšties </w:t>
      </w:r>
      <w:proofErr w:type="spellStart"/>
      <w:r>
        <w:rPr>
          <w:snapToGrid w:val="0"/>
          <w:sz w:val="22"/>
          <w:szCs w:val="22"/>
          <w:lang w:eastAsia="en-US"/>
        </w:rPr>
        <w:t>acidozės</w:t>
      </w:r>
      <w:proofErr w:type="spellEnd"/>
      <w:r>
        <w:rPr>
          <w:snapToGrid w:val="0"/>
          <w:sz w:val="22"/>
          <w:szCs w:val="22"/>
          <w:lang w:eastAsia="en-US"/>
        </w:rPr>
        <w:t xml:space="preserve"> paūmėjimo ir neurologinių komplikacijų, dėl kurių gali pasunkėti liga, rizikos.</w:t>
      </w:r>
    </w:p>
    <w:p w14:paraId="7DB5060B" w14:textId="77777777" w:rsidR="003B31DC" w:rsidRDefault="003B31DC">
      <w:pPr>
        <w:tabs>
          <w:tab w:val="left" w:pos="567"/>
        </w:tabs>
        <w:jc w:val="both"/>
        <w:rPr>
          <w:snapToGrid w:val="0"/>
          <w:sz w:val="22"/>
          <w:szCs w:val="22"/>
          <w:lang w:eastAsia="en-US"/>
        </w:rPr>
      </w:pPr>
    </w:p>
    <w:p w14:paraId="24B5E00A" w14:textId="180A4D35" w:rsidR="003B31DC" w:rsidRDefault="00913CBE">
      <w:pPr>
        <w:tabs>
          <w:tab w:val="left" w:pos="567"/>
        </w:tabs>
        <w:jc w:val="both"/>
        <w:rPr>
          <w:snapToGrid w:val="0"/>
          <w:sz w:val="22"/>
          <w:szCs w:val="22"/>
          <w:lang w:eastAsia="en-US"/>
        </w:rPr>
      </w:pPr>
      <w:r>
        <w:rPr>
          <w:snapToGrid w:val="0"/>
          <w:sz w:val="22"/>
          <w:szCs w:val="22"/>
          <w:lang w:eastAsia="en-US"/>
        </w:rPr>
        <w:t xml:space="preserve">Jei pavartojus </w:t>
      </w:r>
      <w:proofErr w:type="spellStart"/>
      <w:r>
        <w:rPr>
          <w:snapToGrid w:val="0"/>
          <w:sz w:val="22"/>
          <w:szCs w:val="22"/>
          <w:lang w:eastAsia="en-US"/>
        </w:rPr>
        <w:t>metformino</w:t>
      </w:r>
      <w:proofErr w:type="spellEnd"/>
      <w:r>
        <w:rPr>
          <w:snapToGrid w:val="0"/>
          <w:sz w:val="22"/>
          <w:szCs w:val="22"/>
          <w:lang w:eastAsia="en-US"/>
        </w:rPr>
        <w:t xml:space="preserve"> atsiranda požymių ir simptomų, būdingų MELAS sindromui arba MIDD, reikia nedelsiant nutraukti gydymą </w:t>
      </w:r>
      <w:proofErr w:type="spellStart"/>
      <w:r>
        <w:rPr>
          <w:snapToGrid w:val="0"/>
          <w:sz w:val="22"/>
          <w:szCs w:val="22"/>
          <w:lang w:eastAsia="en-US"/>
        </w:rPr>
        <w:t>metforminu</w:t>
      </w:r>
      <w:proofErr w:type="spellEnd"/>
      <w:r>
        <w:rPr>
          <w:snapToGrid w:val="0"/>
          <w:sz w:val="22"/>
          <w:szCs w:val="22"/>
          <w:lang w:eastAsia="en-US"/>
        </w:rPr>
        <w:t xml:space="preserve"> ir atlikti </w:t>
      </w:r>
      <w:r w:rsidR="00E51499">
        <w:rPr>
          <w:snapToGrid w:val="0"/>
          <w:sz w:val="22"/>
          <w:szCs w:val="22"/>
          <w:lang w:eastAsia="en-US"/>
        </w:rPr>
        <w:t xml:space="preserve">skubų </w:t>
      </w:r>
      <w:r>
        <w:rPr>
          <w:snapToGrid w:val="0"/>
          <w:sz w:val="22"/>
          <w:szCs w:val="22"/>
          <w:lang w:eastAsia="en-US"/>
        </w:rPr>
        <w:t>diagnostinį įvertinimą.</w:t>
      </w:r>
    </w:p>
    <w:p w14:paraId="7060A5D7" w14:textId="77777777" w:rsidR="003B31DC" w:rsidRDefault="003B31DC">
      <w:pPr>
        <w:tabs>
          <w:tab w:val="left" w:pos="567"/>
        </w:tabs>
        <w:jc w:val="both"/>
        <w:rPr>
          <w:snapToGrid w:val="0"/>
          <w:sz w:val="22"/>
          <w:szCs w:val="22"/>
          <w:lang w:eastAsia="en-US"/>
        </w:rPr>
      </w:pPr>
    </w:p>
    <w:p w14:paraId="46C70A83" w14:textId="77777777" w:rsidR="003B31DC" w:rsidRDefault="00913CBE">
      <w:pPr>
        <w:tabs>
          <w:tab w:val="left" w:pos="567"/>
        </w:tabs>
        <w:jc w:val="both"/>
        <w:rPr>
          <w:snapToGrid w:val="0"/>
          <w:sz w:val="22"/>
          <w:szCs w:val="22"/>
          <w:u w:val="single"/>
          <w:lang w:eastAsia="en-US"/>
        </w:rPr>
      </w:pPr>
      <w:r>
        <w:rPr>
          <w:snapToGrid w:val="0"/>
          <w:sz w:val="22"/>
          <w:szCs w:val="22"/>
          <w:u w:val="single"/>
          <w:lang w:eastAsia="en-US"/>
        </w:rPr>
        <w:t xml:space="preserve">Diabetinė </w:t>
      </w:r>
      <w:proofErr w:type="spellStart"/>
      <w:r>
        <w:rPr>
          <w:snapToGrid w:val="0"/>
          <w:sz w:val="22"/>
          <w:szCs w:val="22"/>
          <w:u w:val="single"/>
          <w:lang w:eastAsia="en-US"/>
        </w:rPr>
        <w:t>ketoacidozė</w:t>
      </w:r>
      <w:proofErr w:type="spellEnd"/>
    </w:p>
    <w:p w14:paraId="5CEB2286" w14:textId="5E40A8D1" w:rsidR="003B31DC" w:rsidRDefault="00913CBE">
      <w:pPr>
        <w:tabs>
          <w:tab w:val="left" w:pos="567"/>
        </w:tabs>
        <w:jc w:val="both"/>
        <w:rPr>
          <w:snapToGrid w:val="0"/>
          <w:sz w:val="22"/>
          <w:szCs w:val="22"/>
          <w:lang w:eastAsia="en-US"/>
        </w:rPr>
      </w:pPr>
      <w:r>
        <w:rPr>
          <w:snapToGrid w:val="0"/>
          <w:sz w:val="22"/>
          <w:szCs w:val="22"/>
          <w:lang w:eastAsia="en-US"/>
        </w:rPr>
        <w:t xml:space="preserve">Gauta pranešimų apie retus diabetinės </w:t>
      </w:r>
      <w:proofErr w:type="spellStart"/>
      <w:r>
        <w:rPr>
          <w:snapToGrid w:val="0"/>
          <w:sz w:val="22"/>
          <w:szCs w:val="22"/>
          <w:lang w:eastAsia="en-US"/>
        </w:rPr>
        <w:t>ketoacidozės</w:t>
      </w:r>
      <w:proofErr w:type="spellEnd"/>
      <w:r>
        <w:rPr>
          <w:snapToGrid w:val="0"/>
          <w:sz w:val="22"/>
          <w:szCs w:val="22"/>
          <w:lang w:eastAsia="en-US"/>
        </w:rPr>
        <w:t xml:space="preserve"> (DKA) atvejus, įskaitant gyvybei pavojingus ir mirtinus, pacientams, gydytiems SGLT2 inhibitoriais, įskaitant </w:t>
      </w:r>
      <w:proofErr w:type="spellStart"/>
      <w:r>
        <w:rPr>
          <w:snapToGrid w:val="0"/>
          <w:sz w:val="22"/>
          <w:szCs w:val="22"/>
          <w:lang w:eastAsia="en-US"/>
        </w:rPr>
        <w:t>empaglifloziną</w:t>
      </w:r>
      <w:proofErr w:type="spellEnd"/>
      <w:r>
        <w:rPr>
          <w:snapToGrid w:val="0"/>
          <w:sz w:val="22"/>
          <w:szCs w:val="22"/>
          <w:lang w:eastAsia="en-US"/>
        </w:rPr>
        <w:t>. Kai kuriais atvejais ši būklė pasireiškė netipiškai, tik nedaug padidėjusiu gliukozės kiekiu kraujyje, mažiau kaip 14 </w:t>
      </w:r>
      <w:proofErr w:type="spellStart"/>
      <w:r>
        <w:rPr>
          <w:snapToGrid w:val="0"/>
          <w:sz w:val="22"/>
          <w:szCs w:val="22"/>
          <w:lang w:eastAsia="en-US"/>
        </w:rPr>
        <w:t>mmol</w:t>
      </w:r>
      <w:proofErr w:type="spellEnd"/>
      <w:r>
        <w:rPr>
          <w:snapToGrid w:val="0"/>
          <w:sz w:val="22"/>
          <w:szCs w:val="22"/>
          <w:lang w:eastAsia="en-US"/>
        </w:rPr>
        <w:t xml:space="preserve">/l (250 mg/dl). Nežinoma, ar DKA </w:t>
      </w:r>
      <w:r w:rsidR="00CD35C9">
        <w:rPr>
          <w:snapToGrid w:val="0"/>
          <w:sz w:val="22"/>
          <w:szCs w:val="22"/>
          <w:lang w:eastAsia="en-US"/>
        </w:rPr>
        <w:t xml:space="preserve">tikimybė padidėja </w:t>
      </w:r>
      <w:r>
        <w:rPr>
          <w:snapToGrid w:val="0"/>
          <w:sz w:val="22"/>
          <w:szCs w:val="22"/>
          <w:lang w:eastAsia="en-US"/>
        </w:rPr>
        <w:t xml:space="preserve"> vartojant didesnes </w:t>
      </w:r>
      <w:proofErr w:type="spellStart"/>
      <w:r>
        <w:rPr>
          <w:snapToGrid w:val="0"/>
          <w:sz w:val="22"/>
          <w:szCs w:val="22"/>
          <w:lang w:eastAsia="en-US"/>
        </w:rPr>
        <w:t>empagliflozino</w:t>
      </w:r>
      <w:proofErr w:type="spellEnd"/>
      <w:r>
        <w:rPr>
          <w:snapToGrid w:val="0"/>
          <w:sz w:val="22"/>
          <w:szCs w:val="22"/>
          <w:lang w:eastAsia="en-US"/>
        </w:rPr>
        <w:t xml:space="preserve"> dozes.</w:t>
      </w:r>
    </w:p>
    <w:p w14:paraId="43984DD7" w14:textId="77777777" w:rsidR="003B31DC" w:rsidRDefault="003B31DC">
      <w:pPr>
        <w:tabs>
          <w:tab w:val="left" w:pos="567"/>
        </w:tabs>
        <w:jc w:val="both"/>
        <w:rPr>
          <w:snapToGrid w:val="0"/>
          <w:sz w:val="22"/>
          <w:szCs w:val="22"/>
          <w:lang w:eastAsia="en-US"/>
        </w:rPr>
      </w:pPr>
    </w:p>
    <w:p w14:paraId="44EEFECE" w14:textId="55E9C656" w:rsidR="003B31DC" w:rsidRDefault="00913CBE">
      <w:pPr>
        <w:tabs>
          <w:tab w:val="left" w:pos="567"/>
        </w:tabs>
        <w:jc w:val="both"/>
        <w:rPr>
          <w:snapToGrid w:val="0"/>
          <w:sz w:val="22"/>
          <w:szCs w:val="22"/>
          <w:lang w:eastAsia="en-US"/>
        </w:rPr>
      </w:pPr>
      <w:r>
        <w:rPr>
          <w:snapToGrid w:val="0"/>
          <w:sz w:val="22"/>
          <w:szCs w:val="22"/>
          <w:lang w:eastAsia="en-US"/>
        </w:rPr>
        <w:t xml:space="preserve">Atsiradus tokiems nespecifiniams simptomams, kaip pykinimas, vėmimas, anoreksija, pilvo skausmas, smarkus troškulys, pasunkėjęs kvėpavimas, sumišimas, neįprastas nuovargis ar mieguistumas, reikia pagalvoti apie diabetinės </w:t>
      </w:r>
      <w:proofErr w:type="spellStart"/>
      <w:r>
        <w:rPr>
          <w:snapToGrid w:val="0"/>
          <w:sz w:val="22"/>
          <w:szCs w:val="22"/>
          <w:lang w:eastAsia="en-US"/>
        </w:rPr>
        <w:t>ketoacidozės</w:t>
      </w:r>
      <w:proofErr w:type="spellEnd"/>
      <w:r>
        <w:rPr>
          <w:snapToGrid w:val="0"/>
          <w:sz w:val="22"/>
          <w:szCs w:val="22"/>
          <w:lang w:eastAsia="en-US"/>
        </w:rPr>
        <w:t xml:space="preserve"> riziką. Jei atsiranda šie simptomai, pacientus reikia nedelsiant ištirti dėl </w:t>
      </w:r>
      <w:proofErr w:type="spellStart"/>
      <w:r>
        <w:rPr>
          <w:snapToGrid w:val="0"/>
          <w:sz w:val="22"/>
          <w:szCs w:val="22"/>
          <w:lang w:eastAsia="en-US"/>
        </w:rPr>
        <w:t>ketoacidozės</w:t>
      </w:r>
      <w:proofErr w:type="spellEnd"/>
      <w:r>
        <w:rPr>
          <w:snapToGrid w:val="0"/>
          <w:sz w:val="22"/>
          <w:szCs w:val="22"/>
          <w:lang w:eastAsia="en-US"/>
        </w:rPr>
        <w:t xml:space="preserve">, </w:t>
      </w:r>
      <w:r w:rsidR="00964DB0">
        <w:rPr>
          <w:snapToGrid w:val="0"/>
          <w:sz w:val="22"/>
          <w:szCs w:val="22"/>
          <w:lang w:eastAsia="en-US"/>
        </w:rPr>
        <w:t xml:space="preserve">nepriklausomai nuo </w:t>
      </w:r>
      <w:r>
        <w:rPr>
          <w:snapToGrid w:val="0"/>
          <w:sz w:val="22"/>
          <w:szCs w:val="22"/>
          <w:lang w:eastAsia="en-US"/>
        </w:rPr>
        <w:t xml:space="preserve"> gliukozės kieki</w:t>
      </w:r>
      <w:r w:rsidR="00964DB0">
        <w:rPr>
          <w:snapToGrid w:val="0"/>
          <w:sz w:val="22"/>
          <w:szCs w:val="22"/>
          <w:lang w:eastAsia="en-US"/>
        </w:rPr>
        <w:t>o</w:t>
      </w:r>
      <w:r>
        <w:rPr>
          <w:snapToGrid w:val="0"/>
          <w:sz w:val="22"/>
          <w:szCs w:val="22"/>
          <w:lang w:eastAsia="en-US"/>
        </w:rPr>
        <w:t xml:space="preserve"> kraujyje.</w:t>
      </w:r>
    </w:p>
    <w:p w14:paraId="1FB20C8A" w14:textId="77777777" w:rsidR="003B31DC" w:rsidRDefault="003B31DC">
      <w:pPr>
        <w:tabs>
          <w:tab w:val="left" w:pos="567"/>
        </w:tabs>
        <w:jc w:val="both"/>
        <w:rPr>
          <w:snapToGrid w:val="0"/>
          <w:sz w:val="22"/>
          <w:szCs w:val="22"/>
          <w:lang w:eastAsia="en-US"/>
        </w:rPr>
      </w:pPr>
    </w:p>
    <w:p w14:paraId="0C97CC99" w14:textId="046AB3DA" w:rsidR="003B31DC" w:rsidRDefault="00913CBE">
      <w:pPr>
        <w:tabs>
          <w:tab w:val="left" w:pos="567"/>
        </w:tabs>
        <w:jc w:val="both"/>
        <w:rPr>
          <w:snapToGrid w:val="0"/>
          <w:sz w:val="22"/>
          <w:szCs w:val="22"/>
          <w:lang w:eastAsia="en-US"/>
        </w:rPr>
      </w:pPr>
      <w:r>
        <w:rPr>
          <w:snapToGrid w:val="0"/>
          <w:sz w:val="22"/>
          <w:szCs w:val="22"/>
          <w:lang w:eastAsia="en-US"/>
        </w:rPr>
        <w:t xml:space="preserve">Pacientams įtarus ar diagnozavus DKA, </w:t>
      </w:r>
      <w:r w:rsidR="00EC531A">
        <w:rPr>
          <w:snapToGrid w:val="0"/>
          <w:sz w:val="22"/>
          <w:szCs w:val="22"/>
          <w:lang w:eastAsia="en-US"/>
        </w:rPr>
        <w:t xml:space="preserve">gydymą </w:t>
      </w:r>
      <w:proofErr w:type="spellStart"/>
      <w:r w:rsidR="00EC531A">
        <w:rPr>
          <w:snapToGrid w:val="0"/>
          <w:sz w:val="22"/>
          <w:szCs w:val="22"/>
          <w:lang w:eastAsia="en-US"/>
        </w:rPr>
        <w:t>empagliflozinu</w:t>
      </w:r>
      <w:proofErr w:type="spellEnd"/>
      <w:r w:rsidR="00EC531A">
        <w:rPr>
          <w:snapToGrid w:val="0"/>
          <w:sz w:val="22"/>
          <w:szCs w:val="22"/>
          <w:lang w:eastAsia="en-US"/>
        </w:rPr>
        <w:t xml:space="preserve"> </w:t>
      </w:r>
      <w:r>
        <w:rPr>
          <w:snapToGrid w:val="0"/>
          <w:sz w:val="22"/>
          <w:szCs w:val="22"/>
          <w:lang w:eastAsia="en-US"/>
        </w:rPr>
        <w:t>reikia tuoj pat nutraukti.</w:t>
      </w:r>
    </w:p>
    <w:p w14:paraId="3690C17B" w14:textId="421AA2BC" w:rsidR="003B31DC" w:rsidRDefault="004B6E15">
      <w:pPr>
        <w:tabs>
          <w:tab w:val="left" w:pos="567"/>
        </w:tabs>
        <w:jc w:val="both"/>
        <w:rPr>
          <w:snapToGrid w:val="0"/>
          <w:sz w:val="22"/>
          <w:szCs w:val="22"/>
          <w:lang w:eastAsia="en-US"/>
        </w:rPr>
      </w:pPr>
      <w:r w:rsidRPr="004B6E15">
        <w:lastRenderedPageBreak/>
        <w:t xml:space="preserve"> </w:t>
      </w:r>
      <w:r w:rsidRPr="00FA2F7A">
        <w:rPr>
          <w:sz w:val="22"/>
          <w:szCs w:val="22"/>
        </w:rPr>
        <w:t>Gydymas turi būti pertrauktas pacientams, kurie yra hospitalizuojami dėl didelių chirurginių operacijų arba ūminių sunkių</w:t>
      </w:r>
      <w:r w:rsidR="00DA4965">
        <w:rPr>
          <w:sz w:val="22"/>
          <w:szCs w:val="22"/>
        </w:rPr>
        <w:t xml:space="preserve"> </w:t>
      </w:r>
      <w:r w:rsidRPr="00FA2F7A">
        <w:rPr>
          <w:sz w:val="22"/>
          <w:szCs w:val="22"/>
        </w:rPr>
        <w:t>ligų</w:t>
      </w:r>
      <w:r w:rsidR="00913CBE" w:rsidRPr="004B6E15">
        <w:rPr>
          <w:snapToGrid w:val="0"/>
          <w:sz w:val="22"/>
          <w:szCs w:val="22"/>
          <w:lang w:eastAsia="en-US"/>
        </w:rPr>
        <w:t>. Šie</w:t>
      </w:r>
      <w:r w:rsidR="00913CBE">
        <w:rPr>
          <w:snapToGrid w:val="0"/>
          <w:sz w:val="22"/>
          <w:szCs w:val="22"/>
          <w:lang w:eastAsia="en-US"/>
        </w:rPr>
        <w:t xml:space="preserve">ms pacientams rekomenduojama stebėti ketonų kiekį. Ketonų kiekį </w:t>
      </w:r>
      <w:r w:rsidR="005D1A71">
        <w:rPr>
          <w:snapToGrid w:val="0"/>
          <w:sz w:val="22"/>
          <w:szCs w:val="22"/>
          <w:lang w:eastAsia="en-US"/>
        </w:rPr>
        <w:t xml:space="preserve">kraujyje </w:t>
      </w:r>
      <w:r w:rsidR="00D301E4">
        <w:rPr>
          <w:snapToGrid w:val="0"/>
          <w:sz w:val="22"/>
          <w:szCs w:val="22"/>
          <w:lang w:eastAsia="en-US"/>
        </w:rPr>
        <w:t xml:space="preserve">nustatyti tikslingiau nei </w:t>
      </w:r>
      <w:r w:rsidR="00913CBE">
        <w:rPr>
          <w:snapToGrid w:val="0"/>
          <w:sz w:val="22"/>
          <w:szCs w:val="22"/>
          <w:lang w:eastAsia="en-US"/>
        </w:rPr>
        <w:t xml:space="preserve"> šlapime. </w:t>
      </w:r>
      <w:proofErr w:type="spellStart"/>
      <w:r w:rsidR="00913CBE">
        <w:rPr>
          <w:snapToGrid w:val="0"/>
          <w:sz w:val="22"/>
          <w:szCs w:val="22"/>
          <w:lang w:eastAsia="en-US"/>
        </w:rPr>
        <w:t>Empaglifloziną</w:t>
      </w:r>
      <w:proofErr w:type="spellEnd"/>
      <w:r w:rsidR="00913CBE">
        <w:rPr>
          <w:snapToGrid w:val="0"/>
          <w:sz w:val="22"/>
          <w:szCs w:val="22"/>
          <w:lang w:eastAsia="en-US"/>
        </w:rPr>
        <w:t xml:space="preserve"> galima vėl vartoti tik tada, kai ketonų kiekis tampa normalus ir, kai paciento sveikatos būklė stabilizuo</w:t>
      </w:r>
      <w:r w:rsidR="00E059E1">
        <w:rPr>
          <w:snapToGrid w:val="0"/>
          <w:sz w:val="22"/>
          <w:szCs w:val="22"/>
          <w:lang w:eastAsia="en-US"/>
        </w:rPr>
        <w:t>jasi</w:t>
      </w:r>
      <w:r w:rsidR="00913CBE">
        <w:rPr>
          <w:snapToGrid w:val="0"/>
          <w:sz w:val="22"/>
          <w:szCs w:val="22"/>
          <w:lang w:eastAsia="en-US"/>
        </w:rPr>
        <w:t>.</w:t>
      </w:r>
    </w:p>
    <w:p w14:paraId="6A5B527D" w14:textId="77777777" w:rsidR="003B31DC" w:rsidRDefault="003B31DC">
      <w:pPr>
        <w:tabs>
          <w:tab w:val="left" w:pos="567"/>
        </w:tabs>
        <w:jc w:val="both"/>
        <w:rPr>
          <w:snapToGrid w:val="0"/>
          <w:sz w:val="22"/>
          <w:szCs w:val="22"/>
          <w:lang w:eastAsia="en-US"/>
        </w:rPr>
      </w:pPr>
    </w:p>
    <w:p w14:paraId="4C787833" w14:textId="7DC26E80" w:rsidR="003B31DC" w:rsidRPr="006F1D4D" w:rsidRDefault="00913CBE">
      <w:pPr>
        <w:tabs>
          <w:tab w:val="left" w:pos="567"/>
        </w:tabs>
        <w:jc w:val="both"/>
        <w:rPr>
          <w:snapToGrid w:val="0"/>
          <w:sz w:val="22"/>
          <w:szCs w:val="22"/>
          <w:lang w:eastAsia="en-US"/>
        </w:rPr>
      </w:pPr>
      <w:r>
        <w:rPr>
          <w:snapToGrid w:val="0"/>
          <w:sz w:val="22"/>
          <w:szCs w:val="22"/>
          <w:lang w:eastAsia="en-US"/>
        </w:rPr>
        <w:t xml:space="preserve">Prieš pradedant skirti </w:t>
      </w:r>
      <w:proofErr w:type="spellStart"/>
      <w:r>
        <w:rPr>
          <w:snapToGrid w:val="0"/>
          <w:sz w:val="22"/>
          <w:szCs w:val="22"/>
          <w:lang w:eastAsia="en-US"/>
        </w:rPr>
        <w:t>empaglifloziną</w:t>
      </w:r>
      <w:proofErr w:type="spellEnd"/>
      <w:r>
        <w:rPr>
          <w:snapToGrid w:val="0"/>
          <w:sz w:val="22"/>
          <w:szCs w:val="22"/>
          <w:lang w:eastAsia="en-US"/>
        </w:rPr>
        <w:t xml:space="preserve">, reikia </w:t>
      </w:r>
      <w:r w:rsidR="006F1D4D" w:rsidRPr="00FA2F7A">
        <w:rPr>
          <w:sz w:val="22"/>
          <w:szCs w:val="22"/>
        </w:rPr>
        <w:t>įvertinti paciento anamnezės</w:t>
      </w:r>
      <w:r w:rsidR="006F1D4D" w:rsidRPr="006F1D4D">
        <w:rPr>
          <w:snapToGrid w:val="0"/>
          <w:sz w:val="22"/>
          <w:szCs w:val="22"/>
          <w:lang w:eastAsia="en-US"/>
        </w:rPr>
        <w:t xml:space="preserve"> </w:t>
      </w:r>
      <w:r w:rsidRPr="006F1D4D">
        <w:rPr>
          <w:snapToGrid w:val="0"/>
          <w:sz w:val="22"/>
          <w:szCs w:val="22"/>
          <w:lang w:eastAsia="en-US"/>
        </w:rPr>
        <w:t xml:space="preserve">veiksnius, kurie gali </w:t>
      </w:r>
      <w:proofErr w:type="spellStart"/>
      <w:r w:rsidRPr="006F1D4D">
        <w:rPr>
          <w:snapToGrid w:val="0"/>
          <w:sz w:val="22"/>
          <w:szCs w:val="22"/>
          <w:lang w:eastAsia="en-US"/>
        </w:rPr>
        <w:t>predisponuoti</w:t>
      </w:r>
      <w:proofErr w:type="spellEnd"/>
      <w:r w:rsidRPr="006F1D4D">
        <w:rPr>
          <w:snapToGrid w:val="0"/>
          <w:sz w:val="22"/>
          <w:szCs w:val="22"/>
          <w:lang w:eastAsia="en-US"/>
        </w:rPr>
        <w:t xml:space="preserve"> </w:t>
      </w:r>
      <w:proofErr w:type="spellStart"/>
      <w:r w:rsidRPr="006F1D4D">
        <w:rPr>
          <w:snapToGrid w:val="0"/>
          <w:sz w:val="22"/>
          <w:szCs w:val="22"/>
          <w:lang w:eastAsia="en-US"/>
        </w:rPr>
        <w:t>ketoacidozę</w:t>
      </w:r>
      <w:proofErr w:type="spellEnd"/>
      <w:r w:rsidRPr="006F1D4D">
        <w:rPr>
          <w:snapToGrid w:val="0"/>
          <w:sz w:val="22"/>
          <w:szCs w:val="22"/>
          <w:lang w:eastAsia="en-US"/>
        </w:rPr>
        <w:t>.</w:t>
      </w:r>
    </w:p>
    <w:p w14:paraId="44A820DB" w14:textId="77777777" w:rsidR="003B31DC" w:rsidRDefault="003B31DC">
      <w:pPr>
        <w:tabs>
          <w:tab w:val="left" w:pos="567"/>
        </w:tabs>
        <w:jc w:val="both"/>
        <w:rPr>
          <w:snapToGrid w:val="0"/>
          <w:sz w:val="22"/>
          <w:szCs w:val="22"/>
          <w:lang w:eastAsia="en-US"/>
        </w:rPr>
      </w:pPr>
    </w:p>
    <w:p w14:paraId="010153B8" w14:textId="47477D4B" w:rsidR="003B31DC" w:rsidRDefault="00913CBE">
      <w:pPr>
        <w:tabs>
          <w:tab w:val="left" w:pos="567"/>
        </w:tabs>
        <w:jc w:val="both"/>
        <w:rPr>
          <w:snapToGrid w:val="0"/>
          <w:sz w:val="22"/>
          <w:szCs w:val="22"/>
          <w:lang w:eastAsia="en-US"/>
        </w:rPr>
      </w:pPr>
      <w:r>
        <w:rPr>
          <w:snapToGrid w:val="0"/>
          <w:sz w:val="22"/>
          <w:szCs w:val="22"/>
          <w:lang w:eastAsia="en-US"/>
        </w:rPr>
        <w:t xml:space="preserve">Vartojant </w:t>
      </w:r>
      <w:proofErr w:type="spellStart"/>
      <w:r>
        <w:rPr>
          <w:snapToGrid w:val="0"/>
          <w:sz w:val="22"/>
          <w:szCs w:val="22"/>
          <w:lang w:eastAsia="en-US"/>
        </w:rPr>
        <w:t>empagliflozino</w:t>
      </w:r>
      <w:proofErr w:type="spellEnd"/>
      <w:r>
        <w:rPr>
          <w:snapToGrid w:val="0"/>
          <w:sz w:val="22"/>
          <w:szCs w:val="22"/>
          <w:lang w:eastAsia="en-US"/>
        </w:rPr>
        <w:t xml:space="preserve">, nustatyta </w:t>
      </w:r>
      <w:r w:rsidR="00852E57">
        <w:rPr>
          <w:snapToGrid w:val="0"/>
          <w:sz w:val="22"/>
          <w:szCs w:val="22"/>
          <w:lang w:eastAsia="en-US"/>
        </w:rPr>
        <w:t xml:space="preserve">užsitęsusi </w:t>
      </w:r>
      <w:r>
        <w:rPr>
          <w:snapToGrid w:val="0"/>
          <w:sz w:val="22"/>
          <w:szCs w:val="22"/>
          <w:lang w:eastAsia="en-US"/>
        </w:rPr>
        <w:t xml:space="preserve">diabetinė </w:t>
      </w:r>
      <w:proofErr w:type="spellStart"/>
      <w:r>
        <w:rPr>
          <w:snapToGrid w:val="0"/>
          <w:sz w:val="22"/>
          <w:szCs w:val="22"/>
          <w:lang w:eastAsia="en-US"/>
        </w:rPr>
        <w:t>ketoacidozė</w:t>
      </w:r>
      <w:proofErr w:type="spellEnd"/>
      <w:r>
        <w:rPr>
          <w:snapToGrid w:val="0"/>
          <w:sz w:val="22"/>
          <w:szCs w:val="22"/>
          <w:lang w:eastAsia="en-US"/>
        </w:rPr>
        <w:t xml:space="preserve"> ir </w:t>
      </w:r>
      <w:r w:rsidR="00852E57">
        <w:rPr>
          <w:snapToGrid w:val="0"/>
          <w:sz w:val="22"/>
          <w:szCs w:val="22"/>
          <w:lang w:eastAsia="en-US"/>
        </w:rPr>
        <w:t xml:space="preserve">užsitęsusi </w:t>
      </w:r>
      <w:proofErr w:type="spellStart"/>
      <w:r>
        <w:rPr>
          <w:snapToGrid w:val="0"/>
          <w:sz w:val="22"/>
          <w:szCs w:val="22"/>
          <w:lang w:eastAsia="en-US"/>
        </w:rPr>
        <w:t>gliukozurija</w:t>
      </w:r>
      <w:proofErr w:type="spellEnd"/>
      <w:r>
        <w:rPr>
          <w:snapToGrid w:val="0"/>
          <w:sz w:val="22"/>
          <w:szCs w:val="22"/>
          <w:lang w:eastAsia="en-US"/>
        </w:rPr>
        <w:t xml:space="preserve">. Nutraukus </w:t>
      </w:r>
      <w:proofErr w:type="spellStart"/>
      <w:r>
        <w:rPr>
          <w:snapToGrid w:val="0"/>
          <w:sz w:val="22"/>
          <w:szCs w:val="22"/>
          <w:lang w:eastAsia="en-US"/>
        </w:rPr>
        <w:t>empagliflozino</w:t>
      </w:r>
      <w:proofErr w:type="spellEnd"/>
      <w:r>
        <w:rPr>
          <w:snapToGrid w:val="0"/>
          <w:sz w:val="22"/>
          <w:szCs w:val="22"/>
          <w:lang w:eastAsia="en-US"/>
        </w:rPr>
        <w:t xml:space="preserve"> vartojimą, diabetinė </w:t>
      </w:r>
      <w:proofErr w:type="spellStart"/>
      <w:r>
        <w:rPr>
          <w:snapToGrid w:val="0"/>
          <w:sz w:val="22"/>
          <w:szCs w:val="22"/>
          <w:lang w:eastAsia="en-US"/>
        </w:rPr>
        <w:t>ketoacidozė</w:t>
      </w:r>
      <w:proofErr w:type="spellEnd"/>
      <w:r>
        <w:rPr>
          <w:snapToGrid w:val="0"/>
          <w:sz w:val="22"/>
          <w:szCs w:val="22"/>
          <w:lang w:eastAsia="en-US"/>
        </w:rPr>
        <w:t xml:space="preserve"> gali </w:t>
      </w:r>
      <w:r w:rsidR="002B7F28">
        <w:rPr>
          <w:snapToGrid w:val="0"/>
          <w:sz w:val="22"/>
          <w:szCs w:val="22"/>
          <w:lang w:eastAsia="en-US"/>
        </w:rPr>
        <w:t xml:space="preserve">trukti </w:t>
      </w:r>
      <w:r>
        <w:rPr>
          <w:snapToGrid w:val="0"/>
          <w:sz w:val="22"/>
          <w:szCs w:val="22"/>
          <w:lang w:eastAsia="en-US"/>
        </w:rPr>
        <w:t xml:space="preserve">ilgiau, nei </w:t>
      </w:r>
      <w:r w:rsidR="002B7F28">
        <w:rPr>
          <w:snapToGrid w:val="0"/>
          <w:sz w:val="22"/>
          <w:szCs w:val="22"/>
          <w:lang w:eastAsia="en-US"/>
        </w:rPr>
        <w:t xml:space="preserve">galima </w:t>
      </w:r>
      <w:r>
        <w:rPr>
          <w:snapToGrid w:val="0"/>
          <w:sz w:val="22"/>
          <w:szCs w:val="22"/>
          <w:lang w:eastAsia="en-US"/>
        </w:rPr>
        <w:t>tikėti</w:t>
      </w:r>
      <w:r w:rsidR="002B7F28">
        <w:rPr>
          <w:snapToGrid w:val="0"/>
          <w:sz w:val="22"/>
          <w:szCs w:val="22"/>
          <w:lang w:eastAsia="en-US"/>
        </w:rPr>
        <w:t>s</w:t>
      </w:r>
      <w:r>
        <w:rPr>
          <w:snapToGrid w:val="0"/>
          <w:sz w:val="22"/>
          <w:szCs w:val="22"/>
          <w:lang w:eastAsia="en-US"/>
        </w:rPr>
        <w:t xml:space="preserve"> atsižvelgiant į pusinės eliminacijos laiką </w:t>
      </w:r>
      <w:r w:rsidR="00A81D1C">
        <w:rPr>
          <w:snapToGrid w:val="0"/>
          <w:sz w:val="22"/>
          <w:szCs w:val="22"/>
          <w:lang w:eastAsia="en-US"/>
        </w:rPr>
        <w:t xml:space="preserve">plazmoje </w:t>
      </w:r>
      <w:r>
        <w:rPr>
          <w:snapToGrid w:val="0"/>
          <w:sz w:val="22"/>
          <w:szCs w:val="22"/>
          <w:lang w:eastAsia="en-US"/>
        </w:rPr>
        <w:t xml:space="preserve">(žr. 5.2 skyrių). </w:t>
      </w:r>
      <w:r w:rsidR="00A81D1C">
        <w:rPr>
          <w:snapToGrid w:val="0"/>
          <w:sz w:val="22"/>
          <w:szCs w:val="22"/>
          <w:lang w:eastAsia="en-US"/>
        </w:rPr>
        <w:t xml:space="preserve">Užsitęsusią </w:t>
      </w:r>
      <w:r>
        <w:rPr>
          <w:snapToGrid w:val="0"/>
          <w:sz w:val="22"/>
          <w:szCs w:val="22"/>
          <w:lang w:eastAsia="en-US"/>
        </w:rPr>
        <w:t xml:space="preserve">diabetinę </w:t>
      </w:r>
      <w:proofErr w:type="spellStart"/>
      <w:r>
        <w:rPr>
          <w:snapToGrid w:val="0"/>
          <w:sz w:val="22"/>
          <w:szCs w:val="22"/>
          <w:lang w:eastAsia="en-US"/>
        </w:rPr>
        <w:t>ketocidozę</w:t>
      </w:r>
      <w:proofErr w:type="spellEnd"/>
      <w:r>
        <w:rPr>
          <w:snapToGrid w:val="0"/>
          <w:sz w:val="22"/>
          <w:szCs w:val="22"/>
          <w:lang w:eastAsia="en-US"/>
        </w:rPr>
        <w:t xml:space="preserve"> gali sukelti nuo </w:t>
      </w:r>
      <w:proofErr w:type="spellStart"/>
      <w:r>
        <w:rPr>
          <w:snapToGrid w:val="0"/>
          <w:sz w:val="22"/>
          <w:szCs w:val="22"/>
          <w:lang w:eastAsia="en-US"/>
        </w:rPr>
        <w:t>empagliflozino</w:t>
      </w:r>
      <w:proofErr w:type="spellEnd"/>
      <w:r>
        <w:rPr>
          <w:snapToGrid w:val="0"/>
          <w:sz w:val="22"/>
          <w:szCs w:val="22"/>
          <w:lang w:eastAsia="en-US"/>
        </w:rPr>
        <w:t xml:space="preserve"> nepriklausomi veiksniai, pvz., insulino stoka.</w:t>
      </w:r>
    </w:p>
    <w:p w14:paraId="2AF56B5F" w14:textId="77777777" w:rsidR="003B31DC" w:rsidRDefault="003B31DC">
      <w:pPr>
        <w:tabs>
          <w:tab w:val="left" w:pos="567"/>
        </w:tabs>
        <w:jc w:val="both"/>
        <w:rPr>
          <w:snapToGrid w:val="0"/>
          <w:sz w:val="22"/>
          <w:szCs w:val="22"/>
          <w:lang w:eastAsia="en-US"/>
        </w:rPr>
      </w:pPr>
    </w:p>
    <w:p w14:paraId="2424F7D4" w14:textId="2DE1B10A" w:rsidR="003B31DC" w:rsidRDefault="00913CBE">
      <w:pPr>
        <w:tabs>
          <w:tab w:val="left" w:pos="567"/>
        </w:tabs>
        <w:jc w:val="both"/>
        <w:rPr>
          <w:snapToGrid w:val="0"/>
          <w:sz w:val="22"/>
          <w:szCs w:val="22"/>
          <w:lang w:eastAsia="en-US"/>
        </w:rPr>
      </w:pPr>
      <w:r>
        <w:rPr>
          <w:snapToGrid w:val="0"/>
          <w:sz w:val="22"/>
          <w:szCs w:val="22"/>
          <w:lang w:eastAsia="en-US"/>
        </w:rPr>
        <w:t>Didesn</w:t>
      </w:r>
      <w:r w:rsidR="00A72DE9">
        <w:rPr>
          <w:snapToGrid w:val="0"/>
          <w:sz w:val="22"/>
          <w:szCs w:val="22"/>
          <w:lang w:eastAsia="en-US"/>
        </w:rPr>
        <w:t>ė</w:t>
      </w:r>
      <w:r>
        <w:rPr>
          <w:snapToGrid w:val="0"/>
          <w:sz w:val="22"/>
          <w:szCs w:val="22"/>
          <w:lang w:eastAsia="en-US"/>
        </w:rPr>
        <w:t xml:space="preserve"> DKA </w:t>
      </w:r>
      <w:r w:rsidR="00A72DE9">
        <w:rPr>
          <w:snapToGrid w:val="0"/>
          <w:sz w:val="22"/>
          <w:szCs w:val="22"/>
          <w:lang w:eastAsia="en-US"/>
        </w:rPr>
        <w:t xml:space="preserve">rizika </w:t>
      </w:r>
      <w:r>
        <w:rPr>
          <w:snapToGrid w:val="0"/>
          <w:sz w:val="22"/>
          <w:szCs w:val="22"/>
          <w:lang w:eastAsia="en-US"/>
        </w:rPr>
        <w:t>gali būti pacientams, kurie turi mažą beta ląstelių funkcinį rezervą (pvz., 2 tipo cukriniu diabetu sergantys pacientai, kuri</w:t>
      </w:r>
      <w:r w:rsidR="00310E0A">
        <w:rPr>
          <w:snapToGrid w:val="0"/>
          <w:sz w:val="22"/>
          <w:szCs w:val="22"/>
          <w:lang w:eastAsia="en-US"/>
        </w:rPr>
        <w:t>ems nustatytas mažas</w:t>
      </w:r>
      <w:r>
        <w:rPr>
          <w:snapToGrid w:val="0"/>
          <w:sz w:val="22"/>
          <w:szCs w:val="22"/>
          <w:lang w:eastAsia="en-US"/>
        </w:rPr>
        <w:t xml:space="preserve"> C peptido kiekis, ar suaugusieji, sergantys latentiniu autoimuniniu cukriniu diabetu (LADA) ar sirgę pankreatitu), pacientams, sergantiems ligomis, dėl kurių apribojamas </w:t>
      </w:r>
      <w:r w:rsidR="00556DAA">
        <w:rPr>
          <w:snapToGrid w:val="0"/>
          <w:sz w:val="22"/>
          <w:szCs w:val="22"/>
          <w:lang w:eastAsia="en-US"/>
        </w:rPr>
        <w:t xml:space="preserve">maisto vartojimas </w:t>
      </w:r>
      <w:r>
        <w:rPr>
          <w:snapToGrid w:val="0"/>
          <w:sz w:val="22"/>
          <w:szCs w:val="22"/>
          <w:lang w:eastAsia="en-US"/>
        </w:rPr>
        <w:t xml:space="preserve">ar yra sunki dehidratacija, pacientams, kuriems sumažinta insulino dozė, ir pacientams, kuriems </w:t>
      </w:r>
      <w:r w:rsidR="007C2D91">
        <w:rPr>
          <w:snapToGrid w:val="0"/>
          <w:sz w:val="22"/>
          <w:szCs w:val="22"/>
          <w:lang w:eastAsia="en-US"/>
        </w:rPr>
        <w:t xml:space="preserve">insulino poreikis </w:t>
      </w:r>
      <w:r>
        <w:rPr>
          <w:snapToGrid w:val="0"/>
          <w:sz w:val="22"/>
          <w:szCs w:val="22"/>
          <w:lang w:eastAsia="en-US"/>
        </w:rPr>
        <w:t>yra padidintas dėl ūmios ligos, operacijos ar alkoholizmo. Tokiems pacientams SGLT2 inhibitorius reikia skirti atsargiai.</w:t>
      </w:r>
    </w:p>
    <w:p w14:paraId="3944369A" w14:textId="77777777" w:rsidR="003B31DC" w:rsidRDefault="003B31DC">
      <w:pPr>
        <w:tabs>
          <w:tab w:val="left" w:pos="567"/>
        </w:tabs>
        <w:jc w:val="both"/>
        <w:rPr>
          <w:snapToGrid w:val="0"/>
          <w:sz w:val="22"/>
          <w:szCs w:val="22"/>
          <w:lang w:eastAsia="en-US"/>
        </w:rPr>
      </w:pPr>
    </w:p>
    <w:p w14:paraId="08EF8515" w14:textId="77777777" w:rsidR="003B31DC" w:rsidRDefault="00913CBE">
      <w:pPr>
        <w:tabs>
          <w:tab w:val="left" w:pos="567"/>
        </w:tabs>
        <w:jc w:val="both"/>
        <w:rPr>
          <w:snapToGrid w:val="0"/>
          <w:sz w:val="22"/>
          <w:szCs w:val="22"/>
          <w:lang w:eastAsia="en-US"/>
        </w:rPr>
      </w:pPr>
      <w:r>
        <w:rPr>
          <w:snapToGrid w:val="0"/>
          <w:sz w:val="22"/>
          <w:szCs w:val="22"/>
          <w:lang w:eastAsia="en-US"/>
        </w:rPr>
        <w:t>Pacientų, kuriems gydant SGLT2 inhibitoriais pasireiškė DKA, nerekomenduojama vėl pradėti gydyti SGLT2 inhibitoriais, nebent būtų nustatytas ir pašalintas kitas aiškus provokuojantis veiksnys.</w:t>
      </w:r>
    </w:p>
    <w:p w14:paraId="67D12B3A" w14:textId="4651A02E" w:rsidR="003B31DC" w:rsidRPr="00773D21" w:rsidRDefault="00913CBE">
      <w:pPr>
        <w:tabs>
          <w:tab w:val="left" w:pos="567"/>
        </w:tabs>
        <w:jc w:val="both"/>
        <w:rPr>
          <w:snapToGrid w:val="0"/>
          <w:sz w:val="22"/>
          <w:szCs w:val="22"/>
          <w:lang w:eastAsia="en-US"/>
        </w:rPr>
      </w:pPr>
      <w:r>
        <w:rPr>
          <w:snapToGrid w:val="0"/>
          <w:sz w:val="22"/>
          <w:szCs w:val="22"/>
          <w:lang w:eastAsia="en-US"/>
        </w:rPr>
        <w:t xml:space="preserve">Pacientams, sergantiems 1 tipo cukriniu diabetu, </w:t>
      </w:r>
      <w:proofErr w:type="spellStart"/>
      <w:r>
        <w:rPr>
          <w:snapToGrid w:val="0"/>
          <w:sz w:val="22"/>
          <w:szCs w:val="22"/>
          <w:lang w:eastAsia="en-US"/>
        </w:rPr>
        <w:t>Mempoglyn</w:t>
      </w:r>
      <w:proofErr w:type="spellEnd"/>
      <w:r>
        <w:rPr>
          <w:snapToGrid w:val="0"/>
          <w:sz w:val="22"/>
          <w:szCs w:val="22"/>
          <w:lang w:eastAsia="en-US"/>
        </w:rPr>
        <w:t xml:space="preserve"> skirti negalima. Klinikinių tyrimų, kuriuose dalyvavo pacientai, sergantys 1 tipo cukriniu diabetu, duomenys parodė</w:t>
      </w:r>
      <w:r w:rsidR="00A00BAC">
        <w:rPr>
          <w:snapToGrid w:val="0"/>
          <w:sz w:val="22"/>
          <w:szCs w:val="22"/>
          <w:lang w:eastAsia="en-US"/>
        </w:rPr>
        <w:t>,</w:t>
      </w:r>
      <w:r w:rsidR="00773D21" w:rsidRPr="00773D21">
        <w:t xml:space="preserve"> </w:t>
      </w:r>
      <w:r w:rsidR="00773D21" w:rsidRPr="00FA2F7A">
        <w:rPr>
          <w:sz w:val="22"/>
          <w:szCs w:val="22"/>
        </w:rPr>
        <w:t xml:space="preserve">kad vartojant 10 mg ir 25 mg </w:t>
      </w:r>
      <w:proofErr w:type="spellStart"/>
      <w:r w:rsidR="00773D21" w:rsidRPr="00FA2F7A">
        <w:rPr>
          <w:sz w:val="22"/>
          <w:szCs w:val="22"/>
        </w:rPr>
        <w:t>empagliflozino</w:t>
      </w:r>
      <w:proofErr w:type="spellEnd"/>
      <w:r w:rsidR="00773D21" w:rsidRPr="00FA2F7A">
        <w:rPr>
          <w:sz w:val="22"/>
          <w:szCs w:val="22"/>
        </w:rPr>
        <w:t xml:space="preserve"> dozes papildomai prie insulino, DKA pasireiškė dažn</w:t>
      </w:r>
      <w:r w:rsidR="00A00BAC">
        <w:rPr>
          <w:sz w:val="22"/>
          <w:szCs w:val="22"/>
        </w:rPr>
        <w:t>iau</w:t>
      </w:r>
      <w:r w:rsidR="00773D21" w:rsidRPr="00FA2F7A">
        <w:rPr>
          <w:sz w:val="22"/>
          <w:szCs w:val="22"/>
        </w:rPr>
        <w:t>, lyginant su placebo grupe</w:t>
      </w:r>
      <w:r w:rsidRPr="00773D21">
        <w:rPr>
          <w:snapToGrid w:val="0"/>
          <w:sz w:val="22"/>
          <w:szCs w:val="22"/>
          <w:lang w:eastAsia="en-US"/>
        </w:rPr>
        <w:t>.</w:t>
      </w:r>
    </w:p>
    <w:p w14:paraId="5E743D8A" w14:textId="77777777" w:rsidR="003B31DC" w:rsidRDefault="003B31DC">
      <w:pPr>
        <w:tabs>
          <w:tab w:val="left" w:pos="567"/>
        </w:tabs>
        <w:jc w:val="both"/>
        <w:rPr>
          <w:snapToGrid w:val="0"/>
          <w:sz w:val="22"/>
          <w:szCs w:val="22"/>
          <w:lang w:eastAsia="en-US"/>
        </w:rPr>
      </w:pPr>
    </w:p>
    <w:p w14:paraId="2C69BF6F" w14:textId="77777777" w:rsidR="003B31DC" w:rsidRDefault="00913CBE">
      <w:pPr>
        <w:tabs>
          <w:tab w:val="left" w:pos="567"/>
        </w:tabs>
        <w:jc w:val="both"/>
        <w:rPr>
          <w:snapToGrid w:val="0"/>
          <w:sz w:val="22"/>
          <w:szCs w:val="22"/>
          <w:u w:val="single"/>
          <w:lang w:eastAsia="en-US"/>
        </w:rPr>
      </w:pPr>
      <w:r>
        <w:rPr>
          <w:snapToGrid w:val="0"/>
          <w:sz w:val="22"/>
          <w:szCs w:val="22"/>
          <w:u w:val="single"/>
          <w:lang w:eastAsia="en-US"/>
        </w:rPr>
        <w:t>Jodo turinčių kontrastinių medžiagų skyrimas</w:t>
      </w:r>
    </w:p>
    <w:p w14:paraId="6FE1D92B" w14:textId="19D13B7D" w:rsidR="003B31DC" w:rsidRDefault="00913CBE">
      <w:pPr>
        <w:tabs>
          <w:tab w:val="left" w:pos="567"/>
        </w:tabs>
        <w:jc w:val="both"/>
        <w:rPr>
          <w:snapToGrid w:val="0"/>
          <w:sz w:val="22"/>
          <w:szCs w:val="22"/>
          <w:lang w:eastAsia="en-US"/>
        </w:rPr>
      </w:pPr>
      <w:r>
        <w:rPr>
          <w:snapToGrid w:val="0"/>
          <w:sz w:val="22"/>
          <w:szCs w:val="22"/>
          <w:lang w:eastAsia="en-US"/>
        </w:rPr>
        <w:t xml:space="preserve">Jodo turinčių kontrastinių medžiagų suleidus į kraujagysles, gali pasireikšti kontrastinių medžiagų sukeliama </w:t>
      </w:r>
      <w:proofErr w:type="spellStart"/>
      <w:r>
        <w:rPr>
          <w:snapToGrid w:val="0"/>
          <w:sz w:val="22"/>
          <w:szCs w:val="22"/>
          <w:lang w:eastAsia="en-US"/>
        </w:rPr>
        <w:t>nefropatija</w:t>
      </w:r>
      <w:proofErr w:type="spellEnd"/>
      <w:r>
        <w:rPr>
          <w:snapToGrid w:val="0"/>
          <w:sz w:val="22"/>
          <w:szCs w:val="22"/>
          <w:lang w:eastAsia="en-US"/>
        </w:rPr>
        <w:t xml:space="preserve">, dėl to gali kauptis </w:t>
      </w:r>
      <w:proofErr w:type="spellStart"/>
      <w:r>
        <w:rPr>
          <w:snapToGrid w:val="0"/>
          <w:sz w:val="22"/>
          <w:szCs w:val="22"/>
          <w:lang w:eastAsia="en-US"/>
        </w:rPr>
        <w:t>metforminas</w:t>
      </w:r>
      <w:proofErr w:type="spellEnd"/>
      <w:r>
        <w:rPr>
          <w:snapToGrid w:val="0"/>
          <w:sz w:val="22"/>
          <w:szCs w:val="22"/>
          <w:lang w:eastAsia="en-US"/>
        </w:rPr>
        <w:t xml:space="preserve"> ir padidėti pieno rūgšties </w:t>
      </w:r>
      <w:proofErr w:type="spellStart"/>
      <w:r>
        <w:rPr>
          <w:snapToGrid w:val="0"/>
          <w:sz w:val="22"/>
          <w:szCs w:val="22"/>
          <w:lang w:eastAsia="en-US"/>
        </w:rPr>
        <w:t>acidozės</w:t>
      </w:r>
      <w:proofErr w:type="spellEnd"/>
      <w:r>
        <w:rPr>
          <w:snapToGrid w:val="0"/>
          <w:sz w:val="22"/>
          <w:szCs w:val="22"/>
          <w:lang w:eastAsia="en-US"/>
        </w:rPr>
        <w:t xml:space="preserve"> rizika. </w:t>
      </w:r>
      <w:proofErr w:type="spellStart"/>
      <w:r w:rsidR="00E27C29">
        <w:rPr>
          <w:snapToGrid w:val="0"/>
          <w:sz w:val="22"/>
          <w:szCs w:val="22"/>
          <w:lang w:eastAsia="en-US"/>
        </w:rPr>
        <w:t>Metformino</w:t>
      </w:r>
      <w:proofErr w:type="spellEnd"/>
      <w:r w:rsidR="00E27C29">
        <w:rPr>
          <w:snapToGrid w:val="0"/>
          <w:sz w:val="22"/>
          <w:szCs w:val="22"/>
          <w:lang w:eastAsia="en-US"/>
        </w:rPr>
        <w:t xml:space="preserve"> vartojimą reikia nutraukti p</w:t>
      </w:r>
      <w:r>
        <w:rPr>
          <w:snapToGrid w:val="0"/>
          <w:sz w:val="22"/>
          <w:szCs w:val="22"/>
          <w:lang w:eastAsia="en-US"/>
        </w:rPr>
        <w:t xml:space="preserve">rieš </w:t>
      </w:r>
      <w:r w:rsidR="00230788">
        <w:rPr>
          <w:snapToGrid w:val="0"/>
          <w:sz w:val="22"/>
          <w:szCs w:val="22"/>
          <w:lang w:eastAsia="en-US"/>
        </w:rPr>
        <w:t xml:space="preserve">radiologinio tyrimo </w:t>
      </w:r>
      <w:r>
        <w:rPr>
          <w:snapToGrid w:val="0"/>
          <w:sz w:val="22"/>
          <w:szCs w:val="22"/>
          <w:lang w:eastAsia="en-US"/>
        </w:rPr>
        <w:t xml:space="preserve">procedūrą arba jos metu. Vėl </w:t>
      </w:r>
      <w:r w:rsidR="00891268">
        <w:rPr>
          <w:snapToGrid w:val="0"/>
          <w:sz w:val="22"/>
          <w:szCs w:val="22"/>
          <w:lang w:eastAsia="en-US"/>
        </w:rPr>
        <w:t xml:space="preserve">pradėti </w:t>
      </w:r>
      <w:r>
        <w:rPr>
          <w:snapToGrid w:val="0"/>
          <w:sz w:val="22"/>
          <w:szCs w:val="22"/>
          <w:lang w:eastAsia="en-US"/>
        </w:rPr>
        <w:t xml:space="preserve">vartoti galima tik praėjus ne mažiau kaip 48 valandoms po procedūros ir tik jei buvo atlikti tyrimai, kurie parodė </w:t>
      </w:r>
      <w:r w:rsidR="00F12C9F">
        <w:rPr>
          <w:snapToGrid w:val="0"/>
          <w:sz w:val="22"/>
          <w:szCs w:val="22"/>
          <w:lang w:eastAsia="en-US"/>
        </w:rPr>
        <w:t xml:space="preserve">nepablogėjusią </w:t>
      </w:r>
      <w:r>
        <w:rPr>
          <w:snapToGrid w:val="0"/>
          <w:sz w:val="22"/>
          <w:szCs w:val="22"/>
          <w:lang w:eastAsia="en-US"/>
        </w:rPr>
        <w:t>inkstų funkciją (žr. 4.2 ir 4.5 skyrius).</w:t>
      </w:r>
    </w:p>
    <w:p w14:paraId="46552A47" w14:textId="77777777" w:rsidR="003B31DC" w:rsidRDefault="003B31DC">
      <w:pPr>
        <w:tabs>
          <w:tab w:val="left" w:pos="567"/>
        </w:tabs>
        <w:jc w:val="both"/>
        <w:rPr>
          <w:snapToGrid w:val="0"/>
          <w:sz w:val="22"/>
          <w:szCs w:val="22"/>
          <w:lang w:eastAsia="en-US"/>
        </w:rPr>
      </w:pPr>
    </w:p>
    <w:p w14:paraId="4C43AFBF" w14:textId="6CD1666A" w:rsidR="003B31DC" w:rsidRDefault="00913CBE">
      <w:pPr>
        <w:tabs>
          <w:tab w:val="left" w:pos="567"/>
        </w:tabs>
        <w:jc w:val="both"/>
        <w:rPr>
          <w:snapToGrid w:val="0"/>
          <w:sz w:val="22"/>
          <w:szCs w:val="22"/>
          <w:u w:val="single"/>
          <w:lang w:eastAsia="en-US"/>
        </w:rPr>
      </w:pPr>
      <w:r>
        <w:rPr>
          <w:snapToGrid w:val="0"/>
          <w:sz w:val="22"/>
          <w:szCs w:val="22"/>
          <w:u w:val="single"/>
          <w:lang w:eastAsia="en-US"/>
        </w:rPr>
        <w:t>Sutrikusi inkstų funkcija</w:t>
      </w:r>
    </w:p>
    <w:p w14:paraId="5BBA16F0" w14:textId="2DA85DD3" w:rsidR="003B31DC" w:rsidRDefault="00913CBE">
      <w:pPr>
        <w:tabs>
          <w:tab w:val="left" w:pos="567"/>
        </w:tabs>
        <w:jc w:val="both"/>
        <w:rPr>
          <w:snapToGrid w:val="0"/>
          <w:sz w:val="22"/>
          <w:szCs w:val="22"/>
          <w:lang w:eastAsia="en-US"/>
        </w:rPr>
      </w:pPr>
      <w:r>
        <w:rPr>
          <w:snapToGrid w:val="0"/>
          <w:sz w:val="22"/>
          <w:szCs w:val="22"/>
          <w:lang w:eastAsia="en-US"/>
        </w:rPr>
        <w:t>Dėl veikimo mechanizmo</w:t>
      </w:r>
      <w:r w:rsidR="007161B9">
        <w:rPr>
          <w:snapToGrid w:val="0"/>
          <w:sz w:val="22"/>
          <w:szCs w:val="22"/>
          <w:lang w:eastAsia="en-US"/>
        </w:rPr>
        <w:t>,</w:t>
      </w:r>
      <w:r>
        <w:rPr>
          <w:snapToGrid w:val="0"/>
          <w:sz w:val="22"/>
          <w:szCs w:val="22"/>
          <w:lang w:eastAsia="en-US"/>
        </w:rPr>
        <w:t xml:space="preserve"> susilpnėjus</w:t>
      </w:r>
      <w:r w:rsidR="007161B9">
        <w:rPr>
          <w:snapToGrid w:val="0"/>
          <w:sz w:val="22"/>
          <w:szCs w:val="22"/>
          <w:lang w:eastAsia="en-US"/>
        </w:rPr>
        <w:t>i</w:t>
      </w:r>
      <w:r>
        <w:rPr>
          <w:snapToGrid w:val="0"/>
          <w:sz w:val="22"/>
          <w:szCs w:val="22"/>
          <w:lang w:eastAsia="en-US"/>
        </w:rPr>
        <w:t xml:space="preserve"> inkstų funkcija </w:t>
      </w:r>
      <w:r w:rsidR="008C12AC">
        <w:rPr>
          <w:snapToGrid w:val="0"/>
          <w:sz w:val="22"/>
          <w:szCs w:val="22"/>
          <w:lang w:eastAsia="en-US"/>
        </w:rPr>
        <w:t xml:space="preserve">lemia mažesnį </w:t>
      </w:r>
      <w:proofErr w:type="spellStart"/>
      <w:r>
        <w:rPr>
          <w:snapToGrid w:val="0"/>
          <w:sz w:val="22"/>
          <w:szCs w:val="22"/>
          <w:lang w:eastAsia="en-US"/>
        </w:rPr>
        <w:t>empagliflozino</w:t>
      </w:r>
      <w:proofErr w:type="spellEnd"/>
      <w:r>
        <w:rPr>
          <w:snapToGrid w:val="0"/>
          <w:sz w:val="22"/>
          <w:szCs w:val="22"/>
          <w:lang w:eastAsia="en-US"/>
        </w:rPr>
        <w:t xml:space="preserve"> </w:t>
      </w:r>
      <w:proofErr w:type="spellStart"/>
      <w:r>
        <w:rPr>
          <w:snapToGrid w:val="0"/>
          <w:sz w:val="22"/>
          <w:szCs w:val="22"/>
          <w:lang w:eastAsia="en-US"/>
        </w:rPr>
        <w:t>glikemin</w:t>
      </w:r>
      <w:r w:rsidR="008C12AC">
        <w:rPr>
          <w:snapToGrid w:val="0"/>
          <w:sz w:val="22"/>
          <w:szCs w:val="22"/>
          <w:lang w:eastAsia="en-US"/>
        </w:rPr>
        <w:t>į</w:t>
      </w:r>
      <w:proofErr w:type="spellEnd"/>
      <w:r>
        <w:rPr>
          <w:snapToGrid w:val="0"/>
          <w:sz w:val="22"/>
          <w:szCs w:val="22"/>
          <w:lang w:eastAsia="en-US"/>
        </w:rPr>
        <w:t xml:space="preserve"> veiksmingum</w:t>
      </w:r>
      <w:r w:rsidR="008C12AC">
        <w:rPr>
          <w:snapToGrid w:val="0"/>
          <w:sz w:val="22"/>
          <w:szCs w:val="22"/>
          <w:lang w:eastAsia="en-US"/>
        </w:rPr>
        <w:t>ą</w:t>
      </w:r>
      <w:r>
        <w:rPr>
          <w:snapToGrid w:val="0"/>
          <w:sz w:val="22"/>
          <w:szCs w:val="22"/>
          <w:lang w:eastAsia="en-US"/>
        </w:rPr>
        <w:t xml:space="preserve">. </w:t>
      </w:r>
      <w:proofErr w:type="spellStart"/>
      <w:r>
        <w:rPr>
          <w:snapToGrid w:val="0"/>
          <w:sz w:val="22"/>
          <w:szCs w:val="22"/>
          <w:lang w:eastAsia="en-US"/>
        </w:rPr>
        <w:t>Empagliflozino</w:t>
      </w:r>
      <w:proofErr w:type="spellEnd"/>
      <w:r>
        <w:rPr>
          <w:snapToGrid w:val="0"/>
          <w:sz w:val="22"/>
          <w:szCs w:val="22"/>
          <w:lang w:eastAsia="en-US"/>
        </w:rPr>
        <w:t xml:space="preserve"> / </w:t>
      </w:r>
      <w:proofErr w:type="spellStart"/>
      <w:r>
        <w:rPr>
          <w:snapToGrid w:val="0"/>
          <w:sz w:val="22"/>
          <w:szCs w:val="22"/>
          <w:lang w:eastAsia="en-US"/>
        </w:rPr>
        <w:t>metformino</w:t>
      </w:r>
      <w:proofErr w:type="spellEnd"/>
      <w:r>
        <w:rPr>
          <w:snapToGrid w:val="0"/>
          <w:sz w:val="22"/>
          <w:szCs w:val="22"/>
          <w:lang w:eastAsia="en-US"/>
        </w:rPr>
        <w:t xml:space="preserve"> </w:t>
      </w:r>
      <w:r w:rsidR="00D92F90">
        <w:rPr>
          <w:snapToGrid w:val="0"/>
          <w:sz w:val="22"/>
          <w:szCs w:val="22"/>
          <w:lang w:eastAsia="en-US"/>
        </w:rPr>
        <w:t xml:space="preserve">derinio </w:t>
      </w:r>
      <w:r>
        <w:rPr>
          <w:snapToGrid w:val="0"/>
          <w:sz w:val="22"/>
          <w:szCs w:val="22"/>
          <w:lang w:eastAsia="en-US"/>
        </w:rPr>
        <w:t xml:space="preserve">negalima vartoti pacientams, kurių </w:t>
      </w:r>
      <w:proofErr w:type="spellStart"/>
      <w:r>
        <w:rPr>
          <w:snapToGrid w:val="0"/>
          <w:sz w:val="22"/>
          <w:szCs w:val="22"/>
          <w:lang w:eastAsia="en-US"/>
        </w:rPr>
        <w:t>aGFG</w:t>
      </w:r>
      <w:proofErr w:type="spellEnd"/>
      <w:r>
        <w:rPr>
          <w:snapToGrid w:val="0"/>
          <w:sz w:val="22"/>
          <w:szCs w:val="22"/>
          <w:lang w:eastAsia="en-US"/>
        </w:rPr>
        <w:t xml:space="preserve"> &lt; 30 ml/min./1,73 m</w:t>
      </w:r>
      <w:r>
        <w:rPr>
          <w:snapToGrid w:val="0"/>
          <w:sz w:val="22"/>
          <w:szCs w:val="22"/>
          <w:vertAlign w:val="superscript"/>
          <w:lang w:eastAsia="en-US"/>
        </w:rPr>
        <w:t>2</w:t>
      </w:r>
      <w:r>
        <w:rPr>
          <w:snapToGrid w:val="0"/>
          <w:sz w:val="22"/>
          <w:szCs w:val="22"/>
          <w:lang w:eastAsia="en-US"/>
        </w:rPr>
        <w:t>, jo vartojimą reikia laikinai nutraukti, esant būklėms, kurios sutrikdo inkstų funkciją (žr. 4.3 skyrių).</w:t>
      </w:r>
    </w:p>
    <w:p w14:paraId="0D0EEC41" w14:textId="77777777" w:rsidR="003B31DC" w:rsidRDefault="003B31DC">
      <w:pPr>
        <w:tabs>
          <w:tab w:val="left" w:pos="567"/>
        </w:tabs>
        <w:jc w:val="both"/>
        <w:rPr>
          <w:snapToGrid w:val="0"/>
          <w:sz w:val="22"/>
          <w:szCs w:val="22"/>
          <w:lang w:eastAsia="en-US"/>
        </w:rPr>
      </w:pPr>
    </w:p>
    <w:p w14:paraId="108A1EC8" w14:textId="77777777" w:rsidR="003B31DC" w:rsidRDefault="00913CBE">
      <w:pPr>
        <w:tabs>
          <w:tab w:val="left" w:pos="567"/>
        </w:tabs>
        <w:jc w:val="both"/>
        <w:rPr>
          <w:snapToGrid w:val="0"/>
          <w:sz w:val="22"/>
          <w:szCs w:val="22"/>
          <w:u w:val="single"/>
          <w:lang w:eastAsia="en-US"/>
        </w:rPr>
      </w:pPr>
      <w:r>
        <w:rPr>
          <w:snapToGrid w:val="0"/>
          <w:sz w:val="22"/>
          <w:szCs w:val="22"/>
          <w:u w:val="single"/>
          <w:lang w:eastAsia="en-US"/>
        </w:rPr>
        <w:t>Inkstų funkcijos stebėjimas</w:t>
      </w:r>
    </w:p>
    <w:p w14:paraId="1DCB95BB" w14:textId="554CD744" w:rsidR="003B31DC" w:rsidRDefault="008B24FF">
      <w:pPr>
        <w:tabs>
          <w:tab w:val="left" w:pos="567"/>
        </w:tabs>
        <w:jc w:val="both"/>
        <w:rPr>
          <w:snapToGrid w:val="0"/>
          <w:sz w:val="22"/>
          <w:szCs w:val="22"/>
          <w:lang w:eastAsia="en-US"/>
        </w:rPr>
      </w:pPr>
      <w:r>
        <w:rPr>
          <w:snapToGrid w:val="0"/>
          <w:sz w:val="22"/>
          <w:szCs w:val="22"/>
          <w:lang w:eastAsia="en-US"/>
        </w:rPr>
        <w:t>Inkstų funkciją r</w:t>
      </w:r>
      <w:r w:rsidR="00913CBE">
        <w:rPr>
          <w:snapToGrid w:val="0"/>
          <w:sz w:val="22"/>
          <w:szCs w:val="22"/>
          <w:lang w:eastAsia="en-US"/>
        </w:rPr>
        <w:t xml:space="preserve">ekomenduojama vertinti </w:t>
      </w:r>
      <w:r>
        <w:rPr>
          <w:snapToGrid w:val="0"/>
          <w:sz w:val="22"/>
          <w:szCs w:val="22"/>
          <w:lang w:eastAsia="en-US"/>
        </w:rPr>
        <w:t xml:space="preserve"> tokia tvarka</w:t>
      </w:r>
      <w:r w:rsidR="00913CBE">
        <w:rPr>
          <w:snapToGrid w:val="0"/>
          <w:sz w:val="22"/>
          <w:szCs w:val="22"/>
          <w:lang w:eastAsia="en-US"/>
        </w:rPr>
        <w:t>:</w:t>
      </w:r>
    </w:p>
    <w:p w14:paraId="263BEDD1" w14:textId="77777777" w:rsidR="003B31DC" w:rsidRPr="00A02B90" w:rsidRDefault="00913CBE">
      <w:pPr>
        <w:widowControl w:val="0"/>
        <w:numPr>
          <w:ilvl w:val="0"/>
          <w:numId w:val="24"/>
        </w:numPr>
        <w:tabs>
          <w:tab w:val="left" w:pos="567"/>
          <w:tab w:val="left" w:pos="9071"/>
        </w:tabs>
        <w:ind w:left="567" w:hanging="567"/>
        <w:contextualSpacing/>
        <w:rPr>
          <w:sz w:val="22"/>
          <w:szCs w:val="22"/>
          <w:lang w:eastAsia="en-US"/>
        </w:rPr>
      </w:pPr>
      <w:r>
        <w:rPr>
          <w:snapToGrid w:val="0"/>
          <w:sz w:val="22"/>
          <w:szCs w:val="22"/>
          <w:lang w:eastAsia="en-US"/>
        </w:rPr>
        <w:t xml:space="preserve">Prieš pradedant gydyti </w:t>
      </w:r>
      <w:proofErr w:type="spellStart"/>
      <w:r>
        <w:rPr>
          <w:snapToGrid w:val="0"/>
          <w:sz w:val="22"/>
          <w:szCs w:val="22"/>
          <w:lang w:eastAsia="en-US"/>
        </w:rPr>
        <w:t>empagliflozinu</w:t>
      </w:r>
      <w:proofErr w:type="spellEnd"/>
      <w:r>
        <w:rPr>
          <w:snapToGrid w:val="0"/>
          <w:sz w:val="22"/>
          <w:szCs w:val="22"/>
          <w:lang w:eastAsia="en-US"/>
        </w:rPr>
        <w:t xml:space="preserve"> / </w:t>
      </w:r>
      <w:proofErr w:type="spellStart"/>
      <w:r>
        <w:rPr>
          <w:snapToGrid w:val="0"/>
          <w:sz w:val="22"/>
          <w:szCs w:val="22"/>
          <w:lang w:eastAsia="en-US"/>
        </w:rPr>
        <w:t>metforminu</w:t>
      </w:r>
      <w:proofErr w:type="spellEnd"/>
      <w:r>
        <w:rPr>
          <w:snapToGrid w:val="0"/>
          <w:sz w:val="22"/>
          <w:szCs w:val="22"/>
          <w:lang w:eastAsia="en-US"/>
        </w:rPr>
        <w:t xml:space="preserve"> ir periodiškai gydymo metu, t. y., bent kartą per metus (žr. 4.2 skyrių);</w:t>
      </w:r>
    </w:p>
    <w:p w14:paraId="641F3E52" w14:textId="7E67907F" w:rsidR="003B31DC" w:rsidRPr="006816B4" w:rsidRDefault="00913CBE">
      <w:pPr>
        <w:widowControl w:val="0"/>
        <w:numPr>
          <w:ilvl w:val="0"/>
          <w:numId w:val="24"/>
        </w:numPr>
        <w:tabs>
          <w:tab w:val="left" w:pos="567"/>
          <w:tab w:val="left" w:pos="9071"/>
        </w:tabs>
        <w:ind w:left="567" w:hanging="567"/>
        <w:contextualSpacing/>
        <w:rPr>
          <w:sz w:val="22"/>
          <w:szCs w:val="22"/>
          <w:lang w:eastAsia="en-US"/>
        </w:rPr>
      </w:pPr>
      <w:r w:rsidRPr="00A02B90">
        <w:rPr>
          <w:sz w:val="22"/>
          <w:szCs w:val="22"/>
          <w:lang w:eastAsia="en-US"/>
        </w:rPr>
        <w:t>P</w:t>
      </w:r>
      <w:r>
        <w:rPr>
          <w:snapToGrid w:val="0"/>
          <w:sz w:val="22"/>
          <w:szCs w:val="22"/>
          <w:lang w:eastAsia="en-US"/>
        </w:rPr>
        <w:t>rieš pradedant</w:t>
      </w:r>
      <w:r w:rsidR="006816B4" w:rsidRPr="00FA2F7A">
        <w:rPr>
          <w:sz w:val="22"/>
          <w:szCs w:val="22"/>
        </w:rPr>
        <w:t xml:space="preserve"> vartoti bet kokį kartu skiriamą vaistinį preparatą, kuris gali turėti neigiamą poveikį inkstų funkcijai</w:t>
      </w:r>
      <w:r w:rsidRPr="006816B4">
        <w:rPr>
          <w:snapToGrid w:val="0"/>
          <w:sz w:val="22"/>
          <w:szCs w:val="22"/>
          <w:lang w:eastAsia="en-US"/>
        </w:rPr>
        <w:t>.</w:t>
      </w:r>
    </w:p>
    <w:p w14:paraId="1DA6B000" w14:textId="77777777" w:rsidR="003B31DC" w:rsidRPr="00A02B90" w:rsidRDefault="003B31DC">
      <w:pPr>
        <w:widowControl w:val="0"/>
        <w:tabs>
          <w:tab w:val="left" w:pos="567"/>
          <w:tab w:val="left" w:pos="9071"/>
        </w:tabs>
        <w:contextualSpacing/>
        <w:rPr>
          <w:sz w:val="22"/>
          <w:szCs w:val="22"/>
          <w:lang w:eastAsia="en-US"/>
        </w:rPr>
      </w:pPr>
    </w:p>
    <w:p w14:paraId="1EBAAC2B" w14:textId="77777777" w:rsidR="003B31DC" w:rsidRDefault="00913CBE">
      <w:pPr>
        <w:autoSpaceDE w:val="0"/>
        <w:autoSpaceDN w:val="0"/>
        <w:adjustRightInd w:val="0"/>
        <w:rPr>
          <w:rFonts w:eastAsia="Calibri"/>
          <w:sz w:val="22"/>
          <w:szCs w:val="22"/>
          <w:u w:val="single"/>
          <w:lang w:eastAsia="en-US"/>
        </w:rPr>
      </w:pPr>
      <w:r>
        <w:rPr>
          <w:rFonts w:eastAsia="Calibri"/>
          <w:sz w:val="22"/>
          <w:szCs w:val="22"/>
          <w:u w:val="single"/>
          <w:lang w:eastAsia="en-US"/>
        </w:rPr>
        <w:t>Širdies funkcija</w:t>
      </w:r>
    </w:p>
    <w:p w14:paraId="7A6BC1FD" w14:textId="5ACF1BE3" w:rsidR="003B31DC" w:rsidRDefault="00913CBE">
      <w:pPr>
        <w:autoSpaceDE w:val="0"/>
        <w:autoSpaceDN w:val="0"/>
        <w:adjustRightInd w:val="0"/>
        <w:rPr>
          <w:rFonts w:eastAsia="Calibri"/>
          <w:sz w:val="22"/>
          <w:szCs w:val="22"/>
          <w:lang w:eastAsia="en-US"/>
        </w:rPr>
      </w:pPr>
      <w:r>
        <w:rPr>
          <w:rFonts w:eastAsia="Calibri"/>
          <w:sz w:val="22"/>
          <w:szCs w:val="22"/>
          <w:lang w:eastAsia="en-US"/>
        </w:rPr>
        <w:t>Pacientams, sergantiems širdies nepakankamumu, yra didesn</w:t>
      </w:r>
      <w:r w:rsidR="00377CC8">
        <w:rPr>
          <w:rFonts w:eastAsia="Calibri"/>
          <w:sz w:val="22"/>
          <w:szCs w:val="22"/>
          <w:lang w:eastAsia="en-US"/>
        </w:rPr>
        <w:t>ė</w:t>
      </w:r>
      <w:r>
        <w:rPr>
          <w:rFonts w:eastAsia="Calibri"/>
          <w:sz w:val="22"/>
          <w:szCs w:val="22"/>
          <w:lang w:eastAsia="en-US"/>
        </w:rPr>
        <w:t xml:space="preserve"> hipoksijos ir inkstų funkcijos </w:t>
      </w:r>
      <w:r w:rsidR="00377CC8">
        <w:rPr>
          <w:rFonts w:eastAsia="Calibri"/>
          <w:sz w:val="22"/>
          <w:szCs w:val="22"/>
          <w:lang w:eastAsia="en-US"/>
        </w:rPr>
        <w:t>nepakankamumo rizika</w:t>
      </w:r>
      <w:r>
        <w:rPr>
          <w:rFonts w:eastAsia="Calibri"/>
          <w:sz w:val="22"/>
          <w:szCs w:val="22"/>
          <w:lang w:eastAsia="en-US"/>
        </w:rPr>
        <w:t xml:space="preserve">. Pacientams, kuriems lėtinis širdies nepakankamumas yra stabilus, </w:t>
      </w:r>
      <w:proofErr w:type="spellStart"/>
      <w:r>
        <w:rPr>
          <w:snapToGrid w:val="0"/>
          <w:sz w:val="22"/>
          <w:szCs w:val="22"/>
          <w:lang w:eastAsia="en-US"/>
        </w:rPr>
        <w:t>Mempoglyn</w:t>
      </w:r>
      <w:proofErr w:type="spellEnd"/>
      <w:r>
        <w:rPr>
          <w:rFonts w:eastAsia="Calibri"/>
          <w:sz w:val="22"/>
          <w:szCs w:val="22"/>
          <w:lang w:eastAsia="en-US"/>
        </w:rPr>
        <w:t xml:space="preserve"> galima vartoti reguliariai tikrinant širdies ir inkstų funkciją. Pacientams, kuriems yra ūminis ir nestabilus širdies nepakankamumas, </w:t>
      </w:r>
      <w:proofErr w:type="spellStart"/>
      <w:r>
        <w:rPr>
          <w:snapToGrid w:val="0"/>
          <w:sz w:val="22"/>
          <w:szCs w:val="22"/>
          <w:lang w:eastAsia="en-US"/>
        </w:rPr>
        <w:t>Mempoglyn</w:t>
      </w:r>
      <w:proofErr w:type="spellEnd"/>
      <w:r>
        <w:rPr>
          <w:rFonts w:eastAsia="Calibri"/>
          <w:sz w:val="22"/>
          <w:szCs w:val="22"/>
          <w:lang w:eastAsia="en-US"/>
        </w:rPr>
        <w:t xml:space="preserve"> vartoti draudžiama (žr. 4.3 skyrių).</w:t>
      </w:r>
    </w:p>
    <w:p w14:paraId="12FDF4FC" w14:textId="77777777" w:rsidR="003B31DC" w:rsidRDefault="003B31DC">
      <w:pPr>
        <w:autoSpaceDE w:val="0"/>
        <w:autoSpaceDN w:val="0"/>
        <w:adjustRightInd w:val="0"/>
        <w:rPr>
          <w:rFonts w:eastAsia="Calibri"/>
          <w:sz w:val="22"/>
          <w:szCs w:val="22"/>
          <w:lang w:eastAsia="en-US"/>
        </w:rPr>
      </w:pPr>
    </w:p>
    <w:p w14:paraId="33AC1494" w14:textId="4A1CA9CF" w:rsidR="003B31DC" w:rsidRDefault="00D14118">
      <w:pPr>
        <w:autoSpaceDE w:val="0"/>
        <w:autoSpaceDN w:val="0"/>
        <w:adjustRightInd w:val="0"/>
        <w:rPr>
          <w:rFonts w:eastAsia="Calibri"/>
          <w:sz w:val="22"/>
          <w:szCs w:val="22"/>
          <w:u w:val="single"/>
          <w:lang w:eastAsia="en-US"/>
        </w:rPr>
      </w:pPr>
      <w:r>
        <w:rPr>
          <w:rFonts w:eastAsia="Calibri"/>
          <w:sz w:val="22"/>
          <w:szCs w:val="22"/>
          <w:u w:val="single"/>
          <w:lang w:eastAsia="en-US"/>
        </w:rPr>
        <w:t>Chirurginės o</w:t>
      </w:r>
      <w:r w:rsidR="00913CBE">
        <w:rPr>
          <w:rFonts w:eastAsia="Calibri"/>
          <w:sz w:val="22"/>
          <w:szCs w:val="22"/>
          <w:u w:val="single"/>
          <w:lang w:eastAsia="en-US"/>
        </w:rPr>
        <w:t>peracij</w:t>
      </w:r>
      <w:r>
        <w:rPr>
          <w:rFonts w:eastAsia="Calibri"/>
          <w:sz w:val="22"/>
          <w:szCs w:val="22"/>
          <w:u w:val="single"/>
          <w:lang w:eastAsia="en-US"/>
        </w:rPr>
        <w:t>os</w:t>
      </w:r>
    </w:p>
    <w:p w14:paraId="6B9E51F9" w14:textId="224F70C6" w:rsidR="003B31DC" w:rsidRDefault="000A652E">
      <w:pPr>
        <w:autoSpaceDE w:val="0"/>
        <w:autoSpaceDN w:val="0"/>
        <w:adjustRightInd w:val="0"/>
        <w:rPr>
          <w:rFonts w:eastAsia="Calibri"/>
          <w:sz w:val="22"/>
          <w:szCs w:val="22"/>
          <w:lang w:eastAsia="en-US"/>
        </w:rPr>
      </w:pPr>
      <w:r w:rsidRPr="000A652E">
        <w:t xml:space="preserve"> </w:t>
      </w:r>
      <w:proofErr w:type="spellStart"/>
      <w:r w:rsidRPr="00FA2F7A">
        <w:rPr>
          <w:sz w:val="22"/>
          <w:szCs w:val="22"/>
        </w:rPr>
        <w:t>Metformino</w:t>
      </w:r>
      <w:proofErr w:type="spellEnd"/>
      <w:r w:rsidRPr="00FA2F7A">
        <w:rPr>
          <w:sz w:val="22"/>
          <w:szCs w:val="22"/>
        </w:rPr>
        <w:t xml:space="preserve"> vartojimas turi būti nutrauktas bendrosios, </w:t>
      </w:r>
      <w:proofErr w:type="spellStart"/>
      <w:r w:rsidRPr="00FA2F7A">
        <w:rPr>
          <w:sz w:val="22"/>
          <w:szCs w:val="22"/>
        </w:rPr>
        <w:t>spinalinės</w:t>
      </w:r>
      <w:proofErr w:type="spellEnd"/>
      <w:r w:rsidRPr="00FA2F7A">
        <w:rPr>
          <w:sz w:val="22"/>
          <w:szCs w:val="22"/>
        </w:rPr>
        <w:t xml:space="preserve"> ar </w:t>
      </w:r>
      <w:proofErr w:type="spellStart"/>
      <w:r w:rsidRPr="00FA2F7A">
        <w:rPr>
          <w:sz w:val="22"/>
          <w:szCs w:val="22"/>
        </w:rPr>
        <w:t>epidurinės</w:t>
      </w:r>
      <w:proofErr w:type="spellEnd"/>
      <w:r w:rsidRPr="00FA2F7A">
        <w:rPr>
          <w:sz w:val="22"/>
          <w:szCs w:val="22"/>
        </w:rPr>
        <w:t xml:space="preserve"> anestezijos metu atliekamos operacijos metu</w:t>
      </w:r>
      <w:r w:rsidR="00913CBE">
        <w:rPr>
          <w:rFonts w:eastAsia="Calibri"/>
          <w:sz w:val="22"/>
          <w:szCs w:val="22"/>
          <w:lang w:eastAsia="en-US"/>
        </w:rPr>
        <w:t xml:space="preserve">. Gydymą galima atnaujinti praėjus ne mažiau kaip 48 valandoms po operacijos arba </w:t>
      </w:r>
      <w:r w:rsidR="0084639A">
        <w:rPr>
          <w:rFonts w:eastAsia="Calibri"/>
          <w:sz w:val="22"/>
          <w:szCs w:val="22"/>
          <w:lang w:eastAsia="en-US"/>
        </w:rPr>
        <w:t>vėl pradėjus maitintis</w:t>
      </w:r>
      <w:r w:rsidR="00913CBE">
        <w:rPr>
          <w:rFonts w:eastAsia="Calibri"/>
          <w:sz w:val="22"/>
          <w:szCs w:val="22"/>
          <w:lang w:eastAsia="en-US"/>
        </w:rPr>
        <w:t xml:space="preserve"> per burną ir tik jei buvo atlikti tyrimai, kurie parodė </w:t>
      </w:r>
      <w:r w:rsidR="00872A58">
        <w:rPr>
          <w:rFonts w:eastAsia="Calibri"/>
          <w:sz w:val="22"/>
          <w:szCs w:val="22"/>
          <w:lang w:eastAsia="en-US"/>
        </w:rPr>
        <w:t xml:space="preserve">nepablogėjusią </w:t>
      </w:r>
      <w:r w:rsidR="00913CBE">
        <w:rPr>
          <w:rFonts w:eastAsia="Calibri"/>
          <w:sz w:val="22"/>
          <w:szCs w:val="22"/>
          <w:lang w:eastAsia="en-US"/>
        </w:rPr>
        <w:t>inkstų funkciją.</w:t>
      </w:r>
    </w:p>
    <w:p w14:paraId="33BB9FFD" w14:textId="77777777" w:rsidR="003B31DC" w:rsidRDefault="003B31DC">
      <w:pPr>
        <w:autoSpaceDE w:val="0"/>
        <w:autoSpaceDN w:val="0"/>
        <w:adjustRightInd w:val="0"/>
        <w:rPr>
          <w:rFonts w:eastAsia="Calibri"/>
          <w:sz w:val="22"/>
          <w:szCs w:val="22"/>
          <w:lang w:eastAsia="en-US"/>
        </w:rPr>
      </w:pPr>
    </w:p>
    <w:p w14:paraId="3FF5815B" w14:textId="5CA62967" w:rsidR="003B31DC" w:rsidRDefault="00913CBE">
      <w:pPr>
        <w:autoSpaceDE w:val="0"/>
        <w:autoSpaceDN w:val="0"/>
        <w:adjustRightInd w:val="0"/>
        <w:rPr>
          <w:rFonts w:eastAsia="Calibri"/>
          <w:sz w:val="22"/>
          <w:szCs w:val="22"/>
          <w:u w:val="single"/>
          <w:lang w:eastAsia="en-US"/>
        </w:rPr>
      </w:pPr>
      <w:proofErr w:type="spellStart"/>
      <w:r>
        <w:rPr>
          <w:rFonts w:eastAsia="Calibri"/>
          <w:sz w:val="22"/>
          <w:szCs w:val="22"/>
          <w:u w:val="single"/>
          <w:lang w:eastAsia="en-US"/>
        </w:rPr>
        <w:lastRenderedPageBreak/>
        <w:t>Hipovolemijos</w:t>
      </w:r>
      <w:proofErr w:type="spellEnd"/>
      <w:r>
        <w:rPr>
          <w:rFonts w:eastAsia="Calibri"/>
          <w:sz w:val="22"/>
          <w:szCs w:val="22"/>
          <w:u w:val="single"/>
          <w:lang w:eastAsia="en-US"/>
        </w:rPr>
        <w:t xml:space="preserve"> </w:t>
      </w:r>
      <w:r w:rsidR="007977CA">
        <w:rPr>
          <w:rFonts w:eastAsia="Calibri"/>
          <w:sz w:val="22"/>
          <w:szCs w:val="22"/>
          <w:u w:val="single"/>
          <w:lang w:eastAsia="en-US"/>
        </w:rPr>
        <w:t>rizika</w:t>
      </w:r>
    </w:p>
    <w:p w14:paraId="48704EBC" w14:textId="2D9FF597" w:rsidR="003B31DC" w:rsidRDefault="00913CBE">
      <w:pPr>
        <w:autoSpaceDE w:val="0"/>
        <w:autoSpaceDN w:val="0"/>
        <w:adjustRightInd w:val="0"/>
        <w:rPr>
          <w:rFonts w:eastAsia="Calibri"/>
          <w:sz w:val="22"/>
          <w:szCs w:val="22"/>
          <w:lang w:eastAsia="en-US"/>
        </w:rPr>
      </w:pPr>
      <w:r>
        <w:rPr>
          <w:rFonts w:eastAsia="Calibri"/>
          <w:sz w:val="22"/>
          <w:szCs w:val="22"/>
          <w:lang w:eastAsia="en-US"/>
        </w:rPr>
        <w:t xml:space="preserve">Remiantis SGLT2 inhibitorių veikimo būdu, </w:t>
      </w:r>
      <w:r w:rsidR="001C56A4" w:rsidRPr="00FA2F7A">
        <w:rPr>
          <w:sz w:val="22"/>
          <w:szCs w:val="22"/>
        </w:rPr>
        <w:t xml:space="preserve">osmosinė diurezė, pasireiškianti kartu su terapine </w:t>
      </w:r>
      <w:proofErr w:type="spellStart"/>
      <w:r w:rsidR="001C56A4" w:rsidRPr="00FA2F7A">
        <w:rPr>
          <w:sz w:val="22"/>
          <w:szCs w:val="22"/>
        </w:rPr>
        <w:t>gliukozurija</w:t>
      </w:r>
      <w:proofErr w:type="spellEnd"/>
      <w:r w:rsidR="001C56A4" w:rsidRPr="00FA2F7A">
        <w:rPr>
          <w:sz w:val="22"/>
          <w:szCs w:val="22"/>
        </w:rPr>
        <w:t>, gali sukelti nedidelį kraujospūdžio sumažėjimą</w:t>
      </w:r>
      <w:r w:rsidR="001C56A4">
        <w:rPr>
          <w:rFonts w:eastAsia="Calibri"/>
          <w:sz w:val="22"/>
          <w:szCs w:val="22"/>
          <w:lang w:eastAsia="en-US"/>
        </w:rPr>
        <w:t xml:space="preserve"> </w:t>
      </w:r>
      <w:r>
        <w:rPr>
          <w:rFonts w:eastAsia="Calibri"/>
          <w:sz w:val="22"/>
          <w:szCs w:val="22"/>
          <w:lang w:eastAsia="en-US"/>
        </w:rPr>
        <w:t xml:space="preserve">(žr. 5.1 skyrių). Todėl </w:t>
      </w:r>
      <w:proofErr w:type="spellStart"/>
      <w:r>
        <w:rPr>
          <w:rFonts w:eastAsia="Calibri"/>
          <w:sz w:val="22"/>
          <w:szCs w:val="22"/>
          <w:lang w:eastAsia="en-US"/>
        </w:rPr>
        <w:t>empaglifloziną</w:t>
      </w:r>
      <w:proofErr w:type="spellEnd"/>
      <w:r>
        <w:rPr>
          <w:rFonts w:eastAsia="Calibri"/>
          <w:sz w:val="22"/>
          <w:szCs w:val="22"/>
          <w:lang w:eastAsia="en-US"/>
        </w:rPr>
        <w:t xml:space="preserve"> reikia skirti atsargiai tiems pacientams, kuriems jo sukeltas kraujospūdžio </w:t>
      </w:r>
      <w:r w:rsidR="009C68A1">
        <w:rPr>
          <w:rFonts w:eastAsia="Calibri"/>
          <w:sz w:val="22"/>
          <w:szCs w:val="22"/>
          <w:lang w:eastAsia="en-US"/>
        </w:rPr>
        <w:t xml:space="preserve">sumažėjimas </w:t>
      </w:r>
      <w:r>
        <w:rPr>
          <w:rFonts w:eastAsia="Calibri"/>
          <w:sz w:val="22"/>
          <w:szCs w:val="22"/>
          <w:lang w:eastAsia="en-US"/>
        </w:rPr>
        <w:t xml:space="preserve">gali kelti riziką, pvz., širdies ir kraujagyslių sistemos liga sergantiems pacientams, </w:t>
      </w:r>
      <w:proofErr w:type="spellStart"/>
      <w:r>
        <w:rPr>
          <w:rFonts w:eastAsia="Calibri"/>
          <w:sz w:val="22"/>
          <w:szCs w:val="22"/>
          <w:lang w:eastAsia="en-US"/>
        </w:rPr>
        <w:t>antihipertenziniais</w:t>
      </w:r>
      <w:proofErr w:type="spellEnd"/>
      <w:r>
        <w:rPr>
          <w:rFonts w:eastAsia="Calibri"/>
          <w:sz w:val="22"/>
          <w:szCs w:val="22"/>
          <w:lang w:eastAsia="en-US"/>
        </w:rPr>
        <w:t xml:space="preserve"> vaistiniais preparatais gydomiems pacientams, kuriems yra buvusi </w:t>
      </w:r>
      <w:proofErr w:type="spellStart"/>
      <w:r>
        <w:rPr>
          <w:rFonts w:eastAsia="Calibri"/>
          <w:sz w:val="22"/>
          <w:szCs w:val="22"/>
          <w:lang w:eastAsia="en-US"/>
        </w:rPr>
        <w:t>hipotenzija</w:t>
      </w:r>
      <w:proofErr w:type="spellEnd"/>
      <w:r>
        <w:rPr>
          <w:rFonts w:eastAsia="Calibri"/>
          <w:sz w:val="22"/>
          <w:szCs w:val="22"/>
          <w:lang w:eastAsia="en-US"/>
        </w:rPr>
        <w:t>, arba 75 metų ir vyresniems pacientams.</w:t>
      </w:r>
    </w:p>
    <w:p w14:paraId="17895180" w14:textId="2874F82E" w:rsidR="003B31DC" w:rsidRDefault="006B1212">
      <w:pPr>
        <w:autoSpaceDE w:val="0"/>
        <w:autoSpaceDN w:val="0"/>
        <w:adjustRightInd w:val="0"/>
        <w:rPr>
          <w:rFonts w:eastAsia="Calibri"/>
          <w:sz w:val="22"/>
          <w:szCs w:val="22"/>
          <w:lang w:eastAsia="en-US"/>
        </w:rPr>
      </w:pPr>
      <w:r w:rsidRPr="00FA2F7A">
        <w:rPr>
          <w:sz w:val="22"/>
          <w:szCs w:val="22"/>
        </w:rPr>
        <w:t>Esant būklėms, dėl kurių gali mažėti skysčių kiekis organizme</w:t>
      </w:r>
      <w:r>
        <w:rPr>
          <w:rFonts w:eastAsia="Calibri"/>
          <w:sz w:val="22"/>
          <w:szCs w:val="22"/>
          <w:lang w:eastAsia="en-US"/>
        </w:rPr>
        <w:t xml:space="preserve"> </w:t>
      </w:r>
      <w:r w:rsidR="00913CBE">
        <w:rPr>
          <w:rFonts w:eastAsia="Calibri"/>
          <w:sz w:val="22"/>
          <w:szCs w:val="22"/>
          <w:lang w:eastAsia="en-US"/>
        </w:rPr>
        <w:t xml:space="preserve">(pvz., </w:t>
      </w:r>
      <w:r w:rsidR="00104A32">
        <w:rPr>
          <w:rFonts w:eastAsia="Calibri"/>
          <w:sz w:val="22"/>
          <w:szCs w:val="22"/>
          <w:lang w:eastAsia="en-US"/>
        </w:rPr>
        <w:t xml:space="preserve">sergant </w:t>
      </w:r>
      <w:r w:rsidR="00913CBE">
        <w:rPr>
          <w:rFonts w:eastAsia="Calibri"/>
          <w:sz w:val="22"/>
          <w:szCs w:val="22"/>
          <w:lang w:eastAsia="en-US"/>
        </w:rPr>
        <w:t>virškinimo trakto lig</w:t>
      </w:r>
      <w:r w:rsidR="00104A32">
        <w:rPr>
          <w:rFonts w:eastAsia="Calibri"/>
          <w:sz w:val="22"/>
          <w:szCs w:val="22"/>
          <w:lang w:eastAsia="en-US"/>
        </w:rPr>
        <w:t>omis</w:t>
      </w:r>
      <w:r w:rsidR="00913CBE">
        <w:rPr>
          <w:rFonts w:eastAsia="Calibri"/>
          <w:sz w:val="22"/>
          <w:szCs w:val="22"/>
          <w:lang w:eastAsia="en-US"/>
        </w:rPr>
        <w:t xml:space="preserve">), rekomenduojama atidžiai stebėti </w:t>
      </w:r>
      <w:proofErr w:type="spellStart"/>
      <w:r w:rsidR="00913CBE">
        <w:rPr>
          <w:rFonts w:eastAsia="Calibri"/>
          <w:sz w:val="22"/>
          <w:szCs w:val="22"/>
          <w:lang w:eastAsia="en-US"/>
        </w:rPr>
        <w:t>Mempoglyn</w:t>
      </w:r>
      <w:proofErr w:type="spellEnd"/>
      <w:r w:rsidR="00913CBE">
        <w:rPr>
          <w:rFonts w:eastAsia="Calibri"/>
          <w:sz w:val="22"/>
          <w:szCs w:val="22"/>
          <w:lang w:eastAsia="en-US"/>
        </w:rPr>
        <w:t xml:space="preserve"> vartojančių pacientų skysči</w:t>
      </w:r>
      <w:r w:rsidR="00F25678">
        <w:rPr>
          <w:rFonts w:eastAsia="Calibri"/>
          <w:sz w:val="22"/>
          <w:szCs w:val="22"/>
          <w:lang w:eastAsia="en-US"/>
        </w:rPr>
        <w:t>ų</w:t>
      </w:r>
      <w:r w:rsidR="00913CBE">
        <w:rPr>
          <w:rFonts w:eastAsia="Calibri"/>
          <w:sz w:val="22"/>
          <w:szCs w:val="22"/>
          <w:lang w:eastAsia="en-US"/>
        </w:rPr>
        <w:t xml:space="preserve"> </w:t>
      </w:r>
      <w:r w:rsidR="00907826">
        <w:rPr>
          <w:rFonts w:eastAsia="Calibri"/>
          <w:sz w:val="22"/>
          <w:szCs w:val="22"/>
          <w:lang w:eastAsia="en-US"/>
        </w:rPr>
        <w:t xml:space="preserve">būklę </w:t>
      </w:r>
      <w:r w:rsidR="00913CBE">
        <w:rPr>
          <w:rFonts w:eastAsia="Calibri"/>
          <w:sz w:val="22"/>
          <w:szCs w:val="22"/>
          <w:lang w:eastAsia="en-US"/>
        </w:rPr>
        <w:t xml:space="preserve">(pvz., </w:t>
      </w:r>
      <w:proofErr w:type="spellStart"/>
      <w:r w:rsidR="00913CBE">
        <w:rPr>
          <w:rFonts w:eastAsia="Calibri"/>
          <w:sz w:val="22"/>
          <w:szCs w:val="22"/>
          <w:lang w:eastAsia="en-US"/>
        </w:rPr>
        <w:t>atli</w:t>
      </w:r>
      <w:r w:rsidR="008E18D5">
        <w:rPr>
          <w:rFonts w:eastAsia="Calibri"/>
          <w:sz w:val="22"/>
          <w:szCs w:val="22"/>
          <w:lang w:eastAsia="en-US"/>
        </w:rPr>
        <w:t>iekant</w:t>
      </w:r>
      <w:proofErr w:type="spellEnd"/>
      <w:r w:rsidR="00913CBE">
        <w:rPr>
          <w:rFonts w:eastAsia="Calibri"/>
          <w:sz w:val="22"/>
          <w:szCs w:val="22"/>
          <w:lang w:eastAsia="en-US"/>
        </w:rPr>
        <w:t xml:space="preserve"> medicininę apžiūrą, matuo</w:t>
      </w:r>
      <w:r w:rsidR="008E18D5">
        <w:rPr>
          <w:rFonts w:eastAsia="Calibri"/>
          <w:sz w:val="22"/>
          <w:szCs w:val="22"/>
          <w:lang w:eastAsia="en-US"/>
        </w:rPr>
        <w:t>jant</w:t>
      </w:r>
      <w:r w:rsidR="00913CBE">
        <w:rPr>
          <w:rFonts w:eastAsia="Calibri"/>
          <w:sz w:val="22"/>
          <w:szCs w:val="22"/>
          <w:lang w:eastAsia="en-US"/>
        </w:rPr>
        <w:t xml:space="preserve"> kraujospūdį, atli</w:t>
      </w:r>
      <w:r w:rsidR="0070114E">
        <w:rPr>
          <w:rFonts w:eastAsia="Calibri"/>
          <w:sz w:val="22"/>
          <w:szCs w:val="22"/>
          <w:lang w:eastAsia="en-US"/>
        </w:rPr>
        <w:t>e</w:t>
      </w:r>
      <w:r w:rsidR="00913CBE">
        <w:rPr>
          <w:rFonts w:eastAsia="Calibri"/>
          <w:sz w:val="22"/>
          <w:szCs w:val="22"/>
          <w:lang w:eastAsia="en-US"/>
        </w:rPr>
        <w:t>k</w:t>
      </w:r>
      <w:r w:rsidR="008E18D5">
        <w:rPr>
          <w:rFonts w:eastAsia="Calibri"/>
          <w:sz w:val="22"/>
          <w:szCs w:val="22"/>
          <w:lang w:eastAsia="en-US"/>
        </w:rPr>
        <w:t>ant</w:t>
      </w:r>
      <w:r w:rsidR="00913CBE">
        <w:rPr>
          <w:rFonts w:eastAsia="Calibri"/>
          <w:sz w:val="22"/>
          <w:szCs w:val="22"/>
          <w:lang w:eastAsia="en-US"/>
        </w:rPr>
        <w:t xml:space="preserve"> laboratorinius tyrimus, įskaitant </w:t>
      </w:r>
      <w:proofErr w:type="spellStart"/>
      <w:r w:rsidR="00913CBE">
        <w:rPr>
          <w:rFonts w:eastAsia="Calibri"/>
          <w:sz w:val="22"/>
          <w:szCs w:val="22"/>
          <w:lang w:eastAsia="en-US"/>
        </w:rPr>
        <w:t>hematokritą</w:t>
      </w:r>
      <w:proofErr w:type="spellEnd"/>
      <w:r w:rsidR="00913CBE">
        <w:rPr>
          <w:rFonts w:eastAsia="Calibri"/>
          <w:sz w:val="22"/>
          <w:szCs w:val="22"/>
          <w:lang w:eastAsia="en-US"/>
        </w:rPr>
        <w:t xml:space="preserve">) ir </w:t>
      </w:r>
      <w:proofErr w:type="spellStart"/>
      <w:r w:rsidR="00913CBE">
        <w:rPr>
          <w:rFonts w:eastAsia="Calibri"/>
          <w:sz w:val="22"/>
          <w:szCs w:val="22"/>
          <w:lang w:eastAsia="en-US"/>
        </w:rPr>
        <w:t>elektrolitų</w:t>
      </w:r>
      <w:r w:rsidR="00616A47">
        <w:rPr>
          <w:rFonts w:eastAsia="Calibri"/>
          <w:sz w:val="22"/>
          <w:szCs w:val="22"/>
          <w:lang w:eastAsia="en-US"/>
        </w:rPr>
        <w:t>kiekį</w:t>
      </w:r>
      <w:proofErr w:type="spellEnd"/>
      <w:r w:rsidR="00913CBE">
        <w:rPr>
          <w:rFonts w:eastAsia="Calibri"/>
          <w:sz w:val="22"/>
          <w:szCs w:val="22"/>
          <w:lang w:eastAsia="en-US"/>
        </w:rPr>
        <w:t xml:space="preserve">. Reikia apsvarstyti galimybę laikinai nutraukti gydymą </w:t>
      </w:r>
      <w:proofErr w:type="spellStart"/>
      <w:r w:rsidR="00913CBE">
        <w:rPr>
          <w:rFonts w:eastAsia="Calibri"/>
          <w:sz w:val="22"/>
          <w:szCs w:val="22"/>
          <w:lang w:eastAsia="en-US"/>
        </w:rPr>
        <w:t>Mempoglyn</w:t>
      </w:r>
      <w:proofErr w:type="spellEnd"/>
      <w:r w:rsidR="00913CBE">
        <w:rPr>
          <w:rFonts w:eastAsia="Calibri"/>
          <w:sz w:val="22"/>
          <w:szCs w:val="22"/>
          <w:lang w:eastAsia="en-US"/>
        </w:rPr>
        <w:t xml:space="preserve">, </w:t>
      </w:r>
      <w:proofErr w:type="spellStart"/>
      <w:r w:rsidR="00913CBE">
        <w:rPr>
          <w:rFonts w:eastAsia="Calibri"/>
          <w:sz w:val="22"/>
          <w:szCs w:val="22"/>
          <w:lang w:eastAsia="en-US"/>
        </w:rPr>
        <w:t>kolskysči</w:t>
      </w:r>
      <w:r w:rsidR="004F0C02">
        <w:rPr>
          <w:rFonts w:eastAsia="Calibri"/>
          <w:sz w:val="22"/>
          <w:szCs w:val="22"/>
          <w:lang w:eastAsia="en-US"/>
        </w:rPr>
        <w:t>ų</w:t>
      </w:r>
      <w:proofErr w:type="spellEnd"/>
      <w:r w:rsidR="004F0C02">
        <w:rPr>
          <w:rFonts w:eastAsia="Calibri"/>
          <w:sz w:val="22"/>
          <w:szCs w:val="22"/>
          <w:lang w:eastAsia="en-US"/>
        </w:rPr>
        <w:t xml:space="preserve"> trūkumas bus </w:t>
      </w:r>
      <w:r w:rsidR="006A762F">
        <w:rPr>
          <w:rFonts w:eastAsia="Calibri"/>
          <w:sz w:val="22"/>
          <w:szCs w:val="22"/>
          <w:lang w:eastAsia="en-US"/>
        </w:rPr>
        <w:t>pašalintas</w:t>
      </w:r>
      <w:r w:rsidR="00913CBE">
        <w:rPr>
          <w:rFonts w:eastAsia="Calibri"/>
          <w:sz w:val="22"/>
          <w:szCs w:val="22"/>
          <w:lang w:eastAsia="en-US"/>
        </w:rPr>
        <w:t>.</w:t>
      </w:r>
    </w:p>
    <w:p w14:paraId="0A084EC1" w14:textId="77777777" w:rsidR="003B31DC" w:rsidRDefault="003B31DC">
      <w:pPr>
        <w:autoSpaceDE w:val="0"/>
        <w:autoSpaceDN w:val="0"/>
        <w:adjustRightInd w:val="0"/>
        <w:rPr>
          <w:rFonts w:eastAsia="Calibri"/>
          <w:sz w:val="22"/>
          <w:szCs w:val="22"/>
          <w:lang w:eastAsia="en-US"/>
        </w:rPr>
      </w:pPr>
    </w:p>
    <w:p w14:paraId="7BC1FEE0" w14:textId="2A61CA6A" w:rsidR="003B31DC" w:rsidRDefault="00913CBE">
      <w:pPr>
        <w:autoSpaceDE w:val="0"/>
        <w:autoSpaceDN w:val="0"/>
        <w:adjustRightInd w:val="0"/>
        <w:rPr>
          <w:rFonts w:eastAsia="Calibri"/>
          <w:sz w:val="22"/>
          <w:szCs w:val="22"/>
          <w:u w:val="single"/>
          <w:lang w:eastAsia="en-US"/>
        </w:rPr>
      </w:pPr>
      <w:r>
        <w:rPr>
          <w:rFonts w:eastAsia="Calibri"/>
          <w:sz w:val="22"/>
          <w:szCs w:val="22"/>
          <w:u w:val="single"/>
          <w:lang w:eastAsia="en-US"/>
        </w:rPr>
        <w:t xml:space="preserve">Senyvi </w:t>
      </w:r>
      <w:r w:rsidR="00B17EAB">
        <w:rPr>
          <w:rFonts w:eastAsia="Calibri"/>
          <w:sz w:val="22"/>
          <w:szCs w:val="22"/>
          <w:u w:val="single"/>
          <w:lang w:eastAsia="en-US"/>
        </w:rPr>
        <w:t>pacientai</w:t>
      </w:r>
    </w:p>
    <w:p w14:paraId="5C5BE37D" w14:textId="4F074652" w:rsidR="003B31DC" w:rsidRPr="00FB287E" w:rsidRDefault="00913CBE">
      <w:pPr>
        <w:autoSpaceDE w:val="0"/>
        <w:autoSpaceDN w:val="0"/>
        <w:adjustRightInd w:val="0"/>
        <w:rPr>
          <w:rFonts w:eastAsia="Calibri"/>
          <w:sz w:val="22"/>
          <w:szCs w:val="22"/>
          <w:lang w:eastAsia="en-US"/>
        </w:rPr>
      </w:pPr>
      <w:proofErr w:type="spellStart"/>
      <w:r>
        <w:rPr>
          <w:rFonts w:eastAsia="Calibri"/>
          <w:sz w:val="22"/>
          <w:szCs w:val="22"/>
          <w:lang w:eastAsia="en-US"/>
        </w:rPr>
        <w:t>Empagliflozino</w:t>
      </w:r>
      <w:proofErr w:type="spellEnd"/>
      <w:r>
        <w:rPr>
          <w:rFonts w:eastAsia="Calibri"/>
          <w:sz w:val="22"/>
          <w:szCs w:val="22"/>
          <w:lang w:eastAsia="en-US"/>
        </w:rPr>
        <w:t xml:space="preserve"> poveikis gliukozės išskyrimui su šlapimu yra susijęs su osmosine diureze, kuri gali </w:t>
      </w:r>
      <w:r w:rsidR="00B17EAB">
        <w:rPr>
          <w:rFonts w:eastAsia="Calibri"/>
          <w:sz w:val="22"/>
          <w:szCs w:val="22"/>
          <w:lang w:eastAsia="en-US"/>
        </w:rPr>
        <w:t>pa</w:t>
      </w:r>
      <w:r>
        <w:rPr>
          <w:rFonts w:eastAsia="Calibri"/>
          <w:sz w:val="22"/>
          <w:szCs w:val="22"/>
          <w:lang w:eastAsia="en-US"/>
        </w:rPr>
        <w:t xml:space="preserve">veikti hidratacijos būklę. 75 metų ir vyresniems pacientams </w:t>
      </w:r>
      <w:r w:rsidR="00B17EAB">
        <w:rPr>
          <w:rFonts w:eastAsia="Calibri"/>
          <w:sz w:val="22"/>
          <w:szCs w:val="22"/>
          <w:lang w:eastAsia="en-US"/>
        </w:rPr>
        <w:t xml:space="preserve">gali kilti didesnė </w:t>
      </w:r>
      <w:r>
        <w:rPr>
          <w:rFonts w:eastAsia="Calibri"/>
          <w:sz w:val="22"/>
          <w:szCs w:val="22"/>
          <w:lang w:eastAsia="en-US"/>
        </w:rPr>
        <w:t>skysči</w:t>
      </w:r>
      <w:r w:rsidR="00E36CA4">
        <w:rPr>
          <w:rFonts w:eastAsia="Calibri"/>
          <w:sz w:val="22"/>
          <w:szCs w:val="22"/>
          <w:lang w:eastAsia="en-US"/>
        </w:rPr>
        <w:t>ų</w:t>
      </w:r>
      <w:r>
        <w:rPr>
          <w:rFonts w:eastAsia="Calibri"/>
          <w:sz w:val="22"/>
          <w:szCs w:val="22"/>
          <w:lang w:eastAsia="en-US"/>
        </w:rPr>
        <w:t xml:space="preserve"> </w:t>
      </w:r>
      <w:r w:rsidR="00E36CA4">
        <w:rPr>
          <w:rFonts w:eastAsia="Calibri"/>
          <w:sz w:val="22"/>
          <w:szCs w:val="22"/>
          <w:lang w:eastAsia="en-US"/>
        </w:rPr>
        <w:t xml:space="preserve">kiekio sumažėjimo </w:t>
      </w:r>
      <w:r>
        <w:rPr>
          <w:rFonts w:eastAsia="Calibri"/>
          <w:sz w:val="22"/>
          <w:szCs w:val="22"/>
          <w:lang w:eastAsia="en-US"/>
        </w:rPr>
        <w:t>rizika. Todėl</w:t>
      </w:r>
      <w:r w:rsidR="003A23B5" w:rsidRPr="003A23B5">
        <w:rPr>
          <w:rFonts w:eastAsia="Calibri"/>
          <w:sz w:val="22"/>
          <w:szCs w:val="22"/>
          <w:lang w:eastAsia="en-US"/>
        </w:rPr>
        <w:t>,</w:t>
      </w:r>
      <w:r w:rsidRPr="003A23B5">
        <w:rPr>
          <w:rFonts w:eastAsia="Calibri"/>
          <w:sz w:val="22"/>
          <w:szCs w:val="22"/>
          <w:lang w:eastAsia="en-US"/>
        </w:rPr>
        <w:t xml:space="preserve"> </w:t>
      </w:r>
      <w:r w:rsidR="003A23B5" w:rsidRPr="00FA2F7A">
        <w:rPr>
          <w:sz w:val="22"/>
          <w:szCs w:val="22"/>
        </w:rPr>
        <w:t>jei kartu vartojami vaistiniai preparatai, galintys sukelti skysčių netekimą</w:t>
      </w:r>
      <w:r w:rsidR="003A23B5">
        <w:rPr>
          <w:sz w:val="22"/>
          <w:szCs w:val="22"/>
        </w:rPr>
        <w:t xml:space="preserve"> </w:t>
      </w:r>
      <w:r>
        <w:rPr>
          <w:rFonts w:eastAsia="Calibri"/>
          <w:sz w:val="22"/>
          <w:szCs w:val="22"/>
          <w:lang w:eastAsia="en-US"/>
        </w:rPr>
        <w:t>(pvz., diuretik</w:t>
      </w:r>
      <w:r w:rsidR="003A23B5">
        <w:rPr>
          <w:rFonts w:eastAsia="Calibri"/>
          <w:sz w:val="22"/>
          <w:szCs w:val="22"/>
          <w:lang w:eastAsia="en-US"/>
        </w:rPr>
        <w:t>ai</w:t>
      </w:r>
      <w:r>
        <w:rPr>
          <w:rFonts w:eastAsia="Calibri"/>
          <w:sz w:val="22"/>
          <w:szCs w:val="22"/>
          <w:lang w:eastAsia="en-US"/>
        </w:rPr>
        <w:t>, AKF inhibitori</w:t>
      </w:r>
      <w:r w:rsidR="003A23B5">
        <w:rPr>
          <w:rFonts w:eastAsia="Calibri"/>
          <w:sz w:val="22"/>
          <w:szCs w:val="22"/>
          <w:lang w:eastAsia="en-US"/>
        </w:rPr>
        <w:t>ai</w:t>
      </w:r>
      <w:r>
        <w:rPr>
          <w:rFonts w:eastAsia="Calibri"/>
          <w:sz w:val="22"/>
          <w:szCs w:val="22"/>
          <w:lang w:eastAsia="en-US"/>
        </w:rPr>
        <w:t>)</w:t>
      </w:r>
      <w:r w:rsidR="00FB287E">
        <w:rPr>
          <w:rFonts w:eastAsia="Calibri"/>
          <w:sz w:val="22"/>
          <w:szCs w:val="22"/>
          <w:lang w:eastAsia="en-US"/>
        </w:rPr>
        <w:t xml:space="preserve">, </w:t>
      </w:r>
      <w:r w:rsidR="00FB287E" w:rsidRPr="00FA2F7A">
        <w:rPr>
          <w:sz w:val="22"/>
          <w:szCs w:val="22"/>
        </w:rPr>
        <w:t>ypatingas dėmesys turi būti skiriamas suvartojamų skysčių kiekiui</w:t>
      </w:r>
      <w:r w:rsidRPr="00FB287E">
        <w:rPr>
          <w:rFonts w:eastAsia="Calibri"/>
          <w:sz w:val="22"/>
          <w:szCs w:val="22"/>
          <w:lang w:eastAsia="en-US"/>
        </w:rPr>
        <w:t>.</w:t>
      </w:r>
    </w:p>
    <w:p w14:paraId="4C332606" w14:textId="77777777" w:rsidR="003B31DC" w:rsidRDefault="003B31DC">
      <w:pPr>
        <w:autoSpaceDE w:val="0"/>
        <w:autoSpaceDN w:val="0"/>
        <w:adjustRightInd w:val="0"/>
        <w:rPr>
          <w:rFonts w:eastAsia="Calibri"/>
          <w:sz w:val="22"/>
          <w:szCs w:val="22"/>
          <w:lang w:eastAsia="en-US"/>
        </w:rPr>
      </w:pPr>
    </w:p>
    <w:p w14:paraId="6146986F" w14:textId="49B72B5A" w:rsidR="003B31DC" w:rsidRDefault="00913CBE">
      <w:pPr>
        <w:autoSpaceDE w:val="0"/>
        <w:autoSpaceDN w:val="0"/>
        <w:adjustRightInd w:val="0"/>
        <w:rPr>
          <w:rFonts w:eastAsia="Calibri"/>
          <w:sz w:val="22"/>
          <w:szCs w:val="22"/>
          <w:u w:val="single"/>
          <w:lang w:eastAsia="en-US"/>
        </w:rPr>
      </w:pPr>
      <w:r>
        <w:rPr>
          <w:rFonts w:eastAsia="Calibri"/>
          <w:sz w:val="22"/>
          <w:szCs w:val="22"/>
          <w:u w:val="single"/>
          <w:lang w:eastAsia="en-US"/>
        </w:rPr>
        <w:t>Šlapimo takų infekcinės ligos</w:t>
      </w:r>
    </w:p>
    <w:p w14:paraId="6C52B582" w14:textId="6521900D" w:rsidR="003B31DC" w:rsidRDefault="00913CBE">
      <w:pPr>
        <w:autoSpaceDE w:val="0"/>
        <w:autoSpaceDN w:val="0"/>
        <w:adjustRightInd w:val="0"/>
        <w:rPr>
          <w:rFonts w:eastAsia="Calibri"/>
          <w:sz w:val="22"/>
          <w:szCs w:val="22"/>
          <w:lang w:eastAsia="en-US"/>
        </w:rPr>
      </w:pPr>
      <w:r>
        <w:rPr>
          <w:rFonts w:eastAsia="Calibri"/>
          <w:sz w:val="22"/>
          <w:szCs w:val="22"/>
          <w:lang w:eastAsia="en-US"/>
        </w:rPr>
        <w:t xml:space="preserve">Vaistinį preparatą pateikus į rinką, gauta pranešimų apie komplikuotas šlapimo takų infekcines ligas (įskaitant </w:t>
      </w:r>
      <w:proofErr w:type="spellStart"/>
      <w:r>
        <w:rPr>
          <w:rFonts w:eastAsia="Calibri"/>
          <w:sz w:val="22"/>
          <w:szCs w:val="22"/>
          <w:lang w:eastAsia="en-US"/>
        </w:rPr>
        <w:t>pielonefritą</w:t>
      </w:r>
      <w:proofErr w:type="spellEnd"/>
      <w:r>
        <w:rPr>
          <w:rFonts w:eastAsia="Calibri"/>
          <w:sz w:val="22"/>
          <w:szCs w:val="22"/>
          <w:lang w:eastAsia="en-US"/>
        </w:rPr>
        <w:t xml:space="preserve"> ar </w:t>
      </w:r>
      <w:proofErr w:type="spellStart"/>
      <w:r>
        <w:rPr>
          <w:rFonts w:eastAsia="Calibri"/>
          <w:sz w:val="22"/>
          <w:szCs w:val="22"/>
          <w:lang w:eastAsia="en-US"/>
        </w:rPr>
        <w:t>urosepsį</w:t>
      </w:r>
      <w:proofErr w:type="spellEnd"/>
      <w:r>
        <w:rPr>
          <w:rFonts w:eastAsia="Calibri"/>
          <w:sz w:val="22"/>
          <w:szCs w:val="22"/>
          <w:lang w:eastAsia="en-US"/>
        </w:rPr>
        <w:t xml:space="preserve">), pasireiškusias pacientams, gydytiems </w:t>
      </w:r>
      <w:proofErr w:type="spellStart"/>
      <w:r>
        <w:rPr>
          <w:rFonts w:eastAsia="Calibri"/>
          <w:sz w:val="22"/>
          <w:szCs w:val="22"/>
          <w:lang w:eastAsia="en-US"/>
        </w:rPr>
        <w:t>empagliflozinu</w:t>
      </w:r>
      <w:proofErr w:type="spellEnd"/>
      <w:r>
        <w:rPr>
          <w:rFonts w:eastAsia="Calibri"/>
          <w:sz w:val="22"/>
          <w:szCs w:val="22"/>
          <w:lang w:eastAsia="en-US"/>
        </w:rPr>
        <w:t xml:space="preserve"> (žr. 4.8 skyrių). Pacientams, kuriems pasireiškė komplikuotos šlapimo takų infekcinės ligos, reikia apsvarstyti galimybę laikinai </w:t>
      </w:r>
      <w:r w:rsidR="00C2386D">
        <w:rPr>
          <w:rFonts w:eastAsia="Calibri"/>
          <w:sz w:val="22"/>
          <w:szCs w:val="22"/>
          <w:lang w:eastAsia="en-US"/>
        </w:rPr>
        <w:t>nu</w:t>
      </w:r>
      <w:r>
        <w:rPr>
          <w:rFonts w:eastAsia="Calibri"/>
          <w:sz w:val="22"/>
          <w:szCs w:val="22"/>
          <w:lang w:eastAsia="en-US"/>
        </w:rPr>
        <w:t>traukti gydymą.</w:t>
      </w:r>
    </w:p>
    <w:p w14:paraId="3C0A3E9A" w14:textId="77777777" w:rsidR="003B31DC" w:rsidRDefault="003B31DC">
      <w:pPr>
        <w:autoSpaceDE w:val="0"/>
        <w:autoSpaceDN w:val="0"/>
        <w:adjustRightInd w:val="0"/>
        <w:rPr>
          <w:rFonts w:eastAsia="Calibri"/>
          <w:sz w:val="22"/>
          <w:szCs w:val="22"/>
          <w:lang w:eastAsia="en-US"/>
        </w:rPr>
      </w:pPr>
    </w:p>
    <w:p w14:paraId="701075E1" w14:textId="77777777" w:rsidR="003B31DC" w:rsidRDefault="00913CBE">
      <w:pPr>
        <w:autoSpaceDE w:val="0"/>
        <w:autoSpaceDN w:val="0"/>
        <w:adjustRightInd w:val="0"/>
        <w:rPr>
          <w:rFonts w:eastAsia="Calibri"/>
          <w:sz w:val="22"/>
          <w:szCs w:val="22"/>
          <w:u w:val="single"/>
          <w:lang w:eastAsia="en-US"/>
        </w:rPr>
      </w:pPr>
      <w:proofErr w:type="spellStart"/>
      <w:r>
        <w:rPr>
          <w:rFonts w:eastAsia="Calibri"/>
          <w:sz w:val="22"/>
          <w:szCs w:val="22"/>
          <w:u w:val="single"/>
          <w:lang w:eastAsia="en-US"/>
        </w:rPr>
        <w:t>Tarpvietės</w:t>
      </w:r>
      <w:proofErr w:type="spellEnd"/>
      <w:r>
        <w:rPr>
          <w:rFonts w:eastAsia="Calibri"/>
          <w:sz w:val="22"/>
          <w:szCs w:val="22"/>
          <w:u w:val="single"/>
          <w:lang w:eastAsia="en-US"/>
        </w:rPr>
        <w:t xml:space="preserve"> </w:t>
      </w:r>
      <w:proofErr w:type="spellStart"/>
      <w:r>
        <w:rPr>
          <w:rFonts w:eastAsia="Calibri"/>
          <w:sz w:val="22"/>
          <w:szCs w:val="22"/>
          <w:u w:val="single"/>
          <w:lang w:eastAsia="en-US"/>
        </w:rPr>
        <w:t>nekrozuojantis</w:t>
      </w:r>
      <w:proofErr w:type="spellEnd"/>
      <w:r>
        <w:rPr>
          <w:rFonts w:eastAsia="Calibri"/>
          <w:sz w:val="22"/>
          <w:szCs w:val="22"/>
          <w:u w:val="single"/>
          <w:lang w:eastAsia="en-US"/>
        </w:rPr>
        <w:t xml:space="preserve"> </w:t>
      </w:r>
      <w:proofErr w:type="spellStart"/>
      <w:r>
        <w:rPr>
          <w:rFonts w:eastAsia="Calibri"/>
          <w:sz w:val="22"/>
          <w:szCs w:val="22"/>
          <w:u w:val="single"/>
          <w:lang w:eastAsia="en-US"/>
        </w:rPr>
        <w:t>fascitas</w:t>
      </w:r>
      <w:proofErr w:type="spellEnd"/>
      <w:r>
        <w:rPr>
          <w:rFonts w:eastAsia="Calibri"/>
          <w:sz w:val="22"/>
          <w:szCs w:val="22"/>
          <w:u w:val="single"/>
          <w:lang w:eastAsia="en-US"/>
        </w:rPr>
        <w:t xml:space="preserve"> (</w:t>
      </w:r>
      <w:proofErr w:type="spellStart"/>
      <w:r>
        <w:rPr>
          <w:rFonts w:eastAsia="Calibri"/>
          <w:sz w:val="22"/>
          <w:szCs w:val="22"/>
          <w:u w:val="single"/>
          <w:lang w:eastAsia="en-US"/>
        </w:rPr>
        <w:t>Furnjė</w:t>
      </w:r>
      <w:proofErr w:type="spellEnd"/>
      <w:r>
        <w:rPr>
          <w:rFonts w:eastAsia="Calibri"/>
          <w:sz w:val="22"/>
          <w:szCs w:val="22"/>
          <w:u w:val="single"/>
          <w:lang w:eastAsia="en-US"/>
        </w:rPr>
        <w:t xml:space="preserve"> gangrena)</w:t>
      </w:r>
    </w:p>
    <w:p w14:paraId="42873412" w14:textId="0C0B4B90" w:rsidR="003B31DC" w:rsidRDefault="00913CBE">
      <w:pPr>
        <w:autoSpaceDE w:val="0"/>
        <w:autoSpaceDN w:val="0"/>
        <w:adjustRightInd w:val="0"/>
        <w:rPr>
          <w:rFonts w:eastAsia="Calibri"/>
          <w:sz w:val="22"/>
          <w:szCs w:val="22"/>
          <w:lang w:eastAsia="en-US"/>
        </w:rPr>
      </w:pPr>
      <w:r>
        <w:rPr>
          <w:rFonts w:eastAsia="Calibri"/>
          <w:sz w:val="22"/>
          <w:szCs w:val="22"/>
          <w:lang w:eastAsia="en-US"/>
        </w:rPr>
        <w:t xml:space="preserve">Gauta pranešimų apie SGLT2 inhibitorius, įskaitant </w:t>
      </w:r>
      <w:proofErr w:type="spellStart"/>
      <w:r>
        <w:rPr>
          <w:rFonts w:eastAsia="Calibri"/>
          <w:sz w:val="22"/>
          <w:szCs w:val="22"/>
          <w:lang w:eastAsia="en-US"/>
        </w:rPr>
        <w:t>empaglifloziną</w:t>
      </w:r>
      <w:proofErr w:type="spellEnd"/>
      <w:r>
        <w:rPr>
          <w:rFonts w:eastAsia="Calibri"/>
          <w:sz w:val="22"/>
          <w:szCs w:val="22"/>
          <w:lang w:eastAsia="en-US"/>
        </w:rPr>
        <w:t xml:space="preserve">, vartojančioms moterims ir vyrams nustatyto </w:t>
      </w:r>
      <w:proofErr w:type="spellStart"/>
      <w:r>
        <w:rPr>
          <w:rFonts w:eastAsia="Calibri"/>
          <w:sz w:val="22"/>
          <w:szCs w:val="22"/>
          <w:lang w:eastAsia="en-US"/>
        </w:rPr>
        <w:t>tarpvietės</w:t>
      </w:r>
      <w:proofErr w:type="spellEnd"/>
      <w:r>
        <w:rPr>
          <w:rFonts w:eastAsia="Calibri"/>
          <w:sz w:val="22"/>
          <w:szCs w:val="22"/>
          <w:lang w:eastAsia="en-US"/>
        </w:rPr>
        <w:t xml:space="preserve"> </w:t>
      </w:r>
      <w:proofErr w:type="spellStart"/>
      <w:r>
        <w:rPr>
          <w:rFonts w:eastAsia="Calibri"/>
          <w:sz w:val="22"/>
          <w:szCs w:val="22"/>
          <w:lang w:eastAsia="en-US"/>
        </w:rPr>
        <w:t>nekrozuojančio</w:t>
      </w:r>
      <w:proofErr w:type="spellEnd"/>
      <w:r>
        <w:rPr>
          <w:rFonts w:eastAsia="Calibri"/>
          <w:sz w:val="22"/>
          <w:szCs w:val="22"/>
          <w:lang w:eastAsia="en-US"/>
        </w:rPr>
        <w:t xml:space="preserve"> </w:t>
      </w:r>
      <w:proofErr w:type="spellStart"/>
      <w:r>
        <w:rPr>
          <w:rFonts w:eastAsia="Calibri"/>
          <w:sz w:val="22"/>
          <w:szCs w:val="22"/>
          <w:lang w:eastAsia="en-US"/>
        </w:rPr>
        <w:t>fascito</w:t>
      </w:r>
      <w:proofErr w:type="spellEnd"/>
      <w:r>
        <w:rPr>
          <w:rFonts w:eastAsia="Calibri"/>
          <w:sz w:val="22"/>
          <w:szCs w:val="22"/>
          <w:lang w:eastAsia="en-US"/>
        </w:rPr>
        <w:t xml:space="preserve"> (dar vadinamo </w:t>
      </w:r>
      <w:proofErr w:type="spellStart"/>
      <w:r>
        <w:rPr>
          <w:rFonts w:eastAsia="Calibri"/>
          <w:sz w:val="22"/>
          <w:szCs w:val="22"/>
          <w:lang w:eastAsia="en-US"/>
        </w:rPr>
        <w:t>Furnjė</w:t>
      </w:r>
      <w:proofErr w:type="spellEnd"/>
      <w:r>
        <w:rPr>
          <w:rFonts w:eastAsia="Calibri"/>
          <w:sz w:val="22"/>
          <w:szCs w:val="22"/>
          <w:lang w:eastAsia="en-US"/>
        </w:rPr>
        <w:t xml:space="preserve"> (angl. </w:t>
      </w:r>
      <w:proofErr w:type="spellStart"/>
      <w:r>
        <w:rPr>
          <w:rFonts w:eastAsia="Calibri"/>
          <w:sz w:val="22"/>
          <w:szCs w:val="22"/>
          <w:lang w:eastAsia="en-US"/>
        </w:rPr>
        <w:t>Fournier</w:t>
      </w:r>
      <w:proofErr w:type="spellEnd"/>
      <w:r>
        <w:rPr>
          <w:rFonts w:eastAsia="Calibri"/>
          <w:sz w:val="22"/>
          <w:szCs w:val="22"/>
          <w:lang w:eastAsia="en-US"/>
        </w:rPr>
        <w:t xml:space="preserve">) gangrena) atvejus. Tai yra retas, bet </w:t>
      </w:r>
      <w:r w:rsidR="00B42ED4">
        <w:rPr>
          <w:rFonts w:eastAsia="Calibri"/>
          <w:sz w:val="22"/>
          <w:szCs w:val="22"/>
          <w:lang w:eastAsia="en-US"/>
        </w:rPr>
        <w:t>sunkus ir potencialiai</w:t>
      </w:r>
      <w:r w:rsidR="008D5B7B">
        <w:rPr>
          <w:rFonts w:eastAsia="Calibri"/>
          <w:sz w:val="22"/>
          <w:szCs w:val="22"/>
          <w:lang w:eastAsia="en-US"/>
        </w:rPr>
        <w:t xml:space="preserve"> </w:t>
      </w:r>
      <w:r>
        <w:rPr>
          <w:rFonts w:eastAsia="Calibri"/>
          <w:sz w:val="22"/>
          <w:szCs w:val="22"/>
          <w:lang w:eastAsia="en-US"/>
        </w:rPr>
        <w:t xml:space="preserve"> gyvybei </w:t>
      </w:r>
      <w:r w:rsidR="008D5B7B">
        <w:rPr>
          <w:rFonts w:eastAsia="Calibri"/>
          <w:sz w:val="22"/>
          <w:szCs w:val="22"/>
          <w:lang w:eastAsia="en-US"/>
        </w:rPr>
        <w:t>pavojingas</w:t>
      </w:r>
      <w:r>
        <w:rPr>
          <w:rFonts w:eastAsia="Calibri"/>
          <w:sz w:val="22"/>
          <w:szCs w:val="22"/>
          <w:lang w:eastAsia="en-US"/>
        </w:rPr>
        <w:t xml:space="preserve"> reiškinys, kuriam pasireiškus būtin</w:t>
      </w:r>
      <w:r w:rsidR="0074005E">
        <w:rPr>
          <w:rFonts w:eastAsia="Calibri"/>
          <w:sz w:val="22"/>
          <w:szCs w:val="22"/>
          <w:lang w:eastAsia="en-US"/>
        </w:rPr>
        <w:t>os</w:t>
      </w:r>
      <w:r>
        <w:rPr>
          <w:rFonts w:eastAsia="Calibri"/>
          <w:sz w:val="22"/>
          <w:szCs w:val="22"/>
          <w:lang w:eastAsia="en-US"/>
        </w:rPr>
        <w:t xml:space="preserve"> skubi</w:t>
      </w:r>
      <w:r w:rsidR="0074005E">
        <w:rPr>
          <w:rFonts w:eastAsia="Calibri"/>
          <w:sz w:val="22"/>
          <w:szCs w:val="22"/>
          <w:lang w:eastAsia="en-US"/>
        </w:rPr>
        <w:t>os</w:t>
      </w:r>
      <w:r>
        <w:rPr>
          <w:rFonts w:eastAsia="Calibri"/>
          <w:sz w:val="22"/>
          <w:szCs w:val="22"/>
          <w:lang w:eastAsia="en-US"/>
        </w:rPr>
        <w:t xml:space="preserve"> chirurgin</w:t>
      </w:r>
      <w:r w:rsidR="0074005E">
        <w:rPr>
          <w:rFonts w:eastAsia="Calibri"/>
          <w:sz w:val="22"/>
          <w:szCs w:val="22"/>
          <w:lang w:eastAsia="en-US"/>
        </w:rPr>
        <w:t>ės</w:t>
      </w:r>
      <w:r>
        <w:rPr>
          <w:rFonts w:eastAsia="Calibri"/>
          <w:sz w:val="22"/>
          <w:szCs w:val="22"/>
          <w:lang w:eastAsia="en-US"/>
        </w:rPr>
        <w:t xml:space="preserve"> intervenci</w:t>
      </w:r>
      <w:r w:rsidR="0074005E">
        <w:rPr>
          <w:rFonts w:eastAsia="Calibri"/>
          <w:sz w:val="22"/>
          <w:szCs w:val="22"/>
          <w:lang w:eastAsia="en-US"/>
        </w:rPr>
        <w:t>jos</w:t>
      </w:r>
      <w:r>
        <w:rPr>
          <w:rFonts w:eastAsia="Calibri"/>
          <w:sz w:val="22"/>
          <w:szCs w:val="22"/>
          <w:lang w:eastAsia="en-US"/>
        </w:rPr>
        <w:t xml:space="preserve"> ir gydym</w:t>
      </w:r>
      <w:r w:rsidR="00B5625D">
        <w:rPr>
          <w:rFonts w:eastAsia="Calibri"/>
          <w:sz w:val="22"/>
          <w:szCs w:val="22"/>
          <w:lang w:eastAsia="en-US"/>
        </w:rPr>
        <w:t>as</w:t>
      </w:r>
      <w:r>
        <w:rPr>
          <w:rFonts w:eastAsia="Calibri"/>
          <w:sz w:val="22"/>
          <w:szCs w:val="22"/>
          <w:lang w:eastAsia="en-US"/>
        </w:rPr>
        <w:t xml:space="preserve"> antibiotikais.</w:t>
      </w:r>
    </w:p>
    <w:p w14:paraId="57E56FC7" w14:textId="77777777" w:rsidR="003B31DC" w:rsidRDefault="003B31DC">
      <w:pPr>
        <w:autoSpaceDE w:val="0"/>
        <w:autoSpaceDN w:val="0"/>
        <w:adjustRightInd w:val="0"/>
        <w:rPr>
          <w:rFonts w:eastAsia="Calibri"/>
          <w:sz w:val="22"/>
          <w:szCs w:val="22"/>
          <w:lang w:eastAsia="en-US"/>
        </w:rPr>
      </w:pPr>
    </w:p>
    <w:p w14:paraId="17FE0BF3" w14:textId="4C4C9BE6" w:rsidR="003B31DC" w:rsidRDefault="00B962A0">
      <w:pPr>
        <w:autoSpaceDE w:val="0"/>
        <w:autoSpaceDN w:val="0"/>
        <w:adjustRightInd w:val="0"/>
        <w:rPr>
          <w:rFonts w:eastAsia="Calibri"/>
          <w:sz w:val="22"/>
          <w:szCs w:val="22"/>
          <w:lang w:eastAsia="en-US"/>
        </w:rPr>
      </w:pPr>
      <w:r w:rsidRPr="00B962A0">
        <w:t xml:space="preserve"> </w:t>
      </w:r>
      <w:r w:rsidRPr="00FA2F7A">
        <w:rPr>
          <w:sz w:val="22"/>
          <w:szCs w:val="22"/>
        </w:rPr>
        <w:t xml:space="preserve">Pacientams reikia patarti kreiptis į gydytoją, jei jiems pasireiškia tokie simptomai kaip skausmas, jautrumas, </w:t>
      </w:r>
      <w:proofErr w:type="spellStart"/>
      <w:r w:rsidRPr="00FA2F7A">
        <w:rPr>
          <w:sz w:val="22"/>
          <w:szCs w:val="22"/>
        </w:rPr>
        <w:t>eritema</w:t>
      </w:r>
      <w:proofErr w:type="spellEnd"/>
      <w:r w:rsidRPr="00FA2F7A">
        <w:rPr>
          <w:sz w:val="22"/>
          <w:szCs w:val="22"/>
        </w:rPr>
        <w:t xml:space="preserve"> arba patinimas lytinių organų ar </w:t>
      </w:r>
      <w:proofErr w:type="spellStart"/>
      <w:r w:rsidRPr="00FA2F7A">
        <w:rPr>
          <w:sz w:val="22"/>
          <w:szCs w:val="22"/>
        </w:rPr>
        <w:t>tarpvietės</w:t>
      </w:r>
      <w:proofErr w:type="spellEnd"/>
      <w:r w:rsidRPr="00FA2F7A">
        <w:rPr>
          <w:sz w:val="22"/>
          <w:szCs w:val="22"/>
        </w:rPr>
        <w:t xml:space="preserve"> srityje, kartu su karščiavimu ar negalavimu</w:t>
      </w:r>
      <w:r w:rsidR="00913CBE" w:rsidRPr="00B962A0">
        <w:rPr>
          <w:rFonts w:eastAsia="Calibri"/>
          <w:sz w:val="22"/>
          <w:szCs w:val="22"/>
          <w:lang w:eastAsia="en-US"/>
        </w:rPr>
        <w:t>.</w:t>
      </w:r>
      <w:r w:rsidR="00913CBE">
        <w:rPr>
          <w:rFonts w:eastAsia="Calibri"/>
          <w:sz w:val="22"/>
          <w:szCs w:val="22"/>
          <w:lang w:eastAsia="en-US"/>
        </w:rPr>
        <w:t xml:space="preserve"> </w:t>
      </w:r>
      <w:r w:rsidR="005774F8">
        <w:rPr>
          <w:rFonts w:eastAsia="Calibri"/>
          <w:sz w:val="22"/>
          <w:szCs w:val="22"/>
          <w:lang w:eastAsia="en-US"/>
        </w:rPr>
        <w:t>Būtina atkreipti dėmesį</w:t>
      </w:r>
      <w:r w:rsidR="00913CBE">
        <w:rPr>
          <w:rFonts w:eastAsia="Calibri"/>
          <w:sz w:val="22"/>
          <w:szCs w:val="22"/>
          <w:lang w:eastAsia="en-US"/>
        </w:rPr>
        <w:t xml:space="preserve">, kad </w:t>
      </w:r>
      <w:proofErr w:type="spellStart"/>
      <w:r w:rsidR="00913CBE">
        <w:rPr>
          <w:rFonts w:eastAsia="Calibri"/>
          <w:sz w:val="22"/>
          <w:szCs w:val="22"/>
          <w:lang w:eastAsia="en-US"/>
        </w:rPr>
        <w:t>nekrozuojantis</w:t>
      </w:r>
      <w:proofErr w:type="spellEnd"/>
      <w:r w:rsidR="00913CBE">
        <w:rPr>
          <w:rFonts w:eastAsia="Calibri"/>
          <w:sz w:val="22"/>
          <w:szCs w:val="22"/>
          <w:lang w:eastAsia="en-US"/>
        </w:rPr>
        <w:t xml:space="preserve"> </w:t>
      </w:r>
      <w:proofErr w:type="spellStart"/>
      <w:r w:rsidR="00913CBE">
        <w:rPr>
          <w:rFonts w:eastAsia="Calibri"/>
          <w:sz w:val="22"/>
          <w:szCs w:val="22"/>
          <w:lang w:eastAsia="en-US"/>
        </w:rPr>
        <w:t>fascitas</w:t>
      </w:r>
      <w:proofErr w:type="spellEnd"/>
      <w:r w:rsidR="00913CBE">
        <w:rPr>
          <w:rFonts w:eastAsia="Calibri"/>
          <w:sz w:val="22"/>
          <w:szCs w:val="22"/>
          <w:lang w:eastAsia="en-US"/>
        </w:rPr>
        <w:t xml:space="preserve"> gali išsivystyti po </w:t>
      </w:r>
      <w:proofErr w:type="spellStart"/>
      <w:r w:rsidR="00913CBE">
        <w:rPr>
          <w:rFonts w:eastAsia="Calibri"/>
          <w:sz w:val="22"/>
          <w:szCs w:val="22"/>
          <w:lang w:eastAsia="en-US"/>
        </w:rPr>
        <w:t>urogenitalinės</w:t>
      </w:r>
      <w:proofErr w:type="spellEnd"/>
      <w:r w:rsidR="00913CBE">
        <w:rPr>
          <w:rFonts w:eastAsia="Calibri"/>
          <w:sz w:val="22"/>
          <w:szCs w:val="22"/>
          <w:lang w:eastAsia="en-US"/>
        </w:rPr>
        <w:t xml:space="preserve"> infekcijos arba susiformavus </w:t>
      </w:r>
      <w:proofErr w:type="spellStart"/>
      <w:r w:rsidR="00913CBE">
        <w:rPr>
          <w:rFonts w:eastAsia="Calibri"/>
          <w:sz w:val="22"/>
          <w:szCs w:val="22"/>
          <w:lang w:eastAsia="en-US"/>
        </w:rPr>
        <w:t>abscesui</w:t>
      </w:r>
      <w:proofErr w:type="spellEnd"/>
      <w:r w:rsidR="00913CBE">
        <w:rPr>
          <w:rFonts w:eastAsia="Calibri"/>
          <w:sz w:val="22"/>
          <w:szCs w:val="22"/>
          <w:lang w:eastAsia="en-US"/>
        </w:rPr>
        <w:t xml:space="preserve"> </w:t>
      </w:r>
      <w:proofErr w:type="spellStart"/>
      <w:r w:rsidR="00913CBE">
        <w:rPr>
          <w:rFonts w:eastAsia="Calibri"/>
          <w:sz w:val="22"/>
          <w:szCs w:val="22"/>
          <w:lang w:eastAsia="en-US"/>
        </w:rPr>
        <w:t>tarpvietės</w:t>
      </w:r>
      <w:proofErr w:type="spellEnd"/>
      <w:r w:rsidR="00913CBE">
        <w:rPr>
          <w:rFonts w:eastAsia="Calibri"/>
          <w:sz w:val="22"/>
          <w:szCs w:val="22"/>
          <w:lang w:eastAsia="en-US"/>
        </w:rPr>
        <w:t xml:space="preserve"> srityje. Įtarus </w:t>
      </w:r>
      <w:proofErr w:type="spellStart"/>
      <w:r w:rsidR="00913CBE">
        <w:rPr>
          <w:rFonts w:eastAsia="Calibri"/>
          <w:sz w:val="22"/>
          <w:szCs w:val="22"/>
          <w:lang w:eastAsia="en-US"/>
        </w:rPr>
        <w:t>Furnjė</w:t>
      </w:r>
      <w:proofErr w:type="spellEnd"/>
      <w:r w:rsidR="00913CBE">
        <w:rPr>
          <w:rFonts w:eastAsia="Calibri"/>
          <w:sz w:val="22"/>
          <w:szCs w:val="22"/>
          <w:lang w:eastAsia="en-US"/>
        </w:rPr>
        <w:t xml:space="preserve"> gangreną, reikėtų nutraukti gydymą </w:t>
      </w:r>
      <w:proofErr w:type="spellStart"/>
      <w:r w:rsidR="00913CBE">
        <w:rPr>
          <w:rFonts w:eastAsia="Calibri"/>
          <w:sz w:val="22"/>
          <w:szCs w:val="22"/>
          <w:lang w:eastAsia="en-US"/>
        </w:rPr>
        <w:t>Mempoglyn</w:t>
      </w:r>
      <w:proofErr w:type="spellEnd"/>
      <w:r w:rsidR="00913CBE">
        <w:rPr>
          <w:rFonts w:eastAsia="Calibri"/>
          <w:sz w:val="22"/>
          <w:szCs w:val="22"/>
          <w:lang w:eastAsia="en-US"/>
        </w:rPr>
        <w:t xml:space="preserve"> ir kuo skubiau pradėti gydymą (įskaitant gydymą antibiotikais ir </w:t>
      </w:r>
      <w:r w:rsidR="008B2517">
        <w:rPr>
          <w:rFonts w:eastAsia="Calibri"/>
          <w:sz w:val="22"/>
          <w:szCs w:val="22"/>
          <w:lang w:eastAsia="en-US"/>
        </w:rPr>
        <w:t>chirurgines intervencijas</w:t>
      </w:r>
      <w:r w:rsidR="00913CBE">
        <w:rPr>
          <w:rFonts w:eastAsia="Calibri"/>
          <w:sz w:val="22"/>
          <w:szCs w:val="22"/>
          <w:lang w:eastAsia="en-US"/>
        </w:rPr>
        <w:t>).</w:t>
      </w:r>
    </w:p>
    <w:p w14:paraId="081D16EA" w14:textId="77777777" w:rsidR="003B31DC" w:rsidRDefault="003B31DC">
      <w:pPr>
        <w:autoSpaceDE w:val="0"/>
        <w:autoSpaceDN w:val="0"/>
        <w:adjustRightInd w:val="0"/>
        <w:rPr>
          <w:rFonts w:eastAsia="Calibri"/>
          <w:sz w:val="22"/>
          <w:szCs w:val="22"/>
          <w:lang w:eastAsia="en-US"/>
        </w:rPr>
      </w:pPr>
    </w:p>
    <w:p w14:paraId="5F04B3DF" w14:textId="77777777" w:rsidR="003B31DC" w:rsidRDefault="00913CBE">
      <w:pPr>
        <w:autoSpaceDE w:val="0"/>
        <w:autoSpaceDN w:val="0"/>
        <w:adjustRightInd w:val="0"/>
        <w:rPr>
          <w:rFonts w:eastAsia="Calibri"/>
          <w:sz w:val="22"/>
          <w:szCs w:val="22"/>
          <w:u w:val="single"/>
          <w:lang w:eastAsia="en-US"/>
        </w:rPr>
      </w:pPr>
      <w:r>
        <w:rPr>
          <w:rFonts w:eastAsia="Calibri"/>
          <w:sz w:val="22"/>
          <w:szCs w:val="22"/>
          <w:u w:val="single"/>
          <w:lang w:eastAsia="en-US"/>
        </w:rPr>
        <w:t>Apatinių galūnių amputacijos</w:t>
      </w:r>
    </w:p>
    <w:p w14:paraId="527559F0" w14:textId="50CB76E4" w:rsidR="003B31DC" w:rsidRDefault="00913CBE">
      <w:pPr>
        <w:autoSpaceDE w:val="0"/>
        <w:autoSpaceDN w:val="0"/>
        <w:adjustRightInd w:val="0"/>
        <w:rPr>
          <w:rFonts w:eastAsia="Calibri"/>
          <w:sz w:val="22"/>
          <w:szCs w:val="22"/>
          <w:lang w:eastAsia="en-US"/>
        </w:rPr>
      </w:pPr>
      <w:r>
        <w:rPr>
          <w:rFonts w:eastAsia="Calibri"/>
          <w:sz w:val="22"/>
          <w:szCs w:val="22"/>
          <w:lang w:eastAsia="en-US"/>
        </w:rPr>
        <w:t xml:space="preserve">Ilgalaikių klinikinių tyrimų </w:t>
      </w:r>
      <w:r w:rsidR="009F6D0F">
        <w:rPr>
          <w:rFonts w:eastAsia="Calibri"/>
          <w:sz w:val="22"/>
          <w:szCs w:val="22"/>
          <w:lang w:eastAsia="en-US"/>
        </w:rPr>
        <w:t xml:space="preserve">metu </w:t>
      </w:r>
      <w:r>
        <w:rPr>
          <w:rFonts w:eastAsia="Calibri"/>
          <w:sz w:val="22"/>
          <w:szCs w:val="22"/>
          <w:lang w:eastAsia="en-US"/>
        </w:rPr>
        <w:t>su kitais SGLT2 inhibitoriais stebėtas apatinių galūnių amputacij</w:t>
      </w:r>
      <w:r w:rsidR="00923BB0">
        <w:rPr>
          <w:rFonts w:eastAsia="Calibri"/>
          <w:sz w:val="22"/>
          <w:szCs w:val="22"/>
          <w:lang w:eastAsia="en-US"/>
        </w:rPr>
        <w:t>os</w:t>
      </w:r>
      <w:r>
        <w:rPr>
          <w:rFonts w:eastAsia="Calibri"/>
          <w:sz w:val="22"/>
          <w:szCs w:val="22"/>
          <w:lang w:eastAsia="en-US"/>
        </w:rPr>
        <w:t xml:space="preserve"> (daugiausia kojų pirštų) </w:t>
      </w:r>
      <w:r w:rsidR="009F6D0F">
        <w:rPr>
          <w:rFonts w:eastAsia="Calibri"/>
          <w:sz w:val="22"/>
          <w:szCs w:val="22"/>
          <w:lang w:eastAsia="en-US"/>
        </w:rPr>
        <w:t xml:space="preserve">atvejų padažnėjimas </w:t>
      </w:r>
      <w:r>
        <w:rPr>
          <w:rFonts w:eastAsia="Calibri"/>
          <w:sz w:val="22"/>
          <w:szCs w:val="22"/>
          <w:lang w:eastAsia="en-US"/>
        </w:rPr>
        <w:t xml:space="preserve">. Nežinoma, ar tai yra </w:t>
      </w:r>
      <w:r w:rsidR="003B24F4">
        <w:rPr>
          <w:rFonts w:eastAsia="Calibri"/>
          <w:sz w:val="22"/>
          <w:szCs w:val="22"/>
          <w:lang w:eastAsia="en-US"/>
        </w:rPr>
        <w:t xml:space="preserve">šios </w:t>
      </w:r>
      <w:r>
        <w:rPr>
          <w:rFonts w:eastAsia="Calibri"/>
          <w:sz w:val="22"/>
          <w:szCs w:val="22"/>
          <w:lang w:eastAsia="en-US"/>
        </w:rPr>
        <w:t xml:space="preserve">vaistų klasės poveikis. Kaip ir visiems </w:t>
      </w:r>
      <w:r w:rsidR="003B24F4">
        <w:rPr>
          <w:rFonts w:eastAsia="Calibri"/>
          <w:sz w:val="22"/>
          <w:szCs w:val="22"/>
          <w:lang w:eastAsia="en-US"/>
        </w:rPr>
        <w:t xml:space="preserve">cukriniu </w:t>
      </w:r>
      <w:r>
        <w:rPr>
          <w:rFonts w:eastAsia="Calibri"/>
          <w:sz w:val="22"/>
          <w:szCs w:val="22"/>
          <w:lang w:eastAsia="en-US"/>
        </w:rPr>
        <w:t xml:space="preserve">diabetu sergantiems pacientams, svarbu </w:t>
      </w:r>
      <w:r w:rsidR="007B50B1">
        <w:rPr>
          <w:rFonts w:eastAsia="Calibri"/>
          <w:sz w:val="22"/>
          <w:szCs w:val="22"/>
          <w:lang w:eastAsia="en-US"/>
        </w:rPr>
        <w:t>konsultuoti</w:t>
      </w:r>
      <w:r w:rsidR="004A7C06">
        <w:rPr>
          <w:rFonts w:eastAsia="Calibri"/>
          <w:sz w:val="22"/>
          <w:szCs w:val="22"/>
          <w:lang w:eastAsia="en-US"/>
        </w:rPr>
        <w:t xml:space="preserve"> </w:t>
      </w:r>
      <w:r w:rsidR="00A05D91" w:rsidRPr="00A05D91">
        <w:rPr>
          <w:rFonts w:eastAsia="Calibri"/>
          <w:sz w:val="22"/>
          <w:szCs w:val="22"/>
          <w:lang w:eastAsia="en-US"/>
        </w:rPr>
        <w:t xml:space="preserve">apie </w:t>
      </w:r>
      <w:r w:rsidR="00A05D91" w:rsidRPr="00FA2F7A">
        <w:rPr>
          <w:sz w:val="22"/>
          <w:szCs w:val="22"/>
        </w:rPr>
        <w:t>rutininę profilaktinę pėdų priežiūrą</w:t>
      </w:r>
      <w:r>
        <w:rPr>
          <w:rFonts w:eastAsia="Calibri"/>
          <w:sz w:val="22"/>
          <w:szCs w:val="22"/>
          <w:lang w:eastAsia="en-US"/>
        </w:rPr>
        <w:t>.</w:t>
      </w:r>
    </w:p>
    <w:p w14:paraId="7B08238D" w14:textId="77777777" w:rsidR="003B31DC" w:rsidRDefault="003B31DC">
      <w:pPr>
        <w:autoSpaceDE w:val="0"/>
        <w:autoSpaceDN w:val="0"/>
        <w:adjustRightInd w:val="0"/>
        <w:rPr>
          <w:rFonts w:eastAsia="Calibri"/>
          <w:sz w:val="22"/>
          <w:szCs w:val="22"/>
          <w:lang w:eastAsia="en-US"/>
        </w:rPr>
      </w:pPr>
    </w:p>
    <w:p w14:paraId="0248D07D" w14:textId="77777777" w:rsidR="003B31DC" w:rsidRDefault="00913CBE">
      <w:pPr>
        <w:autoSpaceDE w:val="0"/>
        <w:autoSpaceDN w:val="0"/>
        <w:adjustRightInd w:val="0"/>
        <w:rPr>
          <w:rFonts w:eastAsia="Calibri"/>
          <w:sz w:val="22"/>
          <w:szCs w:val="22"/>
          <w:u w:val="single"/>
          <w:lang w:eastAsia="en-US"/>
        </w:rPr>
      </w:pPr>
      <w:r>
        <w:rPr>
          <w:rFonts w:eastAsia="Calibri"/>
          <w:sz w:val="22"/>
          <w:szCs w:val="22"/>
          <w:u w:val="single"/>
          <w:lang w:eastAsia="en-US"/>
        </w:rPr>
        <w:t>Kepenų pažeidimas</w:t>
      </w:r>
    </w:p>
    <w:p w14:paraId="3E72ED0E" w14:textId="27AD54E7" w:rsidR="003B31DC" w:rsidRDefault="00913CBE">
      <w:pPr>
        <w:autoSpaceDE w:val="0"/>
        <w:autoSpaceDN w:val="0"/>
        <w:adjustRightInd w:val="0"/>
        <w:rPr>
          <w:rFonts w:eastAsia="Calibri"/>
          <w:sz w:val="22"/>
          <w:szCs w:val="22"/>
          <w:lang w:eastAsia="en-US"/>
        </w:rPr>
      </w:pPr>
      <w:r>
        <w:rPr>
          <w:rFonts w:eastAsia="Calibri"/>
          <w:sz w:val="22"/>
          <w:szCs w:val="22"/>
          <w:lang w:eastAsia="en-US"/>
        </w:rPr>
        <w:t xml:space="preserve">Klinikinių tyrimų metu </w:t>
      </w:r>
      <w:r w:rsidR="00161718">
        <w:rPr>
          <w:rFonts w:eastAsia="Calibri"/>
          <w:sz w:val="22"/>
          <w:szCs w:val="22"/>
          <w:lang w:eastAsia="en-US"/>
        </w:rPr>
        <w:t xml:space="preserve">gauta pranešimų apie </w:t>
      </w:r>
      <w:proofErr w:type="spellStart"/>
      <w:r>
        <w:rPr>
          <w:rFonts w:eastAsia="Calibri"/>
          <w:sz w:val="22"/>
          <w:szCs w:val="22"/>
          <w:lang w:eastAsia="en-US"/>
        </w:rPr>
        <w:t>empagliflozino</w:t>
      </w:r>
      <w:proofErr w:type="spellEnd"/>
      <w:r>
        <w:rPr>
          <w:rFonts w:eastAsia="Calibri"/>
          <w:sz w:val="22"/>
          <w:szCs w:val="22"/>
          <w:lang w:eastAsia="en-US"/>
        </w:rPr>
        <w:t xml:space="preserve"> sukeliamo kepenų pažeidimo atvej</w:t>
      </w:r>
      <w:r w:rsidR="00161718">
        <w:rPr>
          <w:rFonts w:eastAsia="Calibri"/>
          <w:sz w:val="22"/>
          <w:szCs w:val="22"/>
          <w:lang w:eastAsia="en-US"/>
        </w:rPr>
        <w:t>us</w:t>
      </w:r>
      <w:r>
        <w:rPr>
          <w:rFonts w:eastAsia="Calibri"/>
          <w:sz w:val="22"/>
          <w:szCs w:val="22"/>
          <w:lang w:eastAsia="en-US"/>
        </w:rPr>
        <w:t xml:space="preserve">. Priežastinis ryšys tarp </w:t>
      </w:r>
      <w:proofErr w:type="spellStart"/>
      <w:r>
        <w:rPr>
          <w:rFonts w:eastAsia="Calibri"/>
          <w:sz w:val="22"/>
          <w:szCs w:val="22"/>
          <w:lang w:eastAsia="en-US"/>
        </w:rPr>
        <w:t>empagliflozino</w:t>
      </w:r>
      <w:proofErr w:type="spellEnd"/>
      <w:r>
        <w:rPr>
          <w:rFonts w:eastAsia="Calibri"/>
          <w:sz w:val="22"/>
          <w:szCs w:val="22"/>
          <w:lang w:eastAsia="en-US"/>
        </w:rPr>
        <w:t xml:space="preserve"> ir kepenų pažeidimo nebuvo nustatytas.</w:t>
      </w:r>
    </w:p>
    <w:p w14:paraId="59FCFAEB" w14:textId="77777777" w:rsidR="003B31DC" w:rsidRDefault="003B31DC">
      <w:pPr>
        <w:autoSpaceDE w:val="0"/>
        <w:autoSpaceDN w:val="0"/>
        <w:adjustRightInd w:val="0"/>
        <w:rPr>
          <w:rFonts w:eastAsia="Calibri"/>
          <w:sz w:val="22"/>
          <w:szCs w:val="22"/>
          <w:lang w:eastAsia="en-US"/>
        </w:rPr>
      </w:pPr>
    </w:p>
    <w:p w14:paraId="5932E921" w14:textId="77777777" w:rsidR="003B31DC" w:rsidRDefault="00913CBE">
      <w:pPr>
        <w:autoSpaceDE w:val="0"/>
        <w:autoSpaceDN w:val="0"/>
        <w:adjustRightInd w:val="0"/>
        <w:rPr>
          <w:rFonts w:eastAsia="Calibri"/>
          <w:sz w:val="22"/>
          <w:szCs w:val="22"/>
          <w:u w:val="single"/>
          <w:lang w:eastAsia="en-US"/>
        </w:rPr>
      </w:pPr>
      <w:r>
        <w:rPr>
          <w:rFonts w:eastAsia="Calibri"/>
          <w:sz w:val="22"/>
          <w:szCs w:val="22"/>
          <w:u w:val="single"/>
          <w:lang w:eastAsia="en-US"/>
        </w:rPr>
        <w:t xml:space="preserve">Padidėjęs </w:t>
      </w:r>
      <w:proofErr w:type="spellStart"/>
      <w:r>
        <w:rPr>
          <w:rFonts w:eastAsia="Calibri"/>
          <w:sz w:val="22"/>
          <w:szCs w:val="22"/>
          <w:u w:val="single"/>
          <w:lang w:eastAsia="en-US"/>
        </w:rPr>
        <w:t>hematokritas</w:t>
      </w:r>
      <w:proofErr w:type="spellEnd"/>
    </w:p>
    <w:p w14:paraId="11267613" w14:textId="3F9EFAC9" w:rsidR="003B31DC" w:rsidRDefault="00913CBE">
      <w:pPr>
        <w:autoSpaceDE w:val="0"/>
        <w:autoSpaceDN w:val="0"/>
        <w:adjustRightInd w:val="0"/>
        <w:rPr>
          <w:rFonts w:eastAsia="Calibri"/>
          <w:sz w:val="22"/>
          <w:szCs w:val="22"/>
          <w:lang w:eastAsia="en-US"/>
        </w:rPr>
      </w:pPr>
      <w:r>
        <w:rPr>
          <w:rFonts w:eastAsia="Calibri"/>
          <w:sz w:val="22"/>
          <w:szCs w:val="22"/>
          <w:lang w:eastAsia="en-US"/>
        </w:rPr>
        <w:t xml:space="preserve">Gydant </w:t>
      </w:r>
      <w:proofErr w:type="spellStart"/>
      <w:r>
        <w:rPr>
          <w:rFonts w:eastAsia="Calibri"/>
          <w:sz w:val="22"/>
          <w:szCs w:val="22"/>
          <w:lang w:eastAsia="en-US"/>
        </w:rPr>
        <w:t>empagliflozinu</w:t>
      </w:r>
      <w:proofErr w:type="spellEnd"/>
      <w:r>
        <w:rPr>
          <w:rFonts w:eastAsia="Calibri"/>
          <w:sz w:val="22"/>
          <w:szCs w:val="22"/>
          <w:lang w:eastAsia="en-US"/>
        </w:rPr>
        <w:t xml:space="preserve"> </w:t>
      </w:r>
      <w:r w:rsidR="0051097D">
        <w:rPr>
          <w:rFonts w:eastAsia="Calibri"/>
          <w:sz w:val="22"/>
          <w:szCs w:val="22"/>
          <w:lang w:eastAsia="en-US"/>
        </w:rPr>
        <w:t xml:space="preserve">metu </w:t>
      </w:r>
      <w:r>
        <w:rPr>
          <w:rFonts w:eastAsia="Calibri"/>
          <w:sz w:val="22"/>
          <w:szCs w:val="22"/>
          <w:lang w:eastAsia="en-US"/>
        </w:rPr>
        <w:t xml:space="preserve">pastebėtas </w:t>
      </w:r>
      <w:proofErr w:type="spellStart"/>
      <w:r>
        <w:rPr>
          <w:rFonts w:eastAsia="Calibri"/>
          <w:sz w:val="22"/>
          <w:szCs w:val="22"/>
          <w:lang w:eastAsia="en-US"/>
        </w:rPr>
        <w:t>hematokrito</w:t>
      </w:r>
      <w:proofErr w:type="spellEnd"/>
      <w:r>
        <w:rPr>
          <w:rFonts w:eastAsia="Calibri"/>
          <w:sz w:val="22"/>
          <w:szCs w:val="22"/>
          <w:lang w:eastAsia="en-US"/>
        </w:rPr>
        <w:t xml:space="preserve"> padidėjimas (žr. 4.8 skyrių). Pacientus, kurių </w:t>
      </w:r>
      <w:proofErr w:type="spellStart"/>
      <w:r>
        <w:rPr>
          <w:rFonts w:eastAsia="Calibri"/>
          <w:sz w:val="22"/>
          <w:szCs w:val="22"/>
          <w:lang w:eastAsia="en-US"/>
        </w:rPr>
        <w:t>hematokritas</w:t>
      </w:r>
      <w:proofErr w:type="spellEnd"/>
      <w:r>
        <w:rPr>
          <w:rFonts w:eastAsia="Calibri"/>
          <w:sz w:val="22"/>
          <w:szCs w:val="22"/>
          <w:lang w:eastAsia="en-US"/>
        </w:rPr>
        <w:t xml:space="preserve"> </w:t>
      </w:r>
      <w:r w:rsidR="0051097D">
        <w:rPr>
          <w:rFonts w:eastAsia="Calibri"/>
          <w:sz w:val="22"/>
          <w:szCs w:val="22"/>
          <w:lang w:eastAsia="en-US"/>
        </w:rPr>
        <w:t xml:space="preserve">labai </w:t>
      </w:r>
      <w:r>
        <w:rPr>
          <w:rFonts w:eastAsia="Calibri"/>
          <w:sz w:val="22"/>
          <w:szCs w:val="22"/>
          <w:lang w:eastAsia="en-US"/>
        </w:rPr>
        <w:t>padidėjęs, reikia stebėti ir ištirti, ar nėra gretutinės hematologinės ligos.</w:t>
      </w:r>
    </w:p>
    <w:p w14:paraId="0B8C7DA3" w14:textId="77777777" w:rsidR="003B31DC" w:rsidRDefault="003B31DC">
      <w:pPr>
        <w:autoSpaceDE w:val="0"/>
        <w:autoSpaceDN w:val="0"/>
        <w:adjustRightInd w:val="0"/>
        <w:rPr>
          <w:rFonts w:eastAsia="Calibri"/>
          <w:sz w:val="22"/>
          <w:szCs w:val="22"/>
          <w:lang w:eastAsia="en-US"/>
        </w:rPr>
      </w:pPr>
    </w:p>
    <w:p w14:paraId="27BC9BAD" w14:textId="77777777" w:rsidR="003B31DC" w:rsidRDefault="00913CBE">
      <w:pPr>
        <w:autoSpaceDE w:val="0"/>
        <w:autoSpaceDN w:val="0"/>
        <w:adjustRightInd w:val="0"/>
        <w:rPr>
          <w:rFonts w:eastAsia="Calibri"/>
          <w:sz w:val="22"/>
          <w:szCs w:val="22"/>
          <w:u w:val="single"/>
          <w:lang w:eastAsia="en-US"/>
        </w:rPr>
      </w:pPr>
      <w:r>
        <w:rPr>
          <w:rFonts w:eastAsia="Calibri"/>
          <w:sz w:val="22"/>
          <w:szCs w:val="22"/>
          <w:u w:val="single"/>
          <w:lang w:eastAsia="en-US"/>
        </w:rPr>
        <w:t>Lėtinė inkstų liga</w:t>
      </w:r>
    </w:p>
    <w:p w14:paraId="09ACFDF0" w14:textId="2FB1119E" w:rsidR="003B31DC" w:rsidRDefault="003F30AC">
      <w:pPr>
        <w:autoSpaceDE w:val="0"/>
        <w:autoSpaceDN w:val="0"/>
        <w:adjustRightInd w:val="0"/>
        <w:rPr>
          <w:rFonts w:eastAsia="Calibri"/>
          <w:sz w:val="22"/>
          <w:szCs w:val="22"/>
          <w:lang w:eastAsia="en-US"/>
        </w:rPr>
      </w:pPr>
      <w:r w:rsidRPr="00FA2F7A">
        <w:rPr>
          <w:sz w:val="22"/>
          <w:szCs w:val="22"/>
        </w:rPr>
        <w:t xml:space="preserve">Gydymo </w:t>
      </w:r>
      <w:proofErr w:type="spellStart"/>
      <w:r w:rsidRPr="00FA2F7A">
        <w:rPr>
          <w:sz w:val="22"/>
          <w:szCs w:val="22"/>
        </w:rPr>
        <w:t>empagliflozinu</w:t>
      </w:r>
      <w:proofErr w:type="spellEnd"/>
      <w:r w:rsidRPr="00FA2F7A">
        <w:rPr>
          <w:sz w:val="22"/>
          <w:szCs w:val="22"/>
        </w:rPr>
        <w:t xml:space="preserve"> patirties sukaupta gydant cukriniu diabetu sergančius pacientus, kuriems yra</w:t>
      </w:r>
      <w:r>
        <w:t xml:space="preserve"> </w:t>
      </w:r>
      <w:r w:rsidR="00913CBE">
        <w:rPr>
          <w:rFonts w:eastAsia="Calibri"/>
          <w:sz w:val="22"/>
          <w:szCs w:val="22"/>
          <w:lang w:eastAsia="en-US"/>
        </w:rPr>
        <w:t>lėtine inkstų liga (</w:t>
      </w:r>
      <w:proofErr w:type="spellStart"/>
      <w:r w:rsidR="00913CBE">
        <w:rPr>
          <w:rFonts w:eastAsia="Calibri"/>
          <w:sz w:val="22"/>
          <w:szCs w:val="22"/>
          <w:lang w:eastAsia="en-US"/>
        </w:rPr>
        <w:t>aGFG</w:t>
      </w:r>
      <w:proofErr w:type="spellEnd"/>
      <w:r w:rsidR="00913CBE">
        <w:rPr>
          <w:rFonts w:eastAsia="Calibri"/>
          <w:sz w:val="22"/>
          <w:szCs w:val="22"/>
          <w:lang w:eastAsia="en-US"/>
        </w:rPr>
        <w:t xml:space="preserve"> ≥ 30 ml/min./1,73 m2)</w:t>
      </w:r>
      <w:r w:rsidR="00A7600C">
        <w:rPr>
          <w:rFonts w:eastAsia="Calibri"/>
          <w:sz w:val="22"/>
          <w:szCs w:val="22"/>
          <w:lang w:eastAsia="en-US"/>
        </w:rPr>
        <w:t>, tiek</w:t>
      </w:r>
      <w:r w:rsidR="00913CBE">
        <w:rPr>
          <w:rFonts w:eastAsia="Calibri"/>
          <w:sz w:val="22"/>
          <w:szCs w:val="22"/>
          <w:lang w:eastAsia="en-US"/>
        </w:rPr>
        <w:t xml:space="preserve"> esant arba nesant </w:t>
      </w:r>
      <w:proofErr w:type="spellStart"/>
      <w:r w:rsidR="00913CBE">
        <w:rPr>
          <w:rFonts w:eastAsia="Calibri"/>
          <w:sz w:val="22"/>
          <w:szCs w:val="22"/>
          <w:lang w:eastAsia="en-US"/>
        </w:rPr>
        <w:t>albuminurijai</w:t>
      </w:r>
      <w:proofErr w:type="spellEnd"/>
      <w:r w:rsidR="00913CBE">
        <w:rPr>
          <w:rFonts w:eastAsia="Calibri"/>
          <w:sz w:val="22"/>
          <w:szCs w:val="22"/>
          <w:lang w:eastAsia="en-US"/>
        </w:rPr>
        <w:t xml:space="preserve">. Pacientams, kuriems yra </w:t>
      </w:r>
      <w:proofErr w:type="spellStart"/>
      <w:r w:rsidR="00913CBE">
        <w:rPr>
          <w:rFonts w:eastAsia="Calibri"/>
          <w:sz w:val="22"/>
          <w:szCs w:val="22"/>
          <w:lang w:eastAsia="en-US"/>
        </w:rPr>
        <w:t>albuminurija</w:t>
      </w:r>
      <w:proofErr w:type="spellEnd"/>
      <w:r w:rsidR="00913CBE">
        <w:rPr>
          <w:rFonts w:eastAsia="Calibri"/>
          <w:sz w:val="22"/>
          <w:szCs w:val="22"/>
          <w:lang w:eastAsia="en-US"/>
        </w:rPr>
        <w:t xml:space="preserve">, gydymas </w:t>
      </w:r>
      <w:proofErr w:type="spellStart"/>
      <w:r w:rsidR="00913CBE">
        <w:rPr>
          <w:rFonts w:eastAsia="Calibri"/>
          <w:sz w:val="22"/>
          <w:szCs w:val="22"/>
          <w:lang w:eastAsia="en-US"/>
        </w:rPr>
        <w:t>empagliflozinu</w:t>
      </w:r>
      <w:proofErr w:type="spellEnd"/>
      <w:r w:rsidR="00913CBE">
        <w:rPr>
          <w:rFonts w:eastAsia="Calibri"/>
          <w:sz w:val="22"/>
          <w:szCs w:val="22"/>
          <w:lang w:eastAsia="en-US"/>
        </w:rPr>
        <w:t xml:space="preserve"> gali </w:t>
      </w:r>
      <w:proofErr w:type="spellStart"/>
      <w:r w:rsidR="00913CBE">
        <w:rPr>
          <w:rFonts w:eastAsia="Calibri"/>
          <w:sz w:val="22"/>
          <w:szCs w:val="22"/>
          <w:lang w:eastAsia="en-US"/>
        </w:rPr>
        <w:t>būti</w:t>
      </w:r>
      <w:r w:rsidR="00960CFF">
        <w:rPr>
          <w:rFonts w:eastAsia="Calibri"/>
          <w:sz w:val="22"/>
          <w:szCs w:val="22"/>
          <w:lang w:eastAsia="en-US"/>
        </w:rPr>
        <w:t>palankesnis</w:t>
      </w:r>
      <w:proofErr w:type="spellEnd"/>
      <w:r w:rsidR="00913CBE">
        <w:rPr>
          <w:rFonts w:eastAsia="Calibri"/>
          <w:sz w:val="22"/>
          <w:szCs w:val="22"/>
          <w:lang w:eastAsia="en-US"/>
        </w:rPr>
        <w:t>.</w:t>
      </w:r>
    </w:p>
    <w:p w14:paraId="4C969B9B" w14:textId="77777777" w:rsidR="003B31DC" w:rsidRDefault="003B31DC">
      <w:pPr>
        <w:autoSpaceDE w:val="0"/>
        <w:autoSpaceDN w:val="0"/>
        <w:adjustRightInd w:val="0"/>
        <w:rPr>
          <w:rFonts w:eastAsia="Calibri"/>
          <w:sz w:val="22"/>
          <w:szCs w:val="22"/>
          <w:u w:val="single"/>
          <w:lang w:eastAsia="en-US"/>
        </w:rPr>
      </w:pPr>
    </w:p>
    <w:p w14:paraId="48DC64B9" w14:textId="3B7FF649" w:rsidR="003B31DC" w:rsidRDefault="0091143B">
      <w:pPr>
        <w:autoSpaceDE w:val="0"/>
        <w:autoSpaceDN w:val="0"/>
        <w:adjustRightInd w:val="0"/>
        <w:rPr>
          <w:rFonts w:eastAsia="Calibri"/>
          <w:sz w:val="22"/>
          <w:szCs w:val="22"/>
          <w:u w:val="single"/>
          <w:lang w:eastAsia="en-US"/>
        </w:rPr>
      </w:pPr>
      <w:r>
        <w:rPr>
          <w:rFonts w:eastAsia="Calibri"/>
          <w:sz w:val="22"/>
          <w:szCs w:val="22"/>
          <w:u w:val="single"/>
          <w:lang w:eastAsia="en-US"/>
        </w:rPr>
        <w:t>Šlapimo l</w:t>
      </w:r>
      <w:r w:rsidR="00913CBE">
        <w:rPr>
          <w:rFonts w:eastAsia="Calibri"/>
          <w:sz w:val="22"/>
          <w:szCs w:val="22"/>
          <w:u w:val="single"/>
          <w:lang w:eastAsia="en-US"/>
        </w:rPr>
        <w:t>aboratoriniai tyrimai</w:t>
      </w:r>
    </w:p>
    <w:p w14:paraId="4A10D7C3" w14:textId="371819D3" w:rsidR="003B31DC" w:rsidRDefault="00913CBE">
      <w:pPr>
        <w:autoSpaceDE w:val="0"/>
        <w:autoSpaceDN w:val="0"/>
        <w:adjustRightInd w:val="0"/>
        <w:rPr>
          <w:rFonts w:eastAsia="Calibri"/>
          <w:sz w:val="22"/>
          <w:szCs w:val="22"/>
          <w:lang w:eastAsia="en-US"/>
        </w:rPr>
      </w:pPr>
      <w:r>
        <w:rPr>
          <w:rFonts w:eastAsia="Calibri"/>
          <w:sz w:val="22"/>
          <w:szCs w:val="22"/>
          <w:lang w:eastAsia="en-US"/>
        </w:rPr>
        <w:t xml:space="preserve">Dėl </w:t>
      </w:r>
      <w:r w:rsidR="008439FF" w:rsidRPr="00FA2F7A">
        <w:rPr>
          <w:sz w:val="22"/>
          <w:szCs w:val="22"/>
        </w:rPr>
        <w:t xml:space="preserve">vaistinio preparato veikimo mechanizmo </w:t>
      </w:r>
      <w:proofErr w:type="spellStart"/>
      <w:r w:rsidR="008439FF" w:rsidRPr="00FA2F7A">
        <w:rPr>
          <w:sz w:val="22"/>
          <w:szCs w:val="22"/>
        </w:rPr>
        <w:t>Mempoglyn</w:t>
      </w:r>
      <w:proofErr w:type="spellEnd"/>
      <w:r w:rsidR="008439FF" w:rsidRPr="00FA2F7A">
        <w:rPr>
          <w:sz w:val="22"/>
          <w:szCs w:val="22"/>
        </w:rPr>
        <w:t xml:space="preserve"> vartojančių pacientų šlapimo tyrimas dėl gliukozės</w:t>
      </w:r>
      <w:r w:rsidR="008439FF">
        <w:rPr>
          <w:rFonts w:eastAsia="Calibri"/>
          <w:sz w:val="22"/>
          <w:szCs w:val="22"/>
          <w:lang w:eastAsia="en-US"/>
        </w:rPr>
        <w:t xml:space="preserve"> </w:t>
      </w:r>
      <w:r>
        <w:rPr>
          <w:rFonts w:eastAsia="Calibri"/>
          <w:sz w:val="22"/>
          <w:szCs w:val="22"/>
          <w:lang w:eastAsia="en-US"/>
        </w:rPr>
        <w:t>bus teigiamas.</w:t>
      </w:r>
    </w:p>
    <w:p w14:paraId="0332236B" w14:textId="77777777" w:rsidR="003B31DC" w:rsidRDefault="003B31DC">
      <w:pPr>
        <w:autoSpaceDE w:val="0"/>
        <w:autoSpaceDN w:val="0"/>
        <w:adjustRightInd w:val="0"/>
        <w:rPr>
          <w:rFonts w:eastAsia="Calibri"/>
          <w:sz w:val="22"/>
          <w:szCs w:val="22"/>
          <w:lang w:eastAsia="en-US"/>
        </w:rPr>
      </w:pPr>
    </w:p>
    <w:p w14:paraId="35856F9A" w14:textId="44DFEA52" w:rsidR="003B31DC" w:rsidRDefault="00913CBE">
      <w:pPr>
        <w:autoSpaceDE w:val="0"/>
        <w:autoSpaceDN w:val="0"/>
        <w:adjustRightInd w:val="0"/>
        <w:rPr>
          <w:rFonts w:eastAsia="Calibri"/>
          <w:sz w:val="22"/>
          <w:szCs w:val="22"/>
          <w:u w:val="single"/>
          <w:lang w:eastAsia="en-US"/>
        </w:rPr>
      </w:pPr>
      <w:r>
        <w:rPr>
          <w:rFonts w:eastAsia="Calibri"/>
          <w:sz w:val="22"/>
          <w:szCs w:val="22"/>
          <w:u w:val="single"/>
          <w:lang w:eastAsia="en-US"/>
        </w:rPr>
        <w:t>Poveikis 1,5-anhidrogliucitolio (1,5-AG) laboratorini</w:t>
      </w:r>
      <w:r w:rsidR="00EE14B9">
        <w:rPr>
          <w:rFonts w:eastAsia="Calibri"/>
          <w:sz w:val="22"/>
          <w:szCs w:val="22"/>
          <w:u w:val="single"/>
          <w:lang w:eastAsia="en-US"/>
        </w:rPr>
        <w:t>o</w:t>
      </w:r>
      <w:r>
        <w:rPr>
          <w:rFonts w:eastAsia="Calibri"/>
          <w:sz w:val="22"/>
          <w:szCs w:val="22"/>
          <w:u w:val="single"/>
          <w:lang w:eastAsia="en-US"/>
        </w:rPr>
        <w:t xml:space="preserve"> tyrim</w:t>
      </w:r>
      <w:r w:rsidR="00EE14B9">
        <w:rPr>
          <w:rFonts w:eastAsia="Calibri"/>
          <w:sz w:val="22"/>
          <w:szCs w:val="22"/>
          <w:u w:val="single"/>
          <w:lang w:eastAsia="en-US"/>
        </w:rPr>
        <w:t>o rezultatui</w:t>
      </w:r>
    </w:p>
    <w:p w14:paraId="5B173579" w14:textId="26E71039" w:rsidR="003B31DC" w:rsidRDefault="003221EB">
      <w:pPr>
        <w:autoSpaceDE w:val="0"/>
        <w:autoSpaceDN w:val="0"/>
        <w:adjustRightInd w:val="0"/>
        <w:rPr>
          <w:rFonts w:eastAsia="Calibri"/>
          <w:sz w:val="22"/>
          <w:szCs w:val="22"/>
          <w:lang w:eastAsia="en-US"/>
        </w:rPr>
      </w:pPr>
      <w:proofErr w:type="spellStart"/>
      <w:r w:rsidRPr="00FA2F7A">
        <w:rPr>
          <w:sz w:val="22"/>
          <w:szCs w:val="22"/>
        </w:rPr>
        <w:t>Glikemijos</w:t>
      </w:r>
      <w:proofErr w:type="spellEnd"/>
      <w:r w:rsidRPr="00FA2F7A">
        <w:rPr>
          <w:sz w:val="22"/>
          <w:szCs w:val="22"/>
        </w:rPr>
        <w:t xml:space="preserve"> kontrolės stebėjimas naudojant</w:t>
      </w:r>
      <w:r>
        <w:t xml:space="preserve"> </w:t>
      </w:r>
      <w:r w:rsidR="00913CBE">
        <w:rPr>
          <w:rFonts w:eastAsia="Calibri"/>
          <w:sz w:val="22"/>
          <w:szCs w:val="22"/>
          <w:lang w:eastAsia="en-US"/>
        </w:rPr>
        <w:t>1,5-AG laboratorinį tyrimą nerekomenduojama</w:t>
      </w:r>
      <w:r w:rsidR="009705C7">
        <w:rPr>
          <w:rFonts w:eastAsia="Calibri"/>
          <w:sz w:val="22"/>
          <w:szCs w:val="22"/>
          <w:lang w:eastAsia="en-US"/>
        </w:rPr>
        <w:t>s</w:t>
      </w:r>
      <w:r w:rsidR="00913CBE">
        <w:rPr>
          <w:rFonts w:eastAsia="Calibri"/>
          <w:sz w:val="22"/>
          <w:szCs w:val="22"/>
          <w:lang w:eastAsia="en-US"/>
        </w:rPr>
        <w:t xml:space="preserve">, nes 1,5-AG matavimai </w:t>
      </w:r>
      <w:r w:rsidR="00F8128D">
        <w:rPr>
          <w:rFonts w:eastAsia="Calibri"/>
          <w:sz w:val="22"/>
          <w:szCs w:val="22"/>
          <w:lang w:eastAsia="en-US"/>
        </w:rPr>
        <w:t xml:space="preserve">yra nepatikimi </w:t>
      </w:r>
      <w:r w:rsidR="00913CBE">
        <w:rPr>
          <w:rFonts w:eastAsia="Calibri"/>
          <w:sz w:val="22"/>
          <w:szCs w:val="22"/>
          <w:lang w:eastAsia="en-US"/>
        </w:rPr>
        <w:t xml:space="preserve">vertinant </w:t>
      </w:r>
      <w:r w:rsidR="00F8128D">
        <w:rPr>
          <w:rFonts w:eastAsia="Calibri"/>
          <w:sz w:val="22"/>
          <w:szCs w:val="22"/>
          <w:lang w:eastAsia="en-US"/>
        </w:rPr>
        <w:t>SGLT2 inhibitorius vartojan</w:t>
      </w:r>
      <w:r w:rsidR="00556AE3">
        <w:rPr>
          <w:rFonts w:eastAsia="Calibri"/>
          <w:sz w:val="22"/>
          <w:szCs w:val="22"/>
          <w:lang w:eastAsia="en-US"/>
        </w:rPr>
        <w:t>čių</w:t>
      </w:r>
      <w:r w:rsidR="00F8128D">
        <w:rPr>
          <w:rFonts w:eastAsia="Calibri"/>
          <w:sz w:val="22"/>
          <w:szCs w:val="22"/>
          <w:lang w:eastAsia="en-US"/>
        </w:rPr>
        <w:t xml:space="preserve"> pacient</w:t>
      </w:r>
      <w:r w:rsidR="00556AE3">
        <w:rPr>
          <w:rFonts w:eastAsia="Calibri"/>
          <w:sz w:val="22"/>
          <w:szCs w:val="22"/>
          <w:lang w:eastAsia="en-US"/>
        </w:rPr>
        <w:t>ų</w:t>
      </w:r>
      <w:r w:rsidR="00F8128D">
        <w:rPr>
          <w:rFonts w:eastAsia="Calibri"/>
          <w:sz w:val="22"/>
          <w:szCs w:val="22"/>
          <w:lang w:eastAsia="en-US"/>
        </w:rPr>
        <w:t xml:space="preserve"> </w:t>
      </w:r>
      <w:proofErr w:type="spellStart"/>
      <w:r w:rsidR="00913CBE">
        <w:rPr>
          <w:rFonts w:eastAsia="Calibri"/>
          <w:sz w:val="22"/>
          <w:szCs w:val="22"/>
          <w:lang w:eastAsia="en-US"/>
        </w:rPr>
        <w:t>glikemijos</w:t>
      </w:r>
      <w:proofErr w:type="spellEnd"/>
      <w:r w:rsidR="00913CBE">
        <w:rPr>
          <w:rFonts w:eastAsia="Calibri"/>
          <w:sz w:val="22"/>
          <w:szCs w:val="22"/>
          <w:lang w:eastAsia="en-US"/>
        </w:rPr>
        <w:t xml:space="preserve"> kontrolę . </w:t>
      </w:r>
      <w:proofErr w:type="spellStart"/>
      <w:r w:rsidR="00913CBE">
        <w:rPr>
          <w:rFonts w:eastAsia="Calibri"/>
          <w:sz w:val="22"/>
          <w:szCs w:val="22"/>
          <w:lang w:eastAsia="en-US"/>
        </w:rPr>
        <w:t>Glikemijos</w:t>
      </w:r>
      <w:proofErr w:type="spellEnd"/>
      <w:r w:rsidR="00913CBE">
        <w:rPr>
          <w:rFonts w:eastAsia="Calibri"/>
          <w:sz w:val="22"/>
          <w:szCs w:val="22"/>
          <w:lang w:eastAsia="en-US"/>
        </w:rPr>
        <w:t xml:space="preserve"> kontrolę patartina stebėti kitais metodais.</w:t>
      </w:r>
    </w:p>
    <w:p w14:paraId="246B3B39" w14:textId="77777777" w:rsidR="003B31DC" w:rsidRDefault="003B31DC">
      <w:pPr>
        <w:autoSpaceDE w:val="0"/>
        <w:autoSpaceDN w:val="0"/>
        <w:adjustRightInd w:val="0"/>
        <w:rPr>
          <w:rFonts w:eastAsia="Calibri"/>
          <w:sz w:val="22"/>
          <w:szCs w:val="22"/>
          <w:u w:val="single"/>
          <w:lang w:eastAsia="en-US"/>
        </w:rPr>
      </w:pPr>
    </w:p>
    <w:p w14:paraId="40CBD27F" w14:textId="77777777" w:rsidR="003B31DC" w:rsidRDefault="00913CBE">
      <w:pPr>
        <w:autoSpaceDE w:val="0"/>
        <w:autoSpaceDN w:val="0"/>
        <w:adjustRightInd w:val="0"/>
        <w:rPr>
          <w:rFonts w:eastAsia="Calibri"/>
          <w:sz w:val="22"/>
          <w:szCs w:val="22"/>
          <w:u w:val="single"/>
          <w:lang w:eastAsia="en-US"/>
        </w:rPr>
      </w:pPr>
      <w:r>
        <w:rPr>
          <w:rFonts w:eastAsia="Calibri"/>
          <w:sz w:val="22"/>
          <w:szCs w:val="22"/>
          <w:u w:val="single"/>
          <w:lang w:eastAsia="en-US"/>
        </w:rPr>
        <w:t>Vitaminas B12</w:t>
      </w:r>
    </w:p>
    <w:p w14:paraId="66573557" w14:textId="62B92D64" w:rsidR="003B31DC" w:rsidRDefault="00913CBE">
      <w:pPr>
        <w:autoSpaceDE w:val="0"/>
        <w:autoSpaceDN w:val="0"/>
        <w:adjustRightInd w:val="0"/>
        <w:rPr>
          <w:rFonts w:eastAsia="Calibri"/>
          <w:sz w:val="22"/>
          <w:szCs w:val="22"/>
          <w:lang w:eastAsia="en-US"/>
        </w:rPr>
      </w:pPr>
      <w:r>
        <w:rPr>
          <w:rFonts w:eastAsia="Calibri"/>
          <w:sz w:val="22"/>
          <w:szCs w:val="22"/>
          <w:lang w:eastAsia="en-US"/>
        </w:rPr>
        <w:t xml:space="preserve">Metforminas gali sumažinti vitamino B12 koncentraciją. Vitamino B12 koncentracijos sumažėjimo rizika didėja didėjant </w:t>
      </w:r>
      <w:proofErr w:type="spellStart"/>
      <w:r>
        <w:rPr>
          <w:rFonts w:eastAsia="Calibri"/>
          <w:sz w:val="22"/>
          <w:szCs w:val="22"/>
          <w:lang w:eastAsia="en-US"/>
        </w:rPr>
        <w:t>metformino</w:t>
      </w:r>
      <w:proofErr w:type="spellEnd"/>
      <w:r>
        <w:rPr>
          <w:rFonts w:eastAsia="Calibri"/>
          <w:sz w:val="22"/>
          <w:szCs w:val="22"/>
          <w:lang w:eastAsia="en-US"/>
        </w:rPr>
        <w:t xml:space="preserve"> dozei, ilgėjant gydymo trukmei ir (arba) pacientams, kuriems yra vitamino B12 stoką sukeliančių rizikos veiksnių. Įtarus vitamino B12 stoką (pvz., anemiją arba neuropatiją), reikia stebėti vitamino B12 koncentraciją serume. Pacientams, kuriems yra vitamino B12 stokos rizikos veiksnių, gali reikėti periodiškai tikrinti vitamino B12 koncentraciją. Gydymą </w:t>
      </w:r>
      <w:proofErr w:type="spellStart"/>
      <w:r>
        <w:rPr>
          <w:rFonts w:eastAsia="Calibri"/>
          <w:sz w:val="22"/>
          <w:szCs w:val="22"/>
          <w:lang w:eastAsia="en-US"/>
        </w:rPr>
        <w:t>metforminu</w:t>
      </w:r>
      <w:proofErr w:type="spellEnd"/>
      <w:r>
        <w:rPr>
          <w:rFonts w:eastAsia="Calibri"/>
          <w:sz w:val="22"/>
          <w:szCs w:val="22"/>
          <w:lang w:eastAsia="en-US"/>
        </w:rPr>
        <w:t xml:space="preserve"> reikia tęsti tol, kol jis toleruojamas ir nėra kontraindikacijų, kartu taikant tinkamą korekcinį vitamino B12 stokos gydymą, vadovaujantis galiojančiomis klinikinėmis gairėmis.</w:t>
      </w:r>
    </w:p>
    <w:p w14:paraId="3AA63754" w14:textId="77777777" w:rsidR="003B31DC" w:rsidRDefault="003B31DC">
      <w:pPr>
        <w:autoSpaceDE w:val="0"/>
        <w:autoSpaceDN w:val="0"/>
        <w:adjustRightInd w:val="0"/>
        <w:rPr>
          <w:rFonts w:eastAsia="TimesNewRoman"/>
          <w:sz w:val="22"/>
          <w:szCs w:val="22"/>
          <w:lang w:eastAsia="lt-LT"/>
        </w:rPr>
      </w:pPr>
    </w:p>
    <w:p w14:paraId="15A55A80" w14:textId="77777777" w:rsidR="003B31DC" w:rsidRDefault="00913CBE">
      <w:pPr>
        <w:autoSpaceDE w:val="0"/>
        <w:autoSpaceDN w:val="0"/>
        <w:adjustRightInd w:val="0"/>
        <w:rPr>
          <w:rFonts w:eastAsia="TimesNewRoman"/>
          <w:sz w:val="22"/>
          <w:szCs w:val="22"/>
          <w:u w:val="single"/>
          <w:lang w:eastAsia="lt-LT"/>
        </w:rPr>
      </w:pPr>
      <w:r>
        <w:rPr>
          <w:rFonts w:eastAsia="TimesNewRoman"/>
          <w:sz w:val="22"/>
          <w:szCs w:val="22"/>
          <w:u w:val="single"/>
          <w:lang w:eastAsia="lt-LT"/>
        </w:rPr>
        <w:t>Vaikų populiacija</w:t>
      </w:r>
    </w:p>
    <w:p w14:paraId="038D90D5" w14:textId="77777777" w:rsidR="003B31DC" w:rsidRDefault="00913CBE">
      <w:pPr>
        <w:autoSpaceDE w:val="0"/>
        <w:autoSpaceDN w:val="0"/>
        <w:adjustRightInd w:val="0"/>
        <w:rPr>
          <w:rFonts w:eastAsia="TimesNewRoman"/>
          <w:sz w:val="22"/>
          <w:szCs w:val="22"/>
          <w:lang w:eastAsia="lt-LT"/>
        </w:rPr>
      </w:pPr>
      <w:r>
        <w:rPr>
          <w:rFonts w:eastAsia="TimesNewRoman"/>
          <w:sz w:val="22"/>
          <w:szCs w:val="22"/>
          <w:lang w:eastAsia="lt-LT"/>
        </w:rPr>
        <w:t xml:space="preserve">Tyrimo DINAMO (žr. 5.1 skyrių) metu, bendrieji saugumo duomenys vaikams ir paaugliams buvo panašūs į žinomus saugumo duomenis, stebėtus suaugusiems pacientams, ir reikšmingų skirtumų, vertinant augimą arba atsižvelgiant į lytinį brendimą, placebo ir </w:t>
      </w:r>
      <w:proofErr w:type="spellStart"/>
      <w:r>
        <w:rPr>
          <w:rFonts w:eastAsia="TimesNewRoman"/>
          <w:sz w:val="22"/>
          <w:szCs w:val="22"/>
          <w:lang w:eastAsia="lt-LT"/>
        </w:rPr>
        <w:t>empagliflozino</w:t>
      </w:r>
      <w:proofErr w:type="spellEnd"/>
      <w:r>
        <w:rPr>
          <w:rFonts w:eastAsia="TimesNewRoman"/>
          <w:sz w:val="22"/>
          <w:szCs w:val="22"/>
          <w:lang w:eastAsia="lt-LT"/>
        </w:rPr>
        <w:t xml:space="preserve"> grupėse po 26 gydymo savaičių, nenustatyta.</w:t>
      </w:r>
    </w:p>
    <w:p w14:paraId="68F9F4EC" w14:textId="09662E55" w:rsidR="003B31DC" w:rsidRDefault="00913CBE">
      <w:pPr>
        <w:autoSpaceDE w:val="0"/>
        <w:autoSpaceDN w:val="0"/>
        <w:adjustRightInd w:val="0"/>
        <w:rPr>
          <w:rFonts w:eastAsia="TimesNewRoman"/>
          <w:sz w:val="22"/>
          <w:szCs w:val="22"/>
          <w:lang w:eastAsia="lt-LT"/>
        </w:rPr>
      </w:pPr>
      <w:r>
        <w:rPr>
          <w:rFonts w:eastAsia="TimesNewRoman"/>
          <w:sz w:val="22"/>
          <w:szCs w:val="22"/>
          <w:lang w:eastAsia="lt-LT"/>
        </w:rPr>
        <w:t>Vien</w:t>
      </w:r>
      <w:r w:rsidR="00360EAE">
        <w:rPr>
          <w:rFonts w:eastAsia="TimesNewRoman"/>
          <w:sz w:val="22"/>
          <w:szCs w:val="22"/>
          <w:lang w:eastAsia="lt-LT"/>
        </w:rPr>
        <w:t>erių</w:t>
      </w:r>
      <w:r>
        <w:rPr>
          <w:rFonts w:eastAsia="TimesNewRoman"/>
          <w:sz w:val="22"/>
          <w:szCs w:val="22"/>
          <w:lang w:eastAsia="lt-LT"/>
        </w:rPr>
        <w:t xml:space="preserve"> metų trukmės kontroliuojamais klinikiniais tyrimais </w:t>
      </w:r>
      <w:proofErr w:type="spellStart"/>
      <w:r>
        <w:rPr>
          <w:rFonts w:eastAsia="TimesNewRoman"/>
          <w:sz w:val="22"/>
          <w:szCs w:val="22"/>
          <w:lang w:eastAsia="lt-LT"/>
        </w:rPr>
        <w:t>metformino</w:t>
      </w:r>
      <w:proofErr w:type="spellEnd"/>
      <w:r>
        <w:rPr>
          <w:rFonts w:eastAsia="TimesNewRoman"/>
          <w:sz w:val="22"/>
          <w:szCs w:val="22"/>
          <w:lang w:eastAsia="lt-LT"/>
        </w:rPr>
        <w:t xml:space="preserve"> poveikio augimui ir brendimui nestebėta, tačiau ilgalaikių duomenų šiems konkretiems aspektams įvertinti nėra. Todėl </w:t>
      </w:r>
      <w:proofErr w:type="spellStart"/>
      <w:r>
        <w:rPr>
          <w:rFonts w:eastAsia="TimesNewRoman"/>
          <w:sz w:val="22"/>
          <w:szCs w:val="22"/>
          <w:lang w:eastAsia="lt-LT"/>
        </w:rPr>
        <w:t>metforminu</w:t>
      </w:r>
      <w:proofErr w:type="spellEnd"/>
      <w:r>
        <w:rPr>
          <w:rFonts w:eastAsia="TimesNewRoman"/>
          <w:sz w:val="22"/>
          <w:szCs w:val="22"/>
          <w:lang w:eastAsia="lt-LT"/>
        </w:rPr>
        <w:t xml:space="preserve"> gydant vaikus, ypač vaikus, kurie dar lytiškai nesubrendę, patartina atidžiai stebėti </w:t>
      </w:r>
      <w:proofErr w:type="spellStart"/>
      <w:r>
        <w:rPr>
          <w:rFonts w:eastAsia="TimesNewRoman"/>
          <w:sz w:val="22"/>
          <w:szCs w:val="22"/>
          <w:lang w:eastAsia="lt-LT"/>
        </w:rPr>
        <w:t>metformino</w:t>
      </w:r>
      <w:proofErr w:type="spellEnd"/>
      <w:r>
        <w:rPr>
          <w:rFonts w:eastAsia="TimesNewRoman"/>
          <w:sz w:val="22"/>
          <w:szCs w:val="22"/>
          <w:lang w:eastAsia="lt-LT"/>
        </w:rPr>
        <w:t xml:space="preserve"> poveikį šiems parametrams.</w:t>
      </w:r>
    </w:p>
    <w:p w14:paraId="5835EEC1" w14:textId="77777777" w:rsidR="003B31DC" w:rsidRDefault="003B31DC">
      <w:pPr>
        <w:autoSpaceDE w:val="0"/>
        <w:autoSpaceDN w:val="0"/>
        <w:adjustRightInd w:val="0"/>
        <w:rPr>
          <w:rFonts w:eastAsia="TimesNewRoman"/>
          <w:sz w:val="22"/>
          <w:szCs w:val="22"/>
          <w:lang w:eastAsia="lt-LT"/>
        </w:rPr>
      </w:pPr>
    </w:p>
    <w:p w14:paraId="281546F8" w14:textId="77777777" w:rsidR="003B31DC" w:rsidRDefault="00913CBE">
      <w:pPr>
        <w:autoSpaceDE w:val="0"/>
        <w:autoSpaceDN w:val="0"/>
        <w:adjustRightInd w:val="0"/>
        <w:rPr>
          <w:rFonts w:eastAsia="TimesNewRoman"/>
          <w:i/>
          <w:iCs/>
          <w:sz w:val="22"/>
          <w:szCs w:val="22"/>
          <w:lang w:eastAsia="lt-LT"/>
        </w:rPr>
      </w:pPr>
      <w:r>
        <w:rPr>
          <w:rFonts w:eastAsia="TimesNewRoman"/>
          <w:i/>
          <w:iCs/>
          <w:sz w:val="22"/>
          <w:szCs w:val="22"/>
          <w:lang w:eastAsia="lt-LT"/>
        </w:rPr>
        <w:t>Vaikai nuo 10 iki 12 metų</w:t>
      </w:r>
    </w:p>
    <w:p w14:paraId="53505E4D" w14:textId="77777777" w:rsidR="003B31DC" w:rsidRDefault="00913CBE">
      <w:pPr>
        <w:autoSpaceDE w:val="0"/>
        <w:autoSpaceDN w:val="0"/>
        <w:adjustRightInd w:val="0"/>
        <w:rPr>
          <w:rFonts w:eastAsia="TimesNewRoman"/>
          <w:sz w:val="22"/>
          <w:szCs w:val="22"/>
          <w:lang w:eastAsia="lt-LT"/>
        </w:rPr>
      </w:pPr>
      <w:r>
        <w:rPr>
          <w:rFonts w:eastAsia="TimesNewRoman"/>
          <w:sz w:val="22"/>
          <w:szCs w:val="22"/>
          <w:lang w:eastAsia="lt-LT"/>
        </w:rPr>
        <w:t xml:space="preserve">Atliekant </w:t>
      </w:r>
      <w:proofErr w:type="spellStart"/>
      <w:r>
        <w:rPr>
          <w:rFonts w:eastAsia="TimesNewRoman"/>
          <w:sz w:val="22"/>
          <w:szCs w:val="22"/>
          <w:lang w:eastAsia="lt-LT"/>
        </w:rPr>
        <w:t>metformino</w:t>
      </w:r>
      <w:proofErr w:type="spellEnd"/>
      <w:r>
        <w:rPr>
          <w:rFonts w:eastAsia="TimesNewRoman"/>
          <w:sz w:val="22"/>
          <w:szCs w:val="22"/>
          <w:lang w:eastAsia="lt-LT"/>
        </w:rPr>
        <w:t xml:space="preserve"> tyrimus, tik 15 pacientų, kurių amžius nuo 10 iki 12 metų, buvo įtraukti į kontroliuojamus klinikinius tyrimus su vaikais ir paaugliais.</w:t>
      </w:r>
    </w:p>
    <w:p w14:paraId="4D3E9161" w14:textId="300C1B44" w:rsidR="003B31DC" w:rsidRDefault="00913CBE">
      <w:pPr>
        <w:autoSpaceDE w:val="0"/>
        <w:autoSpaceDN w:val="0"/>
        <w:adjustRightInd w:val="0"/>
        <w:rPr>
          <w:rFonts w:eastAsia="TimesNewRoman"/>
          <w:sz w:val="22"/>
          <w:szCs w:val="22"/>
          <w:lang w:eastAsia="lt-LT"/>
        </w:rPr>
      </w:pPr>
      <w:r>
        <w:rPr>
          <w:rFonts w:eastAsia="TimesNewRoman"/>
          <w:sz w:val="22"/>
          <w:szCs w:val="22"/>
          <w:lang w:eastAsia="lt-LT"/>
        </w:rPr>
        <w:t>Tyrime DINAMO dalyvavo 157 pacientai</w:t>
      </w:r>
      <w:r w:rsidR="004C15F3">
        <w:rPr>
          <w:rFonts w:eastAsia="TimesNewRoman"/>
          <w:sz w:val="22"/>
          <w:szCs w:val="22"/>
          <w:lang w:eastAsia="lt-LT"/>
        </w:rPr>
        <w:t>,</w:t>
      </w:r>
      <w:r w:rsidR="007D1436" w:rsidRPr="007D1436">
        <w:t xml:space="preserve"> </w:t>
      </w:r>
      <w:r w:rsidR="007D1436" w:rsidRPr="00FA2F7A">
        <w:rPr>
          <w:sz w:val="22"/>
          <w:szCs w:val="22"/>
        </w:rPr>
        <w:t xml:space="preserve">iš kurių 91% vartojo </w:t>
      </w:r>
      <w:proofErr w:type="spellStart"/>
      <w:r w:rsidR="007D1436" w:rsidRPr="00FA2F7A">
        <w:rPr>
          <w:sz w:val="22"/>
          <w:szCs w:val="22"/>
        </w:rPr>
        <w:t>metforminą</w:t>
      </w:r>
      <w:proofErr w:type="spellEnd"/>
      <w:r w:rsidR="007D1436" w:rsidRPr="00FA2F7A">
        <w:rPr>
          <w:sz w:val="22"/>
          <w:szCs w:val="22"/>
        </w:rPr>
        <w:t xml:space="preserve"> kaip foninį gydymą</w:t>
      </w:r>
      <w:r w:rsidRPr="007D1436">
        <w:rPr>
          <w:rFonts w:eastAsia="TimesNewRoman"/>
          <w:sz w:val="22"/>
          <w:szCs w:val="22"/>
          <w:lang w:eastAsia="lt-LT"/>
        </w:rPr>
        <w:t>; 25 iš šių pacientų buvo 10 -12</w:t>
      </w:r>
      <w:r>
        <w:rPr>
          <w:rFonts w:eastAsia="TimesNewRoman"/>
          <w:sz w:val="22"/>
          <w:szCs w:val="22"/>
          <w:lang w:eastAsia="lt-LT"/>
        </w:rPr>
        <w:t xml:space="preserve"> metų.</w:t>
      </w:r>
    </w:p>
    <w:p w14:paraId="745C152B" w14:textId="2BDFA182" w:rsidR="003B31DC" w:rsidRPr="00522BC8" w:rsidRDefault="00913CBE">
      <w:pPr>
        <w:autoSpaceDE w:val="0"/>
        <w:autoSpaceDN w:val="0"/>
        <w:adjustRightInd w:val="0"/>
        <w:rPr>
          <w:rFonts w:eastAsia="TimesNewRoman"/>
          <w:sz w:val="22"/>
          <w:szCs w:val="22"/>
          <w:lang w:eastAsia="lt-LT"/>
        </w:rPr>
      </w:pPr>
      <w:r>
        <w:rPr>
          <w:rFonts w:eastAsia="TimesNewRoman"/>
          <w:sz w:val="22"/>
          <w:szCs w:val="22"/>
          <w:lang w:eastAsia="lt-LT"/>
        </w:rPr>
        <w:t xml:space="preserve">Nors </w:t>
      </w:r>
      <w:proofErr w:type="spellStart"/>
      <w:r>
        <w:rPr>
          <w:rFonts w:eastAsia="TimesNewRoman"/>
          <w:sz w:val="22"/>
          <w:szCs w:val="22"/>
          <w:lang w:eastAsia="lt-LT"/>
        </w:rPr>
        <w:t>metformino</w:t>
      </w:r>
      <w:proofErr w:type="spellEnd"/>
      <w:r>
        <w:rPr>
          <w:rFonts w:eastAsia="TimesNewRoman"/>
          <w:sz w:val="22"/>
          <w:szCs w:val="22"/>
          <w:lang w:eastAsia="lt-LT"/>
        </w:rPr>
        <w:t xml:space="preserve"> veiksmingumas ir saugumas šiems vaikams nesiskyrė nuo veiksmingumo ir saugumo, nustatytų vyresniems vaikams ir paaugliams,</w:t>
      </w:r>
      <w:r w:rsidR="00522BC8" w:rsidRPr="00FA2F7A">
        <w:rPr>
          <w:sz w:val="22"/>
          <w:szCs w:val="22"/>
        </w:rPr>
        <w:t xml:space="preserve"> skiriant vaistą 10–12 metų vaikams rekomenduojama laikytis ypatingo atsargumo</w:t>
      </w:r>
      <w:r w:rsidRPr="00522BC8">
        <w:rPr>
          <w:rFonts w:eastAsia="TimesNewRoman"/>
          <w:sz w:val="22"/>
          <w:szCs w:val="22"/>
          <w:lang w:eastAsia="lt-LT"/>
        </w:rPr>
        <w:t>.</w:t>
      </w:r>
    </w:p>
    <w:p w14:paraId="0BA51826" w14:textId="77777777" w:rsidR="003B31DC" w:rsidRDefault="003B31DC">
      <w:pPr>
        <w:autoSpaceDE w:val="0"/>
        <w:autoSpaceDN w:val="0"/>
        <w:adjustRightInd w:val="0"/>
        <w:rPr>
          <w:rFonts w:eastAsia="TimesNewRoman"/>
          <w:sz w:val="22"/>
          <w:szCs w:val="22"/>
          <w:lang w:eastAsia="lt-LT"/>
        </w:rPr>
      </w:pPr>
    </w:p>
    <w:p w14:paraId="579C114A" w14:textId="77777777" w:rsidR="003B31DC" w:rsidRDefault="00913CBE">
      <w:pPr>
        <w:widowControl w:val="0"/>
        <w:tabs>
          <w:tab w:val="left" w:pos="567"/>
        </w:tabs>
        <w:ind w:left="567" w:hanging="567"/>
        <w:outlineLvl w:val="2"/>
        <w:rPr>
          <w:b/>
          <w:kern w:val="28"/>
          <w:sz w:val="22"/>
          <w:szCs w:val="22"/>
          <w:lang w:eastAsia="en-US"/>
        </w:rPr>
      </w:pPr>
      <w:r>
        <w:rPr>
          <w:b/>
          <w:kern w:val="28"/>
          <w:sz w:val="22"/>
          <w:szCs w:val="22"/>
          <w:lang w:eastAsia="en-US"/>
        </w:rPr>
        <w:t>4.5</w:t>
      </w:r>
      <w:r>
        <w:rPr>
          <w:b/>
          <w:kern w:val="28"/>
          <w:sz w:val="22"/>
          <w:szCs w:val="22"/>
          <w:lang w:eastAsia="en-US"/>
        </w:rPr>
        <w:tab/>
        <w:t>Sąveika su kitais vaistiniais preparatais ir kitokia sąveika</w:t>
      </w:r>
    </w:p>
    <w:p w14:paraId="19503986" w14:textId="77777777" w:rsidR="003B31DC" w:rsidRDefault="003B31DC">
      <w:pPr>
        <w:widowControl w:val="0"/>
        <w:ind w:left="567" w:hanging="567"/>
        <w:rPr>
          <w:bCs/>
          <w:sz w:val="22"/>
          <w:szCs w:val="22"/>
          <w:lang w:eastAsia="en-US"/>
        </w:rPr>
      </w:pPr>
    </w:p>
    <w:p w14:paraId="35BB83E6" w14:textId="3D43B55E" w:rsidR="003B31DC" w:rsidRDefault="006C4464">
      <w:pPr>
        <w:tabs>
          <w:tab w:val="left" w:pos="567"/>
        </w:tabs>
        <w:rPr>
          <w:snapToGrid w:val="0"/>
          <w:sz w:val="22"/>
          <w:szCs w:val="22"/>
          <w:lang w:eastAsia="en-US"/>
        </w:rPr>
      </w:pPr>
      <w:r w:rsidRPr="00FA2F7A">
        <w:rPr>
          <w:sz w:val="22"/>
          <w:szCs w:val="22"/>
        </w:rPr>
        <w:t xml:space="preserve">Sveikiems tiriamiesiems kartu vartojant kelias </w:t>
      </w:r>
      <w:proofErr w:type="spellStart"/>
      <w:r w:rsidRPr="00FA2F7A">
        <w:rPr>
          <w:sz w:val="22"/>
          <w:szCs w:val="22"/>
        </w:rPr>
        <w:t>empagliflozino</w:t>
      </w:r>
      <w:proofErr w:type="spellEnd"/>
      <w:r w:rsidRPr="00FA2F7A">
        <w:rPr>
          <w:sz w:val="22"/>
          <w:szCs w:val="22"/>
        </w:rPr>
        <w:t xml:space="preserve"> ir </w:t>
      </w:r>
      <w:proofErr w:type="spellStart"/>
      <w:r w:rsidRPr="00FA2F7A">
        <w:rPr>
          <w:sz w:val="22"/>
          <w:szCs w:val="22"/>
        </w:rPr>
        <w:t>metformino</w:t>
      </w:r>
      <w:proofErr w:type="spellEnd"/>
      <w:r w:rsidRPr="00FA2F7A">
        <w:rPr>
          <w:sz w:val="22"/>
          <w:szCs w:val="22"/>
        </w:rPr>
        <w:t xml:space="preserve"> dozes,</w:t>
      </w:r>
      <w:r>
        <w:t xml:space="preserve"> </w:t>
      </w:r>
      <w:r w:rsidR="00913CBE">
        <w:rPr>
          <w:snapToGrid w:val="0"/>
          <w:sz w:val="22"/>
          <w:szCs w:val="22"/>
          <w:lang w:eastAsia="en-US"/>
        </w:rPr>
        <w:t xml:space="preserve">nei </w:t>
      </w:r>
      <w:proofErr w:type="spellStart"/>
      <w:r w:rsidR="00913CBE">
        <w:rPr>
          <w:snapToGrid w:val="0"/>
          <w:sz w:val="22"/>
          <w:szCs w:val="22"/>
          <w:lang w:eastAsia="en-US"/>
        </w:rPr>
        <w:t>empagliflozino</w:t>
      </w:r>
      <w:proofErr w:type="spellEnd"/>
      <w:r w:rsidR="00913CBE">
        <w:rPr>
          <w:snapToGrid w:val="0"/>
          <w:sz w:val="22"/>
          <w:szCs w:val="22"/>
          <w:lang w:eastAsia="en-US"/>
        </w:rPr>
        <w:t xml:space="preserve">, nei </w:t>
      </w:r>
      <w:proofErr w:type="spellStart"/>
      <w:r w:rsidR="00913CBE">
        <w:rPr>
          <w:snapToGrid w:val="0"/>
          <w:sz w:val="22"/>
          <w:szCs w:val="22"/>
          <w:lang w:eastAsia="en-US"/>
        </w:rPr>
        <w:t>metformino</w:t>
      </w:r>
      <w:proofErr w:type="spellEnd"/>
      <w:r w:rsidR="00913CBE">
        <w:rPr>
          <w:snapToGrid w:val="0"/>
          <w:sz w:val="22"/>
          <w:szCs w:val="22"/>
          <w:lang w:eastAsia="en-US"/>
        </w:rPr>
        <w:t xml:space="preserve"> farmakokinetika reikšmingiau nepakito.</w:t>
      </w:r>
    </w:p>
    <w:p w14:paraId="75BFED90" w14:textId="77777777" w:rsidR="003B31DC" w:rsidRDefault="00913CBE">
      <w:pPr>
        <w:tabs>
          <w:tab w:val="left" w:pos="567"/>
        </w:tabs>
        <w:rPr>
          <w:snapToGrid w:val="0"/>
          <w:sz w:val="22"/>
          <w:szCs w:val="22"/>
          <w:lang w:eastAsia="en-US"/>
        </w:rPr>
      </w:pPr>
      <w:proofErr w:type="spellStart"/>
      <w:r>
        <w:rPr>
          <w:snapToGrid w:val="0"/>
          <w:sz w:val="22"/>
          <w:szCs w:val="22"/>
          <w:lang w:eastAsia="en-US"/>
        </w:rPr>
        <w:t>Mempoglyn</w:t>
      </w:r>
      <w:proofErr w:type="spellEnd"/>
      <w:r>
        <w:rPr>
          <w:snapToGrid w:val="0"/>
          <w:sz w:val="22"/>
          <w:szCs w:val="22"/>
          <w:lang w:eastAsia="en-US"/>
        </w:rPr>
        <w:t xml:space="preserve"> sąveikos tyrimų neatlikta. Toliau pateikta informacija apie kiekvieną veikliąją medžiagą atskirai.</w:t>
      </w:r>
    </w:p>
    <w:p w14:paraId="5F099370" w14:textId="77777777" w:rsidR="003B31DC" w:rsidRDefault="003B31DC">
      <w:pPr>
        <w:tabs>
          <w:tab w:val="left" w:pos="567"/>
        </w:tabs>
        <w:rPr>
          <w:snapToGrid w:val="0"/>
          <w:sz w:val="22"/>
          <w:szCs w:val="22"/>
          <w:lang w:eastAsia="en-US"/>
        </w:rPr>
      </w:pPr>
    </w:p>
    <w:p w14:paraId="0D6A1FB5" w14:textId="77777777" w:rsidR="003B31DC" w:rsidRDefault="00913CBE">
      <w:pPr>
        <w:tabs>
          <w:tab w:val="left" w:pos="567"/>
        </w:tabs>
        <w:rPr>
          <w:snapToGrid w:val="0"/>
          <w:sz w:val="22"/>
          <w:szCs w:val="22"/>
          <w:u w:val="single"/>
          <w:lang w:eastAsia="en-US"/>
        </w:rPr>
      </w:pPr>
      <w:proofErr w:type="spellStart"/>
      <w:r>
        <w:rPr>
          <w:snapToGrid w:val="0"/>
          <w:sz w:val="22"/>
          <w:szCs w:val="22"/>
          <w:u w:val="single"/>
          <w:lang w:eastAsia="en-US"/>
        </w:rPr>
        <w:t>Empagliflozinas</w:t>
      </w:r>
      <w:proofErr w:type="spellEnd"/>
    </w:p>
    <w:p w14:paraId="3B4F2B6F" w14:textId="77777777" w:rsidR="003B31DC" w:rsidRDefault="003B31DC">
      <w:pPr>
        <w:tabs>
          <w:tab w:val="left" w:pos="567"/>
        </w:tabs>
        <w:rPr>
          <w:i/>
          <w:iCs/>
          <w:snapToGrid w:val="0"/>
          <w:sz w:val="22"/>
          <w:szCs w:val="22"/>
          <w:u w:val="single"/>
          <w:lang w:eastAsia="en-US"/>
        </w:rPr>
      </w:pPr>
    </w:p>
    <w:p w14:paraId="67422281" w14:textId="77777777" w:rsidR="003B31DC" w:rsidRDefault="00913CBE">
      <w:pPr>
        <w:tabs>
          <w:tab w:val="left" w:pos="567"/>
        </w:tabs>
        <w:rPr>
          <w:i/>
          <w:iCs/>
          <w:snapToGrid w:val="0"/>
          <w:sz w:val="22"/>
          <w:szCs w:val="22"/>
          <w:u w:val="single"/>
          <w:lang w:eastAsia="en-US"/>
        </w:rPr>
      </w:pPr>
      <w:proofErr w:type="spellStart"/>
      <w:r>
        <w:rPr>
          <w:i/>
          <w:iCs/>
          <w:snapToGrid w:val="0"/>
          <w:sz w:val="22"/>
          <w:szCs w:val="22"/>
          <w:u w:val="single"/>
          <w:lang w:eastAsia="en-US"/>
        </w:rPr>
        <w:t>Farmakodinaminė</w:t>
      </w:r>
      <w:proofErr w:type="spellEnd"/>
      <w:r>
        <w:rPr>
          <w:i/>
          <w:iCs/>
          <w:snapToGrid w:val="0"/>
          <w:sz w:val="22"/>
          <w:szCs w:val="22"/>
          <w:u w:val="single"/>
          <w:lang w:eastAsia="en-US"/>
        </w:rPr>
        <w:t xml:space="preserve"> sąveika</w:t>
      </w:r>
    </w:p>
    <w:p w14:paraId="6F329F41" w14:textId="77777777" w:rsidR="003B31DC" w:rsidRDefault="003B31DC">
      <w:pPr>
        <w:tabs>
          <w:tab w:val="left" w:pos="567"/>
        </w:tabs>
        <w:rPr>
          <w:snapToGrid w:val="0"/>
          <w:sz w:val="22"/>
          <w:szCs w:val="22"/>
          <w:lang w:eastAsia="en-US"/>
        </w:rPr>
      </w:pPr>
    </w:p>
    <w:p w14:paraId="04146C24" w14:textId="77777777" w:rsidR="003B31DC" w:rsidRDefault="00913CBE">
      <w:pPr>
        <w:tabs>
          <w:tab w:val="left" w:pos="567"/>
        </w:tabs>
        <w:rPr>
          <w:i/>
          <w:iCs/>
          <w:snapToGrid w:val="0"/>
          <w:sz w:val="22"/>
          <w:szCs w:val="22"/>
          <w:lang w:eastAsia="en-US"/>
        </w:rPr>
      </w:pPr>
      <w:r>
        <w:rPr>
          <w:i/>
          <w:iCs/>
          <w:snapToGrid w:val="0"/>
          <w:sz w:val="22"/>
          <w:szCs w:val="22"/>
          <w:lang w:eastAsia="en-US"/>
        </w:rPr>
        <w:t>Diuretikai</w:t>
      </w:r>
    </w:p>
    <w:p w14:paraId="1E85475E" w14:textId="0574A047" w:rsidR="003B31DC" w:rsidRDefault="00913CBE">
      <w:pPr>
        <w:tabs>
          <w:tab w:val="left" w:pos="567"/>
        </w:tabs>
        <w:rPr>
          <w:snapToGrid w:val="0"/>
          <w:sz w:val="22"/>
          <w:szCs w:val="22"/>
          <w:lang w:eastAsia="en-US"/>
        </w:rPr>
      </w:pPr>
      <w:proofErr w:type="spellStart"/>
      <w:r>
        <w:rPr>
          <w:snapToGrid w:val="0"/>
          <w:sz w:val="22"/>
          <w:szCs w:val="22"/>
          <w:lang w:eastAsia="en-US"/>
        </w:rPr>
        <w:t>Empagliflozinas</w:t>
      </w:r>
      <w:proofErr w:type="spellEnd"/>
      <w:r>
        <w:rPr>
          <w:snapToGrid w:val="0"/>
          <w:sz w:val="22"/>
          <w:szCs w:val="22"/>
          <w:lang w:eastAsia="en-US"/>
        </w:rPr>
        <w:t xml:space="preserve"> gali </w:t>
      </w:r>
      <w:r w:rsidR="004E21A0">
        <w:rPr>
          <w:snapToGrid w:val="0"/>
          <w:sz w:val="22"/>
          <w:szCs w:val="22"/>
          <w:lang w:eastAsia="en-US"/>
        </w:rPr>
        <w:t xml:space="preserve">sustiprinti </w:t>
      </w:r>
      <w:proofErr w:type="spellStart"/>
      <w:r>
        <w:rPr>
          <w:snapToGrid w:val="0"/>
          <w:sz w:val="22"/>
          <w:szCs w:val="22"/>
          <w:lang w:eastAsia="en-US"/>
        </w:rPr>
        <w:t>tiazid</w:t>
      </w:r>
      <w:r w:rsidR="00B4031B">
        <w:rPr>
          <w:snapToGrid w:val="0"/>
          <w:sz w:val="22"/>
          <w:szCs w:val="22"/>
          <w:lang w:eastAsia="en-US"/>
        </w:rPr>
        <w:t>inių</w:t>
      </w:r>
      <w:proofErr w:type="spellEnd"/>
      <w:r>
        <w:rPr>
          <w:snapToGrid w:val="0"/>
          <w:sz w:val="22"/>
          <w:szCs w:val="22"/>
          <w:lang w:eastAsia="en-US"/>
        </w:rPr>
        <w:t xml:space="preserve"> ir kilpinių diuretikų poveikį ir padidinti dehidratacijos bei </w:t>
      </w:r>
      <w:proofErr w:type="spellStart"/>
      <w:r>
        <w:rPr>
          <w:snapToGrid w:val="0"/>
          <w:sz w:val="22"/>
          <w:szCs w:val="22"/>
          <w:lang w:eastAsia="en-US"/>
        </w:rPr>
        <w:t>hipotenzijos</w:t>
      </w:r>
      <w:proofErr w:type="spellEnd"/>
      <w:r>
        <w:rPr>
          <w:snapToGrid w:val="0"/>
          <w:sz w:val="22"/>
          <w:szCs w:val="22"/>
          <w:lang w:eastAsia="en-US"/>
        </w:rPr>
        <w:t xml:space="preserve"> riziką (žr. 4.4 skyrių).</w:t>
      </w:r>
    </w:p>
    <w:p w14:paraId="7A0FB404" w14:textId="77777777" w:rsidR="003B31DC" w:rsidRDefault="003B31DC">
      <w:pPr>
        <w:tabs>
          <w:tab w:val="left" w:pos="567"/>
        </w:tabs>
        <w:rPr>
          <w:snapToGrid w:val="0"/>
          <w:sz w:val="22"/>
          <w:szCs w:val="22"/>
          <w:lang w:eastAsia="en-US"/>
        </w:rPr>
      </w:pPr>
    </w:p>
    <w:p w14:paraId="4779F99C" w14:textId="77777777" w:rsidR="003B31DC" w:rsidRDefault="00913CBE">
      <w:pPr>
        <w:tabs>
          <w:tab w:val="left" w:pos="567"/>
        </w:tabs>
        <w:rPr>
          <w:i/>
          <w:iCs/>
          <w:snapToGrid w:val="0"/>
          <w:sz w:val="22"/>
          <w:szCs w:val="22"/>
          <w:lang w:eastAsia="en-US"/>
        </w:rPr>
      </w:pPr>
      <w:r>
        <w:rPr>
          <w:i/>
          <w:iCs/>
          <w:snapToGrid w:val="0"/>
          <w:sz w:val="22"/>
          <w:szCs w:val="22"/>
          <w:lang w:eastAsia="en-US"/>
        </w:rPr>
        <w:t>Insulinas ir insulino sekreciją skatinantys vaistiniai preparatai</w:t>
      </w:r>
    </w:p>
    <w:p w14:paraId="2D69AEC3" w14:textId="77777777" w:rsidR="003B31DC" w:rsidRDefault="00913CBE">
      <w:pPr>
        <w:tabs>
          <w:tab w:val="left" w:pos="567"/>
        </w:tabs>
        <w:rPr>
          <w:snapToGrid w:val="0"/>
          <w:sz w:val="22"/>
          <w:szCs w:val="22"/>
          <w:lang w:eastAsia="en-US"/>
        </w:rPr>
      </w:pPr>
      <w:r>
        <w:rPr>
          <w:snapToGrid w:val="0"/>
          <w:sz w:val="22"/>
          <w:szCs w:val="22"/>
          <w:lang w:eastAsia="en-US"/>
        </w:rPr>
        <w:t xml:space="preserve">Insulinas ir insulino sekreciją skatinantys vaistiniai preparatai, pvz., </w:t>
      </w:r>
      <w:proofErr w:type="spellStart"/>
      <w:r>
        <w:rPr>
          <w:snapToGrid w:val="0"/>
          <w:sz w:val="22"/>
          <w:szCs w:val="22"/>
          <w:lang w:eastAsia="en-US"/>
        </w:rPr>
        <w:t>sulfonilkarbamido</w:t>
      </w:r>
      <w:proofErr w:type="spellEnd"/>
      <w:r>
        <w:rPr>
          <w:snapToGrid w:val="0"/>
          <w:sz w:val="22"/>
          <w:szCs w:val="22"/>
          <w:lang w:eastAsia="en-US"/>
        </w:rPr>
        <w:t xml:space="preserve"> dariniai, gali padidinti hipoglikemijos riziką. Taigi su </w:t>
      </w:r>
      <w:proofErr w:type="spellStart"/>
      <w:r>
        <w:rPr>
          <w:snapToGrid w:val="0"/>
          <w:sz w:val="22"/>
          <w:szCs w:val="22"/>
          <w:lang w:eastAsia="en-US"/>
        </w:rPr>
        <w:t>empagliflozinu</w:t>
      </w:r>
      <w:proofErr w:type="spellEnd"/>
      <w:r>
        <w:rPr>
          <w:snapToGrid w:val="0"/>
          <w:sz w:val="22"/>
          <w:szCs w:val="22"/>
          <w:lang w:eastAsia="en-US"/>
        </w:rPr>
        <w:t xml:space="preserve"> derinamų insulino ar insulino sekreciją skatinančių vaistinių preparatų dozę gali reikėti mažinti, kad sumažėtų hipoglikemijos rizika (žr. 4.2 ir 4.8 skyrius).</w:t>
      </w:r>
    </w:p>
    <w:p w14:paraId="4A62478E" w14:textId="77777777" w:rsidR="003B31DC" w:rsidRDefault="003B31DC">
      <w:pPr>
        <w:tabs>
          <w:tab w:val="left" w:pos="567"/>
        </w:tabs>
        <w:rPr>
          <w:snapToGrid w:val="0"/>
          <w:sz w:val="22"/>
          <w:szCs w:val="22"/>
          <w:lang w:eastAsia="en-US"/>
        </w:rPr>
      </w:pPr>
    </w:p>
    <w:p w14:paraId="375FEED3" w14:textId="77777777" w:rsidR="003B31DC" w:rsidRDefault="00913CBE">
      <w:pPr>
        <w:tabs>
          <w:tab w:val="left" w:pos="567"/>
        </w:tabs>
        <w:rPr>
          <w:i/>
          <w:iCs/>
          <w:snapToGrid w:val="0"/>
          <w:sz w:val="22"/>
          <w:szCs w:val="22"/>
          <w:u w:val="single"/>
          <w:lang w:eastAsia="en-US"/>
        </w:rPr>
      </w:pPr>
      <w:proofErr w:type="spellStart"/>
      <w:r>
        <w:rPr>
          <w:i/>
          <w:iCs/>
          <w:snapToGrid w:val="0"/>
          <w:sz w:val="22"/>
          <w:szCs w:val="22"/>
          <w:u w:val="single"/>
          <w:lang w:eastAsia="en-US"/>
        </w:rPr>
        <w:t>Farmakokinetinė</w:t>
      </w:r>
      <w:proofErr w:type="spellEnd"/>
      <w:r>
        <w:rPr>
          <w:i/>
          <w:iCs/>
          <w:snapToGrid w:val="0"/>
          <w:sz w:val="22"/>
          <w:szCs w:val="22"/>
          <w:u w:val="single"/>
          <w:lang w:eastAsia="en-US"/>
        </w:rPr>
        <w:t xml:space="preserve"> sąveika</w:t>
      </w:r>
    </w:p>
    <w:p w14:paraId="7659DF21" w14:textId="77777777" w:rsidR="003B31DC" w:rsidRDefault="003B31DC">
      <w:pPr>
        <w:tabs>
          <w:tab w:val="left" w:pos="567"/>
        </w:tabs>
        <w:rPr>
          <w:i/>
          <w:iCs/>
          <w:snapToGrid w:val="0"/>
          <w:sz w:val="22"/>
          <w:szCs w:val="22"/>
          <w:lang w:eastAsia="en-US"/>
        </w:rPr>
      </w:pPr>
    </w:p>
    <w:p w14:paraId="70D1E3F4" w14:textId="77777777" w:rsidR="003B31DC" w:rsidRDefault="00913CBE">
      <w:pPr>
        <w:tabs>
          <w:tab w:val="left" w:pos="567"/>
        </w:tabs>
        <w:rPr>
          <w:i/>
          <w:iCs/>
          <w:snapToGrid w:val="0"/>
          <w:sz w:val="22"/>
          <w:szCs w:val="22"/>
          <w:lang w:eastAsia="en-US"/>
        </w:rPr>
      </w:pPr>
      <w:r>
        <w:rPr>
          <w:i/>
          <w:iCs/>
          <w:snapToGrid w:val="0"/>
          <w:sz w:val="22"/>
          <w:szCs w:val="22"/>
          <w:lang w:eastAsia="en-US"/>
        </w:rPr>
        <w:t xml:space="preserve">Kitų vaistinių preparatų poveikis </w:t>
      </w:r>
      <w:proofErr w:type="spellStart"/>
      <w:r>
        <w:rPr>
          <w:i/>
          <w:iCs/>
          <w:snapToGrid w:val="0"/>
          <w:sz w:val="22"/>
          <w:szCs w:val="22"/>
          <w:lang w:eastAsia="en-US"/>
        </w:rPr>
        <w:t>empagliflozinui</w:t>
      </w:r>
      <w:proofErr w:type="spellEnd"/>
    </w:p>
    <w:p w14:paraId="3F23084B" w14:textId="4CE9E0C0" w:rsidR="003B31DC" w:rsidRDefault="00913CBE">
      <w:pPr>
        <w:tabs>
          <w:tab w:val="left" w:pos="567"/>
        </w:tabs>
        <w:rPr>
          <w:snapToGrid w:val="0"/>
          <w:sz w:val="22"/>
          <w:szCs w:val="22"/>
          <w:lang w:eastAsia="en-US"/>
        </w:rPr>
      </w:pPr>
      <w:proofErr w:type="spellStart"/>
      <w:r>
        <w:rPr>
          <w:i/>
          <w:iCs/>
          <w:snapToGrid w:val="0"/>
          <w:sz w:val="22"/>
          <w:szCs w:val="22"/>
          <w:lang w:eastAsia="en-US"/>
        </w:rPr>
        <w:t>In</w:t>
      </w:r>
      <w:proofErr w:type="spellEnd"/>
      <w:r>
        <w:rPr>
          <w:i/>
          <w:iCs/>
          <w:snapToGrid w:val="0"/>
          <w:sz w:val="22"/>
          <w:szCs w:val="22"/>
          <w:lang w:eastAsia="en-US"/>
        </w:rPr>
        <w:t xml:space="preserve"> </w:t>
      </w:r>
      <w:proofErr w:type="spellStart"/>
      <w:r>
        <w:rPr>
          <w:i/>
          <w:iCs/>
          <w:snapToGrid w:val="0"/>
          <w:sz w:val="22"/>
          <w:szCs w:val="22"/>
          <w:lang w:eastAsia="en-US"/>
        </w:rPr>
        <w:t>vitro</w:t>
      </w:r>
      <w:proofErr w:type="spellEnd"/>
      <w:r>
        <w:rPr>
          <w:snapToGrid w:val="0"/>
          <w:sz w:val="22"/>
          <w:szCs w:val="22"/>
          <w:lang w:eastAsia="en-US"/>
        </w:rPr>
        <w:t xml:space="preserve"> duomenys rodo, kad žmonių organizme pagrindinis </w:t>
      </w:r>
      <w:proofErr w:type="spellStart"/>
      <w:r>
        <w:rPr>
          <w:snapToGrid w:val="0"/>
          <w:sz w:val="22"/>
          <w:szCs w:val="22"/>
          <w:lang w:eastAsia="en-US"/>
        </w:rPr>
        <w:t>empagliflozino</w:t>
      </w:r>
      <w:proofErr w:type="spellEnd"/>
      <w:r>
        <w:rPr>
          <w:snapToGrid w:val="0"/>
          <w:sz w:val="22"/>
          <w:szCs w:val="22"/>
          <w:lang w:eastAsia="en-US"/>
        </w:rPr>
        <w:t xml:space="preserve"> metabolizmo </w:t>
      </w:r>
      <w:r w:rsidR="00035CB5">
        <w:rPr>
          <w:snapToGrid w:val="0"/>
          <w:sz w:val="22"/>
          <w:szCs w:val="22"/>
          <w:lang w:eastAsia="en-US"/>
        </w:rPr>
        <w:t xml:space="preserve">kelias </w:t>
      </w:r>
      <w:r>
        <w:rPr>
          <w:snapToGrid w:val="0"/>
          <w:sz w:val="22"/>
          <w:szCs w:val="22"/>
          <w:lang w:eastAsia="en-US"/>
        </w:rPr>
        <w:t xml:space="preserve">yra </w:t>
      </w:r>
      <w:proofErr w:type="spellStart"/>
      <w:r>
        <w:rPr>
          <w:snapToGrid w:val="0"/>
          <w:sz w:val="22"/>
          <w:szCs w:val="22"/>
          <w:lang w:eastAsia="en-US"/>
        </w:rPr>
        <w:t>gliukuronizavimas</w:t>
      </w:r>
      <w:proofErr w:type="spellEnd"/>
      <w:r>
        <w:rPr>
          <w:snapToGrid w:val="0"/>
          <w:sz w:val="22"/>
          <w:szCs w:val="22"/>
          <w:lang w:eastAsia="en-US"/>
        </w:rPr>
        <w:t xml:space="preserve"> veikiant </w:t>
      </w:r>
      <w:proofErr w:type="spellStart"/>
      <w:r>
        <w:rPr>
          <w:snapToGrid w:val="0"/>
          <w:sz w:val="22"/>
          <w:szCs w:val="22"/>
          <w:lang w:eastAsia="en-US"/>
        </w:rPr>
        <w:t>uridino</w:t>
      </w:r>
      <w:proofErr w:type="spellEnd"/>
      <w:r>
        <w:rPr>
          <w:snapToGrid w:val="0"/>
          <w:sz w:val="22"/>
          <w:szCs w:val="22"/>
          <w:lang w:eastAsia="en-US"/>
        </w:rPr>
        <w:t xml:space="preserve"> 5‘-difosfogliukuronoziltransferazėms UGT1A3, UGT1A8, UGT1A9 ir </w:t>
      </w:r>
      <w:r>
        <w:rPr>
          <w:snapToGrid w:val="0"/>
          <w:sz w:val="22"/>
          <w:szCs w:val="22"/>
          <w:lang w:eastAsia="en-US"/>
        </w:rPr>
        <w:lastRenderedPageBreak/>
        <w:t xml:space="preserve">UGT2B7. Žmogaus organizme </w:t>
      </w:r>
      <w:proofErr w:type="spellStart"/>
      <w:r>
        <w:rPr>
          <w:snapToGrid w:val="0"/>
          <w:sz w:val="22"/>
          <w:szCs w:val="22"/>
          <w:lang w:eastAsia="en-US"/>
        </w:rPr>
        <w:t>empagliflozinas</w:t>
      </w:r>
      <w:proofErr w:type="spellEnd"/>
      <w:r>
        <w:rPr>
          <w:snapToGrid w:val="0"/>
          <w:sz w:val="22"/>
          <w:szCs w:val="22"/>
          <w:lang w:eastAsia="en-US"/>
        </w:rPr>
        <w:t xml:space="preserve"> yra </w:t>
      </w:r>
      <w:r w:rsidR="00887BBE">
        <w:rPr>
          <w:snapToGrid w:val="0"/>
          <w:sz w:val="22"/>
          <w:szCs w:val="22"/>
          <w:lang w:eastAsia="en-US"/>
        </w:rPr>
        <w:t>pernašos baltymų</w:t>
      </w:r>
      <w:r>
        <w:rPr>
          <w:snapToGrid w:val="0"/>
          <w:sz w:val="22"/>
          <w:szCs w:val="22"/>
          <w:lang w:eastAsia="en-US"/>
        </w:rPr>
        <w:t xml:space="preserve"> OAT3, OATP1B1 ir OATP1B3</w:t>
      </w:r>
      <w:r w:rsidR="00F838FD">
        <w:rPr>
          <w:snapToGrid w:val="0"/>
          <w:sz w:val="22"/>
          <w:szCs w:val="22"/>
          <w:lang w:eastAsia="en-US"/>
        </w:rPr>
        <w:t xml:space="preserve"> substratas</w:t>
      </w:r>
      <w:r>
        <w:rPr>
          <w:snapToGrid w:val="0"/>
          <w:sz w:val="22"/>
          <w:szCs w:val="22"/>
          <w:lang w:eastAsia="en-US"/>
        </w:rPr>
        <w:t xml:space="preserve">, bet ne OAT1 ir OCT2 substratas. </w:t>
      </w:r>
      <w:proofErr w:type="spellStart"/>
      <w:r>
        <w:rPr>
          <w:snapToGrid w:val="0"/>
          <w:sz w:val="22"/>
          <w:szCs w:val="22"/>
          <w:lang w:eastAsia="en-US"/>
        </w:rPr>
        <w:t>Empagliflozinas</w:t>
      </w:r>
      <w:proofErr w:type="spellEnd"/>
      <w:r>
        <w:rPr>
          <w:snapToGrid w:val="0"/>
          <w:sz w:val="22"/>
          <w:szCs w:val="22"/>
          <w:lang w:eastAsia="en-US"/>
        </w:rPr>
        <w:t xml:space="preserve"> yra P </w:t>
      </w:r>
      <w:proofErr w:type="spellStart"/>
      <w:r>
        <w:rPr>
          <w:snapToGrid w:val="0"/>
          <w:sz w:val="22"/>
          <w:szCs w:val="22"/>
          <w:lang w:eastAsia="en-US"/>
        </w:rPr>
        <w:t>glikoproteino</w:t>
      </w:r>
      <w:proofErr w:type="spellEnd"/>
      <w:r>
        <w:rPr>
          <w:snapToGrid w:val="0"/>
          <w:sz w:val="22"/>
          <w:szCs w:val="22"/>
          <w:lang w:eastAsia="en-US"/>
        </w:rPr>
        <w:t xml:space="preserve"> (P-</w:t>
      </w:r>
      <w:proofErr w:type="spellStart"/>
      <w:r>
        <w:rPr>
          <w:snapToGrid w:val="0"/>
          <w:sz w:val="22"/>
          <w:szCs w:val="22"/>
          <w:lang w:eastAsia="en-US"/>
        </w:rPr>
        <w:t>gp</w:t>
      </w:r>
      <w:proofErr w:type="spellEnd"/>
      <w:r>
        <w:rPr>
          <w:snapToGrid w:val="0"/>
          <w:sz w:val="22"/>
          <w:szCs w:val="22"/>
          <w:lang w:eastAsia="en-US"/>
        </w:rPr>
        <w:t>) ir krūties vėžio atsparumo baltymo (KVAB) substratas.</w:t>
      </w:r>
    </w:p>
    <w:p w14:paraId="3E01FA71" w14:textId="77777777" w:rsidR="003B31DC" w:rsidRDefault="003B31DC">
      <w:pPr>
        <w:tabs>
          <w:tab w:val="left" w:pos="567"/>
        </w:tabs>
        <w:rPr>
          <w:snapToGrid w:val="0"/>
          <w:sz w:val="22"/>
          <w:szCs w:val="22"/>
          <w:lang w:eastAsia="en-US"/>
        </w:rPr>
      </w:pPr>
    </w:p>
    <w:p w14:paraId="6CF188AE" w14:textId="7575F273" w:rsidR="003B31DC" w:rsidRDefault="00913CBE">
      <w:pPr>
        <w:tabs>
          <w:tab w:val="left" w:pos="567"/>
        </w:tabs>
        <w:rPr>
          <w:snapToGrid w:val="0"/>
          <w:sz w:val="22"/>
          <w:szCs w:val="22"/>
          <w:lang w:eastAsia="en-US"/>
        </w:rPr>
      </w:pPr>
      <w:proofErr w:type="spellStart"/>
      <w:r>
        <w:rPr>
          <w:snapToGrid w:val="0"/>
          <w:sz w:val="22"/>
          <w:szCs w:val="22"/>
          <w:lang w:eastAsia="en-US"/>
        </w:rPr>
        <w:t>Empagliflozinu</w:t>
      </w:r>
      <w:proofErr w:type="spellEnd"/>
      <w:r>
        <w:rPr>
          <w:snapToGrid w:val="0"/>
          <w:sz w:val="22"/>
          <w:szCs w:val="22"/>
          <w:lang w:eastAsia="en-US"/>
        </w:rPr>
        <w:t xml:space="preserve"> gydant kartu su UGT fermentų ir OAT3 inhibitoriumi </w:t>
      </w:r>
      <w:proofErr w:type="spellStart"/>
      <w:r>
        <w:rPr>
          <w:snapToGrid w:val="0"/>
          <w:sz w:val="22"/>
          <w:szCs w:val="22"/>
          <w:lang w:eastAsia="en-US"/>
        </w:rPr>
        <w:t>probenecidu</w:t>
      </w:r>
      <w:proofErr w:type="spellEnd"/>
      <w:r>
        <w:rPr>
          <w:snapToGrid w:val="0"/>
          <w:sz w:val="22"/>
          <w:szCs w:val="22"/>
          <w:lang w:eastAsia="en-US"/>
        </w:rPr>
        <w:t xml:space="preserve">, didžiausia </w:t>
      </w:r>
      <w:proofErr w:type="spellStart"/>
      <w:r>
        <w:rPr>
          <w:snapToGrid w:val="0"/>
          <w:sz w:val="22"/>
          <w:szCs w:val="22"/>
          <w:lang w:eastAsia="en-US"/>
        </w:rPr>
        <w:t>empagliflozino</w:t>
      </w:r>
      <w:proofErr w:type="spellEnd"/>
      <w:r>
        <w:rPr>
          <w:snapToGrid w:val="0"/>
          <w:sz w:val="22"/>
          <w:szCs w:val="22"/>
          <w:lang w:eastAsia="en-US"/>
        </w:rPr>
        <w:t xml:space="preserve"> koncentracija kraujo plazmoje (angl. </w:t>
      </w:r>
      <w:proofErr w:type="spellStart"/>
      <w:r>
        <w:rPr>
          <w:snapToGrid w:val="0"/>
          <w:sz w:val="22"/>
          <w:szCs w:val="22"/>
          <w:lang w:eastAsia="en-US"/>
        </w:rPr>
        <w:t>Cmax</w:t>
      </w:r>
      <w:proofErr w:type="spellEnd"/>
      <w:r>
        <w:rPr>
          <w:snapToGrid w:val="0"/>
          <w:sz w:val="22"/>
          <w:szCs w:val="22"/>
          <w:lang w:eastAsia="en-US"/>
        </w:rPr>
        <w:t xml:space="preserve">) </w:t>
      </w:r>
      <w:r w:rsidR="00665E7F">
        <w:rPr>
          <w:snapToGrid w:val="0"/>
          <w:sz w:val="22"/>
          <w:szCs w:val="22"/>
          <w:lang w:eastAsia="en-US"/>
        </w:rPr>
        <w:t xml:space="preserve">padidėjo 26 %, o </w:t>
      </w:r>
      <w:r>
        <w:rPr>
          <w:snapToGrid w:val="0"/>
          <w:sz w:val="22"/>
          <w:szCs w:val="22"/>
          <w:lang w:eastAsia="en-US"/>
        </w:rPr>
        <w:t xml:space="preserve"> </w:t>
      </w:r>
      <w:r w:rsidR="00665E7F">
        <w:rPr>
          <w:snapToGrid w:val="0"/>
          <w:sz w:val="22"/>
          <w:szCs w:val="22"/>
          <w:lang w:eastAsia="en-US"/>
        </w:rPr>
        <w:t xml:space="preserve">plotas po koncentracijos </w:t>
      </w:r>
      <w:r w:rsidR="00F01508">
        <w:rPr>
          <w:snapToGrid w:val="0"/>
          <w:sz w:val="22"/>
          <w:szCs w:val="22"/>
          <w:lang w:eastAsia="en-US"/>
        </w:rPr>
        <w:t xml:space="preserve">ir laiko kreive (angl. AUC) padidėjo </w:t>
      </w:r>
      <w:r>
        <w:rPr>
          <w:snapToGrid w:val="0"/>
          <w:sz w:val="22"/>
          <w:szCs w:val="22"/>
          <w:lang w:eastAsia="en-US"/>
        </w:rPr>
        <w:t>53 % . Manoma, kad šie pokyčiai yra kliniškai nereikšmingi.</w:t>
      </w:r>
    </w:p>
    <w:p w14:paraId="09156DEE" w14:textId="77777777" w:rsidR="003B31DC" w:rsidRDefault="003B31DC">
      <w:pPr>
        <w:tabs>
          <w:tab w:val="left" w:pos="567"/>
        </w:tabs>
        <w:rPr>
          <w:snapToGrid w:val="0"/>
          <w:sz w:val="22"/>
          <w:szCs w:val="22"/>
          <w:lang w:eastAsia="en-US"/>
        </w:rPr>
      </w:pPr>
    </w:p>
    <w:p w14:paraId="1626FA89" w14:textId="77777777" w:rsidR="003B31DC" w:rsidRDefault="00913CBE">
      <w:pPr>
        <w:tabs>
          <w:tab w:val="left" w:pos="567"/>
        </w:tabs>
        <w:rPr>
          <w:snapToGrid w:val="0"/>
          <w:sz w:val="22"/>
          <w:szCs w:val="22"/>
          <w:lang w:eastAsia="en-US"/>
        </w:rPr>
      </w:pPr>
      <w:r>
        <w:rPr>
          <w:snapToGrid w:val="0"/>
          <w:sz w:val="22"/>
          <w:szCs w:val="22"/>
          <w:lang w:eastAsia="en-US"/>
        </w:rPr>
        <w:t xml:space="preserve">UGT indukcijos (pvz., </w:t>
      </w:r>
      <w:proofErr w:type="spellStart"/>
      <w:r>
        <w:rPr>
          <w:snapToGrid w:val="0"/>
          <w:sz w:val="22"/>
          <w:szCs w:val="22"/>
          <w:lang w:eastAsia="en-US"/>
        </w:rPr>
        <w:t>rifampicino</w:t>
      </w:r>
      <w:proofErr w:type="spellEnd"/>
      <w:r>
        <w:rPr>
          <w:snapToGrid w:val="0"/>
          <w:sz w:val="22"/>
          <w:szCs w:val="22"/>
          <w:lang w:eastAsia="en-US"/>
        </w:rPr>
        <w:t xml:space="preserve"> arba </w:t>
      </w:r>
      <w:proofErr w:type="spellStart"/>
      <w:r>
        <w:rPr>
          <w:snapToGrid w:val="0"/>
          <w:sz w:val="22"/>
          <w:szCs w:val="22"/>
          <w:lang w:eastAsia="en-US"/>
        </w:rPr>
        <w:t>fenitoino</w:t>
      </w:r>
      <w:proofErr w:type="spellEnd"/>
      <w:r>
        <w:rPr>
          <w:snapToGrid w:val="0"/>
          <w:sz w:val="22"/>
          <w:szCs w:val="22"/>
          <w:lang w:eastAsia="en-US"/>
        </w:rPr>
        <w:t xml:space="preserve"> sukeliamos indukcijos) poveikis </w:t>
      </w:r>
      <w:proofErr w:type="spellStart"/>
      <w:r>
        <w:rPr>
          <w:snapToGrid w:val="0"/>
          <w:sz w:val="22"/>
          <w:szCs w:val="22"/>
          <w:lang w:eastAsia="en-US"/>
        </w:rPr>
        <w:t>empagliflozinui</w:t>
      </w:r>
      <w:proofErr w:type="spellEnd"/>
      <w:r>
        <w:rPr>
          <w:snapToGrid w:val="0"/>
          <w:sz w:val="22"/>
          <w:szCs w:val="22"/>
          <w:lang w:eastAsia="en-US"/>
        </w:rPr>
        <w:t xml:space="preserve"> nebuvo tirtas. Gydyti kartu su žinomais UGT fermentų </w:t>
      </w:r>
      <w:proofErr w:type="spellStart"/>
      <w:r>
        <w:rPr>
          <w:snapToGrid w:val="0"/>
          <w:sz w:val="22"/>
          <w:szCs w:val="22"/>
          <w:lang w:eastAsia="en-US"/>
        </w:rPr>
        <w:t>induktoriais</w:t>
      </w:r>
      <w:proofErr w:type="spellEnd"/>
      <w:r>
        <w:rPr>
          <w:snapToGrid w:val="0"/>
          <w:sz w:val="22"/>
          <w:szCs w:val="22"/>
          <w:lang w:eastAsia="en-US"/>
        </w:rPr>
        <w:t xml:space="preserve"> nerekomenduojama dėl galimos veiksmingumo sumažėjimo rizikos. Jeigu reikia skirti šių UGT fermentų </w:t>
      </w:r>
      <w:proofErr w:type="spellStart"/>
      <w:r>
        <w:rPr>
          <w:snapToGrid w:val="0"/>
          <w:sz w:val="22"/>
          <w:szCs w:val="22"/>
          <w:lang w:eastAsia="en-US"/>
        </w:rPr>
        <w:t>induktorių</w:t>
      </w:r>
      <w:proofErr w:type="spellEnd"/>
      <w:r>
        <w:rPr>
          <w:snapToGrid w:val="0"/>
          <w:sz w:val="22"/>
          <w:szCs w:val="22"/>
          <w:lang w:eastAsia="en-US"/>
        </w:rPr>
        <w:t xml:space="preserve"> kartu, patartina stebėti </w:t>
      </w:r>
      <w:proofErr w:type="spellStart"/>
      <w:r>
        <w:rPr>
          <w:snapToGrid w:val="0"/>
          <w:sz w:val="22"/>
          <w:szCs w:val="22"/>
          <w:lang w:eastAsia="en-US"/>
        </w:rPr>
        <w:t>glikemijos</w:t>
      </w:r>
      <w:proofErr w:type="spellEnd"/>
      <w:r>
        <w:rPr>
          <w:snapToGrid w:val="0"/>
          <w:sz w:val="22"/>
          <w:szCs w:val="22"/>
          <w:lang w:eastAsia="en-US"/>
        </w:rPr>
        <w:t xml:space="preserve"> kontrolę, kad būtų galima įvertinti reakciją į </w:t>
      </w:r>
      <w:proofErr w:type="spellStart"/>
      <w:r>
        <w:rPr>
          <w:snapToGrid w:val="0"/>
          <w:sz w:val="22"/>
          <w:szCs w:val="22"/>
          <w:lang w:eastAsia="en-US"/>
        </w:rPr>
        <w:t>Mempoglyn</w:t>
      </w:r>
      <w:proofErr w:type="spellEnd"/>
      <w:r>
        <w:rPr>
          <w:snapToGrid w:val="0"/>
          <w:sz w:val="22"/>
          <w:szCs w:val="22"/>
          <w:lang w:eastAsia="en-US"/>
        </w:rPr>
        <w:t>.</w:t>
      </w:r>
    </w:p>
    <w:p w14:paraId="706620A6" w14:textId="77777777" w:rsidR="003B31DC" w:rsidRDefault="003B31DC">
      <w:pPr>
        <w:tabs>
          <w:tab w:val="left" w:pos="567"/>
        </w:tabs>
        <w:rPr>
          <w:snapToGrid w:val="0"/>
          <w:sz w:val="22"/>
          <w:szCs w:val="22"/>
          <w:lang w:eastAsia="en-US"/>
        </w:rPr>
      </w:pPr>
    </w:p>
    <w:p w14:paraId="18FF7A11" w14:textId="00FC0240" w:rsidR="003B31DC" w:rsidRDefault="00913CBE">
      <w:pPr>
        <w:tabs>
          <w:tab w:val="left" w:pos="567"/>
        </w:tabs>
        <w:rPr>
          <w:snapToGrid w:val="0"/>
          <w:sz w:val="22"/>
          <w:szCs w:val="22"/>
          <w:lang w:eastAsia="en-US"/>
        </w:rPr>
      </w:pPr>
      <w:r>
        <w:rPr>
          <w:snapToGrid w:val="0"/>
          <w:sz w:val="22"/>
          <w:szCs w:val="22"/>
          <w:lang w:eastAsia="en-US"/>
        </w:rPr>
        <w:t xml:space="preserve">Sąveikos su </w:t>
      </w:r>
      <w:proofErr w:type="spellStart"/>
      <w:r>
        <w:rPr>
          <w:snapToGrid w:val="0"/>
          <w:sz w:val="22"/>
          <w:szCs w:val="22"/>
          <w:lang w:eastAsia="en-US"/>
        </w:rPr>
        <w:t>gemfibroziliu</w:t>
      </w:r>
      <w:proofErr w:type="spellEnd"/>
      <w:r>
        <w:rPr>
          <w:snapToGrid w:val="0"/>
          <w:sz w:val="22"/>
          <w:szCs w:val="22"/>
          <w:lang w:eastAsia="en-US"/>
        </w:rPr>
        <w:t xml:space="preserve"> </w:t>
      </w:r>
      <w:r w:rsidR="00DE7312">
        <w:rPr>
          <w:snapToGrid w:val="0"/>
          <w:sz w:val="22"/>
          <w:szCs w:val="22"/>
          <w:lang w:eastAsia="en-US"/>
        </w:rPr>
        <w:t>(</w:t>
      </w:r>
      <w:proofErr w:type="spellStart"/>
      <w:r w:rsidR="00DE7312" w:rsidRPr="00FA2F7A">
        <w:rPr>
          <w:i/>
          <w:iCs/>
          <w:snapToGrid w:val="0"/>
          <w:sz w:val="22"/>
          <w:szCs w:val="22"/>
          <w:lang w:eastAsia="en-US"/>
        </w:rPr>
        <w:t>in</w:t>
      </w:r>
      <w:proofErr w:type="spellEnd"/>
      <w:r w:rsidR="00DE7312" w:rsidRPr="00FA2F7A">
        <w:rPr>
          <w:i/>
          <w:iCs/>
          <w:snapToGrid w:val="0"/>
          <w:sz w:val="22"/>
          <w:szCs w:val="22"/>
          <w:lang w:eastAsia="en-US"/>
        </w:rPr>
        <w:t xml:space="preserve"> </w:t>
      </w:r>
      <w:proofErr w:type="spellStart"/>
      <w:r w:rsidR="00DE7312" w:rsidRPr="00FA2F7A">
        <w:rPr>
          <w:i/>
          <w:iCs/>
          <w:snapToGrid w:val="0"/>
          <w:sz w:val="22"/>
          <w:szCs w:val="22"/>
          <w:lang w:eastAsia="en-US"/>
        </w:rPr>
        <w:t>vitro</w:t>
      </w:r>
      <w:proofErr w:type="spellEnd"/>
      <w:r w:rsidR="00DE7312">
        <w:rPr>
          <w:snapToGrid w:val="0"/>
          <w:sz w:val="22"/>
          <w:szCs w:val="22"/>
          <w:lang w:eastAsia="en-US"/>
        </w:rPr>
        <w:t xml:space="preserve"> </w:t>
      </w:r>
      <w:r>
        <w:rPr>
          <w:snapToGrid w:val="0"/>
          <w:sz w:val="22"/>
          <w:szCs w:val="22"/>
          <w:lang w:eastAsia="en-US"/>
        </w:rPr>
        <w:t xml:space="preserve">OAT3 ir OATP1B1/1B3 </w:t>
      </w:r>
      <w:r w:rsidR="00322632">
        <w:rPr>
          <w:snapToGrid w:val="0"/>
          <w:sz w:val="22"/>
          <w:szCs w:val="22"/>
          <w:lang w:eastAsia="en-US"/>
        </w:rPr>
        <w:t xml:space="preserve">pernašos baltymų </w:t>
      </w:r>
      <w:r>
        <w:rPr>
          <w:snapToGrid w:val="0"/>
          <w:sz w:val="22"/>
          <w:szCs w:val="22"/>
          <w:lang w:eastAsia="en-US"/>
        </w:rPr>
        <w:t>inhibitoriumi</w:t>
      </w:r>
      <w:r w:rsidR="00322632">
        <w:rPr>
          <w:snapToGrid w:val="0"/>
          <w:sz w:val="22"/>
          <w:szCs w:val="22"/>
          <w:lang w:eastAsia="en-US"/>
        </w:rPr>
        <w:t>)</w:t>
      </w:r>
      <w:r>
        <w:rPr>
          <w:snapToGrid w:val="0"/>
          <w:sz w:val="22"/>
          <w:szCs w:val="22"/>
          <w:lang w:eastAsia="en-US"/>
        </w:rPr>
        <w:t xml:space="preserve">, tyrimas parodė, kad kartu pavartoto </w:t>
      </w:r>
      <w:proofErr w:type="spellStart"/>
      <w:r>
        <w:rPr>
          <w:snapToGrid w:val="0"/>
          <w:sz w:val="22"/>
          <w:szCs w:val="22"/>
          <w:lang w:eastAsia="en-US"/>
        </w:rPr>
        <w:t>empagliflozino</w:t>
      </w:r>
      <w:proofErr w:type="spellEnd"/>
      <w:r>
        <w:rPr>
          <w:snapToGrid w:val="0"/>
          <w:sz w:val="22"/>
          <w:szCs w:val="22"/>
          <w:lang w:eastAsia="en-US"/>
        </w:rPr>
        <w:t xml:space="preserve"> </w:t>
      </w:r>
      <w:proofErr w:type="spellStart"/>
      <w:r>
        <w:rPr>
          <w:snapToGrid w:val="0"/>
          <w:sz w:val="22"/>
          <w:szCs w:val="22"/>
          <w:lang w:eastAsia="en-US"/>
        </w:rPr>
        <w:t>Cmax</w:t>
      </w:r>
      <w:proofErr w:type="spellEnd"/>
      <w:r>
        <w:rPr>
          <w:snapToGrid w:val="0"/>
          <w:sz w:val="22"/>
          <w:szCs w:val="22"/>
          <w:lang w:eastAsia="en-US"/>
        </w:rPr>
        <w:t xml:space="preserve"> padidėjo 15 %, AUC – 59 %. Manoma, kad šie pokyčiai yra kliniškai nereikšmingi.</w:t>
      </w:r>
    </w:p>
    <w:p w14:paraId="1BFA9819" w14:textId="77777777" w:rsidR="003B31DC" w:rsidRDefault="003B31DC">
      <w:pPr>
        <w:tabs>
          <w:tab w:val="left" w:pos="567"/>
        </w:tabs>
        <w:rPr>
          <w:snapToGrid w:val="0"/>
          <w:sz w:val="22"/>
          <w:szCs w:val="22"/>
          <w:lang w:eastAsia="en-US"/>
        </w:rPr>
      </w:pPr>
    </w:p>
    <w:p w14:paraId="77A9BA37" w14:textId="5EEF06AC" w:rsidR="003B31DC" w:rsidRDefault="0066166A">
      <w:pPr>
        <w:tabs>
          <w:tab w:val="left" w:pos="567"/>
        </w:tabs>
        <w:rPr>
          <w:snapToGrid w:val="0"/>
          <w:sz w:val="22"/>
          <w:szCs w:val="22"/>
          <w:lang w:eastAsia="en-US"/>
        </w:rPr>
      </w:pPr>
      <w:r w:rsidRPr="00FA2F7A">
        <w:rPr>
          <w:sz w:val="22"/>
          <w:szCs w:val="22"/>
        </w:rPr>
        <w:t xml:space="preserve">Vartojant kartu su </w:t>
      </w:r>
      <w:proofErr w:type="spellStart"/>
      <w:r w:rsidRPr="00FA2F7A">
        <w:rPr>
          <w:sz w:val="22"/>
          <w:szCs w:val="22"/>
        </w:rPr>
        <w:t>rifampicinu</w:t>
      </w:r>
      <w:proofErr w:type="spellEnd"/>
      <w:r w:rsidRPr="00FA2F7A">
        <w:rPr>
          <w:sz w:val="22"/>
          <w:szCs w:val="22"/>
        </w:rPr>
        <w:t xml:space="preserve">, kuris slopina OATP1B1/1B3 pernašos baltymus, </w:t>
      </w:r>
      <w:proofErr w:type="spellStart"/>
      <w:r w:rsidR="00913CBE" w:rsidRPr="0066166A">
        <w:rPr>
          <w:snapToGrid w:val="0"/>
          <w:sz w:val="22"/>
          <w:szCs w:val="22"/>
          <w:lang w:eastAsia="en-US"/>
        </w:rPr>
        <w:t>em</w:t>
      </w:r>
      <w:r w:rsidR="00913CBE">
        <w:rPr>
          <w:snapToGrid w:val="0"/>
          <w:sz w:val="22"/>
          <w:szCs w:val="22"/>
          <w:lang w:eastAsia="en-US"/>
        </w:rPr>
        <w:t>pagliflozino</w:t>
      </w:r>
      <w:proofErr w:type="spellEnd"/>
      <w:r w:rsidR="00913CBE">
        <w:rPr>
          <w:snapToGrid w:val="0"/>
          <w:sz w:val="22"/>
          <w:szCs w:val="22"/>
          <w:lang w:eastAsia="en-US"/>
        </w:rPr>
        <w:t xml:space="preserve"> </w:t>
      </w:r>
      <w:proofErr w:type="spellStart"/>
      <w:r w:rsidR="00913CBE">
        <w:rPr>
          <w:snapToGrid w:val="0"/>
          <w:sz w:val="22"/>
          <w:szCs w:val="22"/>
          <w:lang w:eastAsia="en-US"/>
        </w:rPr>
        <w:t>Cmax</w:t>
      </w:r>
      <w:proofErr w:type="spellEnd"/>
      <w:r w:rsidR="00913CBE">
        <w:rPr>
          <w:snapToGrid w:val="0"/>
          <w:sz w:val="22"/>
          <w:szCs w:val="22"/>
          <w:lang w:eastAsia="en-US"/>
        </w:rPr>
        <w:t xml:space="preserve"> padidėjo 75 %, AUC – 35 %. Manoma, kad šie pokyčiai yra kliniškai nereikšmingi.</w:t>
      </w:r>
    </w:p>
    <w:p w14:paraId="4559C698" w14:textId="77777777" w:rsidR="003B31DC" w:rsidRDefault="00913CBE">
      <w:pPr>
        <w:tabs>
          <w:tab w:val="left" w:pos="567"/>
        </w:tabs>
        <w:rPr>
          <w:snapToGrid w:val="0"/>
          <w:sz w:val="22"/>
          <w:szCs w:val="22"/>
          <w:lang w:eastAsia="en-US"/>
        </w:rPr>
      </w:pPr>
      <w:r>
        <w:rPr>
          <w:snapToGrid w:val="0"/>
          <w:sz w:val="22"/>
          <w:szCs w:val="22"/>
          <w:lang w:eastAsia="en-US"/>
        </w:rPr>
        <w:t>Kartu su P-</w:t>
      </w:r>
      <w:proofErr w:type="spellStart"/>
      <w:r>
        <w:rPr>
          <w:snapToGrid w:val="0"/>
          <w:sz w:val="22"/>
          <w:szCs w:val="22"/>
          <w:lang w:eastAsia="en-US"/>
        </w:rPr>
        <w:t>gp</w:t>
      </w:r>
      <w:proofErr w:type="spellEnd"/>
      <w:r>
        <w:rPr>
          <w:snapToGrid w:val="0"/>
          <w:sz w:val="22"/>
          <w:szCs w:val="22"/>
          <w:lang w:eastAsia="en-US"/>
        </w:rPr>
        <w:t xml:space="preserve"> inhibitoriumi </w:t>
      </w:r>
      <w:proofErr w:type="spellStart"/>
      <w:r>
        <w:rPr>
          <w:snapToGrid w:val="0"/>
          <w:sz w:val="22"/>
          <w:szCs w:val="22"/>
          <w:lang w:eastAsia="en-US"/>
        </w:rPr>
        <w:t>verapamiliu</w:t>
      </w:r>
      <w:proofErr w:type="spellEnd"/>
      <w:r>
        <w:rPr>
          <w:snapToGrid w:val="0"/>
          <w:sz w:val="22"/>
          <w:szCs w:val="22"/>
          <w:lang w:eastAsia="en-US"/>
        </w:rPr>
        <w:t xml:space="preserve"> arba be jo vartojamo </w:t>
      </w:r>
      <w:proofErr w:type="spellStart"/>
      <w:r>
        <w:rPr>
          <w:snapToGrid w:val="0"/>
          <w:sz w:val="22"/>
          <w:szCs w:val="22"/>
          <w:lang w:eastAsia="en-US"/>
        </w:rPr>
        <w:t>empagliflozino</w:t>
      </w:r>
      <w:proofErr w:type="spellEnd"/>
      <w:r>
        <w:rPr>
          <w:snapToGrid w:val="0"/>
          <w:sz w:val="22"/>
          <w:szCs w:val="22"/>
          <w:lang w:eastAsia="en-US"/>
        </w:rPr>
        <w:t xml:space="preserve"> ekspozicija buvo panaši. Tai rodo, jog P-</w:t>
      </w:r>
      <w:proofErr w:type="spellStart"/>
      <w:r>
        <w:rPr>
          <w:snapToGrid w:val="0"/>
          <w:sz w:val="22"/>
          <w:szCs w:val="22"/>
          <w:lang w:eastAsia="en-US"/>
        </w:rPr>
        <w:t>gp</w:t>
      </w:r>
      <w:proofErr w:type="spellEnd"/>
      <w:r>
        <w:rPr>
          <w:snapToGrid w:val="0"/>
          <w:sz w:val="22"/>
          <w:szCs w:val="22"/>
          <w:lang w:eastAsia="en-US"/>
        </w:rPr>
        <w:t xml:space="preserve"> slopinimas neturi kliniškai reikšmingo poveikio </w:t>
      </w:r>
      <w:proofErr w:type="spellStart"/>
      <w:r>
        <w:rPr>
          <w:snapToGrid w:val="0"/>
          <w:sz w:val="22"/>
          <w:szCs w:val="22"/>
          <w:lang w:eastAsia="en-US"/>
        </w:rPr>
        <w:t>empagliflozinui</w:t>
      </w:r>
      <w:proofErr w:type="spellEnd"/>
      <w:r>
        <w:rPr>
          <w:snapToGrid w:val="0"/>
          <w:sz w:val="22"/>
          <w:szCs w:val="22"/>
          <w:lang w:eastAsia="en-US"/>
        </w:rPr>
        <w:t>.</w:t>
      </w:r>
    </w:p>
    <w:p w14:paraId="20247D61" w14:textId="77777777" w:rsidR="003B31DC" w:rsidRDefault="003B31DC">
      <w:pPr>
        <w:tabs>
          <w:tab w:val="left" w:pos="567"/>
        </w:tabs>
        <w:rPr>
          <w:snapToGrid w:val="0"/>
          <w:sz w:val="22"/>
          <w:szCs w:val="22"/>
          <w:lang w:eastAsia="en-US"/>
        </w:rPr>
      </w:pPr>
    </w:p>
    <w:p w14:paraId="32EAA2A5" w14:textId="77777777" w:rsidR="003B31DC" w:rsidRDefault="00913CBE">
      <w:pPr>
        <w:tabs>
          <w:tab w:val="left" w:pos="567"/>
        </w:tabs>
        <w:rPr>
          <w:snapToGrid w:val="0"/>
          <w:sz w:val="22"/>
          <w:szCs w:val="22"/>
          <w:lang w:eastAsia="en-US"/>
        </w:rPr>
      </w:pPr>
      <w:r>
        <w:rPr>
          <w:snapToGrid w:val="0"/>
          <w:sz w:val="22"/>
          <w:szCs w:val="22"/>
          <w:lang w:eastAsia="en-US"/>
        </w:rPr>
        <w:t xml:space="preserve">Sąveikos tyrimai rodo, kad kartu vartojamas </w:t>
      </w:r>
      <w:proofErr w:type="spellStart"/>
      <w:r>
        <w:rPr>
          <w:snapToGrid w:val="0"/>
          <w:sz w:val="22"/>
          <w:szCs w:val="22"/>
          <w:lang w:eastAsia="en-US"/>
        </w:rPr>
        <w:t>metforminas</w:t>
      </w:r>
      <w:proofErr w:type="spellEnd"/>
      <w:r>
        <w:rPr>
          <w:snapToGrid w:val="0"/>
          <w:sz w:val="22"/>
          <w:szCs w:val="22"/>
          <w:lang w:eastAsia="en-US"/>
        </w:rPr>
        <w:t xml:space="preserve">, </w:t>
      </w:r>
      <w:proofErr w:type="spellStart"/>
      <w:r>
        <w:rPr>
          <w:snapToGrid w:val="0"/>
          <w:sz w:val="22"/>
          <w:szCs w:val="22"/>
          <w:lang w:eastAsia="en-US"/>
        </w:rPr>
        <w:t>glimepiridas</w:t>
      </w:r>
      <w:proofErr w:type="spellEnd"/>
      <w:r>
        <w:rPr>
          <w:snapToGrid w:val="0"/>
          <w:sz w:val="22"/>
          <w:szCs w:val="22"/>
          <w:lang w:eastAsia="en-US"/>
        </w:rPr>
        <w:t xml:space="preserve">, </w:t>
      </w:r>
      <w:proofErr w:type="spellStart"/>
      <w:r>
        <w:rPr>
          <w:snapToGrid w:val="0"/>
          <w:sz w:val="22"/>
          <w:szCs w:val="22"/>
          <w:lang w:eastAsia="en-US"/>
        </w:rPr>
        <w:t>pioglitazonas</w:t>
      </w:r>
      <w:proofErr w:type="spellEnd"/>
      <w:r>
        <w:rPr>
          <w:snapToGrid w:val="0"/>
          <w:sz w:val="22"/>
          <w:szCs w:val="22"/>
          <w:lang w:eastAsia="en-US"/>
        </w:rPr>
        <w:t xml:space="preserve">, </w:t>
      </w:r>
      <w:proofErr w:type="spellStart"/>
      <w:r>
        <w:rPr>
          <w:snapToGrid w:val="0"/>
          <w:sz w:val="22"/>
          <w:szCs w:val="22"/>
          <w:lang w:eastAsia="en-US"/>
        </w:rPr>
        <w:t>sitagliptinas</w:t>
      </w:r>
      <w:proofErr w:type="spellEnd"/>
      <w:r>
        <w:rPr>
          <w:snapToGrid w:val="0"/>
          <w:sz w:val="22"/>
          <w:szCs w:val="22"/>
          <w:lang w:eastAsia="en-US"/>
        </w:rPr>
        <w:t xml:space="preserve">, </w:t>
      </w:r>
      <w:proofErr w:type="spellStart"/>
      <w:r>
        <w:rPr>
          <w:snapToGrid w:val="0"/>
          <w:sz w:val="22"/>
          <w:szCs w:val="22"/>
          <w:lang w:eastAsia="en-US"/>
        </w:rPr>
        <w:t>linagliptinas</w:t>
      </w:r>
      <w:proofErr w:type="spellEnd"/>
      <w:r>
        <w:rPr>
          <w:snapToGrid w:val="0"/>
          <w:sz w:val="22"/>
          <w:szCs w:val="22"/>
          <w:lang w:eastAsia="en-US"/>
        </w:rPr>
        <w:t xml:space="preserve">, varfarinas, </w:t>
      </w:r>
      <w:proofErr w:type="spellStart"/>
      <w:r>
        <w:rPr>
          <w:snapToGrid w:val="0"/>
          <w:sz w:val="22"/>
          <w:szCs w:val="22"/>
          <w:lang w:eastAsia="en-US"/>
        </w:rPr>
        <w:t>verapamilis</w:t>
      </w:r>
      <w:proofErr w:type="spellEnd"/>
      <w:r>
        <w:rPr>
          <w:snapToGrid w:val="0"/>
          <w:sz w:val="22"/>
          <w:szCs w:val="22"/>
          <w:lang w:eastAsia="en-US"/>
        </w:rPr>
        <w:t xml:space="preserve">, </w:t>
      </w:r>
      <w:proofErr w:type="spellStart"/>
      <w:r>
        <w:rPr>
          <w:snapToGrid w:val="0"/>
          <w:sz w:val="22"/>
          <w:szCs w:val="22"/>
          <w:lang w:eastAsia="en-US"/>
        </w:rPr>
        <w:t>ramiprilis</w:t>
      </w:r>
      <w:proofErr w:type="spellEnd"/>
      <w:r>
        <w:rPr>
          <w:snapToGrid w:val="0"/>
          <w:sz w:val="22"/>
          <w:szCs w:val="22"/>
          <w:lang w:eastAsia="en-US"/>
        </w:rPr>
        <w:t xml:space="preserve">, </w:t>
      </w:r>
      <w:proofErr w:type="spellStart"/>
      <w:r>
        <w:rPr>
          <w:snapToGrid w:val="0"/>
          <w:sz w:val="22"/>
          <w:szCs w:val="22"/>
          <w:lang w:eastAsia="en-US"/>
        </w:rPr>
        <w:t>simvastatinas</w:t>
      </w:r>
      <w:proofErr w:type="spellEnd"/>
      <w:r>
        <w:rPr>
          <w:snapToGrid w:val="0"/>
          <w:sz w:val="22"/>
          <w:szCs w:val="22"/>
          <w:lang w:eastAsia="en-US"/>
        </w:rPr>
        <w:t xml:space="preserve">, </w:t>
      </w:r>
      <w:proofErr w:type="spellStart"/>
      <w:r>
        <w:rPr>
          <w:snapToGrid w:val="0"/>
          <w:sz w:val="22"/>
          <w:szCs w:val="22"/>
          <w:lang w:eastAsia="en-US"/>
        </w:rPr>
        <w:t>torazemidas</w:t>
      </w:r>
      <w:proofErr w:type="spellEnd"/>
      <w:r>
        <w:rPr>
          <w:snapToGrid w:val="0"/>
          <w:sz w:val="22"/>
          <w:szCs w:val="22"/>
          <w:lang w:eastAsia="en-US"/>
        </w:rPr>
        <w:t xml:space="preserve"> ir </w:t>
      </w:r>
      <w:proofErr w:type="spellStart"/>
      <w:r>
        <w:rPr>
          <w:snapToGrid w:val="0"/>
          <w:sz w:val="22"/>
          <w:szCs w:val="22"/>
          <w:lang w:eastAsia="en-US"/>
        </w:rPr>
        <w:t>hidrochlorotiazidas</w:t>
      </w:r>
      <w:proofErr w:type="spellEnd"/>
      <w:r>
        <w:rPr>
          <w:snapToGrid w:val="0"/>
          <w:sz w:val="22"/>
          <w:szCs w:val="22"/>
          <w:lang w:eastAsia="en-US"/>
        </w:rPr>
        <w:t xml:space="preserve"> </w:t>
      </w:r>
      <w:proofErr w:type="spellStart"/>
      <w:r>
        <w:rPr>
          <w:snapToGrid w:val="0"/>
          <w:sz w:val="22"/>
          <w:szCs w:val="22"/>
          <w:lang w:eastAsia="en-US"/>
        </w:rPr>
        <w:t>empagliflozino</w:t>
      </w:r>
      <w:proofErr w:type="spellEnd"/>
      <w:r>
        <w:rPr>
          <w:snapToGrid w:val="0"/>
          <w:sz w:val="22"/>
          <w:szCs w:val="22"/>
          <w:lang w:eastAsia="en-US"/>
        </w:rPr>
        <w:t xml:space="preserve"> farmakokinetikai įtakos nedarė.</w:t>
      </w:r>
    </w:p>
    <w:p w14:paraId="6E6E5474" w14:textId="77777777" w:rsidR="003B31DC" w:rsidRDefault="003B31DC">
      <w:pPr>
        <w:tabs>
          <w:tab w:val="left" w:pos="567"/>
        </w:tabs>
        <w:rPr>
          <w:snapToGrid w:val="0"/>
          <w:sz w:val="22"/>
          <w:szCs w:val="22"/>
          <w:lang w:eastAsia="en-US"/>
        </w:rPr>
      </w:pPr>
    </w:p>
    <w:p w14:paraId="19AACF0B" w14:textId="77777777" w:rsidR="003B31DC" w:rsidRDefault="00913CBE">
      <w:pPr>
        <w:tabs>
          <w:tab w:val="left" w:pos="567"/>
        </w:tabs>
        <w:rPr>
          <w:i/>
          <w:iCs/>
          <w:snapToGrid w:val="0"/>
          <w:sz w:val="22"/>
          <w:szCs w:val="22"/>
          <w:lang w:eastAsia="en-US"/>
        </w:rPr>
      </w:pPr>
      <w:proofErr w:type="spellStart"/>
      <w:r>
        <w:rPr>
          <w:i/>
          <w:iCs/>
          <w:snapToGrid w:val="0"/>
          <w:sz w:val="22"/>
          <w:szCs w:val="22"/>
          <w:lang w:eastAsia="en-US"/>
        </w:rPr>
        <w:t>Empagliflozino</w:t>
      </w:r>
      <w:proofErr w:type="spellEnd"/>
      <w:r>
        <w:rPr>
          <w:i/>
          <w:iCs/>
          <w:snapToGrid w:val="0"/>
          <w:sz w:val="22"/>
          <w:szCs w:val="22"/>
          <w:lang w:eastAsia="en-US"/>
        </w:rPr>
        <w:t xml:space="preserve"> poveikis kitiems vaistiniams preparatams</w:t>
      </w:r>
    </w:p>
    <w:p w14:paraId="48D597DC" w14:textId="31E96189" w:rsidR="003B31DC" w:rsidRDefault="00913CBE">
      <w:pPr>
        <w:tabs>
          <w:tab w:val="left" w:pos="567"/>
        </w:tabs>
        <w:rPr>
          <w:snapToGrid w:val="0"/>
          <w:sz w:val="22"/>
          <w:szCs w:val="22"/>
          <w:lang w:eastAsia="en-US"/>
        </w:rPr>
      </w:pPr>
      <w:proofErr w:type="spellStart"/>
      <w:r>
        <w:rPr>
          <w:snapToGrid w:val="0"/>
          <w:sz w:val="22"/>
          <w:szCs w:val="22"/>
          <w:lang w:eastAsia="en-US"/>
        </w:rPr>
        <w:t>Empagliflozinas</w:t>
      </w:r>
      <w:proofErr w:type="spellEnd"/>
      <w:r>
        <w:rPr>
          <w:snapToGrid w:val="0"/>
          <w:sz w:val="22"/>
          <w:szCs w:val="22"/>
          <w:lang w:eastAsia="en-US"/>
        </w:rPr>
        <w:t xml:space="preserve"> gali padidinti ličio išsiskyrimą per inkstus ir ličio koncentracija kraujyje gali sumažėti. Pradėjus vartoti </w:t>
      </w:r>
      <w:proofErr w:type="spellStart"/>
      <w:r>
        <w:rPr>
          <w:snapToGrid w:val="0"/>
          <w:sz w:val="22"/>
          <w:szCs w:val="22"/>
          <w:lang w:eastAsia="en-US"/>
        </w:rPr>
        <w:t>empaglifloziną</w:t>
      </w:r>
      <w:proofErr w:type="spellEnd"/>
      <w:r>
        <w:rPr>
          <w:snapToGrid w:val="0"/>
          <w:sz w:val="22"/>
          <w:szCs w:val="22"/>
          <w:lang w:eastAsia="en-US"/>
        </w:rPr>
        <w:t xml:space="preserve"> ir pakeitus </w:t>
      </w:r>
      <w:r w:rsidR="00C71D57">
        <w:rPr>
          <w:snapToGrid w:val="0"/>
          <w:sz w:val="22"/>
          <w:szCs w:val="22"/>
          <w:lang w:eastAsia="en-US"/>
        </w:rPr>
        <w:t xml:space="preserve">jo </w:t>
      </w:r>
      <w:r>
        <w:rPr>
          <w:snapToGrid w:val="0"/>
          <w:sz w:val="22"/>
          <w:szCs w:val="22"/>
          <w:lang w:eastAsia="en-US"/>
        </w:rPr>
        <w:t xml:space="preserve">dozę, reikia dažniau stebėti ličio koncentraciją serume. Nukreipkite pacientą pas </w:t>
      </w:r>
      <w:r w:rsidR="005558AD">
        <w:rPr>
          <w:snapToGrid w:val="0"/>
          <w:sz w:val="22"/>
          <w:szCs w:val="22"/>
          <w:lang w:eastAsia="en-US"/>
        </w:rPr>
        <w:t xml:space="preserve">gydytoją, skiriantį </w:t>
      </w:r>
      <w:r w:rsidR="00F95A71">
        <w:rPr>
          <w:snapToGrid w:val="0"/>
          <w:sz w:val="22"/>
          <w:szCs w:val="22"/>
          <w:lang w:eastAsia="en-US"/>
        </w:rPr>
        <w:t xml:space="preserve">ličio terapiją </w:t>
      </w:r>
      <w:r>
        <w:rPr>
          <w:snapToGrid w:val="0"/>
          <w:sz w:val="22"/>
          <w:szCs w:val="22"/>
          <w:lang w:eastAsia="en-US"/>
        </w:rPr>
        <w:t>, kad būtų stebima ličio koncentracija serume.</w:t>
      </w:r>
    </w:p>
    <w:p w14:paraId="452FBBF9" w14:textId="77777777" w:rsidR="003B31DC" w:rsidRDefault="003B31DC">
      <w:pPr>
        <w:tabs>
          <w:tab w:val="left" w:pos="567"/>
        </w:tabs>
        <w:rPr>
          <w:snapToGrid w:val="0"/>
          <w:sz w:val="22"/>
          <w:szCs w:val="22"/>
          <w:lang w:eastAsia="en-US"/>
        </w:rPr>
      </w:pPr>
    </w:p>
    <w:p w14:paraId="534B0C42" w14:textId="77777777" w:rsidR="003B31DC" w:rsidRDefault="00913CBE">
      <w:pPr>
        <w:tabs>
          <w:tab w:val="left" w:pos="567"/>
        </w:tabs>
        <w:rPr>
          <w:snapToGrid w:val="0"/>
          <w:sz w:val="22"/>
          <w:szCs w:val="22"/>
          <w:lang w:eastAsia="en-US"/>
        </w:rPr>
      </w:pPr>
      <w:r>
        <w:rPr>
          <w:snapToGrid w:val="0"/>
          <w:sz w:val="22"/>
          <w:szCs w:val="22"/>
          <w:lang w:eastAsia="en-US"/>
        </w:rPr>
        <w:t xml:space="preserve">Remiantis tyrimais </w:t>
      </w:r>
      <w:proofErr w:type="spellStart"/>
      <w:r>
        <w:rPr>
          <w:i/>
          <w:iCs/>
          <w:snapToGrid w:val="0"/>
          <w:sz w:val="22"/>
          <w:szCs w:val="22"/>
          <w:lang w:eastAsia="en-US"/>
        </w:rPr>
        <w:t>in</w:t>
      </w:r>
      <w:proofErr w:type="spellEnd"/>
      <w:r>
        <w:rPr>
          <w:i/>
          <w:iCs/>
          <w:snapToGrid w:val="0"/>
          <w:sz w:val="22"/>
          <w:szCs w:val="22"/>
          <w:lang w:eastAsia="en-US"/>
        </w:rPr>
        <w:t xml:space="preserve"> </w:t>
      </w:r>
      <w:proofErr w:type="spellStart"/>
      <w:r>
        <w:rPr>
          <w:i/>
          <w:iCs/>
          <w:snapToGrid w:val="0"/>
          <w:sz w:val="22"/>
          <w:szCs w:val="22"/>
          <w:lang w:eastAsia="en-US"/>
        </w:rPr>
        <w:t>vitro</w:t>
      </w:r>
      <w:proofErr w:type="spellEnd"/>
      <w:r>
        <w:rPr>
          <w:snapToGrid w:val="0"/>
          <w:sz w:val="22"/>
          <w:szCs w:val="22"/>
          <w:lang w:eastAsia="en-US"/>
        </w:rPr>
        <w:t xml:space="preserve">, </w:t>
      </w:r>
      <w:proofErr w:type="spellStart"/>
      <w:r>
        <w:rPr>
          <w:snapToGrid w:val="0"/>
          <w:sz w:val="22"/>
          <w:szCs w:val="22"/>
          <w:lang w:eastAsia="en-US"/>
        </w:rPr>
        <w:t>empagliflozinas</w:t>
      </w:r>
      <w:proofErr w:type="spellEnd"/>
      <w:r>
        <w:rPr>
          <w:snapToGrid w:val="0"/>
          <w:sz w:val="22"/>
          <w:szCs w:val="22"/>
          <w:lang w:eastAsia="en-US"/>
        </w:rPr>
        <w:t xml:space="preserve"> CYP450 </w:t>
      </w:r>
      <w:proofErr w:type="spellStart"/>
      <w:r>
        <w:rPr>
          <w:snapToGrid w:val="0"/>
          <w:sz w:val="22"/>
          <w:szCs w:val="22"/>
          <w:lang w:eastAsia="en-US"/>
        </w:rPr>
        <w:t>izofermentų</w:t>
      </w:r>
      <w:proofErr w:type="spellEnd"/>
      <w:r>
        <w:rPr>
          <w:snapToGrid w:val="0"/>
          <w:sz w:val="22"/>
          <w:szCs w:val="22"/>
          <w:lang w:eastAsia="en-US"/>
        </w:rPr>
        <w:t xml:space="preserve"> neslopina, </w:t>
      </w:r>
      <w:proofErr w:type="spellStart"/>
      <w:r>
        <w:rPr>
          <w:snapToGrid w:val="0"/>
          <w:sz w:val="22"/>
          <w:szCs w:val="22"/>
          <w:lang w:eastAsia="en-US"/>
        </w:rPr>
        <w:t>neinaktyvina</w:t>
      </w:r>
      <w:proofErr w:type="spellEnd"/>
      <w:r>
        <w:rPr>
          <w:snapToGrid w:val="0"/>
          <w:sz w:val="22"/>
          <w:szCs w:val="22"/>
          <w:lang w:eastAsia="en-US"/>
        </w:rPr>
        <w:t xml:space="preserve"> ir neindukuoja. </w:t>
      </w:r>
      <w:proofErr w:type="spellStart"/>
      <w:r>
        <w:rPr>
          <w:snapToGrid w:val="0"/>
          <w:sz w:val="22"/>
          <w:szCs w:val="22"/>
          <w:lang w:eastAsia="en-US"/>
        </w:rPr>
        <w:t>Empagliflozinas</w:t>
      </w:r>
      <w:proofErr w:type="spellEnd"/>
      <w:r>
        <w:rPr>
          <w:snapToGrid w:val="0"/>
          <w:sz w:val="22"/>
          <w:szCs w:val="22"/>
          <w:lang w:eastAsia="en-US"/>
        </w:rPr>
        <w:t xml:space="preserve"> neslopina UGT1A1, UGT1A3, UGT1A8, UGT1A9, ar UGT2B7. Taigi manoma, kad sąveika, įtraukianti pagrindinius CYP450 ir UGT </w:t>
      </w:r>
      <w:proofErr w:type="spellStart"/>
      <w:r>
        <w:rPr>
          <w:snapToGrid w:val="0"/>
          <w:sz w:val="22"/>
          <w:szCs w:val="22"/>
          <w:lang w:eastAsia="en-US"/>
        </w:rPr>
        <w:t>izofermentus</w:t>
      </w:r>
      <w:proofErr w:type="spellEnd"/>
      <w:r>
        <w:rPr>
          <w:snapToGrid w:val="0"/>
          <w:sz w:val="22"/>
          <w:szCs w:val="22"/>
          <w:lang w:eastAsia="en-US"/>
        </w:rPr>
        <w:t xml:space="preserve">, tarp </w:t>
      </w:r>
      <w:proofErr w:type="spellStart"/>
      <w:r>
        <w:rPr>
          <w:snapToGrid w:val="0"/>
          <w:sz w:val="22"/>
          <w:szCs w:val="22"/>
          <w:lang w:eastAsia="en-US"/>
        </w:rPr>
        <w:t>empagliflozino</w:t>
      </w:r>
      <w:proofErr w:type="spellEnd"/>
      <w:r>
        <w:rPr>
          <w:snapToGrid w:val="0"/>
          <w:sz w:val="22"/>
          <w:szCs w:val="22"/>
          <w:lang w:eastAsia="en-US"/>
        </w:rPr>
        <w:t xml:space="preserve"> ir kartu vartojamų šių fermentų substratų nėra tikėtina.</w:t>
      </w:r>
    </w:p>
    <w:p w14:paraId="012220CA" w14:textId="77777777" w:rsidR="003B31DC" w:rsidRDefault="003B31DC">
      <w:pPr>
        <w:tabs>
          <w:tab w:val="left" w:pos="567"/>
        </w:tabs>
        <w:rPr>
          <w:snapToGrid w:val="0"/>
          <w:sz w:val="22"/>
          <w:szCs w:val="22"/>
          <w:lang w:eastAsia="en-US"/>
        </w:rPr>
      </w:pPr>
    </w:p>
    <w:p w14:paraId="15508C93" w14:textId="77777777" w:rsidR="003B31DC" w:rsidRDefault="00913CBE">
      <w:pPr>
        <w:tabs>
          <w:tab w:val="left" w:pos="567"/>
        </w:tabs>
        <w:rPr>
          <w:snapToGrid w:val="0"/>
          <w:sz w:val="22"/>
          <w:szCs w:val="22"/>
          <w:lang w:eastAsia="en-US"/>
        </w:rPr>
      </w:pPr>
      <w:proofErr w:type="spellStart"/>
      <w:r>
        <w:rPr>
          <w:snapToGrid w:val="0"/>
          <w:sz w:val="22"/>
          <w:szCs w:val="22"/>
          <w:lang w:eastAsia="en-US"/>
        </w:rPr>
        <w:t>Empagliflozinas</w:t>
      </w:r>
      <w:proofErr w:type="spellEnd"/>
      <w:r>
        <w:rPr>
          <w:snapToGrid w:val="0"/>
          <w:sz w:val="22"/>
          <w:szCs w:val="22"/>
          <w:lang w:eastAsia="en-US"/>
        </w:rPr>
        <w:t>, vartojamas terapinėmis dozėmis, P-</w:t>
      </w:r>
      <w:proofErr w:type="spellStart"/>
      <w:r>
        <w:rPr>
          <w:snapToGrid w:val="0"/>
          <w:sz w:val="22"/>
          <w:szCs w:val="22"/>
          <w:lang w:eastAsia="en-US"/>
        </w:rPr>
        <w:t>gp</w:t>
      </w:r>
      <w:proofErr w:type="spellEnd"/>
      <w:r>
        <w:rPr>
          <w:snapToGrid w:val="0"/>
          <w:sz w:val="22"/>
          <w:szCs w:val="22"/>
          <w:lang w:eastAsia="en-US"/>
        </w:rPr>
        <w:t xml:space="preserve"> neslopina. Remiantis tyrimais </w:t>
      </w:r>
      <w:proofErr w:type="spellStart"/>
      <w:r w:rsidRPr="00FA2F7A">
        <w:rPr>
          <w:i/>
          <w:iCs/>
          <w:snapToGrid w:val="0"/>
          <w:sz w:val="22"/>
          <w:szCs w:val="22"/>
          <w:lang w:eastAsia="en-US"/>
        </w:rPr>
        <w:t>in</w:t>
      </w:r>
      <w:proofErr w:type="spellEnd"/>
      <w:r w:rsidRPr="00FA2F7A">
        <w:rPr>
          <w:i/>
          <w:iCs/>
          <w:snapToGrid w:val="0"/>
          <w:sz w:val="22"/>
          <w:szCs w:val="22"/>
          <w:lang w:eastAsia="en-US"/>
        </w:rPr>
        <w:t xml:space="preserve"> </w:t>
      </w:r>
      <w:proofErr w:type="spellStart"/>
      <w:r w:rsidRPr="00FA2F7A">
        <w:rPr>
          <w:i/>
          <w:iCs/>
          <w:snapToGrid w:val="0"/>
          <w:sz w:val="22"/>
          <w:szCs w:val="22"/>
          <w:lang w:eastAsia="en-US"/>
        </w:rPr>
        <w:t>vitro</w:t>
      </w:r>
      <w:proofErr w:type="spellEnd"/>
      <w:r>
        <w:rPr>
          <w:snapToGrid w:val="0"/>
          <w:sz w:val="22"/>
          <w:szCs w:val="22"/>
          <w:lang w:eastAsia="en-US"/>
        </w:rPr>
        <w:t xml:space="preserve">, manoma, kad </w:t>
      </w:r>
      <w:proofErr w:type="spellStart"/>
      <w:r>
        <w:rPr>
          <w:snapToGrid w:val="0"/>
          <w:sz w:val="22"/>
          <w:szCs w:val="22"/>
          <w:lang w:eastAsia="en-US"/>
        </w:rPr>
        <w:t>empagliflozino</w:t>
      </w:r>
      <w:proofErr w:type="spellEnd"/>
      <w:r>
        <w:rPr>
          <w:snapToGrid w:val="0"/>
          <w:sz w:val="22"/>
          <w:szCs w:val="22"/>
          <w:lang w:eastAsia="en-US"/>
        </w:rPr>
        <w:t xml:space="preserve"> ir veikliųjų medžiagų, kurios yra P-</w:t>
      </w:r>
      <w:proofErr w:type="spellStart"/>
      <w:r>
        <w:rPr>
          <w:snapToGrid w:val="0"/>
          <w:sz w:val="22"/>
          <w:szCs w:val="22"/>
          <w:lang w:eastAsia="en-US"/>
        </w:rPr>
        <w:t>gp</w:t>
      </w:r>
      <w:proofErr w:type="spellEnd"/>
      <w:r>
        <w:rPr>
          <w:snapToGrid w:val="0"/>
          <w:sz w:val="22"/>
          <w:szCs w:val="22"/>
          <w:lang w:eastAsia="en-US"/>
        </w:rPr>
        <w:t xml:space="preserve"> substratai, sąveika pasireikšti neturėtų. Kartu su </w:t>
      </w:r>
      <w:proofErr w:type="spellStart"/>
      <w:r>
        <w:rPr>
          <w:snapToGrid w:val="0"/>
          <w:sz w:val="22"/>
          <w:szCs w:val="22"/>
          <w:lang w:eastAsia="en-US"/>
        </w:rPr>
        <w:t>empagliflozinu</w:t>
      </w:r>
      <w:proofErr w:type="spellEnd"/>
      <w:r>
        <w:rPr>
          <w:snapToGrid w:val="0"/>
          <w:sz w:val="22"/>
          <w:szCs w:val="22"/>
          <w:lang w:eastAsia="en-US"/>
        </w:rPr>
        <w:t xml:space="preserve"> vartojamo P-</w:t>
      </w:r>
      <w:proofErr w:type="spellStart"/>
      <w:r>
        <w:rPr>
          <w:snapToGrid w:val="0"/>
          <w:sz w:val="22"/>
          <w:szCs w:val="22"/>
          <w:lang w:eastAsia="en-US"/>
        </w:rPr>
        <w:t>gp</w:t>
      </w:r>
      <w:proofErr w:type="spellEnd"/>
      <w:r>
        <w:rPr>
          <w:snapToGrid w:val="0"/>
          <w:sz w:val="22"/>
          <w:szCs w:val="22"/>
          <w:lang w:eastAsia="en-US"/>
        </w:rPr>
        <w:t xml:space="preserve"> substrato </w:t>
      </w:r>
      <w:proofErr w:type="spellStart"/>
      <w:r>
        <w:rPr>
          <w:snapToGrid w:val="0"/>
          <w:sz w:val="22"/>
          <w:szCs w:val="22"/>
          <w:lang w:eastAsia="en-US"/>
        </w:rPr>
        <w:t>digoksino</w:t>
      </w:r>
      <w:proofErr w:type="spellEnd"/>
      <w:r>
        <w:rPr>
          <w:snapToGrid w:val="0"/>
          <w:sz w:val="22"/>
          <w:szCs w:val="22"/>
          <w:lang w:eastAsia="en-US"/>
        </w:rPr>
        <w:t xml:space="preserve"> AUC padidėjo 6 %, </w:t>
      </w:r>
      <w:proofErr w:type="spellStart"/>
      <w:r>
        <w:rPr>
          <w:snapToGrid w:val="0"/>
          <w:sz w:val="22"/>
          <w:szCs w:val="22"/>
          <w:lang w:eastAsia="en-US"/>
        </w:rPr>
        <w:t>Cmax</w:t>
      </w:r>
      <w:proofErr w:type="spellEnd"/>
      <w:r>
        <w:rPr>
          <w:snapToGrid w:val="0"/>
          <w:sz w:val="22"/>
          <w:szCs w:val="22"/>
          <w:lang w:eastAsia="en-US"/>
        </w:rPr>
        <w:t xml:space="preserve"> – 14 %. Manoma, kad šie pokyčiai yra kliniškai nereikšmingi.</w:t>
      </w:r>
    </w:p>
    <w:p w14:paraId="4E2D96CE" w14:textId="77777777" w:rsidR="003B31DC" w:rsidRDefault="003B31DC">
      <w:pPr>
        <w:tabs>
          <w:tab w:val="left" w:pos="567"/>
        </w:tabs>
        <w:rPr>
          <w:snapToGrid w:val="0"/>
          <w:sz w:val="22"/>
          <w:szCs w:val="22"/>
          <w:lang w:eastAsia="en-US"/>
        </w:rPr>
      </w:pPr>
    </w:p>
    <w:p w14:paraId="45FF330A" w14:textId="0B86A7CB" w:rsidR="003B31DC" w:rsidRDefault="00913CBE">
      <w:pPr>
        <w:tabs>
          <w:tab w:val="left" w:pos="567"/>
        </w:tabs>
        <w:rPr>
          <w:snapToGrid w:val="0"/>
          <w:sz w:val="22"/>
          <w:szCs w:val="22"/>
          <w:lang w:eastAsia="en-US"/>
        </w:rPr>
      </w:pPr>
      <w:proofErr w:type="spellStart"/>
      <w:r>
        <w:rPr>
          <w:i/>
          <w:iCs/>
          <w:snapToGrid w:val="0"/>
          <w:sz w:val="22"/>
          <w:szCs w:val="22"/>
          <w:lang w:eastAsia="en-US"/>
        </w:rPr>
        <w:t>In</w:t>
      </w:r>
      <w:proofErr w:type="spellEnd"/>
      <w:r>
        <w:rPr>
          <w:i/>
          <w:iCs/>
          <w:snapToGrid w:val="0"/>
          <w:sz w:val="22"/>
          <w:szCs w:val="22"/>
          <w:lang w:eastAsia="en-US"/>
        </w:rPr>
        <w:t xml:space="preserve"> </w:t>
      </w:r>
      <w:proofErr w:type="spellStart"/>
      <w:r>
        <w:rPr>
          <w:i/>
          <w:iCs/>
          <w:snapToGrid w:val="0"/>
          <w:sz w:val="22"/>
          <w:szCs w:val="22"/>
          <w:lang w:eastAsia="en-US"/>
        </w:rPr>
        <w:t>vitro</w:t>
      </w:r>
      <w:proofErr w:type="spellEnd"/>
      <w:r>
        <w:rPr>
          <w:snapToGrid w:val="0"/>
          <w:sz w:val="22"/>
          <w:szCs w:val="22"/>
          <w:lang w:eastAsia="en-US"/>
        </w:rPr>
        <w:t xml:space="preserve"> </w:t>
      </w:r>
      <w:proofErr w:type="spellStart"/>
      <w:r>
        <w:rPr>
          <w:snapToGrid w:val="0"/>
          <w:sz w:val="22"/>
          <w:szCs w:val="22"/>
          <w:lang w:eastAsia="en-US"/>
        </w:rPr>
        <w:t>empagliflozinas</w:t>
      </w:r>
      <w:proofErr w:type="spellEnd"/>
      <w:r>
        <w:rPr>
          <w:snapToGrid w:val="0"/>
          <w:sz w:val="22"/>
          <w:szCs w:val="22"/>
          <w:lang w:eastAsia="en-US"/>
        </w:rPr>
        <w:t xml:space="preserve">, esant kliniškai reikšmingoms koncentracijoms kraujo plazmoje, žmogaus </w:t>
      </w:r>
      <w:r w:rsidR="00CC2C0D">
        <w:rPr>
          <w:snapToGrid w:val="0"/>
          <w:sz w:val="22"/>
          <w:szCs w:val="22"/>
          <w:lang w:eastAsia="en-US"/>
        </w:rPr>
        <w:t>pernašos baltymų</w:t>
      </w:r>
      <w:r>
        <w:rPr>
          <w:snapToGrid w:val="0"/>
          <w:sz w:val="22"/>
          <w:szCs w:val="22"/>
          <w:lang w:eastAsia="en-US"/>
        </w:rPr>
        <w:t xml:space="preserve">, pvz., OAT3, OATP1B1 ir OATP1B3, neslopina, todėl manoma, kad sąveika su šių </w:t>
      </w:r>
      <w:r w:rsidR="006B3164">
        <w:rPr>
          <w:snapToGrid w:val="0"/>
          <w:sz w:val="22"/>
          <w:szCs w:val="22"/>
          <w:lang w:eastAsia="en-US"/>
        </w:rPr>
        <w:t xml:space="preserve">pernašos </w:t>
      </w:r>
      <w:proofErr w:type="spellStart"/>
      <w:r w:rsidR="006B3164">
        <w:rPr>
          <w:snapToGrid w:val="0"/>
          <w:sz w:val="22"/>
          <w:szCs w:val="22"/>
          <w:lang w:eastAsia="en-US"/>
        </w:rPr>
        <w:t>baltymų</w:t>
      </w:r>
      <w:r>
        <w:rPr>
          <w:snapToGrid w:val="0"/>
          <w:sz w:val="22"/>
          <w:szCs w:val="22"/>
          <w:lang w:eastAsia="en-US"/>
        </w:rPr>
        <w:t>substratais</w:t>
      </w:r>
      <w:proofErr w:type="spellEnd"/>
      <w:r>
        <w:rPr>
          <w:snapToGrid w:val="0"/>
          <w:sz w:val="22"/>
          <w:szCs w:val="22"/>
          <w:lang w:eastAsia="en-US"/>
        </w:rPr>
        <w:t xml:space="preserve"> nėra tikėtina.</w:t>
      </w:r>
    </w:p>
    <w:p w14:paraId="6A55F2D4" w14:textId="77777777" w:rsidR="003B31DC" w:rsidRDefault="003B31DC">
      <w:pPr>
        <w:tabs>
          <w:tab w:val="left" w:pos="567"/>
        </w:tabs>
        <w:rPr>
          <w:snapToGrid w:val="0"/>
          <w:sz w:val="22"/>
          <w:szCs w:val="22"/>
          <w:lang w:eastAsia="en-US"/>
        </w:rPr>
      </w:pPr>
    </w:p>
    <w:p w14:paraId="7E5193F1" w14:textId="77777777" w:rsidR="003B31DC" w:rsidRDefault="00913CBE">
      <w:pPr>
        <w:tabs>
          <w:tab w:val="left" w:pos="567"/>
        </w:tabs>
        <w:rPr>
          <w:snapToGrid w:val="0"/>
          <w:sz w:val="22"/>
          <w:szCs w:val="22"/>
          <w:lang w:eastAsia="en-US"/>
        </w:rPr>
      </w:pPr>
      <w:r>
        <w:rPr>
          <w:snapToGrid w:val="0"/>
          <w:sz w:val="22"/>
          <w:szCs w:val="22"/>
          <w:lang w:eastAsia="en-US"/>
        </w:rPr>
        <w:t xml:space="preserve">Sąveikos tyrimai, atlikti su sveikais savanoriais, rodo, kad </w:t>
      </w:r>
      <w:proofErr w:type="spellStart"/>
      <w:r>
        <w:rPr>
          <w:snapToGrid w:val="0"/>
          <w:sz w:val="22"/>
          <w:szCs w:val="22"/>
          <w:lang w:eastAsia="en-US"/>
        </w:rPr>
        <w:t>empagliflozinas</w:t>
      </w:r>
      <w:proofErr w:type="spellEnd"/>
      <w:r>
        <w:rPr>
          <w:snapToGrid w:val="0"/>
          <w:sz w:val="22"/>
          <w:szCs w:val="22"/>
          <w:lang w:eastAsia="en-US"/>
        </w:rPr>
        <w:t xml:space="preserve"> neturėjo kliniškai reikšmingo poveikio </w:t>
      </w:r>
      <w:proofErr w:type="spellStart"/>
      <w:r>
        <w:rPr>
          <w:snapToGrid w:val="0"/>
          <w:sz w:val="22"/>
          <w:szCs w:val="22"/>
          <w:lang w:eastAsia="en-US"/>
        </w:rPr>
        <w:t>metformino</w:t>
      </w:r>
      <w:proofErr w:type="spellEnd"/>
      <w:r>
        <w:rPr>
          <w:snapToGrid w:val="0"/>
          <w:sz w:val="22"/>
          <w:szCs w:val="22"/>
          <w:lang w:eastAsia="en-US"/>
        </w:rPr>
        <w:t xml:space="preserve">, </w:t>
      </w:r>
      <w:proofErr w:type="spellStart"/>
      <w:r>
        <w:rPr>
          <w:snapToGrid w:val="0"/>
          <w:sz w:val="22"/>
          <w:szCs w:val="22"/>
          <w:lang w:eastAsia="en-US"/>
        </w:rPr>
        <w:t>glimepirido</w:t>
      </w:r>
      <w:proofErr w:type="spellEnd"/>
      <w:r>
        <w:rPr>
          <w:snapToGrid w:val="0"/>
          <w:sz w:val="22"/>
          <w:szCs w:val="22"/>
          <w:lang w:eastAsia="en-US"/>
        </w:rPr>
        <w:t xml:space="preserve">, </w:t>
      </w:r>
      <w:proofErr w:type="spellStart"/>
      <w:r>
        <w:rPr>
          <w:snapToGrid w:val="0"/>
          <w:sz w:val="22"/>
          <w:szCs w:val="22"/>
          <w:lang w:eastAsia="en-US"/>
        </w:rPr>
        <w:t>pioglitazono</w:t>
      </w:r>
      <w:proofErr w:type="spellEnd"/>
      <w:r>
        <w:rPr>
          <w:snapToGrid w:val="0"/>
          <w:sz w:val="22"/>
          <w:szCs w:val="22"/>
          <w:lang w:eastAsia="en-US"/>
        </w:rPr>
        <w:t xml:space="preserve">, </w:t>
      </w:r>
      <w:proofErr w:type="spellStart"/>
      <w:r>
        <w:rPr>
          <w:snapToGrid w:val="0"/>
          <w:sz w:val="22"/>
          <w:szCs w:val="22"/>
          <w:lang w:eastAsia="en-US"/>
        </w:rPr>
        <w:t>sitagliptino</w:t>
      </w:r>
      <w:proofErr w:type="spellEnd"/>
      <w:r>
        <w:rPr>
          <w:snapToGrid w:val="0"/>
          <w:sz w:val="22"/>
          <w:szCs w:val="22"/>
          <w:lang w:eastAsia="en-US"/>
        </w:rPr>
        <w:t xml:space="preserve">, </w:t>
      </w:r>
      <w:proofErr w:type="spellStart"/>
      <w:r>
        <w:rPr>
          <w:snapToGrid w:val="0"/>
          <w:sz w:val="22"/>
          <w:szCs w:val="22"/>
          <w:lang w:eastAsia="en-US"/>
        </w:rPr>
        <w:t>linagliptino</w:t>
      </w:r>
      <w:proofErr w:type="spellEnd"/>
      <w:r>
        <w:rPr>
          <w:snapToGrid w:val="0"/>
          <w:sz w:val="22"/>
          <w:szCs w:val="22"/>
          <w:lang w:eastAsia="en-US"/>
        </w:rPr>
        <w:t xml:space="preserve">, </w:t>
      </w:r>
      <w:proofErr w:type="spellStart"/>
      <w:r>
        <w:rPr>
          <w:snapToGrid w:val="0"/>
          <w:sz w:val="22"/>
          <w:szCs w:val="22"/>
          <w:lang w:eastAsia="en-US"/>
        </w:rPr>
        <w:t>simvastatino</w:t>
      </w:r>
      <w:proofErr w:type="spellEnd"/>
      <w:r>
        <w:rPr>
          <w:snapToGrid w:val="0"/>
          <w:sz w:val="22"/>
          <w:szCs w:val="22"/>
          <w:lang w:eastAsia="en-US"/>
        </w:rPr>
        <w:t xml:space="preserve">, varfarino, </w:t>
      </w:r>
      <w:proofErr w:type="spellStart"/>
      <w:r>
        <w:rPr>
          <w:snapToGrid w:val="0"/>
          <w:sz w:val="22"/>
          <w:szCs w:val="22"/>
          <w:lang w:eastAsia="en-US"/>
        </w:rPr>
        <w:t>ramiprilio</w:t>
      </w:r>
      <w:proofErr w:type="spellEnd"/>
      <w:r>
        <w:rPr>
          <w:snapToGrid w:val="0"/>
          <w:sz w:val="22"/>
          <w:szCs w:val="22"/>
          <w:lang w:eastAsia="en-US"/>
        </w:rPr>
        <w:t xml:space="preserve">, </w:t>
      </w:r>
      <w:proofErr w:type="spellStart"/>
      <w:r>
        <w:rPr>
          <w:snapToGrid w:val="0"/>
          <w:sz w:val="22"/>
          <w:szCs w:val="22"/>
          <w:lang w:eastAsia="en-US"/>
        </w:rPr>
        <w:t>digoksino</w:t>
      </w:r>
      <w:proofErr w:type="spellEnd"/>
      <w:r>
        <w:rPr>
          <w:snapToGrid w:val="0"/>
          <w:sz w:val="22"/>
          <w:szCs w:val="22"/>
          <w:lang w:eastAsia="en-US"/>
        </w:rPr>
        <w:t>, diuretikų ir geriamųjų kontraceptikų farmakokinetikai.</w:t>
      </w:r>
    </w:p>
    <w:p w14:paraId="1AA57818" w14:textId="77777777" w:rsidR="003B31DC" w:rsidRDefault="003B31DC">
      <w:pPr>
        <w:tabs>
          <w:tab w:val="left" w:pos="567"/>
        </w:tabs>
        <w:rPr>
          <w:rFonts w:eastAsiaTheme="minorHAnsi"/>
          <w:color w:val="000000"/>
          <w:sz w:val="22"/>
          <w:szCs w:val="22"/>
          <w:lang w:eastAsia="en-US"/>
        </w:rPr>
      </w:pPr>
    </w:p>
    <w:p w14:paraId="58FCE7CA" w14:textId="77777777" w:rsidR="003B31DC" w:rsidRDefault="00913CBE">
      <w:pPr>
        <w:tabs>
          <w:tab w:val="left" w:pos="567"/>
        </w:tabs>
        <w:rPr>
          <w:rFonts w:eastAsiaTheme="minorHAnsi"/>
          <w:color w:val="000000"/>
          <w:sz w:val="22"/>
          <w:szCs w:val="22"/>
          <w:u w:val="single"/>
          <w:lang w:eastAsia="en-US"/>
        </w:rPr>
      </w:pPr>
      <w:r>
        <w:rPr>
          <w:rFonts w:eastAsiaTheme="minorHAnsi"/>
          <w:color w:val="000000"/>
          <w:sz w:val="22"/>
          <w:szCs w:val="22"/>
          <w:u w:val="single"/>
          <w:lang w:eastAsia="en-US"/>
        </w:rPr>
        <w:t>Metforminas</w:t>
      </w:r>
    </w:p>
    <w:p w14:paraId="79551DA0" w14:textId="77777777" w:rsidR="003B31DC" w:rsidRDefault="003B31DC">
      <w:pPr>
        <w:tabs>
          <w:tab w:val="left" w:pos="567"/>
        </w:tabs>
        <w:rPr>
          <w:rFonts w:eastAsiaTheme="minorHAnsi"/>
          <w:i/>
          <w:iCs/>
          <w:color w:val="000000"/>
          <w:sz w:val="22"/>
          <w:szCs w:val="22"/>
          <w:lang w:eastAsia="en-US"/>
        </w:rPr>
      </w:pPr>
    </w:p>
    <w:p w14:paraId="515E7CE2" w14:textId="77777777" w:rsidR="003B31DC" w:rsidRDefault="00913CBE">
      <w:pPr>
        <w:tabs>
          <w:tab w:val="left" w:pos="567"/>
        </w:tabs>
        <w:rPr>
          <w:rFonts w:eastAsiaTheme="minorHAnsi"/>
          <w:i/>
          <w:iCs/>
          <w:color w:val="000000"/>
          <w:sz w:val="22"/>
          <w:szCs w:val="22"/>
          <w:u w:val="single"/>
          <w:lang w:eastAsia="en-US"/>
        </w:rPr>
      </w:pPr>
      <w:r>
        <w:rPr>
          <w:rFonts w:eastAsiaTheme="minorHAnsi"/>
          <w:i/>
          <w:iCs/>
          <w:color w:val="000000"/>
          <w:sz w:val="22"/>
          <w:szCs w:val="22"/>
          <w:u w:val="single"/>
          <w:lang w:eastAsia="en-US"/>
        </w:rPr>
        <w:t>Kartu vartoti nerekomenduojama</w:t>
      </w:r>
    </w:p>
    <w:p w14:paraId="30E9CA63" w14:textId="77777777" w:rsidR="003B31DC" w:rsidRDefault="003B31DC">
      <w:pPr>
        <w:tabs>
          <w:tab w:val="left" w:pos="567"/>
        </w:tabs>
        <w:rPr>
          <w:rFonts w:eastAsiaTheme="minorHAnsi"/>
          <w:i/>
          <w:iCs/>
          <w:color w:val="000000"/>
          <w:sz w:val="22"/>
          <w:szCs w:val="22"/>
          <w:lang w:eastAsia="en-US"/>
        </w:rPr>
      </w:pPr>
    </w:p>
    <w:p w14:paraId="1405FB1B" w14:textId="77777777" w:rsidR="003B31DC" w:rsidRDefault="00913CBE">
      <w:pPr>
        <w:tabs>
          <w:tab w:val="left" w:pos="567"/>
        </w:tabs>
        <w:rPr>
          <w:rFonts w:eastAsiaTheme="minorHAnsi"/>
          <w:i/>
          <w:iCs/>
          <w:color w:val="000000"/>
          <w:sz w:val="22"/>
          <w:szCs w:val="22"/>
          <w:lang w:eastAsia="en-US"/>
        </w:rPr>
      </w:pPr>
      <w:r>
        <w:rPr>
          <w:rFonts w:eastAsiaTheme="minorHAnsi"/>
          <w:i/>
          <w:iCs/>
          <w:color w:val="000000"/>
          <w:sz w:val="22"/>
          <w:szCs w:val="22"/>
          <w:lang w:eastAsia="en-US"/>
        </w:rPr>
        <w:t>Alkoholis</w:t>
      </w:r>
    </w:p>
    <w:p w14:paraId="447EE4B2" w14:textId="47DFD9E2" w:rsidR="003B31DC" w:rsidRDefault="00913CBE">
      <w:pPr>
        <w:tabs>
          <w:tab w:val="left" w:pos="567"/>
        </w:tabs>
        <w:rPr>
          <w:rFonts w:eastAsiaTheme="minorHAnsi"/>
          <w:color w:val="000000"/>
          <w:sz w:val="22"/>
          <w:szCs w:val="22"/>
          <w:lang w:eastAsia="en-US"/>
        </w:rPr>
      </w:pPr>
      <w:r>
        <w:rPr>
          <w:rFonts w:eastAsiaTheme="minorHAnsi"/>
          <w:color w:val="000000"/>
          <w:sz w:val="22"/>
          <w:szCs w:val="22"/>
          <w:lang w:eastAsia="en-US"/>
        </w:rPr>
        <w:t xml:space="preserve">Intoksikacija alkoholiu yra susijusi su padidėjusia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rizika, ypač badavimo, mitybos </w:t>
      </w:r>
      <w:r w:rsidR="002A05AD">
        <w:rPr>
          <w:rFonts w:eastAsiaTheme="minorHAnsi"/>
          <w:color w:val="000000"/>
          <w:sz w:val="22"/>
          <w:szCs w:val="22"/>
          <w:lang w:eastAsia="en-US"/>
        </w:rPr>
        <w:t xml:space="preserve">nepakankamumo </w:t>
      </w:r>
      <w:r>
        <w:rPr>
          <w:rFonts w:eastAsiaTheme="minorHAnsi"/>
          <w:color w:val="000000"/>
          <w:sz w:val="22"/>
          <w:szCs w:val="22"/>
          <w:lang w:eastAsia="en-US"/>
        </w:rPr>
        <w:t>ar kepenų funkcijos sutrikimo atvejais.</w:t>
      </w:r>
    </w:p>
    <w:p w14:paraId="531848BF" w14:textId="77777777" w:rsidR="003B31DC" w:rsidRDefault="003B31DC">
      <w:pPr>
        <w:widowControl w:val="0"/>
        <w:tabs>
          <w:tab w:val="left" w:pos="567"/>
        </w:tabs>
        <w:outlineLvl w:val="2"/>
        <w:rPr>
          <w:iCs/>
          <w:snapToGrid w:val="0"/>
          <w:sz w:val="22"/>
          <w:szCs w:val="22"/>
          <w:lang w:eastAsia="en-US"/>
        </w:rPr>
      </w:pPr>
    </w:p>
    <w:p w14:paraId="65AB972F" w14:textId="71B68359" w:rsidR="003B31DC" w:rsidRDefault="00913CBE">
      <w:pPr>
        <w:widowControl w:val="0"/>
        <w:tabs>
          <w:tab w:val="left" w:pos="567"/>
        </w:tabs>
        <w:ind w:left="567" w:hanging="567"/>
        <w:outlineLvl w:val="2"/>
        <w:rPr>
          <w:i/>
          <w:snapToGrid w:val="0"/>
          <w:sz w:val="22"/>
          <w:szCs w:val="22"/>
          <w:lang w:eastAsia="en-US"/>
        </w:rPr>
      </w:pPr>
      <w:r>
        <w:rPr>
          <w:i/>
          <w:snapToGrid w:val="0"/>
          <w:sz w:val="22"/>
          <w:szCs w:val="22"/>
          <w:lang w:eastAsia="en-US"/>
        </w:rPr>
        <w:lastRenderedPageBreak/>
        <w:t xml:space="preserve">Organinių katijonų </w:t>
      </w:r>
      <w:r w:rsidR="00D9321B">
        <w:rPr>
          <w:i/>
          <w:snapToGrid w:val="0"/>
          <w:sz w:val="22"/>
          <w:szCs w:val="22"/>
          <w:lang w:eastAsia="en-US"/>
        </w:rPr>
        <w:t xml:space="preserve">pernašos baltymai </w:t>
      </w:r>
      <w:r>
        <w:rPr>
          <w:i/>
          <w:snapToGrid w:val="0"/>
          <w:sz w:val="22"/>
          <w:szCs w:val="22"/>
          <w:lang w:eastAsia="en-US"/>
        </w:rPr>
        <w:t>(OKN)</w:t>
      </w:r>
    </w:p>
    <w:p w14:paraId="02D3D113" w14:textId="01D9DBC8" w:rsidR="003B31DC" w:rsidRDefault="00913CBE">
      <w:pPr>
        <w:widowControl w:val="0"/>
        <w:tabs>
          <w:tab w:val="left" w:pos="567"/>
        </w:tabs>
        <w:ind w:left="567" w:hanging="567"/>
        <w:outlineLvl w:val="2"/>
        <w:rPr>
          <w:iCs/>
          <w:snapToGrid w:val="0"/>
          <w:sz w:val="22"/>
          <w:szCs w:val="22"/>
          <w:lang w:eastAsia="en-US"/>
        </w:rPr>
      </w:pPr>
      <w:r>
        <w:rPr>
          <w:iCs/>
          <w:snapToGrid w:val="0"/>
          <w:sz w:val="22"/>
          <w:szCs w:val="22"/>
          <w:lang w:eastAsia="en-US"/>
        </w:rPr>
        <w:t xml:space="preserve">Metforminas yra </w:t>
      </w:r>
      <w:proofErr w:type="spellStart"/>
      <w:r>
        <w:rPr>
          <w:iCs/>
          <w:snapToGrid w:val="0"/>
          <w:sz w:val="22"/>
          <w:szCs w:val="22"/>
          <w:lang w:eastAsia="en-US"/>
        </w:rPr>
        <w:t>abiejų</w:t>
      </w:r>
      <w:r w:rsidR="009A6884">
        <w:rPr>
          <w:iCs/>
          <w:snapToGrid w:val="0"/>
          <w:sz w:val="22"/>
          <w:szCs w:val="22"/>
          <w:lang w:eastAsia="en-US"/>
        </w:rPr>
        <w:t>pernašos</w:t>
      </w:r>
      <w:proofErr w:type="spellEnd"/>
      <w:r w:rsidR="009A6884">
        <w:rPr>
          <w:iCs/>
          <w:snapToGrid w:val="0"/>
          <w:sz w:val="22"/>
          <w:szCs w:val="22"/>
          <w:lang w:eastAsia="en-US"/>
        </w:rPr>
        <w:t xml:space="preserve"> baltymų</w:t>
      </w:r>
      <w:r>
        <w:rPr>
          <w:iCs/>
          <w:snapToGrid w:val="0"/>
          <w:sz w:val="22"/>
          <w:szCs w:val="22"/>
          <w:lang w:eastAsia="en-US"/>
        </w:rPr>
        <w:t xml:space="preserve">– OKN1 ir OKN2 – substratas. </w:t>
      </w:r>
      <w:proofErr w:type="spellStart"/>
      <w:r>
        <w:rPr>
          <w:iCs/>
          <w:snapToGrid w:val="0"/>
          <w:sz w:val="22"/>
          <w:szCs w:val="22"/>
          <w:lang w:eastAsia="en-US"/>
        </w:rPr>
        <w:t>Metformino</w:t>
      </w:r>
      <w:proofErr w:type="spellEnd"/>
      <w:r>
        <w:rPr>
          <w:iCs/>
          <w:snapToGrid w:val="0"/>
          <w:sz w:val="22"/>
          <w:szCs w:val="22"/>
          <w:lang w:eastAsia="en-US"/>
        </w:rPr>
        <w:t xml:space="preserve"> skiriant kartu su</w:t>
      </w:r>
    </w:p>
    <w:p w14:paraId="13088811" w14:textId="77777777" w:rsidR="003B31DC" w:rsidRPr="00A02B90" w:rsidRDefault="00913CBE">
      <w:pPr>
        <w:numPr>
          <w:ilvl w:val="0"/>
          <w:numId w:val="15"/>
        </w:numPr>
        <w:spacing w:after="15" w:line="248" w:lineRule="auto"/>
        <w:ind w:right="11" w:hanging="566"/>
        <w:rPr>
          <w:sz w:val="22"/>
          <w:szCs w:val="22"/>
          <w:lang w:eastAsia="sl-SI"/>
        </w:rPr>
      </w:pPr>
      <w:r>
        <w:rPr>
          <w:iCs/>
          <w:snapToGrid w:val="0"/>
          <w:sz w:val="22"/>
          <w:szCs w:val="22"/>
          <w:lang w:eastAsia="en-US"/>
        </w:rPr>
        <w:t xml:space="preserve">OKN1 inhibitoriais (pvz., </w:t>
      </w:r>
      <w:proofErr w:type="spellStart"/>
      <w:r>
        <w:rPr>
          <w:iCs/>
          <w:snapToGrid w:val="0"/>
          <w:sz w:val="22"/>
          <w:szCs w:val="22"/>
          <w:lang w:eastAsia="en-US"/>
        </w:rPr>
        <w:t>verapamiliu</w:t>
      </w:r>
      <w:proofErr w:type="spellEnd"/>
      <w:r>
        <w:rPr>
          <w:iCs/>
          <w:snapToGrid w:val="0"/>
          <w:sz w:val="22"/>
          <w:szCs w:val="22"/>
          <w:lang w:eastAsia="en-US"/>
        </w:rPr>
        <w:t xml:space="preserve">), gali sumažėti </w:t>
      </w:r>
      <w:proofErr w:type="spellStart"/>
      <w:r>
        <w:rPr>
          <w:iCs/>
          <w:snapToGrid w:val="0"/>
          <w:sz w:val="22"/>
          <w:szCs w:val="22"/>
          <w:lang w:eastAsia="en-US"/>
        </w:rPr>
        <w:t>metformino</w:t>
      </w:r>
      <w:proofErr w:type="spellEnd"/>
      <w:r>
        <w:rPr>
          <w:iCs/>
          <w:snapToGrid w:val="0"/>
          <w:sz w:val="22"/>
          <w:szCs w:val="22"/>
          <w:lang w:eastAsia="en-US"/>
        </w:rPr>
        <w:t xml:space="preserve"> veiksmingumas;</w:t>
      </w:r>
    </w:p>
    <w:p w14:paraId="4958B690" w14:textId="77777777" w:rsidR="003B31DC" w:rsidRPr="00A02B90" w:rsidRDefault="00913CBE">
      <w:pPr>
        <w:numPr>
          <w:ilvl w:val="0"/>
          <w:numId w:val="15"/>
        </w:numPr>
        <w:spacing w:after="15" w:line="248" w:lineRule="auto"/>
        <w:ind w:right="11" w:hanging="566"/>
        <w:rPr>
          <w:sz w:val="22"/>
          <w:szCs w:val="22"/>
          <w:lang w:eastAsia="sl-SI"/>
        </w:rPr>
      </w:pPr>
      <w:r>
        <w:rPr>
          <w:iCs/>
          <w:snapToGrid w:val="0"/>
          <w:sz w:val="22"/>
          <w:szCs w:val="22"/>
          <w:lang w:eastAsia="en-US"/>
        </w:rPr>
        <w:t xml:space="preserve">OKN1 </w:t>
      </w:r>
      <w:proofErr w:type="spellStart"/>
      <w:r>
        <w:rPr>
          <w:iCs/>
          <w:snapToGrid w:val="0"/>
          <w:sz w:val="22"/>
          <w:szCs w:val="22"/>
          <w:lang w:eastAsia="en-US"/>
        </w:rPr>
        <w:t>induktoriais</w:t>
      </w:r>
      <w:proofErr w:type="spellEnd"/>
      <w:r>
        <w:rPr>
          <w:iCs/>
          <w:snapToGrid w:val="0"/>
          <w:sz w:val="22"/>
          <w:szCs w:val="22"/>
          <w:lang w:eastAsia="en-US"/>
        </w:rPr>
        <w:t xml:space="preserve"> (pvz., </w:t>
      </w:r>
      <w:proofErr w:type="spellStart"/>
      <w:r>
        <w:rPr>
          <w:iCs/>
          <w:snapToGrid w:val="0"/>
          <w:sz w:val="22"/>
          <w:szCs w:val="22"/>
          <w:lang w:eastAsia="en-US"/>
        </w:rPr>
        <w:t>rifampicinu</w:t>
      </w:r>
      <w:proofErr w:type="spellEnd"/>
      <w:r>
        <w:rPr>
          <w:iCs/>
          <w:snapToGrid w:val="0"/>
          <w:sz w:val="22"/>
          <w:szCs w:val="22"/>
          <w:lang w:eastAsia="en-US"/>
        </w:rPr>
        <w:t xml:space="preserve">), gali sustiprėti </w:t>
      </w:r>
      <w:proofErr w:type="spellStart"/>
      <w:r>
        <w:rPr>
          <w:iCs/>
          <w:snapToGrid w:val="0"/>
          <w:sz w:val="22"/>
          <w:szCs w:val="22"/>
          <w:lang w:eastAsia="en-US"/>
        </w:rPr>
        <w:t>metformino</w:t>
      </w:r>
      <w:proofErr w:type="spellEnd"/>
      <w:r>
        <w:rPr>
          <w:iCs/>
          <w:snapToGrid w:val="0"/>
          <w:sz w:val="22"/>
          <w:szCs w:val="22"/>
          <w:lang w:eastAsia="en-US"/>
        </w:rPr>
        <w:t xml:space="preserve"> absorbcija virškinimo trakte ir padidėti veiksmingumas;</w:t>
      </w:r>
    </w:p>
    <w:p w14:paraId="6B60A09B" w14:textId="77777777" w:rsidR="003B31DC" w:rsidRPr="00A02B90" w:rsidRDefault="00913CBE">
      <w:pPr>
        <w:numPr>
          <w:ilvl w:val="0"/>
          <w:numId w:val="15"/>
        </w:numPr>
        <w:spacing w:after="15" w:line="248" w:lineRule="auto"/>
        <w:ind w:right="11" w:hanging="566"/>
        <w:rPr>
          <w:sz w:val="22"/>
          <w:szCs w:val="22"/>
          <w:lang w:eastAsia="sl-SI"/>
        </w:rPr>
      </w:pPr>
      <w:r>
        <w:rPr>
          <w:iCs/>
          <w:snapToGrid w:val="0"/>
          <w:sz w:val="22"/>
          <w:szCs w:val="22"/>
          <w:lang w:eastAsia="en-US"/>
        </w:rPr>
        <w:t xml:space="preserve">OKN2 inhibitoriais (pvz., </w:t>
      </w:r>
      <w:proofErr w:type="spellStart"/>
      <w:r>
        <w:rPr>
          <w:iCs/>
          <w:snapToGrid w:val="0"/>
          <w:sz w:val="22"/>
          <w:szCs w:val="22"/>
          <w:lang w:eastAsia="en-US"/>
        </w:rPr>
        <w:t>cimetidinu</w:t>
      </w:r>
      <w:proofErr w:type="spellEnd"/>
      <w:r>
        <w:rPr>
          <w:iCs/>
          <w:snapToGrid w:val="0"/>
          <w:sz w:val="22"/>
          <w:szCs w:val="22"/>
          <w:lang w:eastAsia="en-US"/>
        </w:rPr>
        <w:t xml:space="preserve">, </w:t>
      </w:r>
      <w:proofErr w:type="spellStart"/>
      <w:r>
        <w:rPr>
          <w:iCs/>
          <w:snapToGrid w:val="0"/>
          <w:sz w:val="22"/>
          <w:szCs w:val="22"/>
          <w:lang w:eastAsia="en-US"/>
        </w:rPr>
        <w:t>dolutegraviru</w:t>
      </w:r>
      <w:proofErr w:type="spellEnd"/>
      <w:r>
        <w:rPr>
          <w:iCs/>
          <w:snapToGrid w:val="0"/>
          <w:sz w:val="22"/>
          <w:szCs w:val="22"/>
          <w:lang w:eastAsia="en-US"/>
        </w:rPr>
        <w:t xml:space="preserve">, </w:t>
      </w:r>
      <w:proofErr w:type="spellStart"/>
      <w:r>
        <w:rPr>
          <w:iCs/>
          <w:snapToGrid w:val="0"/>
          <w:sz w:val="22"/>
          <w:szCs w:val="22"/>
          <w:lang w:eastAsia="en-US"/>
        </w:rPr>
        <w:t>ranolazinu</w:t>
      </w:r>
      <w:proofErr w:type="spellEnd"/>
      <w:r>
        <w:rPr>
          <w:iCs/>
          <w:snapToGrid w:val="0"/>
          <w:sz w:val="22"/>
          <w:szCs w:val="22"/>
          <w:lang w:eastAsia="en-US"/>
        </w:rPr>
        <w:t xml:space="preserve">, </w:t>
      </w:r>
      <w:proofErr w:type="spellStart"/>
      <w:r>
        <w:rPr>
          <w:iCs/>
          <w:snapToGrid w:val="0"/>
          <w:sz w:val="22"/>
          <w:szCs w:val="22"/>
          <w:lang w:eastAsia="en-US"/>
        </w:rPr>
        <w:t>trimetoprimu</w:t>
      </w:r>
      <w:proofErr w:type="spellEnd"/>
      <w:r>
        <w:rPr>
          <w:iCs/>
          <w:snapToGrid w:val="0"/>
          <w:sz w:val="22"/>
          <w:szCs w:val="22"/>
          <w:lang w:eastAsia="en-US"/>
        </w:rPr>
        <w:t xml:space="preserve">, </w:t>
      </w:r>
      <w:proofErr w:type="spellStart"/>
      <w:r>
        <w:rPr>
          <w:iCs/>
          <w:snapToGrid w:val="0"/>
          <w:sz w:val="22"/>
          <w:szCs w:val="22"/>
          <w:lang w:eastAsia="en-US"/>
        </w:rPr>
        <w:t>vandetanibu</w:t>
      </w:r>
      <w:proofErr w:type="spellEnd"/>
      <w:r>
        <w:rPr>
          <w:iCs/>
          <w:snapToGrid w:val="0"/>
          <w:sz w:val="22"/>
          <w:szCs w:val="22"/>
          <w:lang w:eastAsia="en-US"/>
        </w:rPr>
        <w:t xml:space="preserve">, </w:t>
      </w:r>
      <w:proofErr w:type="spellStart"/>
      <w:r>
        <w:rPr>
          <w:iCs/>
          <w:snapToGrid w:val="0"/>
          <w:sz w:val="22"/>
          <w:szCs w:val="22"/>
          <w:lang w:eastAsia="en-US"/>
        </w:rPr>
        <w:t>izavukonazolu</w:t>
      </w:r>
      <w:proofErr w:type="spellEnd"/>
      <w:r>
        <w:rPr>
          <w:iCs/>
          <w:snapToGrid w:val="0"/>
          <w:sz w:val="22"/>
          <w:szCs w:val="22"/>
          <w:lang w:eastAsia="en-US"/>
        </w:rPr>
        <w:t xml:space="preserve">), gali susilpnėti </w:t>
      </w:r>
      <w:proofErr w:type="spellStart"/>
      <w:r>
        <w:rPr>
          <w:iCs/>
          <w:snapToGrid w:val="0"/>
          <w:sz w:val="22"/>
          <w:szCs w:val="22"/>
          <w:lang w:eastAsia="en-US"/>
        </w:rPr>
        <w:t>metformino</w:t>
      </w:r>
      <w:proofErr w:type="spellEnd"/>
      <w:r>
        <w:rPr>
          <w:iCs/>
          <w:snapToGrid w:val="0"/>
          <w:sz w:val="22"/>
          <w:szCs w:val="22"/>
          <w:lang w:eastAsia="en-US"/>
        </w:rPr>
        <w:t xml:space="preserve"> eliminacija per inkstus ir dėl to padidėti </w:t>
      </w:r>
      <w:proofErr w:type="spellStart"/>
      <w:r>
        <w:rPr>
          <w:iCs/>
          <w:snapToGrid w:val="0"/>
          <w:sz w:val="22"/>
          <w:szCs w:val="22"/>
          <w:lang w:eastAsia="en-US"/>
        </w:rPr>
        <w:t>metformino</w:t>
      </w:r>
      <w:proofErr w:type="spellEnd"/>
      <w:r>
        <w:rPr>
          <w:iCs/>
          <w:snapToGrid w:val="0"/>
          <w:sz w:val="22"/>
          <w:szCs w:val="22"/>
          <w:lang w:eastAsia="en-US"/>
        </w:rPr>
        <w:t xml:space="preserve"> koncentracija kraujo plazmoje;</w:t>
      </w:r>
    </w:p>
    <w:p w14:paraId="74FE4288" w14:textId="23D39202" w:rsidR="003B31DC" w:rsidRPr="00A02B90" w:rsidRDefault="00913CBE">
      <w:pPr>
        <w:numPr>
          <w:ilvl w:val="0"/>
          <w:numId w:val="15"/>
        </w:numPr>
        <w:spacing w:after="15" w:line="248" w:lineRule="auto"/>
        <w:ind w:right="11" w:hanging="566"/>
        <w:rPr>
          <w:sz w:val="22"/>
          <w:szCs w:val="22"/>
          <w:lang w:eastAsia="sl-SI"/>
        </w:rPr>
      </w:pPr>
      <w:r>
        <w:rPr>
          <w:iCs/>
          <w:snapToGrid w:val="0"/>
          <w:sz w:val="22"/>
          <w:szCs w:val="22"/>
          <w:lang w:eastAsia="en-US"/>
        </w:rPr>
        <w:t xml:space="preserve">abiejų  OKN1 ir OKN2  inhibitoriais (pvz., </w:t>
      </w:r>
      <w:proofErr w:type="spellStart"/>
      <w:r>
        <w:rPr>
          <w:iCs/>
          <w:snapToGrid w:val="0"/>
          <w:sz w:val="22"/>
          <w:szCs w:val="22"/>
          <w:lang w:eastAsia="en-US"/>
        </w:rPr>
        <w:t>krizotinibu</w:t>
      </w:r>
      <w:proofErr w:type="spellEnd"/>
      <w:r>
        <w:rPr>
          <w:iCs/>
          <w:snapToGrid w:val="0"/>
          <w:sz w:val="22"/>
          <w:szCs w:val="22"/>
          <w:lang w:eastAsia="en-US"/>
        </w:rPr>
        <w:t xml:space="preserve">, </w:t>
      </w:r>
      <w:proofErr w:type="spellStart"/>
      <w:r>
        <w:rPr>
          <w:iCs/>
          <w:snapToGrid w:val="0"/>
          <w:sz w:val="22"/>
          <w:szCs w:val="22"/>
          <w:lang w:eastAsia="en-US"/>
        </w:rPr>
        <w:t>olaparibu</w:t>
      </w:r>
      <w:proofErr w:type="spellEnd"/>
      <w:r>
        <w:rPr>
          <w:iCs/>
          <w:snapToGrid w:val="0"/>
          <w:sz w:val="22"/>
          <w:szCs w:val="22"/>
          <w:lang w:eastAsia="en-US"/>
        </w:rPr>
        <w:t xml:space="preserve">), gali pasikeisti </w:t>
      </w:r>
      <w:proofErr w:type="spellStart"/>
      <w:r>
        <w:rPr>
          <w:iCs/>
          <w:snapToGrid w:val="0"/>
          <w:sz w:val="22"/>
          <w:szCs w:val="22"/>
          <w:lang w:eastAsia="en-US"/>
        </w:rPr>
        <w:t>metformino</w:t>
      </w:r>
      <w:proofErr w:type="spellEnd"/>
      <w:r>
        <w:rPr>
          <w:iCs/>
          <w:snapToGrid w:val="0"/>
          <w:sz w:val="22"/>
          <w:szCs w:val="22"/>
          <w:lang w:eastAsia="en-US"/>
        </w:rPr>
        <w:t xml:space="preserve"> veiksmingumas ir eliminacija per inkstus.</w:t>
      </w:r>
    </w:p>
    <w:p w14:paraId="594B4EB8" w14:textId="77777777" w:rsidR="003B31DC" w:rsidRPr="00A02B90" w:rsidRDefault="00913CBE">
      <w:pPr>
        <w:pStyle w:val="Default"/>
        <w:rPr>
          <w:sz w:val="22"/>
          <w:szCs w:val="22"/>
          <w:lang w:val="lt-LT"/>
        </w:rPr>
      </w:pPr>
      <w:r w:rsidRPr="00A02B90">
        <w:rPr>
          <w:sz w:val="22"/>
          <w:szCs w:val="22"/>
          <w:lang w:val="lt-LT"/>
        </w:rPr>
        <w:t xml:space="preserve">Taigi šių vaistinių preparatų skiriant kartu su </w:t>
      </w:r>
      <w:proofErr w:type="spellStart"/>
      <w:r w:rsidRPr="00A02B90">
        <w:rPr>
          <w:sz w:val="22"/>
          <w:szCs w:val="22"/>
          <w:lang w:val="lt-LT"/>
        </w:rPr>
        <w:t>metforminu</w:t>
      </w:r>
      <w:proofErr w:type="spellEnd"/>
      <w:r w:rsidRPr="00A02B90">
        <w:rPr>
          <w:sz w:val="22"/>
          <w:szCs w:val="22"/>
          <w:lang w:val="lt-LT"/>
        </w:rPr>
        <w:t xml:space="preserve">, patariama būti atsargiems, nes gali padidėti </w:t>
      </w:r>
      <w:proofErr w:type="spellStart"/>
      <w:r w:rsidRPr="00A02B90">
        <w:rPr>
          <w:sz w:val="22"/>
          <w:szCs w:val="22"/>
          <w:lang w:val="lt-LT"/>
        </w:rPr>
        <w:t>metformino</w:t>
      </w:r>
      <w:proofErr w:type="spellEnd"/>
      <w:r w:rsidRPr="00A02B90">
        <w:rPr>
          <w:sz w:val="22"/>
          <w:szCs w:val="22"/>
          <w:lang w:val="lt-LT"/>
        </w:rPr>
        <w:t xml:space="preserve"> koncentracija kraujo plazmoje, ypač pacientams, kurių sutrikusi inkstų funkcija. Jei reikia, galima apsvarstyti </w:t>
      </w:r>
      <w:proofErr w:type="spellStart"/>
      <w:r w:rsidRPr="00A02B90">
        <w:rPr>
          <w:sz w:val="22"/>
          <w:szCs w:val="22"/>
          <w:lang w:val="lt-LT"/>
        </w:rPr>
        <w:t>metformino</w:t>
      </w:r>
      <w:proofErr w:type="spellEnd"/>
      <w:r w:rsidRPr="00A02B90">
        <w:rPr>
          <w:sz w:val="22"/>
          <w:szCs w:val="22"/>
          <w:lang w:val="lt-LT"/>
        </w:rPr>
        <w:t xml:space="preserve"> dozės koregavimą, nes OKN inhibitoriai ir (arba) </w:t>
      </w:r>
      <w:proofErr w:type="spellStart"/>
      <w:r w:rsidRPr="00A02B90">
        <w:rPr>
          <w:sz w:val="22"/>
          <w:szCs w:val="22"/>
          <w:lang w:val="lt-LT"/>
        </w:rPr>
        <w:t>induktoriai</w:t>
      </w:r>
      <w:proofErr w:type="spellEnd"/>
      <w:r w:rsidRPr="00A02B90">
        <w:rPr>
          <w:sz w:val="22"/>
          <w:szCs w:val="22"/>
          <w:lang w:val="lt-LT"/>
        </w:rPr>
        <w:t xml:space="preserve"> gali pakeisti </w:t>
      </w:r>
      <w:proofErr w:type="spellStart"/>
      <w:r w:rsidRPr="00A02B90">
        <w:rPr>
          <w:sz w:val="22"/>
          <w:szCs w:val="22"/>
          <w:lang w:val="lt-LT"/>
        </w:rPr>
        <w:t>metformino</w:t>
      </w:r>
      <w:proofErr w:type="spellEnd"/>
      <w:r w:rsidRPr="00A02B90">
        <w:rPr>
          <w:sz w:val="22"/>
          <w:szCs w:val="22"/>
          <w:lang w:val="lt-LT"/>
        </w:rPr>
        <w:t xml:space="preserve"> veiksmingumą</w:t>
      </w:r>
      <w:r w:rsidRPr="00A02B90">
        <w:rPr>
          <w:lang w:val="lt-LT"/>
        </w:rPr>
        <w:t xml:space="preserve"> </w:t>
      </w:r>
      <w:r w:rsidRPr="00A02B90">
        <w:rPr>
          <w:sz w:val="22"/>
          <w:szCs w:val="22"/>
          <w:lang w:val="lt-LT"/>
        </w:rPr>
        <w:t>(žr. 4.2 ir 4.4 skyrius).</w:t>
      </w:r>
    </w:p>
    <w:p w14:paraId="3917D7AA" w14:textId="77777777" w:rsidR="003B31DC" w:rsidRPr="00A02B90" w:rsidRDefault="003B31DC">
      <w:pPr>
        <w:pStyle w:val="Default"/>
        <w:rPr>
          <w:rFonts w:eastAsiaTheme="minorHAnsi"/>
          <w:i/>
          <w:iCs/>
          <w:sz w:val="22"/>
          <w:szCs w:val="22"/>
          <w:lang w:val="lt-LT" w:eastAsia="en-US"/>
        </w:rPr>
      </w:pPr>
    </w:p>
    <w:p w14:paraId="62B96108" w14:textId="77777777" w:rsidR="003B31DC" w:rsidRDefault="00913CBE">
      <w:pPr>
        <w:pStyle w:val="Default"/>
        <w:rPr>
          <w:rFonts w:eastAsiaTheme="minorHAnsi"/>
          <w:sz w:val="22"/>
          <w:szCs w:val="22"/>
          <w:lang w:val="lt-LT" w:eastAsia="en-US"/>
        </w:rPr>
      </w:pPr>
      <w:r>
        <w:rPr>
          <w:rFonts w:eastAsiaTheme="minorHAnsi"/>
          <w:i/>
          <w:iCs/>
          <w:sz w:val="22"/>
          <w:szCs w:val="22"/>
          <w:lang w:val="lt-LT" w:eastAsia="en-US"/>
        </w:rPr>
        <w:t>Jodo turinčios kontrastinės medžiagos</w:t>
      </w:r>
    </w:p>
    <w:p w14:paraId="7CCC6CA9" w14:textId="1FB2332F" w:rsidR="003B31DC" w:rsidRDefault="00913CBE">
      <w:pPr>
        <w:spacing w:after="15" w:line="248" w:lineRule="auto"/>
        <w:ind w:right="11"/>
        <w:rPr>
          <w:rFonts w:eastAsiaTheme="minorHAnsi"/>
          <w:color w:val="000000"/>
          <w:sz w:val="22"/>
          <w:szCs w:val="22"/>
          <w:lang w:eastAsia="en-US"/>
        </w:rPr>
      </w:pPr>
      <w:r>
        <w:rPr>
          <w:rFonts w:eastAsiaTheme="minorHAnsi"/>
          <w:color w:val="000000"/>
          <w:sz w:val="22"/>
          <w:szCs w:val="22"/>
          <w:lang w:eastAsia="en-US"/>
        </w:rPr>
        <w:t xml:space="preserve">Prieš </w:t>
      </w:r>
      <w:r w:rsidR="0014561F">
        <w:rPr>
          <w:rFonts w:eastAsiaTheme="minorHAnsi"/>
          <w:color w:val="000000"/>
          <w:sz w:val="22"/>
          <w:szCs w:val="22"/>
          <w:lang w:eastAsia="en-US"/>
        </w:rPr>
        <w:t xml:space="preserve">radiologinio tyrimo </w:t>
      </w:r>
      <w:r>
        <w:rPr>
          <w:rFonts w:eastAsiaTheme="minorHAnsi"/>
          <w:color w:val="000000"/>
          <w:sz w:val="22"/>
          <w:szCs w:val="22"/>
          <w:lang w:eastAsia="en-US"/>
        </w:rPr>
        <w:t xml:space="preserve">procedūrą arba jos metu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vartojimą reikia nutraukti. Vėl </w:t>
      </w:r>
      <w:r w:rsidR="004A254E">
        <w:rPr>
          <w:rFonts w:eastAsiaTheme="minorHAnsi"/>
          <w:color w:val="000000"/>
          <w:sz w:val="22"/>
          <w:szCs w:val="22"/>
          <w:lang w:eastAsia="en-US"/>
        </w:rPr>
        <w:t xml:space="preserve">pradėti </w:t>
      </w:r>
      <w:r>
        <w:rPr>
          <w:rFonts w:eastAsiaTheme="minorHAnsi"/>
          <w:color w:val="000000"/>
          <w:sz w:val="22"/>
          <w:szCs w:val="22"/>
          <w:lang w:eastAsia="en-US"/>
        </w:rPr>
        <w:t xml:space="preserve">vartoti galima tik praėjus ne mažiau kaip 48 valandoms po procedūros ir tik jei buvo atlikti tyrimai, kurie parodė </w:t>
      </w:r>
      <w:r w:rsidR="004A254E">
        <w:rPr>
          <w:rFonts w:eastAsiaTheme="minorHAnsi"/>
          <w:color w:val="000000"/>
          <w:sz w:val="22"/>
          <w:szCs w:val="22"/>
          <w:lang w:eastAsia="en-US"/>
        </w:rPr>
        <w:t xml:space="preserve">nepablogėjusią </w:t>
      </w:r>
      <w:r>
        <w:rPr>
          <w:rFonts w:eastAsiaTheme="minorHAnsi"/>
          <w:color w:val="000000"/>
          <w:sz w:val="22"/>
          <w:szCs w:val="22"/>
          <w:lang w:eastAsia="en-US"/>
        </w:rPr>
        <w:t>inkstų funkciją (žr. 4.2 ir 4.4 skyrius).</w:t>
      </w:r>
    </w:p>
    <w:p w14:paraId="497179CB" w14:textId="77777777" w:rsidR="003B31DC" w:rsidRDefault="003B31DC">
      <w:pPr>
        <w:spacing w:after="15" w:line="248" w:lineRule="auto"/>
        <w:ind w:right="11"/>
        <w:rPr>
          <w:rFonts w:eastAsiaTheme="minorHAnsi"/>
          <w:color w:val="000000"/>
          <w:sz w:val="22"/>
          <w:szCs w:val="22"/>
          <w:lang w:eastAsia="en-US"/>
        </w:rPr>
      </w:pPr>
    </w:p>
    <w:p w14:paraId="215A37E4" w14:textId="6226A075" w:rsidR="003B31DC" w:rsidRDefault="00913CBE">
      <w:pPr>
        <w:spacing w:after="15" w:line="248" w:lineRule="auto"/>
        <w:ind w:right="11"/>
        <w:rPr>
          <w:rFonts w:eastAsiaTheme="minorHAnsi"/>
          <w:i/>
          <w:iCs/>
          <w:color w:val="000000"/>
          <w:sz w:val="22"/>
          <w:szCs w:val="22"/>
          <w:u w:val="single"/>
          <w:lang w:eastAsia="en-US"/>
        </w:rPr>
      </w:pPr>
      <w:r>
        <w:rPr>
          <w:rFonts w:eastAsiaTheme="minorHAnsi"/>
          <w:i/>
          <w:iCs/>
          <w:color w:val="000000"/>
          <w:sz w:val="22"/>
          <w:szCs w:val="22"/>
          <w:u w:val="single"/>
          <w:lang w:eastAsia="en-US"/>
        </w:rPr>
        <w:t xml:space="preserve">Deriniai, kuriuos vartojant </w:t>
      </w:r>
      <w:r w:rsidR="00293FEE">
        <w:rPr>
          <w:rFonts w:eastAsiaTheme="minorHAnsi"/>
          <w:i/>
          <w:iCs/>
          <w:color w:val="000000"/>
          <w:sz w:val="22"/>
          <w:szCs w:val="22"/>
          <w:u w:val="single"/>
          <w:lang w:eastAsia="en-US"/>
        </w:rPr>
        <w:t>reikalingos</w:t>
      </w:r>
      <w:r>
        <w:rPr>
          <w:rFonts w:eastAsiaTheme="minorHAnsi"/>
          <w:i/>
          <w:iCs/>
          <w:color w:val="000000"/>
          <w:sz w:val="22"/>
          <w:szCs w:val="22"/>
          <w:u w:val="single"/>
          <w:lang w:eastAsia="en-US"/>
        </w:rPr>
        <w:t xml:space="preserve"> atsargumo priemon</w:t>
      </w:r>
      <w:r w:rsidR="00293FEE">
        <w:rPr>
          <w:rFonts w:eastAsiaTheme="minorHAnsi"/>
          <w:i/>
          <w:iCs/>
          <w:color w:val="000000"/>
          <w:sz w:val="22"/>
          <w:szCs w:val="22"/>
          <w:u w:val="single"/>
          <w:lang w:eastAsia="en-US"/>
        </w:rPr>
        <w:t>ės</w:t>
      </w:r>
    </w:p>
    <w:p w14:paraId="1D1EE2D2" w14:textId="77777777" w:rsidR="003B31DC" w:rsidRDefault="003B31DC">
      <w:pPr>
        <w:spacing w:after="15" w:line="248" w:lineRule="auto"/>
        <w:ind w:right="11"/>
        <w:rPr>
          <w:rFonts w:eastAsiaTheme="minorHAnsi"/>
          <w:i/>
          <w:iCs/>
          <w:color w:val="000000"/>
          <w:sz w:val="22"/>
          <w:szCs w:val="22"/>
          <w:u w:val="single"/>
          <w:lang w:eastAsia="en-US"/>
        </w:rPr>
      </w:pPr>
    </w:p>
    <w:p w14:paraId="44F06695" w14:textId="77777777" w:rsidR="003B31DC" w:rsidRDefault="00913CBE">
      <w:pPr>
        <w:spacing w:after="15" w:line="248" w:lineRule="auto"/>
        <w:ind w:right="11"/>
        <w:rPr>
          <w:rFonts w:eastAsiaTheme="minorHAnsi"/>
          <w:color w:val="000000"/>
          <w:sz w:val="22"/>
          <w:szCs w:val="22"/>
          <w:lang w:eastAsia="en-US"/>
        </w:rPr>
      </w:pPr>
      <w:r>
        <w:rPr>
          <w:rFonts w:eastAsiaTheme="minorHAnsi"/>
          <w:color w:val="000000"/>
          <w:sz w:val="22"/>
          <w:szCs w:val="22"/>
          <w:lang w:eastAsia="en-US"/>
        </w:rPr>
        <w:t xml:space="preserve">Kai kurie vaistiniai preparatai gali neigiamai veikti inkstų funkciją ir gali didinti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pvz., NVNU, įskaitant selektyviuosius </w:t>
      </w:r>
      <w:proofErr w:type="spellStart"/>
      <w:r>
        <w:rPr>
          <w:rFonts w:eastAsiaTheme="minorHAnsi"/>
          <w:color w:val="000000"/>
          <w:sz w:val="22"/>
          <w:szCs w:val="22"/>
          <w:lang w:eastAsia="en-US"/>
        </w:rPr>
        <w:t>ciklooksigenazės</w:t>
      </w:r>
      <w:proofErr w:type="spellEnd"/>
      <w:r>
        <w:rPr>
          <w:rFonts w:eastAsiaTheme="minorHAnsi"/>
          <w:color w:val="000000"/>
          <w:sz w:val="22"/>
          <w:szCs w:val="22"/>
          <w:lang w:eastAsia="en-US"/>
        </w:rPr>
        <w:t xml:space="preserve"> (COX) II inhibitorius, AKF inhibitoriai,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II receptorių blokatoriai ir diuretikai, ypač kilpiniai diuretikai. Pradedant vartoti arba vartojant tokius vaistinius preparatus kartu su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reikia atidžiai stebėti inkstų funkciją.</w:t>
      </w:r>
    </w:p>
    <w:p w14:paraId="559C493B" w14:textId="46111CEA" w:rsidR="003B31DC" w:rsidRDefault="00913CBE">
      <w:pPr>
        <w:spacing w:after="15" w:line="248" w:lineRule="auto"/>
        <w:ind w:right="11"/>
      </w:pPr>
      <w:proofErr w:type="spellStart"/>
      <w:r>
        <w:rPr>
          <w:rFonts w:eastAsiaTheme="minorHAnsi"/>
          <w:color w:val="000000"/>
          <w:sz w:val="22"/>
          <w:szCs w:val="22"/>
          <w:lang w:eastAsia="en-US"/>
        </w:rPr>
        <w:t>Gliukokortikoidams</w:t>
      </w:r>
      <w:proofErr w:type="spellEnd"/>
      <w:r>
        <w:rPr>
          <w:rFonts w:eastAsiaTheme="minorHAnsi"/>
          <w:color w:val="000000"/>
          <w:sz w:val="22"/>
          <w:szCs w:val="22"/>
          <w:lang w:eastAsia="en-US"/>
        </w:rPr>
        <w:t xml:space="preserve"> (vartojamiems sisteminiu būdu arba lokaliai), beta-2 </w:t>
      </w:r>
      <w:proofErr w:type="spellStart"/>
      <w:r>
        <w:rPr>
          <w:rFonts w:eastAsiaTheme="minorHAnsi"/>
          <w:color w:val="000000"/>
          <w:sz w:val="22"/>
          <w:szCs w:val="22"/>
          <w:lang w:eastAsia="en-US"/>
        </w:rPr>
        <w:t>agonistams</w:t>
      </w:r>
      <w:proofErr w:type="spellEnd"/>
      <w:r>
        <w:rPr>
          <w:rFonts w:eastAsiaTheme="minorHAnsi"/>
          <w:color w:val="000000"/>
          <w:sz w:val="22"/>
          <w:szCs w:val="22"/>
          <w:lang w:eastAsia="en-US"/>
        </w:rPr>
        <w:t xml:space="preserve"> ir diuretikams yra būdingas vidinis hiperglikemiją sukeliantis aktyvumas. Apie tai pacientus reikia informuoti ir dažniau jiems matuoti gliukozės kiekį kraujyje, ypač gydymo minėtais vaistiniais preparatais pradžioje. Jei būtina, gydymo kitokiais vaistiniais preparatais metu ir po jų vartojimo nutraukimo</w:t>
      </w:r>
      <w:r w:rsidR="00B16E71">
        <w:rPr>
          <w:rFonts w:eastAsiaTheme="minorHAnsi"/>
          <w:color w:val="000000"/>
          <w:sz w:val="22"/>
          <w:szCs w:val="22"/>
          <w:lang w:eastAsia="en-US"/>
        </w:rPr>
        <w:t>,</w:t>
      </w:r>
      <w:r>
        <w:rPr>
          <w:rFonts w:eastAsiaTheme="minorHAnsi"/>
          <w:color w:val="000000"/>
          <w:sz w:val="22"/>
          <w:szCs w:val="22"/>
          <w:lang w:eastAsia="en-US"/>
        </w:rPr>
        <w:t xml:space="preserve"> </w:t>
      </w:r>
      <w:proofErr w:type="spellStart"/>
      <w:r>
        <w:rPr>
          <w:rFonts w:eastAsiaTheme="minorHAnsi"/>
          <w:color w:val="000000"/>
          <w:sz w:val="22"/>
          <w:szCs w:val="22"/>
          <w:lang w:eastAsia="en-US"/>
        </w:rPr>
        <w:t>antihiperglikeminių</w:t>
      </w:r>
      <w:proofErr w:type="spellEnd"/>
      <w:r>
        <w:rPr>
          <w:rFonts w:eastAsiaTheme="minorHAnsi"/>
          <w:color w:val="000000"/>
          <w:sz w:val="22"/>
          <w:szCs w:val="22"/>
          <w:lang w:eastAsia="en-US"/>
        </w:rPr>
        <w:t xml:space="preserve"> vaistinių preparatų dozę reikia keisti.</w:t>
      </w:r>
    </w:p>
    <w:p w14:paraId="67B233DF" w14:textId="77777777" w:rsidR="003B31DC" w:rsidRDefault="003B31DC">
      <w:pPr>
        <w:spacing w:after="15" w:line="248" w:lineRule="auto"/>
        <w:ind w:right="11"/>
      </w:pPr>
    </w:p>
    <w:p w14:paraId="3A7CF13E" w14:textId="77777777" w:rsidR="003B31DC" w:rsidRDefault="00913CBE">
      <w:pPr>
        <w:spacing w:after="15" w:line="248" w:lineRule="auto"/>
        <w:ind w:right="11"/>
        <w:rPr>
          <w:rFonts w:eastAsiaTheme="minorHAnsi"/>
          <w:i/>
          <w:iCs/>
          <w:color w:val="000000"/>
          <w:sz w:val="22"/>
          <w:szCs w:val="22"/>
          <w:lang w:eastAsia="en-US"/>
        </w:rPr>
      </w:pPr>
      <w:r>
        <w:rPr>
          <w:rFonts w:eastAsiaTheme="minorHAnsi"/>
          <w:i/>
          <w:iCs/>
          <w:color w:val="000000"/>
          <w:sz w:val="22"/>
          <w:szCs w:val="22"/>
          <w:lang w:eastAsia="en-US"/>
        </w:rPr>
        <w:t>Insulinas ir insulino sekreciją skatinantys vaistiniai preparatai</w:t>
      </w:r>
    </w:p>
    <w:p w14:paraId="663F9B55" w14:textId="77777777" w:rsidR="003B31DC" w:rsidRDefault="00913CBE">
      <w:pPr>
        <w:spacing w:after="15" w:line="248" w:lineRule="auto"/>
        <w:ind w:right="11"/>
        <w:rPr>
          <w:rFonts w:eastAsiaTheme="minorHAnsi"/>
          <w:color w:val="000000"/>
          <w:sz w:val="22"/>
          <w:szCs w:val="22"/>
          <w:lang w:eastAsia="en-US"/>
        </w:rPr>
      </w:pPr>
      <w:r>
        <w:rPr>
          <w:rFonts w:eastAsiaTheme="minorHAnsi"/>
          <w:color w:val="000000"/>
          <w:sz w:val="22"/>
          <w:szCs w:val="22"/>
          <w:lang w:eastAsia="en-US"/>
        </w:rPr>
        <w:t xml:space="preserve">Insulinas ir insulino sekreciją skatinantys vaistiniai preparatai, pvz.,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dariniai, gali padidinti hipoglikemijos riziką. Taigi su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derinamų insulino ar insulino sekreciją skatinančių vaistinių preparatų dozę gali reikėti mažinti, kad sumažėtų hipoglikemijos rizika (žr. 4.2 ir 4.8 skyrius).</w:t>
      </w:r>
    </w:p>
    <w:p w14:paraId="3136F47B" w14:textId="77777777" w:rsidR="003B31DC" w:rsidRDefault="003B31DC">
      <w:pPr>
        <w:spacing w:after="15" w:line="248" w:lineRule="auto"/>
        <w:ind w:right="11"/>
        <w:rPr>
          <w:rFonts w:eastAsiaTheme="minorHAnsi"/>
          <w:color w:val="000000"/>
          <w:sz w:val="22"/>
          <w:szCs w:val="22"/>
          <w:lang w:eastAsia="en-US"/>
        </w:rPr>
      </w:pPr>
    </w:p>
    <w:p w14:paraId="244DDC0A" w14:textId="77777777" w:rsidR="003B31DC" w:rsidRDefault="00913CBE">
      <w:pPr>
        <w:spacing w:after="15" w:line="248" w:lineRule="auto"/>
        <w:ind w:right="11"/>
        <w:rPr>
          <w:rFonts w:eastAsiaTheme="minorHAnsi"/>
          <w:color w:val="000000"/>
          <w:sz w:val="22"/>
          <w:szCs w:val="22"/>
          <w:u w:val="single"/>
          <w:lang w:eastAsia="en-US"/>
        </w:rPr>
      </w:pPr>
      <w:r>
        <w:rPr>
          <w:rFonts w:eastAsiaTheme="minorHAnsi"/>
          <w:color w:val="000000"/>
          <w:sz w:val="22"/>
          <w:szCs w:val="22"/>
          <w:u w:val="single"/>
          <w:lang w:eastAsia="en-US"/>
        </w:rPr>
        <w:t>Vaikų populiacija</w:t>
      </w:r>
    </w:p>
    <w:p w14:paraId="59FF3ECD" w14:textId="77777777" w:rsidR="003B31DC" w:rsidRDefault="003B31DC">
      <w:pPr>
        <w:spacing w:after="15" w:line="248" w:lineRule="auto"/>
        <w:ind w:right="11"/>
        <w:rPr>
          <w:rFonts w:eastAsiaTheme="minorHAnsi"/>
          <w:color w:val="000000"/>
          <w:sz w:val="22"/>
          <w:szCs w:val="22"/>
          <w:u w:val="single"/>
          <w:lang w:eastAsia="en-US"/>
        </w:rPr>
      </w:pPr>
    </w:p>
    <w:p w14:paraId="30193024" w14:textId="77777777" w:rsidR="003B31DC" w:rsidRDefault="00913CBE">
      <w:pPr>
        <w:spacing w:after="15" w:line="248" w:lineRule="auto"/>
        <w:ind w:right="11"/>
        <w:rPr>
          <w:rFonts w:eastAsiaTheme="minorHAnsi"/>
          <w:color w:val="000000"/>
          <w:sz w:val="22"/>
          <w:szCs w:val="22"/>
          <w:lang w:eastAsia="en-US"/>
        </w:rPr>
      </w:pPr>
      <w:r>
        <w:rPr>
          <w:rFonts w:eastAsiaTheme="minorHAnsi"/>
          <w:color w:val="000000"/>
          <w:sz w:val="22"/>
          <w:szCs w:val="22"/>
          <w:lang w:eastAsia="en-US"/>
        </w:rPr>
        <w:t>Sąveikos tyrimai atlikti tik suaugusiesiems.</w:t>
      </w:r>
    </w:p>
    <w:p w14:paraId="51589D9C" w14:textId="77777777" w:rsidR="003B31DC" w:rsidRDefault="003B31DC">
      <w:pPr>
        <w:widowControl w:val="0"/>
        <w:tabs>
          <w:tab w:val="left" w:pos="567"/>
        </w:tabs>
        <w:ind w:left="567" w:hanging="567"/>
        <w:outlineLvl w:val="2"/>
        <w:rPr>
          <w:iCs/>
          <w:snapToGrid w:val="0"/>
          <w:sz w:val="22"/>
          <w:szCs w:val="22"/>
          <w:lang w:eastAsia="en-US"/>
        </w:rPr>
      </w:pPr>
    </w:p>
    <w:p w14:paraId="4FA33CEB" w14:textId="77777777" w:rsidR="003B31DC" w:rsidRDefault="00913CBE">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4464D5A4" w14:textId="77777777" w:rsidR="003B31DC" w:rsidRDefault="003B31DC">
      <w:pPr>
        <w:widowControl w:val="0"/>
        <w:rPr>
          <w:iCs/>
          <w:sz w:val="22"/>
          <w:szCs w:val="22"/>
          <w:lang w:eastAsia="en-US"/>
        </w:rPr>
      </w:pPr>
    </w:p>
    <w:p w14:paraId="6B64DF59" w14:textId="77777777" w:rsidR="003B31DC" w:rsidRDefault="00913CBE">
      <w:pPr>
        <w:widowControl w:val="0"/>
        <w:outlineLvl w:val="0"/>
        <w:rPr>
          <w:sz w:val="22"/>
          <w:szCs w:val="22"/>
          <w:u w:val="single"/>
          <w:lang w:eastAsia="sl-SI"/>
        </w:rPr>
      </w:pPr>
      <w:r>
        <w:rPr>
          <w:sz w:val="22"/>
          <w:szCs w:val="22"/>
          <w:u w:val="single"/>
          <w:lang w:eastAsia="sl-SI"/>
        </w:rPr>
        <w:t>Nėštumas</w:t>
      </w:r>
    </w:p>
    <w:p w14:paraId="17D95351" w14:textId="77777777" w:rsidR="003B31DC" w:rsidRDefault="003B31DC">
      <w:pPr>
        <w:widowControl w:val="0"/>
        <w:outlineLvl w:val="0"/>
        <w:rPr>
          <w:sz w:val="22"/>
          <w:szCs w:val="22"/>
          <w:u w:val="single"/>
          <w:lang w:eastAsia="sl-SI"/>
        </w:rPr>
      </w:pPr>
    </w:p>
    <w:p w14:paraId="075E192E" w14:textId="77777777" w:rsidR="003B31DC" w:rsidRDefault="00913CBE">
      <w:pPr>
        <w:widowControl w:val="0"/>
        <w:outlineLvl w:val="0"/>
        <w:rPr>
          <w:sz w:val="22"/>
          <w:szCs w:val="22"/>
          <w:lang w:eastAsia="sl-SI"/>
        </w:rPr>
      </w:pPr>
      <w:r>
        <w:rPr>
          <w:sz w:val="22"/>
          <w:szCs w:val="22"/>
          <w:lang w:eastAsia="sl-SI"/>
        </w:rPr>
        <w:t xml:space="preserve">Duomenų apie šio vaistinio preparato ar </w:t>
      </w:r>
      <w:proofErr w:type="spellStart"/>
      <w:r>
        <w:rPr>
          <w:sz w:val="22"/>
          <w:szCs w:val="22"/>
          <w:lang w:eastAsia="sl-SI"/>
        </w:rPr>
        <w:t>empagliflozino</w:t>
      </w:r>
      <w:proofErr w:type="spellEnd"/>
      <w:r>
        <w:rPr>
          <w:sz w:val="22"/>
          <w:szCs w:val="22"/>
          <w:lang w:eastAsia="sl-SI"/>
        </w:rPr>
        <w:t xml:space="preserve"> vartojimą nėštumo metu nėra. Tyrimai su gyvūnais rodo, kad vėlyvuoju vaisingumo laikotarpiu labai nedidelis kiekis </w:t>
      </w:r>
      <w:proofErr w:type="spellStart"/>
      <w:r>
        <w:rPr>
          <w:sz w:val="22"/>
          <w:szCs w:val="22"/>
          <w:lang w:eastAsia="sl-SI"/>
        </w:rPr>
        <w:t>empagliflozino</w:t>
      </w:r>
      <w:proofErr w:type="spellEnd"/>
      <w:r>
        <w:rPr>
          <w:sz w:val="22"/>
          <w:szCs w:val="22"/>
          <w:lang w:eastAsia="sl-SI"/>
        </w:rPr>
        <w:t xml:space="preserve"> prasiskverbia per placentą, bet tiesioginio ar netiesioginio kenksmingo toksinio poveikio ankstyvajam embriono vystymuisi nerodo. Vis dėlto tyrimai su gyvūnais parodė nepageidaujamą poveikį atsivestų jauniklių vystymuisi. Ribotas kiekis duomenų rodo, kad nėščioms moterims </w:t>
      </w:r>
      <w:proofErr w:type="spellStart"/>
      <w:r>
        <w:rPr>
          <w:sz w:val="22"/>
          <w:szCs w:val="22"/>
          <w:lang w:eastAsia="sl-SI"/>
        </w:rPr>
        <w:t>metformino</w:t>
      </w:r>
      <w:proofErr w:type="spellEnd"/>
      <w:r>
        <w:rPr>
          <w:sz w:val="22"/>
          <w:szCs w:val="22"/>
          <w:lang w:eastAsia="sl-SI"/>
        </w:rPr>
        <w:t xml:space="preserve"> vartojimas nėra susijęs su apsigimimų rizikos padidėjimu. Su gyvūnais atlikti </w:t>
      </w:r>
      <w:proofErr w:type="spellStart"/>
      <w:r>
        <w:rPr>
          <w:sz w:val="22"/>
          <w:szCs w:val="22"/>
          <w:lang w:eastAsia="sl-SI"/>
        </w:rPr>
        <w:t>empagliflozino</w:t>
      </w:r>
      <w:proofErr w:type="spellEnd"/>
      <w:r>
        <w:rPr>
          <w:sz w:val="22"/>
          <w:szCs w:val="22"/>
          <w:lang w:eastAsia="sl-SI"/>
        </w:rPr>
        <w:t xml:space="preserve"> ir </w:t>
      </w:r>
      <w:proofErr w:type="spellStart"/>
      <w:r>
        <w:rPr>
          <w:sz w:val="22"/>
          <w:szCs w:val="22"/>
          <w:lang w:eastAsia="sl-SI"/>
        </w:rPr>
        <w:t>metformino</w:t>
      </w:r>
      <w:proofErr w:type="spellEnd"/>
      <w:r>
        <w:rPr>
          <w:sz w:val="22"/>
          <w:szCs w:val="22"/>
          <w:lang w:eastAsia="sl-SI"/>
        </w:rPr>
        <w:t xml:space="preserve"> derinio ar vieno </w:t>
      </w:r>
      <w:proofErr w:type="spellStart"/>
      <w:r>
        <w:rPr>
          <w:sz w:val="22"/>
          <w:szCs w:val="22"/>
          <w:lang w:eastAsia="sl-SI"/>
        </w:rPr>
        <w:t>metformino</w:t>
      </w:r>
      <w:proofErr w:type="spellEnd"/>
      <w:r>
        <w:rPr>
          <w:sz w:val="22"/>
          <w:szCs w:val="22"/>
          <w:lang w:eastAsia="sl-SI"/>
        </w:rPr>
        <w:t xml:space="preserve"> tyrimai parodė tik didesnių </w:t>
      </w:r>
      <w:proofErr w:type="spellStart"/>
      <w:r>
        <w:rPr>
          <w:sz w:val="22"/>
          <w:szCs w:val="22"/>
          <w:lang w:eastAsia="sl-SI"/>
        </w:rPr>
        <w:t>metformino</w:t>
      </w:r>
      <w:proofErr w:type="spellEnd"/>
      <w:r>
        <w:rPr>
          <w:sz w:val="22"/>
          <w:szCs w:val="22"/>
          <w:lang w:eastAsia="sl-SI"/>
        </w:rPr>
        <w:t xml:space="preserve"> dozių toksinį poveikį reprodukcijai (žr. 5.3 skyrių).</w:t>
      </w:r>
    </w:p>
    <w:p w14:paraId="3FF8A984" w14:textId="77777777" w:rsidR="003B31DC" w:rsidRDefault="003B31DC">
      <w:pPr>
        <w:widowControl w:val="0"/>
        <w:outlineLvl w:val="0"/>
        <w:rPr>
          <w:sz w:val="22"/>
          <w:szCs w:val="22"/>
          <w:lang w:eastAsia="sl-SI"/>
        </w:rPr>
      </w:pPr>
    </w:p>
    <w:p w14:paraId="418C0272" w14:textId="77777777" w:rsidR="003B31DC" w:rsidRDefault="00913CBE">
      <w:pPr>
        <w:widowControl w:val="0"/>
        <w:outlineLvl w:val="0"/>
        <w:rPr>
          <w:sz w:val="22"/>
          <w:szCs w:val="22"/>
          <w:lang w:eastAsia="sl-SI"/>
        </w:rPr>
      </w:pPr>
      <w:r>
        <w:rPr>
          <w:sz w:val="22"/>
          <w:szCs w:val="22"/>
          <w:lang w:eastAsia="sl-SI"/>
        </w:rPr>
        <w:t xml:space="preserve">Pacienčių, kurios planuoja pastoti arba yra nėščios, cukrinio diabeto šiuo vaistiniu preparatu gydyti nerekomenduojama, joms gliukozės kiekį kraujyje kiek galima arčiau normalaus reikia palaikyti insulinu, </w:t>
      </w:r>
      <w:r>
        <w:rPr>
          <w:sz w:val="22"/>
          <w:szCs w:val="22"/>
          <w:lang w:eastAsia="sl-SI"/>
        </w:rPr>
        <w:lastRenderedPageBreak/>
        <w:t>kad sumažėtų vaisiaus apsigimimų, susijusių su nenormaliu gliukozės kiekiu kraujyje, rizika.</w:t>
      </w:r>
    </w:p>
    <w:p w14:paraId="3346B2EC" w14:textId="77777777" w:rsidR="003B31DC" w:rsidRDefault="003B31DC">
      <w:pPr>
        <w:widowControl w:val="0"/>
        <w:outlineLvl w:val="0"/>
        <w:rPr>
          <w:sz w:val="22"/>
          <w:szCs w:val="22"/>
          <w:u w:val="single"/>
          <w:lang w:eastAsia="sl-SI"/>
        </w:rPr>
      </w:pPr>
    </w:p>
    <w:p w14:paraId="3A4AC39A" w14:textId="77777777" w:rsidR="003B31DC" w:rsidRDefault="00913CBE">
      <w:pPr>
        <w:widowControl w:val="0"/>
        <w:outlineLvl w:val="0"/>
        <w:rPr>
          <w:sz w:val="22"/>
          <w:szCs w:val="22"/>
          <w:u w:val="single"/>
          <w:lang w:eastAsia="sl-SI"/>
        </w:rPr>
      </w:pPr>
      <w:r>
        <w:rPr>
          <w:sz w:val="22"/>
          <w:szCs w:val="22"/>
          <w:u w:val="single"/>
          <w:lang w:eastAsia="sl-SI"/>
        </w:rPr>
        <w:t>Žindymas</w:t>
      </w:r>
    </w:p>
    <w:p w14:paraId="613EC9CE" w14:textId="77777777" w:rsidR="003B31DC" w:rsidRDefault="003B31DC">
      <w:pPr>
        <w:widowControl w:val="0"/>
        <w:outlineLvl w:val="0"/>
        <w:rPr>
          <w:sz w:val="22"/>
          <w:szCs w:val="22"/>
          <w:u w:val="single"/>
          <w:lang w:eastAsia="sl-SI"/>
        </w:rPr>
      </w:pPr>
    </w:p>
    <w:p w14:paraId="40D0BC07" w14:textId="74D15510" w:rsidR="003B31DC" w:rsidRDefault="00913CBE">
      <w:pPr>
        <w:widowControl w:val="0"/>
        <w:outlineLvl w:val="0"/>
        <w:rPr>
          <w:sz w:val="22"/>
          <w:szCs w:val="22"/>
          <w:lang w:eastAsia="sl-SI"/>
        </w:rPr>
      </w:pPr>
      <w:r>
        <w:rPr>
          <w:sz w:val="22"/>
          <w:szCs w:val="22"/>
          <w:lang w:eastAsia="sl-SI"/>
        </w:rPr>
        <w:t xml:space="preserve">Metforminas išsiskiria į </w:t>
      </w:r>
      <w:r w:rsidR="0019320F">
        <w:rPr>
          <w:sz w:val="22"/>
          <w:szCs w:val="22"/>
          <w:lang w:eastAsia="sl-SI"/>
        </w:rPr>
        <w:t xml:space="preserve">gydomų moterų </w:t>
      </w:r>
      <w:r>
        <w:rPr>
          <w:sz w:val="22"/>
          <w:szCs w:val="22"/>
          <w:lang w:eastAsia="sl-SI"/>
        </w:rPr>
        <w:t xml:space="preserve">pieną. Jokio poveikio gydomų </w:t>
      </w:r>
      <w:r w:rsidR="007A4EBB">
        <w:rPr>
          <w:sz w:val="22"/>
          <w:szCs w:val="22"/>
          <w:lang w:eastAsia="sl-SI"/>
        </w:rPr>
        <w:t xml:space="preserve">moterų </w:t>
      </w:r>
      <w:r>
        <w:rPr>
          <w:sz w:val="22"/>
          <w:szCs w:val="22"/>
          <w:lang w:eastAsia="sl-SI"/>
        </w:rPr>
        <w:t xml:space="preserve">žindomiems naujagimiams/kūdikiams nepastebėta. Duomenų apie </w:t>
      </w:r>
      <w:proofErr w:type="spellStart"/>
      <w:r>
        <w:rPr>
          <w:sz w:val="22"/>
          <w:szCs w:val="22"/>
          <w:lang w:eastAsia="sl-SI"/>
        </w:rPr>
        <w:t>empagliflozino</w:t>
      </w:r>
      <w:proofErr w:type="spellEnd"/>
      <w:r>
        <w:rPr>
          <w:sz w:val="22"/>
          <w:szCs w:val="22"/>
          <w:lang w:eastAsia="sl-SI"/>
        </w:rPr>
        <w:t xml:space="preserve"> išsiskyrimą į </w:t>
      </w:r>
      <w:r w:rsidR="00B758A6">
        <w:rPr>
          <w:sz w:val="22"/>
          <w:szCs w:val="22"/>
          <w:lang w:eastAsia="sl-SI"/>
        </w:rPr>
        <w:t xml:space="preserve">gydomų moterų </w:t>
      </w:r>
      <w:r>
        <w:rPr>
          <w:sz w:val="22"/>
          <w:szCs w:val="22"/>
          <w:lang w:eastAsia="sl-SI"/>
        </w:rPr>
        <w:t xml:space="preserve"> pieną nėra. Esami tyrimų su gyvūnais duomenys rodo, kad </w:t>
      </w:r>
      <w:proofErr w:type="spellStart"/>
      <w:r>
        <w:rPr>
          <w:sz w:val="22"/>
          <w:szCs w:val="22"/>
          <w:lang w:eastAsia="sl-SI"/>
        </w:rPr>
        <w:t>empagliflozinas</w:t>
      </w:r>
      <w:proofErr w:type="spellEnd"/>
      <w:r>
        <w:rPr>
          <w:sz w:val="22"/>
          <w:szCs w:val="22"/>
          <w:lang w:eastAsia="sl-SI"/>
        </w:rPr>
        <w:t xml:space="preserve"> ir </w:t>
      </w:r>
      <w:proofErr w:type="spellStart"/>
      <w:r>
        <w:rPr>
          <w:sz w:val="22"/>
          <w:szCs w:val="22"/>
          <w:lang w:eastAsia="sl-SI"/>
        </w:rPr>
        <w:t>metforminas</w:t>
      </w:r>
      <w:proofErr w:type="spellEnd"/>
      <w:r>
        <w:rPr>
          <w:sz w:val="22"/>
          <w:szCs w:val="22"/>
          <w:lang w:eastAsia="sl-SI"/>
        </w:rPr>
        <w:t xml:space="preserve"> išsiskiria į gyvūnų pieną. Pavojaus žindomiems naujagimiams/kūdikiams negalima atmesti.</w:t>
      </w:r>
    </w:p>
    <w:p w14:paraId="22CA2A5E" w14:textId="77777777" w:rsidR="003B31DC" w:rsidRDefault="003B31DC">
      <w:pPr>
        <w:widowControl w:val="0"/>
        <w:outlineLvl w:val="0"/>
        <w:rPr>
          <w:sz w:val="22"/>
          <w:szCs w:val="22"/>
          <w:lang w:eastAsia="sl-SI"/>
        </w:rPr>
      </w:pPr>
    </w:p>
    <w:p w14:paraId="40C8191D" w14:textId="77777777" w:rsidR="003B31DC" w:rsidRDefault="00913CBE">
      <w:pPr>
        <w:widowControl w:val="0"/>
        <w:outlineLvl w:val="0"/>
        <w:rPr>
          <w:sz w:val="22"/>
          <w:szCs w:val="22"/>
          <w:lang w:eastAsia="sl-SI"/>
        </w:rPr>
      </w:pPr>
      <w:r>
        <w:rPr>
          <w:sz w:val="22"/>
          <w:szCs w:val="22"/>
          <w:lang w:eastAsia="sl-SI"/>
        </w:rPr>
        <w:t>Šis vaistinis preparatas neturi būti vartojamas žindymo metu.</w:t>
      </w:r>
    </w:p>
    <w:p w14:paraId="57783384" w14:textId="77777777" w:rsidR="003B31DC" w:rsidRDefault="003B31DC">
      <w:pPr>
        <w:widowControl w:val="0"/>
        <w:outlineLvl w:val="0"/>
        <w:rPr>
          <w:sz w:val="22"/>
          <w:szCs w:val="22"/>
          <w:lang w:eastAsia="sl-SI"/>
        </w:rPr>
      </w:pPr>
    </w:p>
    <w:p w14:paraId="395D41D2" w14:textId="77777777" w:rsidR="003B31DC" w:rsidRDefault="00913CBE">
      <w:pPr>
        <w:widowControl w:val="0"/>
        <w:outlineLvl w:val="0"/>
        <w:rPr>
          <w:sz w:val="22"/>
          <w:szCs w:val="22"/>
          <w:u w:val="single"/>
          <w:lang w:eastAsia="sl-SI"/>
        </w:rPr>
      </w:pPr>
      <w:r>
        <w:rPr>
          <w:sz w:val="22"/>
          <w:szCs w:val="22"/>
          <w:u w:val="single"/>
          <w:lang w:eastAsia="sl-SI"/>
        </w:rPr>
        <w:t>Vaisingumas</w:t>
      </w:r>
    </w:p>
    <w:p w14:paraId="49B2DA39" w14:textId="77777777" w:rsidR="003B31DC" w:rsidRDefault="003B31DC">
      <w:pPr>
        <w:widowControl w:val="0"/>
        <w:outlineLvl w:val="0"/>
        <w:rPr>
          <w:sz w:val="22"/>
          <w:szCs w:val="22"/>
          <w:u w:val="single"/>
          <w:lang w:eastAsia="sl-SI"/>
        </w:rPr>
      </w:pPr>
    </w:p>
    <w:p w14:paraId="6D6A9ABD" w14:textId="77777777" w:rsidR="003B31DC" w:rsidRDefault="00913CBE">
      <w:pPr>
        <w:widowControl w:val="0"/>
        <w:outlineLvl w:val="0"/>
        <w:rPr>
          <w:sz w:val="22"/>
          <w:szCs w:val="22"/>
          <w:lang w:eastAsia="sl-SI"/>
        </w:rPr>
      </w:pPr>
      <w:r>
        <w:rPr>
          <w:sz w:val="22"/>
          <w:szCs w:val="22"/>
          <w:lang w:eastAsia="sl-SI"/>
        </w:rPr>
        <w:t xml:space="preserve">Šio vaistinio preparato ar </w:t>
      </w:r>
      <w:proofErr w:type="spellStart"/>
      <w:r>
        <w:rPr>
          <w:sz w:val="22"/>
          <w:szCs w:val="22"/>
          <w:lang w:eastAsia="sl-SI"/>
        </w:rPr>
        <w:t>empagliflozino</w:t>
      </w:r>
      <w:proofErr w:type="spellEnd"/>
      <w:r>
        <w:rPr>
          <w:sz w:val="22"/>
          <w:szCs w:val="22"/>
          <w:lang w:eastAsia="sl-SI"/>
        </w:rPr>
        <w:t xml:space="preserve"> poveikio žmogaus vaisingumui tyrimų neatlikta. Tyrimai su gyvūnais tiesioginio ar netiesioginio </w:t>
      </w:r>
      <w:proofErr w:type="spellStart"/>
      <w:r>
        <w:rPr>
          <w:sz w:val="22"/>
          <w:szCs w:val="22"/>
          <w:lang w:eastAsia="sl-SI"/>
        </w:rPr>
        <w:t>empagliflozino</w:t>
      </w:r>
      <w:proofErr w:type="spellEnd"/>
      <w:r>
        <w:rPr>
          <w:sz w:val="22"/>
          <w:szCs w:val="22"/>
          <w:lang w:eastAsia="sl-SI"/>
        </w:rPr>
        <w:t xml:space="preserve"> ir </w:t>
      </w:r>
      <w:proofErr w:type="spellStart"/>
      <w:r>
        <w:rPr>
          <w:sz w:val="22"/>
          <w:szCs w:val="22"/>
          <w:lang w:eastAsia="sl-SI"/>
        </w:rPr>
        <w:t>metformino</w:t>
      </w:r>
      <w:proofErr w:type="spellEnd"/>
      <w:r>
        <w:rPr>
          <w:sz w:val="22"/>
          <w:szCs w:val="22"/>
          <w:lang w:eastAsia="sl-SI"/>
        </w:rPr>
        <w:t xml:space="preserve"> kenksmingo poveikio vaisingumui neparodė (žr. 5.3 skyrių).</w:t>
      </w:r>
    </w:p>
    <w:p w14:paraId="2DBF434A" w14:textId="77777777" w:rsidR="003B31DC" w:rsidRDefault="003B31DC">
      <w:pPr>
        <w:widowControl w:val="0"/>
        <w:ind w:left="567" w:hanging="567"/>
        <w:rPr>
          <w:sz w:val="22"/>
          <w:szCs w:val="22"/>
          <w:lang w:eastAsia="en-US"/>
        </w:rPr>
      </w:pPr>
    </w:p>
    <w:p w14:paraId="1D8546D3" w14:textId="77777777" w:rsidR="003B31DC" w:rsidRDefault="00913CBE">
      <w:pPr>
        <w:widowControl w:val="0"/>
        <w:tabs>
          <w:tab w:val="left" w:pos="567"/>
        </w:tabs>
        <w:ind w:left="567" w:hanging="567"/>
        <w:outlineLvl w:val="2"/>
        <w:rPr>
          <w:b/>
          <w:kern w:val="28"/>
          <w:sz w:val="22"/>
          <w:szCs w:val="22"/>
          <w:lang w:eastAsia="en-US"/>
        </w:rPr>
      </w:pPr>
      <w:r>
        <w:rPr>
          <w:b/>
          <w:kern w:val="28"/>
          <w:sz w:val="22"/>
          <w:szCs w:val="22"/>
          <w:lang w:eastAsia="en-US"/>
        </w:rPr>
        <w:t>4.7</w:t>
      </w:r>
      <w:r>
        <w:rPr>
          <w:b/>
          <w:kern w:val="28"/>
          <w:sz w:val="22"/>
          <w:szCs w:val="22"/>
          <w:lang w:eastAsia="en-US"/>
        </w:rPr>
        <w:tab/>
        <w:t>Poveikis gebėjimui vairuoti ir valdyti mechanizmus</w:t>
      </w:r>
    </w:p>
    <w:p w14:paraId="1CFAD76F" w14:textId="77777777" w:rsidR="003B31DC" w:rsidRDefault="003B31DC">
      <w:pPr>
        <w:widowControl w:val="0"/>
        <w:ind w:left="567" w:hanging="567"/>
        <w:rPr>
          <w:sz w:val="22"/>
          <w:szCs w:val="22"/>
          <w:lang w:eastAsia="en-US"/>
        </w:rPr>
      </w:pPr>
    </w:p>
    <w:p w14:paraId="5E277B70" w14:textId="77777777" w:rsidR="003B31DC" w:rsidRDefault="00913CBE">
      <w:pPr>
        <w:widowControl w:val="0"/>
        <w:autoSpaceDE w:val="0"/>
        <w:autoSpaceDN w:val="0"/>
        <w:adjustRightInd w:val="0"/>
        <w:rPr>
          <w:rFonts w:eastAsia="TimesNewRoman"/>
          <w:sz w:val="22"/>
          <w:szCs w:val="22"/>
          <w:lang w:eastAsia="en-US"/>
        </w:rPr>
      </w:pPr>
      <w:proofErr w:type="spellStart"/>
      <w:r>
        <w:rPr>
          <w:rFonts w:eastAsia="TimesNewRoman"/>
          <w:sz w:val="22"/>
          <w:szCs w:val="22"/>
          <w:lang w:eastAsia="en-US"/>
        </w:rPr>
        <w:t>Mempoglyn</w:t>
      </w:r>
      <w:proofErr w:type="spellEnd"/>
      <w:r>
        <w:rPr>
          <w:rFonts w:eastAsia="TimesNewRoman"/>
          <w:sz w:val="22"/>
          <w:szCs w:val="22"/>
          <w:lang w:eastAsia="en-US"/>
        </w:rPr>
        <w:t xml:space="preserve"> gebėjimą vairuoti ir valdyti mechanizmus veikia silpnai. Pacientams reikia patarti, kad vairuodami ir valdydami mechanizmus imtųsi atsargumo priemonių hipoglikemijai išvengti, ypač tuomet, kai </w:t>
      </w:r>
      <w:proofErr w:type="spellStart"/>
      <w:r>
        <w:rPr>
          <w:rFonts w:eastAsia="TimesNewRoman"/>
          <w:sz w:val="22"/>
          <w:szCs w:val="22"/>
          <w:lang w:eastAsia="en-US"/>
        </w:rPr>
        <w:t>Mempoglyn</w:t>
      </w:r>
      <w:proofErr w:type="spellEnd"/>
      <w:r>
        <w:rPr>
          <w:rFonts w:eastAsia="TimesNewRoman"/>
          <w:sz w:val="22"/>
          <w:szCs w:val="22"/>
          <w:lang w:eastAsia="en-US"/>
        </w:rPr>
        <w:t xml:space="preserve"> vartojamas kartu su </w:t>
      </w:r>
      <w:proofErr w:type="spellStart"/>
      <w:r>
        <w:rPr>
          <w:rFonts w:eastAsia="TimesNewRoman"/>
          <w:sz w:val="22"/>
          <w:szCs w:val="22"/>
          <w:lang w:eastAsia="en-US"/>
        </w:rPr>
        <w:t>sulfonilkarbamido</w:t>
      </w:r>
      <w:proofErr w:type="spellEnd"/>
      <w:r>
        <w:rPr>
          <w:rFonts w:eastAsia="TimesNewRoman"/>
          <w:sz w:val="22"/>
          <w:szCs w:val="22"/>
          <w:lang w:eastAsia="en-US"/>
        </w:rPr>
        <w:t xml:space="preserve"> dariniu ir (arba) insulinu.</w:t>
      </w:r>
    </w:p>
    <w:p w14:paraId="2BB767C8" w14:textId="77777777" w:rsidR="003B31DC" w:rsidRDefault="003B31DC">
      <w:pPr>
        <w:widowControl w:val="0"/>
        <w:autoSpaceDE w:val="0"/>
        <w:autoSpaceDN w:val="0"/>
        <w:adjustRightInd w:val="0"/>
        <w:rPr>
          <w:sz w:val="22"/>
          <w:szCs w:val="22"/>
          <w:lang w:eastAsia="sl-SI"/>
        </w:rPr>
      </w:pPr>
    </w:p>
    <w:p w14:paraId="3615334E" w14:textId="77777777" w:rsidR="003B31DC" w:rsidRDefault="00913CBE">
      <w:pPr>
        <w:widowControl w:val="0"/>
        <w:tabs>
          <w:tab w:val="left" w:pos="567"/>
        </w:tabs>
        <w:ind w:left="567" w:hanging="567"/>
        <w:outlineLvl w:val="2"/>
        <w:rPr>
          <w:b/>
          <w:kern w:val="28"/>
          <w:sz w:val="22"/>
          <w:szCs w:val="22"/>
          <w:lang w:eastAsia="en-US"/>
        </w:rPr>
      </w:pPr>
      <w:r>
        <w:rPr>
          <w:b/>
          <w:kern w:val="28"/>
          <w:sz w:val="22"/>
          <w:szCs w:val="22"/>
          <w:lang w:eastAsia="en-US"/>
        </w:rPr>
        <w:t>4.8</w:t>
      </w:r>
      <w:r>
        <w:rPr>
          <w:b/>
          <w:kern w:val="28"/>
          <w:sz w:val="22"/>
          <w:szCs w:val="22"/>
          <w:lang w:eastAsia="en-US"/>
        </w:rPr>
        <w:tab/>
        <w:t>Nepageidaujamas poveikis</w:t>
      </w:r>
    </w:p>
    <w:p w14:paraId="665E1465" w14:textId="77777777" w:rsidR="003B31DC" w:rsidRDefault="003B31DC">
      <w:pPr>
        <w:widowControl w:val="0"/>
        <w:tabs>
          <w:tab w:val="left" w:pos="567"/>
        </w:tabs>
        <w:rPr>
          <w:iCs/>
          <w:sz w:val="22"/>
          <w:szCs w:val="22"/>
          <w:lang w:eastAsia="en-US"/>
        </w:rPr>
      </w:pPr>
    </w:p>
    <w:p w14:paraId="42415775" w14:textId="77777777" w:rsidR="003B31DC" w:rsidRDefault="00913CBE">
      <w:pPr>
        <w:widowControl w:val="0"/>
        <w:tabs>
          <w:tab w:val="left" w:pos="567"/>
        </w:tabs>
        <w:rPr>
          <w:iCs/>
          <w:sz w:val="22"/>
          <w:szCs w:val="22"/>
          <w:u w:val="single"/>
          <w:lang w:eastAsia="en-US"/>
        </w:rPr>
      </w:pPr>
      <w:r>
        <w:rPr>
          <w:iCs/>
          <w:sz w:val="22"/>
          <w:szCs w:val="22"/>
          <w:u w:val="single"/>
          <w:lang w:eastAsia="en-US"/>
        </w:rPr>
        <w:t>Saugumo duomenų santrauka</w:t>
      </w:r>
    </w:p>
    <w:p w14:paraId="5FC50B81" w14:textId="569F6412" w:rsidR="003B31DC" w:rsidRPr="00A02B90" w:rsidRDefault="00913CBE">
      <w:pPr>
        <w:tabs>
          <w:tab w:val="left" w:pos="567"/>
        </w:tabs>
        <w:rPr>
          <w:rFonts w:eastAsia="SimSun"/>
          <w:snapToGrid w:val="0"/>
          <w:color w:val="000000"/>
          <w:sz w:val="22"/>
          <w:szCs w:val="22"/>
          <w:lang w:eastAsia="en-US"/>
        </w:rPr>
      </w:pPr>
      <w:r w:rsidRPr="00A02B90">
        <w:rPr>
          <w:rFonts w:eastAsia="SimSun"/>
          <w:snapToGrid w:val="0"/>
          <w:color w:val="000000"/>
          <w:sz w:val="22"/>
          <w:szCs w:val="22"/>
          <w:lang w:eastAsia="en-US"/>
        </w:rPr>
        <w:t xml:space="preserve">Dažniausiai pastebėtos nepageidaujamos reakcijos klinikiniuose tyrimuose buvo hipoglikemija (derinant su insulinu ir / ar </w:t>
      </w:r>
      <w:proofErr w:type="spellStart"/>
      <w:r w:rsidRPr="00A02B90">
        <w:rPr>
          <w:rFonts w:eastAsia="SimSun"/>
          <w:snapToGrid w:val="0"/>
          <w:color w:val="000000"/>
          <w:sz w:val="22"/>
          <w:szCs w:val="22"/>
          <w:lang w:eastAsia="en-US"/>
        </w:rPr>
        <w:t>sulfonilkarbamido</w:t>
      </w:r>
      <w:proofErr w:type="spellEnd"/>
      <w:r w:rsidRPr="00A02B90">
        <w:rPr>
          <w:rFonts w:eastAsia="SimSun"/>
          <w:snapToGrid w:val="0"/>
          <w:color w:val="000000"/>
          <w:sz w:val="22"/>
          <w:szCs w:val="22"/>
          <w:lang w:eastAsia="en-US"/>
        </w:rPr>
        <w:t xml:space="preserve"> deriniu) ir virškinimo trakto simptomai (pykinimas, vėmimas, viduriavimas, pilvo skausmas ir apetito netekimas). Klinikinių tyrimų metu papildomų </w:t>
      </w:r>
      <w:r w:rsidR="00634CC0" w:rsidRPr="00A02B90">
        <w:rPr>
          <w:rFonts w:eastAsia="SimSun"/>
          <w:snapToGrid w:val="0"/>
          <w:color w:val="000000"/>
          <w:sz w:val="22"/>
          <w:szCs w:val="22"/>
          <w:lang w:eastAsia="en-US"/>
        </w:rPr>
        <w:t xml:space="preserve">nepageidaujamų reakcijų </w:t>
      </w:r>
      <w:r w:rsidR="00634CC0">
        <w:rPr>
          <w:rFonts w:eastAsia="SimSun"/>
          <w:snapToGrid w:val="0"/>
          <w:color w:val="000000"/>
          <w:sz w:val="22"/>
          <w:szCs w:val="22"/>
          <w:lang w:eastAsia="en-US"/>
        </w:rPr>
        <w:t xml:space="preserve">, </w:t>
      </w:r>
      <w:proofErr w:type="spellStart"/>
      <w:r w:rsidRPr="00A02B90">
        <w:rPr>
          <w:rFonts w:eastAsia="SimSun"/>
          <w:snapToGrid w:val="0"/>
          <w:color w:val="000000"/>
          <w:sz w:val="22"/>
          <w:szCs w:val="22"/>
          <w:lang w:eastAsia="en-US"/>
        </w:rPr>
        <w:t>empagliflozino</w:t>
      </w:r>
      <w:proofErr w:type="spellEnd"/>
      <w:r w:rsidRPr="00A02B90">
        <w:rPr>
          <w:rFonts w:eastAsia="SimSun"/>
          <w:snapToGrid w:val="0"/>
          <w:color w:val="000000"/>
          <w:sz w:val="22"/>
          <w:szCs w:val="22"/>
          <w:lang w:eastAsia="en-US"/>
        </w:rPr>
        <w:t xml:space="preserve"> pridė</w:t>
      </w:r>
      <w:r w:rsidR="00634CC0">
        <w:rPr>
          <w:rFonts w:eastAsia="SimSun"/>
          <w:snapToGrid w:val="0"/>
          <w:color w:val="000000"/>
          <w:sz w:val="22"/>
          <w:szCs w:val="22"/>
          <w:lang w:eastAsia="en-US"/>
        </w:rPr>
        <w:t>jus</w:t>
      </w:r>
      <w:r w:rsidRPr="00A02B90">
        <w:rPr>
          <w:rFonts w:eastAsia="SimSun"/>
          <w:snapToGrid w:val="0"/>
          <w:color w:val="000000"/>
          <w:sz w:val="22"/>
          <w:szCs w:val="22"/>
          <w:lang w:eastAsia="en-US"/>
        </w:rPr>
        <w:t xml:space="preserve"> prie </w:t>
      </w:r>
      <w:proofErr w:type="spellStart"/>
      <w:r w:rsidRPr="00A02B90">
        <w:rPr>
          <w:rFonts w:eastAsia="SimSun"/>
          <w:snapToGrid w:val="0"/>
          <w:color w:val="000000"/>
          <w:sz w:val="22"/>
          <w:szCs w:val="22"/>
          <w:lang w:eastAsia="en-US"/>
        </w:rPr>
        <w:t>metformino</w:t>
      </w:r>
      <w:proofErr w:type="spellEnd"/>
      <w:r w:rsidRPr="00A02B90">
        <w:rPr>
          <w:rFonts w:eastAsia="SimSun"/>
          <w:snapToGrid w:val="0"/>
          <w:color w:val="000000"/>
          <w:sz w:val="22"/>
          <w:szCs w:val="22"/>
          <w:lang w:eastAsia="en-US"/>
        </w:rPr>
        <w:t>, nebuvo pastebėta, palyginti su atskirų komponentų nepageidaujamu poveikiu.</w:t>
      </w:r>
    </w:p>
    <w:p w14:paraId="25573233" w14:textId="77777777" w:rsidR="003B31DC" w:rsidRDefault="003B31DC">
      <w:pPr>
        <w:tabs>
          <w:tab w:val="left" w:pos="567"/>
        </w:tabs>
        <w:rPr>
          <w:iCs/>
          <w:snapToGrid w:val="0"/>
          <w:sz w:val="22"/>
          <w:szCs w:val="22"/>
          <w:lang w:eastAsia="lt-LT"/>
        </w:rPr>
      </w:pPr>
    </w:p>
    <w:p w14:paraId="1D2D9C4E" w14:textId="77777777" w:rsidR="003B31DC" w:rsidRDefault="00913CBE">
      <w:pPr>
        <w:tabs>
          <w:tab w:val="left" w:pos="567"/>
        </w:tabs>
        <w:rPr>
          <w:iCs/>
          <w:snapToGrid w:val="0"/>
          <w:sz w:val="22"/>
          <w:szCs w:val="22"/>
          <w:u w:val="single"/>
          <w:lang w:eastAsia="lt-LT"/>
        </w:rPr>
      </w:pPr>
      <w:r>
        <w:rPr>
          <w:iCs/>
          <w:snapToGrid w:val="0"/>
          <w:sz w:val="22"/>
          <w:szCs w:val="22"/>
          <w:u w:val="single"/>
          <w:lang w:eastAsia="lt-LT"/>
        </w:rPr>
        <w:t>Nepageidaujamų reakcijų santrauka lentelėje</w:t>
      </w:r>
    </w:p>
    <w:p w14:paraId="79D224A3" w14:textId="77777777" w:rsidR="003B31DC" w:rsidRDefault="00913CBE">
      <w:pPr>
        <w:widowControl w:val="0"/>
        <w:tabs>
          <w:tab w:val="num" w:pos="1843"/>
        </w:tabs>
        <w:spacing w:line="260" w:lineRule="exact"/>
        <w:rPr>
          <w:sz w:val="22"/>
          <w:szCs w:val="22"/>
          <w:lang w:eastAsia="en-US"/>
        </w:rPr>
      </w:pPr>
      <w:r>
        <w:rPr>
          <w:sz w:val="22"/>
          <w:szCs w:val="22"/>
          <w:lang w:eastAsia="en-US"/>
        </w:rPr>
        <w:t>Nepageidaujamo poveikio dažnis apibūdinamas taip:</w:t>
      </w:r>
    </w:p>
    <w:p w14:paraId="0DD48C49" w14:textId="77777777" w:rsidR="003B31DC" w:rsidRDefault="00913CBE">
      <w:pPr>
        <w:widowControl w:val="0"/>
        <w:numPr>
          <w:ilvl w:val="0"/>
          <w:numId w:val="4"/>
        </w:numPr>
        <w:tabs>
          <w:tab w:val="left" w:pos="9071"/>
        </w:tabs>
        <w:rPr>
          <w:noProof/>
          <w:sz w:val="22"/>
          <w:szCs w:val="22"/>
          <w:lang w:val="en-GB" w:eastAsia="sl-SI"/>
        </w:rPr>
      </w:pPr>
      <w:r>
        <w:rPr>
          <w:sz w:val="22"/>
          <w:szCs w:val="22"/>
          <w:lang w:eastAsia="en-US"/>
        </w:rPr>
        <w:t>Labai dažnas (≥ 1/10)</w:t>
      </w:r>
    </w:p>
    <w:p w14:paraId="2E1684CB" w14:textId="77777777" w:rsidR="003B31DC" w:rsidRDefault="00913CBE">
      <w:pPr>
        <w:widowControl w:val="0"/>
        <w:numPr>
          <w:ilvl w:val="0"/>
          <w:numId w:val="4"/>
        </w:numPr>
        <w:tabs>
          <w:tab w:val="left" w:pos="9071"/>
        </w:tabs>
        <w:rPr>
          <w:noProof/>
          <w:sz w:val="22"/>
          <w:szCs w:val="22"/>
          <w:lang w:val="en-GB" w:eastAsia="sl-SI"/>
        </w:rPr>
      </w:pPr>
      <w:r>
        <w:rPr>
          <w:sz w:val="22"/>
          <w:szCs w:val="22"/>
          <w:lang w:eastAsia="en-US"/>
        </w:rPr>
        <w:t>Dažnas (nuo ≥ 1/100 iki &lt; 1/10)</w:t>
      </w:r>
    </w:p>
    <w:p w14:paraId="30F12308" w14:textId="77777777" w:rsidR="003B31DC" w:rsidRDefault="00913CBE">
      <w:pPr>
        <w:widowControl w:val="0"/>
        <w:numPr>
          <w:ilvl w:val="0"/>
          <w:numId w:val="4"/>
        </w:numPr>
        <w:tabs>
          <w:tab w:val="left" w:pos="9071"/>
        </w:tabs>
        <w:rPr>
          <w:noProof/>
          <w:sz w:val="22"/>
          <w:szCs w:val="22"/>
          <w:lang w:val="en-GB" w:eastAsia="sl-SI"/>
        </w:rPr>
      </w:pPr>
      <w:r>
        <w:rPr>
          <w:sz w:val="22"/>
          <w:szCs w:val="22"/>
          <w:lang w:eastAsia="en-US"/>
        </w:rPr>
        <w:t>Nedažnas (nuo ≥ 1/1 000 iki &lt; 1/100)</w:t>
      </w:r>
    </w:p>
    <w:p w14:paraId="2DD9C818" w14:textId="77777777" w:rsidR="003B31DC" w:rsidRDefault="00913CBE">
      <w:pPr>
        <w:widowControl w:val="0"/>
        <w:numPr>
          <w:ilvl w:val="0"/>
          <w:numId w:val="4"/>
        </w:numPr>
        <w:tabs>
          <w:tab w:val="left" w:pos="9071"/>
        </w:tabs>
        <w:rPr>
          <w:noProof/>
          <w:sz w:val="22"/>
          <w:szCs w:val="22"/>
          <w:lang w:val="en-GB" w:eastAsia="sl-SI"/>
        </w:rPr>
      </w:pPr>
      <w:r>
        <w:rPr>
          <w:sz w:val="22"/>
          <w:szCs w:val="22"/>
          <w:lang w:eastAsia="en-US"/>
        </w:rPr>
        <w:t>Retas (nuo ≥ 1/10 000 iki &lt; 1/1 000)</w:t>
      </w:r>
    </w:p>
    <w:p w14:paraId="16DE008F" w14:textId="77777777" w:rsidR="003B31DC" w:rsidRDefault="00913CBE">
      <w:pPr>
        <w:widowControl w:val="0"/>
        <w:numPr>
          <w:ilvl w:val="0"/>
          <w:numId w:val="4"/>
        </w:numPr>
        <w:tabs>
          <w:tab w:val="left" w:pos="9071"/>
        </w:tabs>
        <w:rPr>
          <w:noProof/>
          <w:sz w:val="22"/>
          <w:szCs w:val="22"/>
          <w:lang w:val="en-GB" w:eastAsia="sl-SI"/>
        </w:rPr>
      </w:pPr>
      <w:r>
        <w:rPr>
          <w:sz w:val="22"/>
          <w:szCs w:val="22"/>
          <w:lang w:eastAsia="en-US"/>
        </w:rPr>
        <w:t>Labai retas (&lt; 1/10 000)</w:t>
      </w:r>
    </w:p>
    <w:p w14:paraId="5DC83E7F" w14:textId="77777777" w:rsidR="003B31DC" w:rsidRPr="00A02B90" w:rsidRDefault="00913CBE">
      <w:pPr>
        <w:widowControl w:val="0"/>
        <w:numPr>
          <w:ilvl w:val="0"/>
          <w:numId w:val="4"/>
        </w:numPr>
        <w:tabs>
          <w:tab w:val="left" w:pos="9071"/>
        </w:tabs>
        <w:rPr>
          <w:noProof/>
          <w:sz w:val="22"/>
          <w:szCs w:val="22"/>
          <w:lang w:val="fr-FR" w:eastAsia="sl-SI"/>
        </w:rPr>
      </w:pPr>
      <w:r>
        <w:rPr>
          <w:sz w:val="22"/>
          <w:szCs w:val="22"/>
          <w:lang w:eastAsia="en-US"/>
        </w:rPr>
        <w:t>Nežinomas (negali būti apskaičiuotas pagal turimus duomenis).</w:t>
      </w:r>
    </w:p>
    <w:p w14:paraId="66127217" w14:textId="77777777" w:rsidR="003B31DC" w:rsidRPr="00A02B90" w:rsidRDefault="003B31DC">
      <w:pPr>
        <w:ind w:left="1118" w:right="11" w:hanging="1133"/>
        <w:rPr>
          <w:sz w:val="22"/>
          <w:szCs w:val="22"/>
          <w:lang w:val="fr-FR" w:eastAsia="sl-SI"/>
        </w:rPr>
      </w:pPr>
    </w:p>
    <w:p w14:paraId="6CAFC208" w14:textId="77777777" w:rsidR="003B31DC" w:rsidRPr="00A02B90" w:rsidRDefault="00913CBE">
      <w:pPr>
        <w:ind w:left="1118" w:right="11" w:hanging="1133"/>
        <w:rPr>
          <w:sz w:val="22"/>
          <w:szCs w:val="22"/>
          <w:lang w:val="fr-FR" w:eastAsia="sl-SI"/>
        </w:rPr>
      </w:pPr>
      <w:r w:rsidRPr="00A02B90">
        <w:rPr>
          <w:sz w:val="22"/>
          <w:szCs w:val="22"/>
          <w:lang w:val="fr-FR" w:eastAsia="sl-SI"/>
        </w:rPr>
        <w:t>2 lentel</w:t>
      </w:r>
      <w:r>
        <w:rPr>
          <w:sz w:val="22"/>
          <w:szCs w:val="22"/>
          <w:lang w:eastAsia="sl-SI"/>
        </w:rPr>
        <w:t>ė</w:t>
      </w:r>
      <w:r w:rsidRPr="00A02B90">
        <w:rPr>
          <w:sz w:val="22"/>
          <w:szCs w:val="22"/>
          <w:lang w:val="fr-FR" w:eastAsia="sl-SI"/>
        </w:rPr>
        <w:t>:</w:t>
      </w:r>
      <w:r w:rsidRPr="00A02B90">
        <w:rPr>
          <w:sz w:val="22"/>
          <w:szCs w:val="22"/>
          <w:lang w:val="fr-FR" w:eastAsia="sl-SI"/>
        </w:rPr>
        <w:tab/>
        <w:t>Nepageidaujamų reakcijų (pagal MedDRA), nustatytų placebu kontroliuojamų tyrimų metu ir po vaistinio preparato registracijos, lentelė</w:t>
      </w:r>
    </w:p>
    <w:tbl>
      <w:tblPr>
        <w:tblStyle w:val="TableNormal1"/>
        <w:tblW w:w="9182"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1"/>
        <w:gridCol w:w="1531"/>
        <w:gridCol w:w="1773"/>
        <w:gridCol w:w="1417"/>
        <w:gridCol w:w="1418"/>
        <w:gridCol w:w="1512"/>
      </w:tblGrid>
      <w:tr w:rsidR="003B31DC" w14:paraId="6C40475B" w14:textId="77777777">
        <w:trPr>
          <w:trHeight w:val="460"/>
        </w:trPr>
        <w:tc>
          <w:tcPr>
            <w:tcW w:w="1531" w:type="dxa"/>
          </w:tcPr>
          <w:p w14:paraId="2DB39967" w14:textId="77777777" w:rsidR="003B31DC" w:rsidRDefault="00913CBE">
            <w:pPr>
              <w:tabs>
                <w:tab w:val="left" w:pos="9071"/>
              </w:tabs>
              <w:ind w:left="107" w:right="245"/>
              <w:rPr>
                <w:rFonts w:eastAsia="Calibri"/>
                <w:b/>
                <w:lang w:val="lt-LT" w:eastAsia="en-US"/>
              </w:rPr>
            </w:pPr>
            <w:r>
              <w:rPr>
                <w:rFonts w:eastAsia="Calibri"/>
                <w:b/>
                <w:lang w:val="en-GB" w:eastAsia="en-US"/>
              </w:rPr>
              <w:t>Organ</w:t>
            </w:r>
            <w:r>
              <w:rPr>
                <w:rFonts w:eastAsia="Calibri"/>
                <w:b/>
                <w:lang w:val="lt-LT" w:eastAsia="en-US"/>
              </w:rPr>
              <w:t>ų sistemų klasė</w:t>
            </w:r>
          </w:p>
        </w:tc>
        <w:tc>
          <w:tcPr>
            <w:tcW w:w="1531" w:type="dxa"/>
          </w:tcPr>
          <w:p w14:paraId="5E10DEDB" w14:textId="77777777" w:rsidR="003B31DC" w:rsidRDefault="00913CBE">
            <w:pPr>
              <w:tabs>
                <w:tab w:val="left" w:pos="9071"/>
              </w:tabs>
              <w:rPr>
                <w:rFonts w:eastAsia="Calibri"/>
                <w:b/>
                <w:lang w:val="en-GB" w:eastAsia="en-US"/>
              </w:rPr>
            </w:pPr>
            <w:r>
              <w:rPr>
                <w:rFonts w:eastAsia="Calibri"/>
                <w:b/>
                <w:lang w:val="en-GB" w:eastAsia="en-US"/>
              </w:rPr>
              <w:t xml:space="preserve">Labia </w:t>
            </w:r>
            <w:proofErr w:type="spellStart"/>
            <w:r>
              <w:rPr>
                <w:rFonts w:eastAsia="Calibri"/>
                <w:b/>
                <w:lang w:val="en-GB" w:eastAsia="en-US"/>
              </w:rPr>
              <w:t>dažnas</w:t>
            </w:r>
            <w:proofErr w:type="spellEnd"/>
          </w:p>
        </w:tc>
        <w:tc>
          <w:tcPr>
            <w:tcW w:w="1773" w:type="dxa"/>
          </w:tcPr>
          <w:p w14:paraId="48425A9D" w14:textId="77777777" w:rsidR="003B31DC" w:rsidRDefault="00913CBE">
            <w:pPr>
              <w:tabs>
                <w:tab w:val="left" w:pos="9071"/>
              </w:tabs>
              <w:rPr>
                <w:rFonts w:eastAsia="Calibri"/>
                <w:b/>
                <w:lang w:val="en-GB" w:eastAsia="en-US"/>
              </w:rPr>
            </w:pPr>
            <w:proofErr w:type="spellStart"/>
            <w:r>
              <w:rPr>
                <w:rFonts w:eastAsia="Calibri"/>
                <w:b/>
                <w:spacing w:val="-2"/>
                <w:lang w:val="en-GB" w:eastAsia="en-US"/>
              </w:rPr>
              <w:t>Dažnas</w:t>
            </w:r>
            <w:proofErr w:type="spellEnd"/>
          </w:p>
        </w:tc>
        <w:tc>
          <w:tcPr>
            <w:tcW w:w="1417" w:type="dxa"/>
          </w:tcPr>
          <w:p w14:paraId="349B17D2" w14:textId="77777777" w:rsidR="003B31DC" w:rsidRDefault="00913CBE">
            <w:pPr>
              <w:tabs>
                <w:tab w:val="left" w:pos="9071"/>
              </w:tabs>
              <w:rPr>
                <w:rFonts w:eastAsia="Calibri"/>
                <w:b/>
                <w:lang w:val="en-GB" w:eastAsia="en-US"/>
              </w:rPr>
            </w:pPr>
            <w:proofErr w:type="spellStart"/>
            <w:r>
              <w:rPr>
                <w:rFonts w:eastAsia="Calibri"/>
                <w:b/>
                <w:spacing w:val="-2"/>
                <w:lang w:val="en-GB" w:eastAsia="en-US"/>
              </w:rPr>
              <w:t>Nedažnas</w:t>
            </w:r>
            <w:proofErr w:type="spellEnd"/>
          </w:p>
        </w:tc>
        <w:tc>
          <w:tcPr>
            <w:tcW w:w="1418" w:type="dxa"/>
          </w:tcPr>
          <w:p w14:paraId="3CEDA483" w14:textId="77777777" w:rsidR="003B31DC" w:rsidRDefault="00913CBE">
            <w:pPr>
              <w:tabs>
                <w:tab w:val="left" w:pos="9071"/>
              </w:tabs>
              <w:rPr>
                <w:rFonts w:eastAsia="Calibri"/>
                <w:b/>
                <w:lang w:val="en-GB" w:eastAsia="en-US"/>
              </w:rPr>
            </w:pPr>
            <w:proofErr w:type="spellStart"/>
            <w:r>
              <w:rPr>
                <w:rFonts w:eastAsia="Calibri"/>
                <w:b/>
                <w:spacing w:val="-4"/>
                <w:lang w:val="en-GB" w:eastAsia="en-US"/>
              </w:rPr>
              <w:t>Retas</w:t>
            </w:r>
            <w:proofErr w:type="spellEnd"/>
          </w:p>
        </w:tc>
        <w:tc>
          <w:tcPr>
            <w:tcW w:w="1512" w:type="dxa"/>
          </w:tcPr>
          <w:p w14:paraId="03CD0B89" w14:textId="77777777" w:rsidR="003B31DC" w:rsidRDefault="00913CBE">
            <w:pPr>
              <w:tabs>
                <w:tab w:val="left" w:pos="9071"/>
              </w:tabs>
              <w:rPr>
                <w:rFonts w:eastAsia="Calibri"/>
                <w:b/>
                <w:lang w:val="en-GB" w:eastAsia="en-US"/>
              </w:rPr>
            </w:pPr>
            <w:proofErr w:type="spellStart"/>
            <w:r>
              <w:rPr>
                <w:rFonts w:eastAsia="Calibri"/>
                <w:b/>
                <w:lang w:val="en-GB" w:eastAsia="en-US"/>
              </w:rPr>
              <w:t>Labai</w:t>
            </w:r>
            <w:proofErr w:type="spellEnd"/>
            <w:r>
              <w:rPr>
                <w:rFonts w:eastAsia="Calibri"/>
                <w:b/>
                <w:lang w:val="en-GB" w:eastAsia="en-US"/>
              </w:rPr>
              <w:t xml:space="preserve"> </w:t>
            </w:r>
            <w:proofErr w:type="spellStart"/>
            <w:r>
              <w:rPr>
                <w:rFonts w:eastAsia="Calibri"/>
                <w:b/>
                <w:lang w:val="en-GB" w:eastAsia="en-US"/>
              </w:rPr>
              <w:t>retas</w:t>
            </w:r>
            <w:proofErr w:type="spellEnd"/>
          </w:p>
        </w:tc>
      </w:tr>
      <w:tr w:rsidR="003B31DC" w14:paraId="7F77A7B9" w14:textId="77777777">
        <w:trPr>
          <w:trHeight w:val="1840"/>
        </w:trPr>
        <w:tc>
          <w:tcPr>
            <w:tcW w:w="1531" w:type="dxa"/>
          </w:tcPr>
          <w:p w14:paraId="78FE5DEC" w14:textId="77777777" w:rsidR="003B31DC" w:rsidRDefault="00913CBE">
            <w:pPr>
              <w:tabs>
                <w:tab w:val="left" w:pos="9071"/>
              </w:tabs>
              <w:ind w:left="107" w:right="268"/>
              <w:rPr>
                <w:rFonts w:eastAsia="Calibri"/>
                <w:i/>
                <w:lang w:val="en-GB" w:eastAsia="en-US"/>
              </w:rPr>
            </w:pPr>
            <w:proofErr w:type="spellStart"/>
            <w:r>
              <w:rPr>
                <w:rFonts w:eastAsia="Calibri"/>
                <w:i/>
                <w:lang w:val="en-GB" w:eastAsia="en-US"/>
              </w:rPr>
              <w:t>Infekcijos</w:t>
            </w:r>
            <w:proofErr w:type="spellEnd"/>
            <w:r>
              <w:rPr>
                <w:rFonts w:eastAsia="Calibri"/>
                <w:i/>
                <w:lang w:val="en-GB" w:eastAsia="en-US"/>
              </w:rPr>
              <w:t xml:space="preserve"> </w:t>
            </w:r>
            <w:proofErr w:type="spellStart"/>
            <w:r>
              <w:rPr>
                <w:rFonts w:eastAsia="Calibri"/>
                <w:i/>
                <w:lang w:val="en-GB" w:eastAsia="en-US"/>
              </w:rPr>
              <w:t>ir</w:t>
            </w:r>
            <w:proofErr w:type="spellEnd"/>
            <w:r>
              <w:rPr>
                <w:rFonts w:eastAsia="Calibri"/>
                <w:i/>
                <w:lang w:val="en-GB" w:eastAsia="en-US"/>
              </w:rPr>
              <w:t xml:space="preserve"> </w:t>
            </w:r>
            <w:proofErr w:type="spellStart"/>
            <w:r>
              <w:rPr>
                <w:rFonts w:eastAsia="Calibri"/>
                <w:i/>
                <w:lang w:val="en-GB" w:eastAsia="en-US"/>
              </w:rPr>
              <w:t>infestacijos</w:t>
            </w:r>
            <w:proofErr w:type="spellEnd"/>
          </w:p>
        </w:tc>
        <w:tc>
          <w:tcPr>
            <w:tcW w:w="1531" w:type="dxa"/>
          </w:tcPr>
          <w:p w14:paraId="51662E47" w14:textId="77777777" w:rsidR="003B31DC" w:rsidRDefault="003B31DC">
            <w:pPr>
              <w:tabs>
                <w:tab w:val="left" w:pos="9071"/>
              </w:tabs>
              <w:rPr>
                <w:rFonts w:eastAsia="Calibri"/>
                <w:lang w:val="en-GB" w:eastAsia="en-US"/>
              </w:rPr>
            </w:pPr>
          </w:p>
        </w:tc>
        <w:tc>
          <w:tcPr>
            <w:tcW w:w="1773" w:type="dxa"/>
          </w:tcPr>
          <w:p w14:paraId="580A4A42" w14:textId="77777777" w:rsidR="003B31DC" w:rsidRPr="00FA2F7A" w:rsidRDefault="00913CBE">
            <w:pPr>
              <w:tabs>
                <w:tab w:val="left" w:pos="9071"/>
              </w:tabs>
              <w:ind w:left="105" w:right="275"/>
              <w:rPr>
                <w:rFonts w:eastAsia="Calibri"/>
                <w:lang w:val="sv-SE" w:eastAsia="en-US"/>
              </w:rPr>
            </w:pPr>
            <w:r w:rsidRPr="00FA2F7A">
              <w:rPr>
                <w:rFonts w:eastAsia="Calibri"/>
                <w:lang w:val="sv-SE" w:eastAsia="en-US"/>
              </w:rPr>
              <w:t>Makšties kandidozė, vulvovaginitas, balanitas ir kitokia lyties organų infekcinė liga</w:t>
            </w:r>
            <w:r w:rsidRPr="00FA2F7A">
              <w:rPr>
                <w:rFonts w:eastAsia="Calibri"/>
                <w:vertAlign w:val="superscript"/>
                <w:lang w:val="sv-SE" w:eastAsia="en-US"/>
              </w:rPr>
              <w:t>1, 2</w:t>
            </w:r>
          </w:p>
          <w:p w14:paraId="1DCFB878" w14:textId="77777777" w:rsidR="003B31DC" w:rsidRPr="00FA2F7A" w:rsidRDefault="00913CBE">
            <w:pPr>
              <w:tabs>
                <w:tab w:val="left" w:pos="9071"/>
              </w:tabs>
              <w:ind w:left="105" w:right="275"/>
              <w:rPr>
                <w:rFonts w:eastAsia="Calibri"/>
                <w:lang w:val="sv-SE" w:eastAsia="en-US"/>
              </w:rPr>
            </w:pPr>
            <w:r w:rsidRPr="00FA2F7A">
              <w:rPr>
                <w:rFonts w:eastAsia="Calibri"/>
                <w:lang w:val="sv-SE" w:eastAsia="en-US"/>
              </w:rPr>
              <w:t xml:space="preserve">Šlapimo takų infekcinė liga (įskaitant </w:t>
            </w:r>
            <w:r w:rsidRPr="00FA2F7A">
              <w:rPr>
                <w:rFonts w:eastAsia="Calibri"/>
                <w:lang w:val="sv-SE" w:eastAsia="en-US"/>
              </w:rPr>
              <w:lastRenderedPageBreak/>
              <w:t>pielonefritą ir urosepsį)</w:t>
            </w:r>
            <w:r w:rsidRPr="00FA2F7A">
              <w:rPr>
                <w:rFonts w:eastAsia="Calibri"/>
                <w:vertAlign w:val="superscript"/>
                <w:lang w:val="sv-SE" w:eastAsia="en-US"/>
              </w:rPr>
              <w:t>1, 2</w:t>
            </w:r>
          </w:p>
        </w:tc>
        <w:tc>
          <w:tcPr>
            <w:tcW w:w="1417" w:type="dxa"/>
          </w:tcPr>
          <w:p w14:paraId="44E49C0D" w14:textId="77777777" w:rsidR="003B31DC" w:rsidRPr="00FA2F7A" w:rsidRDefault="003B31DC">
            <w:pPr>
              <w:tabs>
                <w:tab w:val="left" w:pos="9071"/>
              </w:tabs>
              <w:rPr>
                <w:rFonts w:eastAsia="Calibri"/>
                <w:lang w:val="sv-SE" w:eastAsia="en-US"/>
              </w:rPr>
            </w:pPr>
          </w:p>
        </w:tc>
        <w:tc>
          <w:tcPr>
            <w:tcW w:w="1418" w:type="dxa"/>
          </w:tcPr>
          <w:p w14:paraId="11436B01" w14:textId="77777777" w:rsidR="003B31DC" w:rsidRPr="00A02B90" w:rsidRDefault="00913CBE">
            <w:pPr>
              <w:tabs>
                <w:tab w:val="left" w:pos="9071"/>
              </w:tabs>
              <w:ind w:left="105" w:right="193"/>
              <w:rPr>
                <w:rFonts w:eastAsia="Calibri"/>
                <w:lang w:val="fr-FR" w:eastAsia="en-US"/>
              </w:rPr>
            </w:pPr>
            <w:r w:rsidRPr="00A02B90">
              <w:rPr>
                <w:rFonts w:eastAsia="Calibri"/>
                <w:spacing w:val="-2"/>
                <w:lang w:val="fr-FR" w:eastAsia="en-US"/>
              </w:rPr>
              <w:t>Tarpvietės nekrozuojantis fascitas (Furnjė gangrena)</w:t>
            </w:r>
            <w:r w:rsidRPr="00A02B90">
              <w:rPr>
                <w:rFonts w:eastAsia="Calibri"/>
                <w:spacing w:val="-2"/>
                <w:vertAlign w:val="superscript"/>
                <w:lang w:val="fr-FR" w:eastAsia="en-US"/>
              </w:rPr>
              <w:t>a</w:t>
            </w:r>
          </w:p>
        </w:tc>
        <w:tc>
          <w:tcPr>
            <w:tcW w:w="1512" w:type="dxa"/>
          </w:tcPr>
          <w:p w14:paraId="626CB564" w14:textId="77777777" w:rsidR="003B31DC" w:rsidRPr="00A02B90" w:rsidRDefault="003B31DC">
            <w:pPr>
              <w:tabs>
                <w:tab w:val="left" w:pos="9071"/>
              </w:tabs>
              <w:rPr>
                <w:rFonts w:eastAsia="Calibri"/>
                <w:lang w:val="fr-FR" w:eastAsia="en-US"/>
              </w:rPr>
            </w:pPr>
          </w:p>
        </w:tc>
      </w:tr>
      <w:tr w:rsidR="003B31DC" w14:paraId="1F2CDEAA" w14:textId="77777777">
        <w:trPr>
          <w:trHeight w:val="1149"/>
        </w:trPr>
        <w:tc>
          <w:tcPr>
            <w:tcW w:w="1531" w:type="dxa"/>
          </w:tcPr>
          <w:p w14:paraId="2C6A61B7" w14:textId="77777777" w:rsidR="003B31DC" w:rsidRDefault="00913CBE">
            <w:pPr>
              <w:tabs>
                <w:tab w:val="left" w:pos="9071"/>
              </w:tabs>
              <w:ind w:left="107" w:right="112"/>
              <w:rPr>
                <w:rFonts w:eastAsia="Calibri"/>
                <w:i/>
                <w:lang w:val="en-GB" w:eastAsia="en-US"/>
              </w:rPr>
            </w:pPr>
            <w:proofErr w:type="spellStart"/>
            <w:r>
              <w:rPr>
                <w:rFonts w:eastAsia="Calibri"/>
                <w:i/>
                <w:lang w:val="en-GB" w:eastAsia="en-US"/>
              </w:rPr>
              <w:t>Metabolizmo</w:t>
            </w:r>
            <w:proofErr w:type="spellEnd"/>
            <w:r>
              <w:rPr>
                <w:rFonts w:eastAsia="Calibri"/>
                <w:i/>
                <w:lang w:val="en-GB" w:eastAsia="en-US"/>
              </w:rPr>
              <w:t xml:space="preserve"> </w:t>
            </w:r>
            <w:proofErr w:type="spellStart"/>
            <w:r>
              <w:rPr>
                <w:rFonts w:eastAsia="Calibri"/>
                <w:i/>
                <w:lang w:val="en-GB" w:eastAsia="en-US"/>
              </w:rPr>
              <w:t>ir</w:t>
            </w:r>
            <w:proofErr w:type="spellEnd"/>
            <w:r>
              <w:rPr>
                <w:rFonts w:eastAsia="Calibri"/>
                <w:i/>
                <w:lang w:val="en-GB" w:eastAsia="en-US"/>
              </w:rPr>
              <w:t xml:space="preserve"> </w:t>
            </w:r>
            <w:proofErr w:type="spellStart"/>
            <w:r>
              <w:rPr>
                <w:rFonts w:eastAsia="Calibri"/>
                <w:i/>
                <w:lang w:val="en-GB" w:eastAsia="en-US"/>
              </w:rPr>
              <w:t>mitybos</w:t>
            </w:r>
            <w:proofErr w:type="spellEnd"/>
            <w:r>
              <w:rPr>
                <w:rFonts w:eastAsia="Calibri"/>
                <w:i/>
                <w:lang w:val="en-GB" w:eastAsia="en-US"/>
              </w:rPr>
              <w:t xml:space="preserve"> </w:t>
            </w:r>
            <w:proofErr w:type="spellStart"/>
            <w:r>
              <w:rPr>
                <w:rFonts w:eastAsia="Calibri"/>
                <w:i/>
                <w:lang w:val="en-GB" w:eastAsia="en-US"/>
              </w:rPr>
              <w:t>sutrikimai</w:t>
            </w:r>
            <w:proofErr w:type="spellEnd"/>
          </w:p>
        </w:tc>
        <w:tc>
          <w:tcPr>
            <w:tcW w:w="1531" w:type="dxa"/>
          </w:tcPr>
          <w:p w14:paraId="0833668D" w14:textId="77777777" w:rsidR="003B31DC" w:rsidRPr="00FA2F7A" w:rsidRDefault="00913CBE">
            <w:pPr>
              <w:tabs>
                <w:tab w:val="left" w:pos="9071"/>
              </w:tabs>
              <w:ind w:left="107"/>
              <w:rPr>
                <w:lang w:val="pt-PT"/>
              </w:rPr>
            </w:pPr>
            <w:r w:rsidRPr="00FA2F7A">
              <w:rPr>
                <w:spacing w:val="-2"/>
                <w:lang w:val="pt-PT"/>
              </w:rPr>
              <w:t>Hipoglike-mija (kai kartu buvo vartojamas sulfonilkar-bamido darinys arba insulinas)</w:t>
            </w:r>
            <w:r w:rsidRPr="00FA2F7A">
              <w:rPr>
                <w:spacing w:val="-2"/>
                <w:vertAlign w:val="superscript"/>
                <w:lang w:val="pt-PT"/>
              </w:rPr>
              <w:t>1</w:t>
            </w:r>
          </w:p>
        </w:tc>
        <w:tc>
          <w:tcPr>
            <w:tcW w:w="1773" w:type="dxa"/>
          </w:tcPr>
          <w:p w14:paraId="36F1E41F" w14:textId="77777777" w:rsidR="003B31DC" w:rsidRDefault="00913CBE">
            <w:pPr>
              <w:tabs>
                <w:tab w:val="left" w:pos="9071"/>
              </w:tabs>
              <w:ind w:left="105" w:right="819"/>
              <w:rPr>
                <w:rFonts w:eastAsia="Calibri"/>
                <w:spacing w:val="-2"/>
                <w:lang w:val="en-GB" w:eastAsia="en-US"/>
              </w:rPr>
            </w:pPr>
            <w:r>
              <w:rPr>
                <w:rFonts w:eastAsia="Calibri"/>
                <w:spacing w:val="-2"/>
                <w:lang w:val="en-GB" w:eastAsia="en-US"/>
              </w:rPr>
              <w:t>Troškulys</w:t>
            </w:r>
            <w:r>
              <w:rPr>
                <w:rFonts w:eastAsia="Calibri"/>
                <w:spacing w:val="-2"/>
                <w:vertAlign w:val="superscript"/>
                <w:lang w:val="en-GB" w:eastAsia="en-US"/>
              </w:rPr>
              <w:t>2</w:t>
            </w:r>
          </w:p>
          <w:p w14:paraId="78C95C3D" w14:textId="77777777" w:rsidR="003B31DC" w:rsidRDefault="00913CBE">
            <w:pPr>
              <w:tabs>
                <w:tab w:val="left" w:pos="9071"/>
              </w:tabs>
              <w:ind w:left="105"/>
              <w:rPr>
                <w:rFonts w:eastAsia="Calibri"/>
                <w:lang w:val="en-GB" w:eastAsia="en-US"/>
              </w:rPr>
            </w:pPr>
            <w:proofErr w:type="spellStart"/>
            <w:r>
              <w:rPr>
                <w:rFonts w:eastAsia="Calibri"/>
                <w:spacing w:val="-2"/>
                <w:lang w:val="en-GB" w:eastAsia="en-US"/>
              </w:rPr>
              <w:t>Vitamino</w:t>
            </w:r>
            <w:proofErr w:type="spellEnd"/>
            <w:r>
              <w:rPr>
                <w:rFonts w:eastAsia="Calibri"/>
                <w:spacing w:val="-2"/>
                <w:lang w:val="en-GB" w:eastAsia="en-US"/>
              </w:rPr>
              <w:t xml:space="preserve"> B12 </w:t>
            </w:r>
            <w:proofErr w:type="spellStart"/>
            <w:r>
              <w:rPr>
                <w:rFonts w:eastAsia="Calibri"/>
                <w:spacing w:val="-2"/>
                <w:lang w:val="en-GB" w:eastAsia="en-US"/>
              </w:rPr>
              <w:t>sumažėjimas</w:t>
            </w:r>
            <w:proofErr w:type="spellEnd"/>
            <w:r>
              <w:rPr>
                <w:rFonts w:eastAsia="Calibri"/>
                <w:spacing w:val="-2"/>
                <w:lang w:val="en-GB" w:eastAsia="en-US"/>
              </w:rPr>
              <w:t xml:space="preserve"> / stoka</w:t>
            </w:r>
            <w:r>
              <w:rPr>
                <w:rFonts w:eastAsia="Calibri"/>
                <w:spacing w:val="-2"/>
                <w:vertAlign w:val="superscript"/>
                <w:lang w:val="en-GB" w:eastAsia="en-US"/>
              </w:rPr>
              <w:t>3, a</w:t>
            </w:r>
          </w:p>
        </w:tc>
        <w:tc>
          <w:tcPr>
            <w:tcW w:w="1417" w:type="dxa"/>
          </w:tcPr>
          <w:p w14:paraId="5FE48E56" w14:textId="77777777" w:rsidR="003B31DC" w:rsidRDefault="003B31DC">
            <w:pPr>
              <w:tabs>
                <w:tab w:val="left" w:pos="9071"/>
              </w:tabs>
              <w:rPr>
                <w:rFonts w:eastAsia="Calibri"/>
                <w:lang w:val="en-GB" w:eastAsia="en-US"/>
              </w:rPr>
            </w:pPr>
          </w:p>
        </w:tc>
        <w:tc>
          <w:tcPr>
            <w:tcW w:w="1418" w:type="dxa"/>
          </w:tcPr>
          <w:p w14:paraId="5E3574F3" w14:textId="77777777" w:rsidR="003B31DC" w:rsidRDefault="00913CBE">
            <w:pPr>
              <w:tabs>
                <w:tab w:val="left" w:pos="9071"/>
              </w:tabs>
              <w:ind w:left="105"/>
              <w:rPr>
                <w:rFonts w:eastAsia="Calibri"/>
                <w:lang w:val="en-GB" w:eastAsia="en-US"/>
              </w:rPr>
            </w:pPr>
            <w:proofErr w:type="spellStart"/>
            <w:r>
              <w:rPr>
                <w:rFonts w:eastAsia="Calibri"/>
                <w:spacing w:val="-2"/>
                <w:lang w:val="en-GB" w:eastAsia="en-US"/>
              </w:rPr>
              <w:t>Diabetinė</w:t>
            </w:r>
            <w:proofErr w:type="spellEnd"/>
            <w:r>
              <w:rPr>
                <w:rFonts w:eastAsia="Calibri"/>
                <w:spacing w:val="-2"/>
                <w:lang w:val="en-GB" w:eastAsia="en-US"/>
              </w:rPr>
              <w:t xml:space="preserve"> </w:t>
            </w:r>
            <w:proofErr w:type="spellStart"/>
            <w:r>
              <w:rPr>
                <w:rFonts w:eastAsia="Calibri"/>
                <w:spacing w:val="-2"/>
                <w:lang w:val="en-GB" w:eastAsia="en-US"/>
              </w:rPr>
              <w:t>ketoacidozė</w:t>
            </w:r>
            <w:r>
              <w:rPr>
                <w:rFonts w:eastAsia="Calibri"/>
                <w:spacing w:val="-2"/>
                <w:vertAlign w:val="superscript"/>
                <w:lang w:val="en-GB" w:eastAsia="en-US"/>
              </w:rPr>
              <w:t>a</w:t>
            </w:r>
            <w:proofErr w:type="spellEnd"/>
          </w:p>
        </w:tc>
        <w:tc>
          <w:tcPr>
            <w:tcW w:w="1512" w:type="dxa"/>
          </w:tcPr>
          <w:p w14:paraId="43D463D8" w14:textId="77777777" w:rsidR="003B31DC" w:rsidRDefault="00913CBE">
            <w:pPr>
              <w:tabs>
                <w:tab w:val="left" w:pos="9071"/>
              </w:tabs>
              <w:ind w:left="105"/>
              <w:rPr>
                <w:rFonts w:eastAsia="Calibri"/>
                <w:vertAlign w:val="superscript"/>
                <w:lang w:val="en-GB" w:eastAsia="en-US"/>
              </w:rPr>
            </w:pPr>
            <w:proofErr w:type="spellStart"/>
            <w:r>
              <w:rPr>
                <w:rFonts w:eastAsia="Calibri"/>
                <w:lang w:val="en-GB" w:eastAsia="en-US"/>
              </w:rPr>
              <w:t>Pieno</w:t>
            </w:r>
            <w:proofErr w:type="spellEnd"/>
            <w:r>
              <w:rPr>
                <w:rFonts w:eastAsia="Calibri"/>
                <w:lang w:val="en-GB" w:eastAsia="en-US"/>
              </w:rPr>
              <w:t xml:space="preserve"> </w:t>
            </w:r>
            <w:proofErr w:type="spellStart"/>
            <w:r>
              <w:rPr>
                <w:rFonts w:eastAsia="Calibri"/>
                <w:lang w:val="en-GB" w:eastAsia="en-US"/>
              </w:rPr>
              <w:t>rūgšties</w:t>
            </w:r>
            <w:proofErr w:type="spellEnd"/>
            <w:r>
              <w:rPr>
                <w:rFonts w:eastAsia="Calibri"/>
                <w:lang w:val="en-GB" w:eastAsia="en-US"/>
              </w:rPr>
              <w:t xml:space="preserve"> acidozė</w:t>
            </w:r>
            <w:r>
              <w:rPr>
                <w:rFonts w:eastAsia="Calibri"/>
                <w:vertAlign w:val="superscript"/>
                <w:lang w:val="en-GB" w:eastAsia="en-US"/>
              </w:rPr>
              <w:t>3</w:t>
            </w:r>
          </w:p>
          <w:p w14:paraId="46073FF1" w14:textId="77777777" w:rsidR="003B31DC" w:rsidRDefault="00913CBE">
            <w:pPr>
              <w:tabs>
                <w:tab w:val="left" w:pos="9071"/>
              </w:tabs>
              <w:ind w:left="105"/>
              <w:rPr>
                <w:rFonts w:eastAsia="Calibri"/>
                <w:lang w:val="en-GB" w:eastAsia="en-US"/>
              </w:rPr>
            </w:pPr>
            <w:r>
              <w:rPr>
                <w:rFonts w:eastAsia="Calibri"/>
                <w:vertAlign w:val="superscript"/>
                <w:lang w:val="en-GB" w:eastAsia="en-US"/>
              </w:rPr>
              <w:t>, 4</w:t>
            </w:r>
          </w:p>
        </w:tc>
      </w:tr>
      <w:tr w:rsidR="003B31DC" w14:paraId="2C835419" w14:textId="77777777">
        <w:trPr>
          <w:trHeight w:val="460"/>
        </w:trPr>
        <w:tc>
          <w:tcPr>
            <w:tcW w:w="1531" w:type="dxa"/>
          </w:tcPr>
          <w:p w14:paraId="1766D8A2" w14:textId="77777777" w:rsidR="003B31DC" w:rsidRDefault="00913CBE">
            <w:pPr>
              <w:tabs>
                <w:tab w:val="left" w:pos="9071"/>
              </w:tabs>
              <w:ind w:left="107"/>
              <w:rPr>
                <w:rFonts w:eastAsia="Calibri"/>
                <w:i/>
                <w:lang w:val="en-GB" w:eastAsia="en-US"/>
              </w:rPr>
            </w:pPr>
            <w:proofErr w:type="spellStart"/>
            <w:r>
              <w:rPr>
                <w:rFonts w:eastAsia="Calibri"/>
                <w:i/>
                <w:lang w:val="en-GB" w:eastAsia="en-US"/>
              </w:rPr>
              <w:t>Nervų</w:t>
            </w:r>
            <w:proofErr w:type="spellEnd"/>
            <w:r>
              <w:rPr>
                <w:rFonts w:eastAsia="Calibri"/>
                <w:i/>
                <w:lang w:val="en-GB" w:eastAsia="en-US"/>
              </w:rPr>
              <w:t xml:space="preserve"> </w:t>
            </w:r>
            <w:proofErr w:type="spellStart"/>
            <w:r>
              <w:rPr>
                <w:rFonts w:eastAsia="Calibri"/>
                <w:i/>
                <w:lang w:val="en-GB" w:eastAsia="en-US"/>
              </w:rPr>
              <w:t>sistemos</w:t>
            </w:r>
            <w:proofErr w:type="spellEnd"/>
            <w:r>
              <w:rPr>
                <w:rFonts w:eastAsia="Calibri"/>
                <w:i/>
                <w:lang w:val="en-GB" w:eastAsia="en-US"/>
              </w:rPr>
              <w:t xml:space="preserve"> </w:t>
            </w:r>
            <w:proofErr w:type="spellStart"/>
            <w:r>
              <w:rPr>
                <w:rFonts w:eastAsia="Calibri"/>
                <w:i/>
                <w:lang w:val="en-GB" w:eastAsia="en-US"/>
              </w:rPr>
              <w:t>sutrikimai</w:t>
            </w:r>
            <w:proofErr w:type="spellEnd"/>
          </w:p>
        </w:tc>
        <w:tc>
          <w:tcPr>
            <w:tcW w:w="1531" w:type="dxa"/>
          </w:tcPr>
          <w:p w14:paraId="5F916D28" w14:textId="77777777" w:rsidR="003B31DC" w:rsidRDefault="003B31DC">
            <w:pPr>
              <w:tabs>
                <w:tab w:val="left" w:pos="9071"/>
              </w:tabs>
              <w:rPr>
                <w:rFonts w:eastAsia="Calibri"/>
                <w:lang w:val="en-GB" w:eastAsia="en-US"/>
              </w:rPr>
            </w:pPr>
          </w:p>
        </w:tc>
        <w:tc>
          <w:tcPr>
            <w:tcW w:w="1773" w:type="dxa"/>
          </w:tcPr>
          <w:p w14:paraId="69157B1C" w14:textId="77777777" w:rsidR="003B31DC" w:rsidRDefault="00913CBE">
            <w:pPr>
              <w:tabs>
                <w:tab w:val="left" w:pos="9071"/>
              </w:tabs>
              <w:ind w:left="105"/>
              <w:rPr>
                <w:rFonts w:eastAsia="Calibri"/>
                <w:lang w:val="en-GB" w:eastAsia="en-US"/>
              </w:rPr>
            </w:pPr>
            <w:proofErr w:type="spellStart"/>
            <w:r>
              <w:rPr>
                <w:rFonts w:eastAsia="Calibri"/>
                <w:spacing w:val="-2"/>
                <w:lang w:val="en-GB" w:eastAsia="en-US"/>
              </w:rPr>
              <w:t>Skonio</w:t>
            </w:r>
            <w:proofErr w:type="spellEnd"/>
            <w:r>
              <w:rPr>
                <w:rFonts w:eastAsia="Calibri"/>
                <w:spacing w:val="-2"/>
                <w:lang w:val="en-GB" w:eastAsia="en-US"/>
              </w:rPr>
              <w:t xml:space="preserve"> sutrikimas</w:t>
            </w:r>
            <w:r>
              <w:rPr>
                <w:rFonts w:eastAsia="Calibri"/>
                <w:spacing w:val="-2"/>
                <w:vertAlign w:val="superscript"/>
                <w:lang w:val="en-GB" w:eastAsia="en-US"/>
              </w:rPr>
              <w:t>3</w:t>
            </w:r>
          </w:p>
        </w:tc>
        <w:tc>
          <w:tcPr>
            <w:tcW w:w="1417" w:type="dxa"/>
          </w:tcPr>
          <w:p w14:paraId="7820CA5E" w14:textId="77777777" w:rsidR="003B31DC" w:rsidRDefault="003B31DC">
            <w:pPr>
              <w:tabs>
                <w:tab w:val="left" w:pos="9071"/>
              </w:tabs>
              <w:rPr>
                <w:rFonts w:eastAsia="Calibri"/>
                <w:lang w:val="en-GB" w:eastAsia="en-US"/>
              </w:rPr>
            </w:pPr>
          </w:p>
        </w:tc>
        <w:tc>
          <w:tcPr>
            <w:tcW w:w="1418" w:type="dxa"/>
          </w:tcPr>
          <w:p w14:paraId="1D007941" w14:textId="77777777" w:rsidR="003B31DC" w:rsidRDefault="003B31DC">
            <w:pPr>
              <w:tabs>
                <w:tab w:val="left" w:pos="9071"/>
              </w:tabs>
              <w:rPr>
                <w:rFonts w:eastAsia="Calibri"/>
                <w:lang w:val="en-GB" w:eastAsia="en-US"/>
              </w:rPr>
            </w:pPr>
          </w:p>
        </w:tc>
        <w:tc>
          <w:tcPr>
            <w:tcW w:w="1512" w:type="dxa"/>
          </w:tcPr>
          <w:p w14:paraId="363864E4" w14:textId="77777777" w:rsidR="003B31DC" w:rsidRDefault="003B31DC">
            <w:pPr>
              <w:tabs>
                <w:tab w:val="left" w:pos="9071"/>
              </w:tabs>
              <w:rPr>
                <w:rFonts w:eastAsia="Calibri"/>
                <w:lang w:val="en-GB" w:eastAsia="en-US"/>
              </w:rPr>
            </w:pPr>
          </w:p>
        </w:tc>
      </w:tr>
      <w:tr w:rsidR="003B31DC" w14:paraId="62235466" w14:textId="77777777">
        <w:trPr>
          <w:trHeight w:val="690"/>
        </w:trPr>
        <w:tc>
          <w:tcPr>
            <w:tcW w:w="1531" w:type="dxa"/>
          </w:tcPr>
          <w:p w14:paraId="453E11AF" w14:textId="77777777" w:rsidR="003B31DC" w:rsidRDefault="00913CBE">
            <w:pPr>
              <w:tabs>
                <w:tab w:val="left" w:pos="9071"/>
              </w:tabs>
              <w:ind w:left="107" w:right="112"/>
              <w:rPr>
                <w:rFonts w:eastAsia="Calibri"/>
                <w:i/>
                <w:lang w:val="en-GB" w:eastAsia="en-US"/>
              </w:rPr>
            </w:pPr>
            <w:proofErr w:type="spellStart"/>
            <w:r>
              <w:rPr>
                <w:rFonts w:eastAsia="Calibri"/>
                <w:i/>
                <w:lang w:val="en-GB" w:eastAsia="en-US"/>
              </w:rPr>
              <w:t>Kraujagyslių</w:t>
            </w:r>
            <w:proofErr w:type="spellEnd"/>
            <w:r>
              <w:rPr>
                <w:rFonts w:eastAsia="Calibri"/>
                <w:i/>
                <w:lang w:val="en-GB" w:eastAsia="en-US"/>
              </w:rPr>
              <w:t xml:space="preserve"> </w:t>
            </w:r>
            <w:proofErr w:type="spellStart"/>
            <w:r>
              <w:rPr>
                <w:rFonts w:eastAsia="Calibri"/>
                <w:i/>
                <w:lang w:val="en-GB" w:eastAsia="en-US"/>
              </w:rPr>
              <w:t>sutrikimai</w:t>
            </w:r>
            <w:proofErr w:type="spellEnd"/>
          </w:p>
        </w:tc>
        <w:tc>
          <w:tcPr>
            <w:tcW w:w="1531" w:type="dxa"/>
          </w:tcPr>
          <w:p w14:paraId="79392ECD" w14:textId="77777777" w:rsidR="003B31DC" w:rsidRDefault="003B31DC">
            <w:pPr>
              <w:tabs>
                <w:tab w:val="left" w:pos="9071"/>
              </w:tabs>
              <w:rPr>
                <w:rFonts w:eastAsia="Calibri"/>
                <w:lang w:val="en-GB" w:eastAsia="en-US"/>
              </w:rPr>
            </w:pPr>
          </w:p>
        </w:tc>
        <w:tc>
          <w:tcPr>
            <w:tcW w:w="1773" w:type="dxa"/>
          </w:tcPr>
          <w:p w14:paraId="21C57293" w14:textId="77777777" w:rsidR="003B31DC" w:rsidRDefault="003B31DC">
            <w:pPr>
              <w:tabs>
                <w:tab w:val="left" w:pos="9071"/>
              </w:tabs>
              <w:rPr>
                <w:rFonts w:eastAsia="Calibri"/>
                <w:lang w:val="en-GB" w:eastAsia="en-US"/>
              </w:rPr>
            </w:pPr>
          </w:p>
        </w:tc>
        <w:tc>
          <w:tcPr>
            <w:tcW w:w="1417" w:type="dxa"/>
          </w:tcPr>
          <w:p w14:paraId="2EC92DDF" w14:textId="77777777" w:rsidR="003B31DC" w:rsidRDefault="00913CBE">
            <w:pPr>
              <w:tabs>
                <w:tab w:val="left" w:pos="9071"/>
              </w:tabs>
              <w:ind w:left="105" w:right="164"/>
              <w:rPr>
                <w:rFonts w:eastAsia="Calibri"/>
                <w:lang w:val="en-GB" w:eastAsia="en-US"/>
              </w:rPr>
            </w:pPr>
            <w:r>
              <w:rPr>
                <w:rFonts w:eastAsia="Calibri"/>
                <w:spacing w:val="-2"/>
                <w:lang w:val="en-GB" w:eastAsia="en-US"/>
              </w:rPr>
              <w:t>Hipovolemija</w:t>
            </w:r>
            <w:r>
              <w:rPr>
                <w:rFonts w:eastAsia="Calibri"/>
                <w:spacing w:val="-2"/>
                <w:vertAlign w:val="superscript"/>
                <w:lang w:val="en-GB" w:eastAsia="en-US"/>
              </w:rPr>
              <w:t>1,</w:t>
            </w:r>
            <w:proofErr w:type="gramStart"/>
            <w:r>
              <w:rPr>
                <w:rFonts w:eastAsia="Calibri"/>
                <w:spacing w:val="-2"/>
                <w:vertAlign w:val="superscript"/>
                <w:lang w:val="en-GB" w:eastAsia="en-US"/>
              </w:rPr>
              <w:t>2,</w:t>
            </w:r>
            <w:r>
              <w:rPr>
                <w:rFonts w:eastAsia="Calibri"/>
                <w:spacing w:val="-10"/>
                <w:vertAlign w:val="superscript"/>
                <w:lang w:val="en-GB" w:eastAsia="en-US"/>
              </w:rPr>
              <w:t>d</w:t>
            </w:r>
            <w:proofErr w:type="gramEnd"/>
          </w:p>
        </w:tc>
        <w:tc>
          <w:tcPr>
            <w:tcW w:w="1418" w:type="dxa"/>
          </w:tcPr>
          <w:p w14:paraId="76F18DE3" w14:textId="77777777" w:rsidR="003B31DC" w:rsidRDefault="003B31DC">
            <w:pPr>
              <w:tabs>
                <w:tab w:val="left" w:pos="9071"/>
              </w:tabs>
              <w:rPr>
                <w:rFonts w:eastAsia="Calibri"/>
                <w:lang w:val="en-GB" w:eastAsia="en-US"/>
              </w:rPr>
            </w:pPr>
          </w:p>
        </w:tc>
        <w:tc>
          <w:tcPr>
            <w:tcW w:w="1512" w:type="dxa"/>
          </w:tcPr>
          <w:p w14:paraId="2BDD416A" w14:textId="77777777" w:rsidR="003B31DC" w:rsidRDefault="003B31DC">
            <w:pPr>
              <w:tabs>
                <w:tab w:val="left" w:pos="9071"/>
              </w:tabs>
              <w:rPr>
                <w:rFonts w:eastAsia="Calibri"/>
                <w:lang w:val="en-GB" w:eastAsia="en-US"/>
              </w:rPr>
            </w:pPr>
          </w:p>
        </w:tc>
      </w:tr>
      <w:tr w:rsidR="003B31DC" w14:paraId="5C1A8AB6" w14:textId="77777777">
        <w:trPr>
          <w:trHeight w:val="457"/>
        </w:trPr>
        <w:tc>
          <w:tcPr>
            <w:tcW w:w="1531" w:type="dxa"/>
          </w:tcPr>
          <w:p w14:paraId="0069C58B" w14:textId="77777777" w:rsidR="003B31DC" w:rsidRDefault="00913CBE">
            <w:pPr>
              <w:tabs>
                <w:tab w:val="left" w:pos="9071"/>
              </w:tabs>
              <w:ind w:left="107"/>
              <w:rPr>
                <w:rFonts w:eastAsia="Calibri"/>
                <w:i/>
                <w:lang w:val="en-GB" w:eastAsia="en-US"/>
              </w:rPr>
            </w:pPr>
            <w:proofErr w:type="spellStart"/>
            <w:r>
              <w:rPr>
                <w:rFonts w:eastAsia="Calibri"/>
                <w:i/>
                <w:spacing w:val="-2"/>
                <w:lang w:val="en-GB" w:eastAsia="en-US"/>
              </w:rPr>
              <w:t>Virškinimo</w:t>
            </w:r>
            <w:proofErr w:type="spellEnd"/>
            <w:r>
              <w:rPr>
                <w:rFonts w:eastAsia="Calibri"/>
                <w:i/>
                <w:spacing w:val="-2"/>
                <w:lang w:val="en-GB" w:eastAsia="en-US"/>
              </w:rPr>
              <w:t xml:space="preserve"> </w:t>
            </w:r>
            <w:proofErr w:type="spellStart"/>
            <w:r>
              <w:rPr>
                <w:rFonts w:eastAsia="Calibri"/>
                <w:i/>
                <w:spacing w:val="-2"/>
                <w:lang w:val="en-GB" w:eastAsia="en-US"/>
              </w:rPr>
              <w:t>trakto</w:t>
            </w:r>
            <w:proofErr w:type="spellEnd"/>
            <w:r>
              <w:rPr>
                <w:rFonts w:eastAsia="Calibri"/>
                <w:i/>
                <w:spacing w:val="-2"/>
                <w:lang w:val="en-GB" w:eastAsia="en-US"/>
              </w:rPr>
              <w:t xml:space="preserve"> </w:t>
            </w:r>
            <w:proofErr w:type="spellStart"/>
            <w:r>
              <w:rPr>
                <w:rFonts w:eastAsia="Calibri"/>
                <w:i/>
                <w:spacing w:val="-2"/>
                <w:lang w:val="en-GB" w:eastAsia="en-US"/>
              </w:rPr>
              <w:t>sutrikimai</w:t>
            </w:r>
            <w:proofErr w:type="spellEnd"/>
          </w:p>
        </w:tc>
        <w:tc>
          <w:tcPr>
            <w:tcW w:w="1531" w:type="dxa"/>
          </w:tcPr>
          <w:p w14:paraId="74CC1BF7" w14:textId="77777777" w:rsidR="003B31DC" w:rsidRDefault="00913CBE">
            <w:pPr>
              <w:tabs>
                <w:tab w:val="left" w:pos="9071"/>
              </w:tabs>
              <w:ind w:left="107"/>
              <w:rPr>
                <w:rFonts w:eastAsia="Calibri"/>
                <w:lang w:val="en-GB" w:eastAsia="en-US"/>
              </w:rPr>
            </w:pPr>
            <w:proofErr w:type="spellStart"/>
            <w:r>
              <w:rPr>
                <w:rFonts w:eastAsia="Calibri"/>
                <w:lang w:val="en-GB" w:eastAsia="en-US"/>
              </w:rPr>
              <w:t>Virškinimo</w:t>
            </w:r>
            <w:proofErr w:type="spellEnd"/>
            <w:r>
              <w:rPr>
                <w:rFonts w:eastAsia="Calibri"/>
                <w:lang w:val="en-GB" w:eastAsia="en-US"/>
              </w:rPr>
              <w:t xml:space="preserve"> </w:t>
            </w:r>
            <w:proofErr w:type="spellStart"/>
            <w:r>
              <w:rPr>
                <w:rFonts w:eastAsia="Calibri"/>
                <w:lang w:val="en-GB" w:eastAsia="en-US"/>
              </w:rPr>
              <w:t>trakto</w:t>
            </w:r>
            <w:proofErr w:type="spellEnd"/>
            <w:r>
              <w:rPr>
                <w:rFonts w:eastAsia="Calibri"/>
                <w:lang w:val="en-GB" w:eastAsia="en-US"/>
              </w:rPr>
              <w:t xml:space="preserve"> simptomai</w:t>
            </w:r>
            <w:r>
              <w:rPr>
                <w:rFonts w:eastAsia="Calibri"/>
                <w:vertAlign w:val="superscript"/>
                <w:lang w:val="en-GB" w:eastAsia="en-US"/>
              </w:rPr>
              <w:t>3,4</w:t>
            </w:r>
          </w:p>
        </w:tc>
        <w:tc>
          <w:tcPr>
            <w:tcW w:w="1773" w:type="dxa"/>
          </w:tcPr>
          <w:p w14:paraId="5559D4F5" w14:textId="77777777" w:rsidR="003B31DC" w:rsidRDefault="00913CBE">
            <w:pPr>
              <w:tabs>
                <w:tab w:val="left" w:pos="9071"/>
              </w:tabs>
              <w:ind w:left="105"/>
              <w:rPr>
                <w:rFonts w:eastAsia="Calibri"/>
                <w:lang w:val="en-GB" w:eastAsia="en-US"/>
              </w:rPr>
            </w:pPr>
            <w:proofErr w:type="spellStart"/>
            <w:r>
              <w:rPr>
                <w:rFonts w:eastAsia="Calibri"/>
                <w:spacing w:val="-2"/>
                <w:lang w:val="en-GB" w:eastAsia="en-US"/>
              </w:rPr>
              <w:t>Vidurių</w:t>
            </w:r>
            <w:proofErr w:type="spellEnd"/>
            <w:r>
              <w:rPr>
                <w:rFonts w:eastAsia="Calibri"/>
                <w:spacing w:val="-2"/>
                <w:lang w:val="en-GB" w:eastAsia="en-US"/>
              </w:rPr>
              <w:t xml:space="preserve"> </w:t>
            </w:r>
            <w:proofErr w:type="spellStart"/>
            <w:r>
              <w:rPr>
                <w:rFonts w:eastAsia="Calibri"/>
                <w:spacing w:val="-2"/>
                <w:lang w:val="en-GB" w:eastAsia="en-US"/>
              </w:rPr>
              <w:t>užkietėjimas</w:t>
            </w:r>
            <w:proofErr w:type="spellEnd"/>
          </w:p>
        </w:tc>
        <w:tc>
          <w:tcPr>
            <w:tcW w:w="1417" w:type="dxa"/>
          </w:tcPr>
          <w:p w14:paraId="724B9763" w14:textId="77777777" w:rsidR="003B31DC" w:rsidRDefault="003B31DC">
            <w:pPr>
              <w:tabs>
                <w:tab w:val="left" w:pos="9071"/>
              </w:tabs>
              <w:rPr>
                <w:rFonts w:eastAsia="Calibri"/>
                <w:lang w:val="en-GB" w:eastAsia="en-US"/>
              </w:rPr>
            </w:pPr>
          </w:p>
        </w:tc>
        <w:tc>
          <w:tcPr>
            <w:tcW w:w="1418" w:type="dxa"/>
          </w:tcPr>
          <w:p w14:paraId="58FBAFBE" w14:textId="77777777" w:rsidR="003B31DC" w:rsidRDefault="003B31DC">
            <w:pPr>
              <w:tabs>
                <w:tab w:val="left" w:pos="9071"/>
              </w:tabs>
              <w:rPr>
                <w:rFonts w:eastAsia="Calibri"/>
                <w:lang w:val="en-GB" w:eastAsia="en-US"/>
              </w:rPr>
            </w:pPr>
          </w:p>
        </w:tc>
        <w:tc>
          <w:tcPr>
            <w:tcW w:w="1512" w:type="dxa"/>
          </w:tcPr>
          <w:p w14:paraId="4A91F2C0" w14:textId="77777777" w:rsidR="003B31DC" w:rsidRDefault="003B31DC">
            <w:pPr>
              <w:tabs>
                <w:tab w:val="left" w:pos="9071"/>
              </w:tabs>
              <w:rPr>
                <w:rFonts w:eastAsia="Calibri"/>
                <w:lang w:val="en-GB" w:eastAsia="en-US"/>
              </w:rPr>
            </w:pPr>
          </w:p>
        </w:tc>
      </w:tr>
      <w:tr w:rsidR="003B31DC" w14:paraId="40E3E2D0" w14:textId="77777777">
        <w:trPr>
          <w:trHeight w:val="921"/>
        </w:trPr>
        <w:tc>
          <w:tcPr>
            <w:tcW w:w="1531" w:type="dxa"/>
          </w:tcPr>
          <w:p w14:paraId="01485597" w14:textId="77777777" w:rsidR="003B31DC" w:rsidRPr="00A02B90" w:rsidRDefault="00913CBE">
            <w:pPr>
              <w:tabs>
                <w:tab w:val="left" w:pos="9071"/>
              </w:tabs>
              <w:ind w:left="107" w:right="245"/>
              <w:rPr>
                <w:rFonts w:eastAsia="Calibri"/>
                <w:i/>
                <w:lang w:val="lt-LT" w:eastAsia="en-US"/>
              </w:rPr>
            </w:pPr>
            <w:r w:rsidRPr="00A02B90">
              <w:rPr>
                <w:rFonts w:eastAsia="Calibri"/>
                <w:i/>
                <w:spacing w:val="-2"/>
                <w:lang w:val="lt-LT" w:eastAsia="en-US"/>
              </w:rPr>
              <w:t>Kepenų, tulžies pūslės ir latakų sutrikimai</w:t>
            </w:r>
          </w:p>
        </w:tc>
        <w:tc>
          <w:tcPr>
            <w:tcW w:w="1531" w:type="dxa"/>
          </w:tcPr>
          <w:p w14:paraId="4F0843CB" w14:textId="77777777" w:rsidR="003B31DC" w:rsidRPr="00A02B90" w:rsidRDefault="003B31DC">
            <w:pPr>
              <w:tabs>
                <w:tab w:val="left" w:pos="9071"/>
              </w:tabs>
              <w:rPr>
                <w:rFonts w:eastAsia="Calibri"/>
                <w:lang w:val="lt-LT" w:eastAsia="en-US"/>
              </w:rPr>
            </w:pPr>
          </w:p>
        </w:tc>
        <w:tc>
          <w:tcPr>
            <w:tcW w:w="1773" w:type="dxa"/>
          </w:tcPr>
          <w:p w14:paraId="0B1D9698" w14:textId="77777777" w:rsidR="003B31DC" w:rsidRPr="00A02B90" w:rsidRDefault="003B31DC">
            <w:pPr>
              <w:tabs>
                <w:tab w:val="left" w:pos="9071"/>
              </w:tabs>
              <w:rPr>
                <w:rFonts w:eastAsia="Calibri"/>
                <w:lang w:val="lt-LT" w:eastAsia="en-US"/>
              </w:rPr>
            </w:pPr>
          </w:p>
        </w:tc>
        <w:tc>
          <w:tcPr>
            <w:tcW w:w="1417" w:type="dxa"/>
          </w:tcPr>
          <w:p w14:paraId="09270DFA" w14:textId="77777777" w:rsidR="003B31DC" w:rsidRPr="00A02B90" w:rsidRDefault="003B31DC">
            <w:pPr>
              <w:tabs>
                <w:tab w:val="left" w:pos="9071"/>
              </w:tabs>
              <w:rPr>
                <w:rFonts w:eastAsia="Calibri"/>
                <w:lang w:val="lt-LT" w:eastAsia="en-US"/>
              </w:rPr>
            </w:pPr>
          </w:p>
        </w:tc>
        <w:tc>
          <w:tcPr>
            <w:tcW w:w="1418" w:type="dxa"/>
          </w:tcPr>
          <w:p w14:paraId="3A4FF19C" w14:textId="77777777" w:rsidR="003B31DC" w:rsidRPr="00A02B90" w:rsidRDefault="003B31DC">
            <w:pPr>
              <w:tabs>
                <w:tab w:val="left" w:pos="9071"/>
              </w:tabs>
              <w:rPr>
                <w:rFonts w:eastAsia="Calibri"/>
                <w:lang w:val="lt-LT" w:eastAsia="en-US"/>
              </w:rPr>
            </w:pPr>
          </w:p>
        </w:tc>
        <w:tc>
          <w:tcPr>
            <w:tcW w:w="1512" w:type="dxa"/>
          </w:tcPr>
          <w:p w14:paraId="27F4B395" w14:textId="77777777" w:rsidR="003B31DC" w:rsidRPr="00A02B90" w:rsidRDefault="00913CBE">
            <w:pPr>
              <w:tabs>
                <w:tab w:val="left" w:pos="9071"/>
              </w:tabs>
              <w:ind w:left="105" w:right="348"/>
              <w:rPr>
                <w:rFonts w:eastAsia="Calibri"/>
                <w:lang w:val="lt-LT" w:eastAsia="en-US"/>
              </w:rPr>
            </w:pPr>
            <w:r w:rsidRPr="00A02B90">
              <w:rPr>
                <w:rFonts w:eastAsia="Calibri"/>
                <w:lang w:val="lt-LT" w:eastAsia="en-US"/>
              </w:rPr>
              <w:t>Nenormalūs kepenų funkcijos tyrimų duomenys</w:t>
            </w:r>
            <w:r w:rsidRPr="00A02B90">
              <w:rPr>
                <w:rFonts w:eastAsia="Calibri"/>
                <w:vertAlign w:val="superscript"/>
                <w:lang w:val="lt-LT" w:eastAsia="en-US"/>
              </w:rPr>
              <w:t>3</w:t>
            </w:r>
          </w:p>
          <w:p w14:paraId="719A20A9" w14:textId="77777777" w:rsidR="003B31DC" w:rsidRPr="00A02B90" w:rsidRDefault="00913CBE">
            <w:pPr>
              <w:tabs>
                <w:tab w:val="left" w:pos="9071"/>
              </w:tabs>
              <w:ind w:left="105"/>
              <w:rPr>
                <w:rFonts w:eastAsia="Calibri"/>
                <w:lang w:val="lt-LT" w:eastAsia="en-US"/>
              </w:rPr>
            </w:pPr>
            <w:r w:rsidRPr="00A02B90">
              <w:rPr>
                <w:rFonts w:eastAsia="Calibri"/>
                <w:lang w:val="lt-LT" w:eastAsia="en-US"/>
              </w:rPr>
              <w:t>Hepatitas</w:t>
            </w:r>
            <w:r w:rsidRPr="00A02B90">
              <w:rPr>
                <w:rFonts w:eastAsia="Calibri"/>
                <w:vertAlign w:val="superscript"/>
                <w:lang w:val="lt-LT" w:eastAsia="en-US"/>
              </w:rPr>
              <w:t>3</w:t>
            </w:r>
          </w:p>
        </w:tc>
      </w:tr>
      <w:tr w:rsidR="003B31DC" w14:paraId="5CD08043" w14:textId="77777777">
        <w:trPr>
          <w:trHeight w:val="690"/>
        </w:trPr>
        <w:tc>
          <w:tcPr>
            <w:tcW w:w="1531" w:type="dxa"/>
          </w:tcPr>
          <w:p w14:paraId="0181234D" w14:textId="77777777" w:rsidR="003B31DC" w:rsidRPr="00FA2F7A" w:rsidRDefault="00913CBE">
            <w:pPr>
              <w:tabs>
                <w:tab w:val="left" w:pos="9071"/>
              </w:tabs>
              <w:ind w:left="107" w:right="245"/>
              <w:rPr>
                <w:i/>
                <w:lang w:val="pt-PT"/>
              </w:rPr>
            </w:pPr>
            <w:r w:rsidRPr="00FA2F7A">
              <w:rPr>
                <w:i/>
                <w:lang w:val="pt-PT"/>
              </w:rPr>
              <w:t>Odos ir poodinio audinio sutrikimai</w:t>
            </w:r>
          </w:p>
        </w:tc>
        <w:tc>
          <w:tcPr>
            <w:tcW w:w="1531" w:type="dxa"/>
          </w:tcPr>
          <w:p w14:paraId="5233FD5D" w14:textId="77777777" w:rsidR="003B31DC" w:rsidRPr="00FA2F7A" w:rsidRDefault="003B31DC">
            <w:pPr>
              <w:tabs>
                <w:tab w:val="left" w:pos="9071"/>
              </w:tabs>
              <w:rPr>
                <w:lang w:val="pt-PT"/>
              </w:rPr>
            </w:pPr>
          </w:p>
        </w:tc>
        <w:tc>
          <w:tcPr>
            <w:tcW w:w="1773" w:type="dxa"/>
          </w:tcPr>
          <w:p w14:paraId="2F8BC210" w14:textId="77777777" w:rsidR="003B31DC" w:rsidRDefault="00913CBE">
            <w:pPr>
              <w:tabs>
                <w:tab w:val="left" w:pos="9071"/>
              </w:tabs>
              <w:ind w:left="105" w:right="275"/>
              <w:rPr>
                <w:rFonts w:eastAsia="Calibri"/>
                <w:spacing w:val="-2"/>
                <w:lang w:val="en-GB" w:eastAsia="en-US"/>
              </w:rPr>
            </w:pPr>
            <w:proofErr w:type="spellStart"/>
            <w:r>
              <w:rPr>
                <w:rFonts w:eastAsia="Calibri"/>
                <w:spacing w:val="-2"/>
                <w:lang w:val="en-GB" w:eastAsia="en-US"/>
              </w:rPr>
              <w:t>Niežulys</w:t>
            </w:r>
            <w:proofErr w:type="spellEnd"/>
            <w:r>
              <w:rPr>
                <w:rFonts w:eastAsia="Calibri"/>
                <w:spacing w:val="-2"/>
                <w:lang w:val="en-GB" w:eastAsia="en-US"/>
              </w:rPr>
              <w:t xml:space="preserve"> (</w:t>
            </w:r>
            <w:proofErr w:type="spellStart"/>
            <w:r>
              <w:rPr>
                <w:rFonts w:eastAsia="Calibri"/>
                <w:spacing w:val="-2"/>
                <w:lang w:val="en-GB" w:eastAsia="en-US"/>
              </w:rPr>
              <w:t>generalizuotas</w:t>
            </w:r>
            <w:proofErr w:type="spellEnd"/>
            <w:r>
              <w:rPr>
                <w:rFonts w:eastAsia="Calibri"/>
                <w:spacing w:val="-2"/>
                <w:lang w:val="en-GB" w:eastAsia="en-US"/>
              </w:rPr>
              <w:t>) 2,3</w:t>
            </w:r>
          </w:p>
          <w:p w14:paraId="1FA0A69F" w14:textId="77777777" w:rsidR="003B31DC" w:rsidRDefault="00913CBE">
            <w:pPr>
              <w:tabs>
                <w:tab w:val="left" w:pos="9071"/>
              </w:tabs>
              <w:ind w:left="105"/>
              <w:rPr>
                <w:rFonts w:eastAsia="Calibri"/>
                <w:lang w:val="en-GB" w:eastAsia="en-US"/>
              </w:rPr>
            </w:pPr>
            <w:proofErr w:type="spellStart"/>
            <w:r>
              <w:rPr>
                <w:rFonts w:eastAsia="Calibri"/>
                <w:spacing w:val="-2"/>
                <w:lang w:val="en-GB" w:eastAsia="en-US"/>
              </w:rPr>
              <w:t>Išbėrimas</w:t>
            </w:r>
            <w:proofErr w:type="spellEnd"/>
          </w:p>
        </w:tc>
        <w:tc>
          <w:tcPr>
            <w:tcW w:w="1417" w:type="dxa"/>
          </w:tcPr>
          <w:p w14:paraId="7124EE30" w14:textId="77777777" w:rsidR="003B31DC" w:rsidRDefault="00913CBE">
            <w:pPr>
              <w:tabs>
                <w:tab w:val="left" w:pos="9071"/>
              </w:tabs>
              <w:ind w:left="105"/>
              <w:rPr>
                <w:rFonts w:eastAsia="Calibri"/>
                <w:spacing w:val="-2"/>
                <w:lang w:val="en-GB" w:eastAsia="en-US"/>
              </w:rPr>
            </w:pPr>
            <w:proofErr w:type="spellStart"/>
            <w:r>
              <w:rPr>
                <w:rFonts w:eastAsia="Calibri"/>
                <w:spacing w:val="-2"/>
                <w:lang w:val="en-GB" w:eastAsia="en-US"/>
              </w:rPr>
              <w:t>Dilgėlinė</w:t>
            </w:r>
            <w:proofErr w:type="spellEnd"/>
          </w:p>
          <w:p w14:paraId="30D28BC5" w14:textId="77777777" w:rsidR="003B31DC" w:rsidRDefault="00913CBE">
            <w:pPr>
              <w:tabs>
                <w:tab w:val="left" w:pos="9071"/>
              </w:tabs>
              <w:ind w:left="105"/>
              <w:rPr>
                <w:rFonts w:eastAsia="Calibri"/>
                <w:lang w:val="en-GB" w:eastAsia="en-US"/>
              </w:rPr>
            </w:pPr>
            <w:proofErr w:type="spellStart"/>
            <w:r>
              <w:rPr>
                <w:rFonts w:eastAsia="Calibri"/>
                <w:spacing w:val="-2"/>
                <w:lang w:val="en-GB" w:eastAsia="en-US"/>
              </w:rPr>
              <w:t>Angioneurozinė</w:t>
            </w:r>
            <w:proofErr w:type="spellEnd"/>
            <w:r>
              <w:rPr>
                <w:rFonts w:eastAsia="Calibri"/>
                <w:spacing w:val="-2"/>
                <w:lang w:val="en-GB" w:eastAsia="en-US"/>
              </w:rPr>
              <w:t xml:space="preserve"> </w:t>
            </w:r>
            <w:proofErr w:type="spellStart"/>
            <w:r>
              <w:rPr>
                <w:rFonts w:eastAsia="Calibri"/>
                <w:spacing w:val="-2"/>
                <w:lang w:val="en-GB" w:eastAsia="en-US"/>
              </w:rPr>
              <w:t>edema</w:t>
            </w:r>
            <w:proofErr w:type="spellEnd"/>
          </w:p>
        </w:tc>
        <w:tc>
          <w:tcPr>
            <w:tcW w:w="1418" w:type="dxa"/>
          </w:tcPr>
          <w:p w14:paraId="1848C070" w14:textId="77777777" w:rsidR="003B31DC" w:rsidRDefault="003B31DC">
            <w:pPr>
              <w:tabs>
                <w:tab w:val="left" w:pos="9071"/>
              </w:tabs>
              <w:rPr>
                <w:rFonts w:eastAsia="Calibri"/>
                <w:lang w:val="en-GB" w:eastAsia="en-US"/>
              </w:rPr>
            </w:pPr>
          </w:p>
        </w:tc>
        <w:tc>
          <w:tcPr>
            <w:tcW w:w="1512" w:type="dxa"/>
          </w:tcPr>
          <w:p w14:paraId="3A0B412F" w14:textId="77777777" w:rsidR="003B31DC" w:rsidRDefault="00913CBE">
            <w:pPr>
              <w:tabs>
                <w:tab w:val="left" w:pos="9071"/>
              </w:tabs>
              <w:ind w:left="105"/>
              <w:rPr>
                <w:rFonts w:eastAsia="Calibri"/>
                <w:lang w:val="en-GB" w:eastAsia="en-US"/>
              </w:rPr>
            </w:pPr>
            <w:r>
              <w:rPr>
                <w:rFonts w:eastAsia="Calibri"/>
                <w:spacing w:val="-2"/>
                <w:lang w:val="en-GB" w:eastAsia="en-US"/>
              </w:rPr>
              <w:t>Eritema</w:t>
            </w:r>
            <w:r>
              <w:rPr>
                <w:rFonts w:eastAsia="Calibri"/>
                <w:spacing w:val="-2"/>
                <w:vertAlign w:val="superscript"/>
                <w:lang w:val="en-GB" w:eastAsia="en-US"/>
              </w:rPr>
              <w:t>3</w:t>
            </w:r>
          </w:p>
        </w:tc>
      </w:tr>
      <w:tr w:rsidR="003B31DC" w14:paraId="4AC92F4B" w14:textId="77777777">
        <w:trPr>
          <w:trHeight w:val="688"/>
        </w:trPr>
        <w:tc>
          <w:tcPr>
            <w:tcW w:w="1531" w:type="dxa"/>
          </w:tcPr>
          <w:p w14:paraId="45D58286" w14:textId="77777777" w:rsidR="003B31DC" w:rsidRPr="00A02B90" w:rsidRDefault="00913CBE">
            <w:pPr>
              <w:tabs>
                <w:tab w:val="left" w:pos="9071"/>
              </w:tabs>
              <w:ind w:left="107" w:right="112"/>
              <w:rPr>
                <w:rFonts w:eastAsia="Calibri"/>
                <w:i/>
                <w:lang w:val="lt-LT" w:eastAsia="en-US"/>
              </w:rPr>
            </w:pPr>
            <w:r w:rsidRPr="00A02B90">
              <w:rPr>
                <w:rFonts w:eastAsia="Calibri"/>
                <w:i/>
                <w:lang w:val="lt-LT" w:eastAsia="en-US"/>
              </w:rPr>
              <w:t>Inkstų ir šlapimo takų sutrikimai</w:t>
            </w:r>
          </w:p>
        </w:tc>
        <w:tc>
          <w:tcPr>
            <w:tcW w:w="1531" w:type="dxa"/>
          </w:tcPr>
          <w:p w14:paraId="2AFD3602" w14:textId="77777777" w:rsidR="003B31DC" w:rsidRPr="00A02B90" w:rsidRDefault="003B31DC">
            <w:pPr>
              <w:tabs>
                <w:tab w:val="left" w:pos="9071"/>
              </w:tabs>
              <w:rPr>
                <w:rFonts w:eastAsia="Calibri"/>
                <w:lang w:val="lt-LT" w:eastAsia="en-US"/>
              </w:rPr>
            </w:pPr>
          </w:p>
        </w:tc>
        <w:tc>
          <w:tcPr>
            <w:tcW w:w="1773" w:type="dxa"/>
          </w:tcPr>
          <w:p w14:paraId="4F0DB0B6" w14:textId="77777777" w:rsidR="003B31DC" w:rsidRDefault="00913CBE">
            <w:pPr>
              <w:tabs>
                <w:tab w:val="left" w:pos="9071"/>
              </w:tabs>
              <w:ind w:left="105"/>
              <w:rPr>
                <w:rFonts w:eastAsia="Calibri"/>
                <w:lang w:val="en-GB" w:eastAsia="en-US"/>
              </w:rPr>
            </w:pPr>
            <w:proofErr w:type="spellStart"/>
            <w:r>
              <w:rPr>
                <w:rFonts w:eastAsia="Calibri"/>
                <w:spacing w:val="-2"/>
                <w:lang w:val="en-GB" w:eastAsia="en-US"/>
              </w:rPr>
              <w:t>Padažnėjęs</w:t>
            </w:r>
            <w:proofErr w:type="spellEnd"/>
            <w:r>
              <w:rPr>
                <w:rFonts w:eastAsia="Calibri"/>
                <w:spacing w:val="-2"/>
                <w:lang w:val="en-GB" w:eastAsia="en-US"/>
              </w:rPr>
              <w:t xml:space="preserve"> šlapinimasis</w:t>
            </w:r>
            <w:r>
              <w:rPr>
                <w:rFonts w:eastAsia="Calibri"/>
                <w:spacing w:val="-2"/>
                <w:vertAlign w:val="superscript"/>
                <w:lang w:val="en-GB" w:eastAsia="en-US"/>
              </w:rPr>
              <w:t xml:space="preserve">1, </w:t>
            </w:r>
            <w:r>
              <w:rPr>
                <w:rFonts w:eastAsia="Calibri"/>
                <w:spacing w:val="-10"/>
                <w:vertAlign w:val="superscript"/>
                <w:lang w:val="en-GB" w:eastAsia="en-US"/>
              </w:rPr>
              <w:t>2</w:t>
            </w:r>
          </w:p>
        </w:tc>
        <w:tc>
          <w:tcPr>
            <w:tcW w:w="1417" w:type="dxa"/>
          </w:tcPr>
          <w:p w14:paraId="5B41029E" w14:textId="77777777" w:rsidR="003B31DC" w:rsidRDefault="00913CBE">
            <w:pPr>
              <w:tabs>
                <w:tab w:val="left" w:pos="9071"/>
              </w:tabs>
              <w:ind w:left="105"/>
              <w:rPr>
                <w:rFonts w:eastAsia="Calibri"/>
                <w:lang w:val="en-GB" w:eastAsia="en-US"/>
              </w:rPr>
            </w:pPr>
            <w:r>
              <w:rPr>
                <w:rFonts w:eastAsia="Calibri"/>
                <w:spacing w:val="-2"/>
                <w:lang w:val="en-GB" w:eastAsia="en-US"/>
              </w:rPr>
              <w:t>Dizurija</w:t>
            </w:r>
            <w:r>
              <w:rPr>
                <w:rFonts w:eastAsia="Calibri"/>
                <w:spacing w:val="-2"/>
                <w:vertAlign w:val="superscript"/>
                <w:lang w:val="en-GB" w:eastAsia="en-US"/>
              </w:rPr>
              <w:t>2</w:t>
            </w:r>
          </w:p>
        </w:tc>
        <w:tc>
          <w:tcPr>
            <w:tcW w:w="1418" w:type="dxa"/>
          </w:tcPr>
          <w:p w14:paraId="680E52B2" w14:textId="77777777" w:rsidR="003B31DC" w:rsidRDefault="003B31DC">
            <w:pPr>
              <w:tabs>
                <w:tab w:val="left" w:pos="9071"/>
              </w:tabs>
              <w:rPr>
                <w:rFonts w:eastAsia="Calibri"/>
                <w:lang w:val="en-GB" w:eastAsia="en-US"/>
              </w:rPr>
            </w:pPr>
          </w:p>
        </w:tc>
        <w:tc>
          <w:tcPr>
            <w:tcW w:w="1512" w:type="dxa"/>
          </w:tcPr>
          <w:p w14:paraId="088754B4" w14:textId="3BCED78A" w:rsidR="003B31DC" w:rsidRPr="00FA2F7A" w:rsidRDefault="00897F99">
            <w:pPr>
              <w:tabs>
                <w:tab w:val="left" w:pos="9071"/>
              </w:tabs>
              <w:ind w:left="105"/>
              <w:rPr>
                <w:rFonts w:eastAsia="Calibri"/>
                <w:lang w:val="sv-SE" w:eastAsia="en-US"/>
              </w:rPr>
            </w:pPr>
            <w:r w:rsidRPr="00FA2F7A">
              <w:rPr>
                <w:rFonts w:eastAsia="Calibri"/>
                <w:spacing w:val="-2"/>
                <w:lang w:val="sv-SE" w:eastAsia="en-US"/>
              </w:rPr>
              <w:t>Kanalėlių ir intersticinio audinio nefritas.</w:t>
            </w:r>
          </w:p>
        </w:tc>
      </w:tr>
      <w:tr w:rsidR="003B31DC" w14:paraId="673F622D" w14:textId="77777777">
        <w:trPr>
          <w:trHeight w:val="2070"/>
        </w:trPr>
        <w:tc>
          <w:tcPr>
            <w:tcW w:w="1531" w:type="dxa"/>
          </w:tcPr>
          <w:p w14:paraId="2328290A" w14:textId="77777777" w:rsidR="003B31DC" w:rsidRDefault="00913CBE">
            <w:pPr>
              <w:tabs>
                <w:tab w:val="left" w:pos="9071"/>
              </w:tabs>
              <w:ind w:left="107"/>
              <w:rPr>
                <w:rFonts w:eastAsia="Calibri"/>
                <w:i/>
                <w:lang w:val="en-GB" w:eastAsia="en-US"/>
              </w:rPr>
            </w:pPr>
            <w:proofErr w:type="spellStart"/>
            <w:r>
              <w:rPr>
                <w:rFonts w:eastAsia="Calibri"/>
                <w:i/>
                <w:spacing w:val="-2"/>
                <w:lang w:val="en-GB" w:eastAsia="en-US"/>
              </w:rPr>
              <w:t>Tyrimai</w:t>
            </w:r>
            <w:proofErr w:type="spellEnd"/>
          </w:p>
        </w:tc>
        <w:tc>
          <w:tcPr>
            <w:tcW w:w="1531" w:type="dxa"/>
          </w:tcPr>
          <w:p w14:paraId="56BB2179" w14:textId="77777777" w:rsidR="003B31DC" w:rsidRDefault="003B31DC">
            <w:pPr>
              <w:tabs>
                <w:tab w:val="left" w:pos="9071"/>
              </w:tabs>
              <w:rPr>
                <w:rFonts w:eastAsia="Calibri"/>
                <w:lang w:val="en-GB" w:eastAsia="en-US"/>
              </w:rPr>
            </w:pPr>
          </w:p>
        </w:tc>
        <w:tc>
          <w:tcPr>
            <w:tcW w:w="1773" w:type="dxa"/>
          </w:tcPr>
          <w:p w14:paraId="64000BAD" w14:textId="77777777" w:rsidR="003B31DC" w:rsidRPr="00A02B90" w:rsidRDefault="00913CBE">
            <w:pPr>
              <w:tabs>
                <w:tab w:val="left" w:pos="9071"/>
              </w:tabs>
              <w:ind w:left="105" w:right="193"/>
              <w:rPr>
                <w:rFonts w:eastAsia="Calibri"/>
                <w:spacing w:val="-2"/>
                <w:lang w:val="fr-FR" w:eastAsia="en-US"/>
              </w:rPr>
            </w:pPr>
            <w:r w:rsidRPr="00A02B90">
              <w:rPr>
                <w:rFonts w:eastAsia="Calibri"/>
                <w:spacing w:val="-2"/>
                <w:lang w:val="fr-FR" w:eastAsia="en-US"/>
              </w:rPr>
              <w:t>Padidėjusi lipidų koncentracija kraujo serume</w:t>
            </w:r>
            <w:r w:rsidRPr="00A02B90">
              <w:rPr>
                <w:rFonts w:eastAsia="Calibri"/>
                <w:spacing w:val="-2"/>
                <w:vertAlign w:val="superscript"/>
                <w:lang w:val="fr-FR" w:eastAsia="en-US"/>
              </w:rPr>
              <w:t>2,b</w:t>
            </w:r>
          </w:p>
        </w:tc>
        <w:tc>
          <w:tcPr>
            <w:tcW w:w="1417" w:type="dxa"/>
          </w:tcPr>
          <w:p w14:paraId="70CCDB30" w14:textId="77777777" w:rsidR="003B31DC" w:rsidRPr="00A02B90" w:rsidRDefault="00913CBE">
            <w:pPr>
              <w:tabs>
                <w:tab w:val="left" w:pos="9071"/>
              </w:tabs>
              <w:ind w:left="105"/>
              <w:rPr>
                <w:rFonts w:eastAsia="Calibri"/>
                <w:lang w:val="fr-FR" w:eastAsia="en-US"/>
              </w:rPr>
            </w:pPr>
            <w:r w:rsidRPr="00A02B90">
              <w:rPr>
                <w:rFonts w:eastAsia="Calibri"/>
                <w:spacing w:val="-2"/>
                <w:lang w:val="fr-FR" w:eastAsia="en-US"/>
              </w:rPr>
              <w:t>Padidėjęs kreatinino kiekis kraujyje / sumažėjęs glomerulų filtracijos greitis</w:t>
            </w:r>
            <w:r w:rsidRPr="00A02B90">
              <w:rPr>
                <w:rFonts w:eastAsia="Calibri"/>
                <w:vertAlign w:val="superscript"/>
                <w:lang w:val="fr-FR" w:eastAsia="en-US"/>
              </w:rPr>
              <w:t>2,c</w:t>
            </w:r>
          </w:p>
        </w:tc>
        <w:tc>
          <w:tcPr>
            <w:tcW w:w="1418" w:type="dxa"/>
          </w:tcPr>
          <w:p w14:paraId="7E01BD7D" w14:textId="77777777" w:rsidR="003B31DC" w:rsidRPr="00A02B90" w:rsidRDefault="003B31DC">
            <w:pPr>
              <w:tabs>
                <w:tab w:val="left" w:pos="9071"/>
              </w:tabs>
              <w:rPr>
                <w:rFonts w:eastAsia="Calibri"/>
                <w:lang w:val="fr-FR" w:eastAsia="en-US"/>
              </w:rPr>
            </w:pPr>
          </w:p>
        </w:tc>
        <w:tc>
          <w:tcPr>
            <w:tcW w:w="1512" w:type="dxa"/>
          </w:tcPr>
          <w:p w14:paraId="23CF6AC2" w14:textId="77777777" w:rsidR="003B31DC" w:rsidRPr="00A02B90" w:rsidRDefault="003B31DC">
            <w:pPr>
              <w:tabs>
                <w:tab w:val="left" w:pos="9071"/>
              </w:tabs>
              <w:rPr>
                <w:rFonts w:eastAsia="Calibri"/>
                <w:lang w:val="fr-FR" w:eastAsia="en-US"/>
              </w:rPr>
            </w:pPr>
          </w:p>
        </w:tc>
      </w:tr>
    </w:tbl>
    <w:p w14:paraId="05A6400D" w14:textId="77777777" w:rsidR="003B31DC" w:rsidRDefault="00913CBE">
      <w:pPr>
        <w:tabs>
          <w:tab w:val="left" w:pos="567"/>
        </w:tabs>
        <w:rPr>
          <w:rFonts w:eastAsiaTheme="minorHAnsi"/>
          <w:color w:val="000000"/>
          <w:sz w:val="20"/>
          <w:szCs w:val="20"/>
          <w:lang w:eastAsia="en-US"/>
        </w:rPr>
      </w:pPr>
      <w:r>
        <w:rPr>
          <w:rFonts w:eastAsiaTheme="minorHAnsi"/>
          <w:color w:val="000000"/>
          <w:sz w:val="20"/>
          <w:szCs w:val="20"/>
          <w:vertAlign w:val="superscript"/>
          <w:lang w:eastAsia="en-US"/>
        </w:rPr>
        <w:t>1</w:t>
      </w:r>
      <w:r>
        <w:rPr>
          <w:rFonts w:eastAsiaTheme="minorHAnsi"/>
          <w:color w:val="000000"/>
          <w:sz w:val="20"/>
          <w:szCs w:val="20"/>
          <w:lang w:eastAsia="en-US"/>
        </w:rPr>
        <w:t xml:space="preserve"> Papildoma informacija pateikta toliau esančiuose poskyriuose</w:t>
      </w:r>
    </w:p>
    <w:p w14:paraId="55F3F52F" w14:textId="77777777" w:rsidR="003B31DC" w:rsidRDefault="00913CBE">
      <w:pPr>
        <w:tabs>
          <w:tab w:val="left" w:pos="567"/>
        </w:tabs>
        <w:rPr>
          <w:rFonts w:eastAsiaTheme="minorHAnsi"/>
          <w:color w:val="000000"/>
          <w:sz w:val="20"/>
          <w:szCs w:val="20"/>
          <w:lang w:eastAsia="en-US"/>
        </w:rPr>
      </w:pPr>
      <w:r>
        <w:rPr>
          <w:rFonts w:eastAsiaTheme="minorHAnsi"/>
          <w:color w:val="000000"/>
          <w:sz w:val="20"/>
          <w:szCs w:val="20"/>
          <w:vertAlign w:val="superscript"/>
          <w:lang w:eastAsia="en-US"/>
        </w:rPr>
        <w:t>2</w:t>
      </w:r>
      <w:r>
        <w:rPr>
          <w:rFonts w:eastAsiaTheme="minorHAnsi"/>
          <w:color w:val="000000"/>
          <w:sz w:val="20"/>
          <w:szCs w:val="20"/>
          <w:lang w:eastAsia="en-US"/>
        </w:rPr>
        <w:t xml:space="preserve"> Nepageidaujamos reakcijos, nustatytos taikant </w:t>
      </w:r>
      <w:proofErr w:type="spellStart"/>
      <w:r>
        <w:rPr>
          <w:rFonts w:eastAsiaTheme="minorHAnsi"/>
          <w:color w:val="000000"/>
          <w:sz w:val="20"/>
          <w:szCs w:val="20"/>
          <w:lang w:eastAsia="en-US"/>
        </w:rPr>
        <w:t>monoterapiją</w:t>
      </w:r>
      <w:proofErr w:type="spellEnd"/>
      <w:r>
        <w:rPr>
          <w:rFonts w:eastAsiaTheme="minorHAnsi"/>
          <w:color w:val="000000"/>
          <w:sz w:val="20"/>
          <w:szCs w:val="20"/>
          <w:lang w:eastAsia="en-US"/>
        </w:rPr>
        <w:t xml:space="preserve"> </w:t>
      </w:r>
      <w:proofErr w:type="spellStart"/>
      <w:r>
        <w:rPr>
          <w:rFonts w:eastAsiaTheme="minorHAnsi"/>
          <w:color w:val="000000"/>
          <w:sz w:val="20"/>
          <w:szCs w:val="20"/>
          <w:lang w:eastAsia="en-US"/>
        </w:rPr>
        <w:t>empagliflozinu</w:t>
      </w:r>
      <w:proofErr w:type="spellEnd"/>
    </w:p>
    <w:p w14:paraId="0B11EA56" w14:textId="77777777" w:rsidR="003B31DC" w:rsidRDefault="00913CBE">
      <w:pPr>
        <w:tabs>
          <w:tab w:val="left" w:pos="567"/>
        </w:tabs>
        <w:rPr>
          <w:rFonts w:eastAsiaTheme="minorHAnsi"/>
          <w:color w:val="000000"/>
          <w:sz w:val="20"/>
          <w:szCs w:val="20"/>
          <w:lang w:eastAsia="en-US"/>
        </w:rPr>
      </w:pPr>
      <w:r>
        <w:rPr>
          <w:rFonts w:eastAsiaTheme="minorHAnsi"/>
          <w:color w:val="000000"/>
          <w:sz w:val="20"/>
          <w:szCs w:val="20"/>
          <w:vertAlign w:val="superscript"/>
          <w:lang w:eastAsia="en-US"/>
        </w:rPr>
        <w:t>3</w:t>
      </w:r>
      <w:r>
        <w:rPr>
          <w:rFonts w:eastAsiaTheme="minorHAnsi"/>
          <w:color w:val="000000"/>
          <w:sz w:val="20"/>
          <w:szCs w:val="20"/>
          <w:lang w:eastAsia="en-US"/>
        </w:rPr>
        <w:t xml:space="preserve"> Nepageidaujamos reakcijos, nustatytos taikant </w:t>
      </w:r>
      <w:proofErr w:type="spellStart"/>
      <w:r>
        <w:rPr>
          <w:rFonts w:eastAsiaTheme="minorHAnsi"/>
          <w:color w:val="000000"/>
          <w:sz w:val="20"/>
          <w:szCs w:val="20"/>
          <w:lang w:eastAsia="en-US"/>
        </w:rPr>
        <w:t>monoterapiją</w:t>
      </w:r>
      <w:proofErr w:type="spellEnd"/>
      <w:r>
        <w:rPr>
          <w:rFonts w:eastAsiaTheme="minorHAnsi"/>
          <w:color w:val="000000"/>
          <w:sz w:val="20"/>
          <w:szCs w:val="20"/>
          <w:lang w:eastAsia="en-US"/>
        </w:rPr>
        <w:t xml:space="preserve"> </w:t>
      </w:r>
      <w:proofErr w:type="spellStart"/>
      <w:r>
        <w:rPr>
          <w:rFonts w:eastAsiaTheme="minorHAnsi"/>
          <w:color w:val="000000"/>
          <w:sz w:val="20"/>
          <w:szCs w:val="20"/>
          <w:lang w:eastAsia="en-US"/>
        </w:rPr>
        <w:t>metforminu</w:t>
      </w:r>
      <w:proofErr w:type="spellEnd"/>
    </w:p>
    <w:p w14:paraId="4957AC0D" w14:textId="77777777" w:rsidR="003B31DC" w:rsidRDefault="00913CBE">
      <w:pPr>
        <w:tabs>
          <w:tab w:val="left" w:pos="567"/>
        </w:tabs>
        <w:rPr>
          <w:rFonts w:eastAsiaTheme="minorHAnsi"/>
          <w:color w:val="000000"/>
          <w:sz w:val="20"/>
          <w:szCs w:val="20"/>
          <w:lang w:eastAsia="en-US"/>
        </w:rPr>
      </w:pPr>
      <w:r>
        <w:rPr>
          <w:rFonts w:eastAsiaTheme="minorHAnsi"/>
          <w:color w:val="000000"/>
          <w:sz w:val="20"/>
          <w:szCs w:val="20"/>
          <w:vertAlign w:val="superscript"/>
          <w:lang w:eastAsia="en-US"/>
        </w:rPr>
        <w:t>4</w:t>
      </w:r>
      <w:r>
        <w:rPr>
          <w:rFonts w:eastAsiaTheme="minorHAnsi"/>
          <w:color w:val="000000"/>
          <w:sz w:val="20"/>
          <w:szCs w:val="20"/>
          <w:lang w:eastAsia="en-US"/>
        </w:rPr>
        <w:t xml:space="preserve"> Virškinimo trakto simptomai, pvz., pykinimas, vėmimas, viduriavimas, pilvo skausmas ir apetito netekimas, dažniausiai pasireiškia gydymo pradžioje ir daugumoje atvejų praeina savaime.</w:t>
      </w:r>
    </w:p>
    <w:p w14:paraId="43703B26" w14:textId="77777777" w:rsidR="003B31DC" w:rsidRDefault="00913CBE">
      <w:pPr>
        <w:tabs>
          <w:tab w:val="left" w:pos="567"/>
        </w:tabs>
        <w:rPr>
          <w:rFonts w:eastAsiaTheme="minorHAnsi"/>
          <w:color w:val="000000"/>
          <w:sz w:val="20"/>
          <w:szCs w:val="20"/>
          <w:lang w:eastAsia="en-US"/>
        </w:rPr>
      </w:pPr>
      <w:r>
        <w:rPr>
          <w:rFonts w:eastAsiaTheme="minorHAnsi"/>
          <w:color w:val="000000"/>
          <w:sz w:val="20"/>
          <w:szCs w:val="20"/>
          <w:vertAlign w:val="superscript"/>
          <w:lang w:eastAsia="en-US"/>
        </w:rPr>
        <w:t>a</w:t>
      </w:r>
      <w:r>
        <w:rPr>
          <w:rFonts w:eastAsiaTheme="minorHAnsi"/>
          <w:color w:val="000000"/>
          <w:sz w:val="20"/>
          <w:szCs w:val="20"/>
          <w:lang w:eastAsia="en-US"/>
        </w:rPr>
        <w:t xml:space="preserve"> Žr. 4.4 skyrių</w:t>
      </w:r>
    </w:p>
    <w:p w14:paraId="439A0522" w14:textId="77777777" w:rsidR="003B31DC" w:rsidRDefault="00913CBE">
      <w:pPr>
        <w:tabs>
          <w:tab w:val="left" w:pos="567"/>
        </w:tabs>
        <w:rPr>
          <w:rFonts w:eastAsiaTheme="minorHAnsi"/>
          <w:color w:val="000000"/>
          <w:sz w:val="20"/>
          <w:szCs w:val="20"/>
          <w:lang w:eastAsia="en-US"/>
        </w:rPr>
      </w:pPr>
      <w:r>
        <w:rPr>
          <w:rFonts w:eastAsiaTheme="minorHAnsi"/>
          <w:color w:val="000000"/>
          <w:sz w:val="20"/>
          <w:szCs w:val="20"/>
          <w:vertAlign w:val="superscript"/>
          <w:lang w:eastAsia="en-US"/>
        </w:rPr>
        <w:t>b</w:t>
      </w:r>
      <w:r>
        <w:rPr>
          <w:rFonts w:eastAsiaTheme="minorHAnsi"/>
          <w:color w:val="000000"/>
          <w:sz w:val="20"/>
          <w:szCs w:val="20"/>
          <w:lang w:eastAsia="en-US"/>
        </w:rPr>
        <w:t xml:space="preserve"> Vartojant 10 mg ir 25 mg </w:t>
      </w:r>
      <w:proofErr w:type="spellStart"/>
      <w:r>
        <w:rPr>
          <w:rFonts w:eastAsiaTheme="minorHAnsi"/>
          <w:color w:val="000000"/>
          <w:sz w:val="20"/>
          <w:szCs w:val="20"/>
          <w:lang w:eastAsia="en-US"/>
        </w:rPr>
        <w:t>empagliflozino</w:t>
      </w:r>
      <w:proofErr w:type="spellEnd"/>
      <w:r>
        <w:rPr>
          <w:rFonts w:eastAsiaTheme="minorHAnsi"/>
          <w:color w:val="000000"/>
          <w:sz w:val="20"/>
          <w:szCs w:val="20"/>
          <w:lang w:eastAsia="en-US"/>
        </w:rPr>
        <w:t>, palyginti su placebu, vidutinis procentinis padidėjimas nuo pradinių verčių buvo toks: bendro cholesterolio atitinkamai 5,0 % ir 5,2 %, palyginti su 3,7 %; DTL cholesterolio atitinkamai 4,6 % ir 2,7 %, palyginti su -0,5 %; MTL cholesterolio atitinkamai 9,1 % ir 8,7 %, palyginti su 7,8 %; trigliceridų atitinkamai 5,4 % ir 10,8 %, palyginti su 12,1 %.</w:t>
      </w:r>
    </w:p>
    <w:p w14:paraId="06C3CB83" w14:textId="77777777" w:rsidR="003B31DC" w:rsidRDefault="00913CBE">
      <w:pPr>
        <w:tabs>
          <w:tab w:val="left" w:pos="567"/>
        </w:tabs>
        <w:rPr>
          <w:rFonts w:eastAsiaTheme="minorHAnsi"/>
          <w:color w:val="000000"/>
          <w:sz w:val="20"/>
          <w:szCs w:val="20"/>
          <w:lang w:eastAsia="en-US"/>
        </w:rPr>
      </w:pPr>
      <w:r>
        <w:rPr>
          <w:rFonts w:eastAsiaTheme="minorHAnsi"/>
          <w:color w:val="000000"/>
          <w:sz w:val="20"/>
          <w:szCs w:val="20"/>
          <w:vertAlign w:val="superscript"/>
          <w:lang w:eastAsia="en-US"/>
        </w:rPr>
        <w:t>c</w:t>
      </w:r>
      <w:r>
        <w:rPr>
          <w:rFonts w:eastAsiaTheme="minorHAnsi"/>
          <w:color w:val="000000"/>
          <w:sz w:val="20"/>
          <w:szCs w:val="20"/>
          <w:lang w:eastAsia="en-US"/>
        </w:rPr>
        <w:t xml:space="preserve"> Vidutiniai </w:t>
      </w:r>
      <w:proofErr w:type="spellStart"/>
      <w:r>
        <w:rPr>
          <w:rFonts w:eastAsiaTheme="minorHAnsi"/>
          <w:color w:val="000000"/>
          <w:sz w:val="20"/>
          <w:szCs w:val="20"/>
          <w:lang w:eastAsia="en-US"/>
        </w:rPr>
        <w:t>hematokrito</w:t>
      </w:r>
      <w:proofErr w:type="spellEnd"/>
      <w:r>
        <w:rPr>
          <w:rFonts w:eastAsiaTheme="minorHAnsi"/>
          <w:color w:val="000000"/>
          <w:sz w:val="20"/>
          <w:szCs w:val="20"/>
          <w:lang w:eastAsia="en-US"/>
        </w:rPr>
        <w:t xml:space="preserve"> pokyčiai nuo pradinių verčių buvo atitinkamai 3,6 % ir 4,0 % vartojant 10 mg ir 25 mg </w:t>
      </w:r>
      <w:proofErr w:type="spellStart"/>
      <w:r>
        <w:rPr>
          <w:rFonts w:eastAsiaTheme="minorHAnsi"/>
          <w:color w:val="000000"/>
          <w:sz w:val="20"/>
          <w:szCs w:val="20"/>
          <w:lang w:eastAsia="en-US"/>
        </w:rPr>
        <w:t>empagliflozino</w:t>
      </w:r>
      <w:proofErr w:type="spellEnd"/>
      <w:r>
        <w:rPr>
          <w:rFonts w:eastAsiaTheme="minorHAnsi"/>
          <w:color w:val="000000"/>
          <w:sz w:val="20"/>
          <w:szCs w:val="20"/>
          <w:lang w:eastAsia="en-US"/>
        </w:rPr>
        <w:t xml:space="preserve">, lyginant su 0 % vartojant placebą. EMPA-REG OUTCOME tyrime </w:t>
      </w:r>
      <w:proofErr w:type="spellStart"/>
      <w:r>
        <w:rPr>
          <w:rFonts w:eastAsiaTheme="minorHAnsi"/>
          <w:color w:val="000000"/>
          <w:sz w:val="20"/>
          <w:szCs w:val="20"/>
          <w:lang w:eastAsia="en-US"/>
        </w:rPr>
        <w:t>hematokrito</w:t>
      </w:r>
      <w:proofErr w:type="spellEnd"/>
      <w:r>
        <w:rPr>
          <w:rFonts w:eastAsiaTheme="minorHAnsi"/>
          <w:color w:val="000000"/>
          <w:sz w:val="20"/>
          <w:szCs w:val="20"/>
          <w:lang w:eastAsia="en-US"/>
        </w:rPr>
        <w:t xml:space="preserve"> vertės grįžo į pradines praėjus 30 dienų tolesnio stebėjimo laikotarpiui po gydymo nutraukimo.</w:t>
      </w:r>
    </w:p>
    <w:p w14:paraId="2063121F" w14:textId="77777777" w:rsidR="003B31DC" w:rsidRDefault="00913CBE">
      <w:pPr>
        <w:tabs>
          <w:tab w:val="left" w:pos="567"/>
        </w:tabs>
        <w:rPr>
          <w:rFonts w:eastAsiaTheme="minorHAnsi"/>
          <w:color w:val="000000"/>
          <w:sz w:val="20"/>
          <w:szCs w:val="20"/>
          <w:lang w:eastAsia="en-US"/>
        </w:rPr>
      </w:pPr>
      <w:r>
        <w:rPr>
          <w:rFonts w:eastAsiaTheme="minorHAnsi"/>
          <w:color w:val="000000"/>
          <w:sz w:val="20"/>
          <w:szCs w:val="20"/>
          <w:lang w:eastAsia="en-US"/>
        </w:rPr>
        <w:t xml:space="preserve">d </w:t>
      </w:r>
      <w:proofErr w:type="spellStart"/>
      <w:r>
        <w:rPr>
          <w:rFonts w:eastAsiaTheme="minorHAnsi"/>
          <w:color w:val="000000"/>
          <w:sz w:val="20"/>
          <w:szCs w:val="20"/>
          <w:lang w:eastAsia="en-US"/>
        </w:rPr>
        <w:t>Empagliflozino</w:t>
      </w:r>
      <w:proofErr w:type="spellEnd"/>
      <w:r>
        <w:rPr>
          <w:rFonts w:eastAsiaTheme="minorHAnsi"/>
          <w:color w:val="000000"/>
          <w:sz w:val="20"/>
          <w:szCs w:val="20"/>
          <w:lang w:eastAsia="en-US"/>
        </w:rPr>
        <w:t xml:space="preserve"> tyrimų su širdies nepakankamumu sergančiais pacientais (kurių pusė sirgo 2 tipo cukriniu diabetu) jungtiniai duomenys parodė didesnį </w:t>
      </w:r>
      <w:proofErr w:type="spellStart"/>
      <w:r>
        <w:rPr>
          <w:rFonts w:eastAsiaTheme="minorHAnsi"/>
          <w:color w:val="000000"/>
          <w:sz w:val="20"/>
          <w:szCs w:val="20"/>
          <w:lang w:eastAsia="en-US"/>
        </w:rPr>
        <w:t>hipovolemijos</w:t>
      </w:r>
      <w:proofErr w:type="spellEnd"/>
      <w:r>
        <w:rPr>
          <w:rFonts w:eastAsiaTheme="minorHAnsi"/>
          <w:color w:val="000000"/>
          <w:sz w:val="20"/>
          <w:szCs w:val="20"/>
          <w:lang w:eastAsia="en-US"/>
        </w:rPr>
        <w:t xml:space="preserve"> dažnį („labai dažnas“: 11,4 % vartojant </w:t>
      </w:r>
      <w:proofErr w:type="spellStart"/>
      <w:r>
        <w:rPr>
          <w:rFonts w:eastAsiaTheme="minorHAnsi"/>
          <w:color w:val="000000"/>
          <w:sz w:val="20"/>
          <w:szCs w:val="20"/>
          <w:lang w:eastAsia="en-US"/>
        </w:rPr>
        <w:t>empaglifloziną</w:t>
      </w:r>
      <w:proofErr w:type="spellEnd"/>
      <w:r>
        <w:rPr>
          <w:rFonts w:eastAsiaTheme="minorHAnsi"/>
          <w:color w:val="000000"/>
          <w:sz w:val="20"/>
          <w:szCs w:val="20"/>
          <w:lang w:eastAsia="en-US"/>
        </w:rPr>
        <w:t>, palyginti su 9,7 % placebo grupėje).</w:t>
      </w:r>
    </w:p>
    <w:p w14:paraId="13BAE537" w14:textId="77777777" w:rsidR="003B31DC" w:rsidRDefault="003B31DC">
      <w:pPr>
        <w:tabs>
          <w:tab w:val="left" w:pos="567"/>
        </w:tabs>
        <w:rPr>
          <w:iCs/>
          <w:snapToGrid w:val="0"/>
          <w:sz w:val="22"/>
          <w:szCs w:val="22"/>
          <w:lang w:eastAsia="lt-LT"/>
        </w:rPr>
      </w:pPr>
    </w:p>
    <w:p w14:paraId="03F81A11" w14:textId="77777777" w:rsidR="003B31DC" w:rsidRDefault="00913CBE">
      <w:pPr>
        <w:widowControl w:val="0"/>
        <w:tabs>
          <w:tab w:val="left" w:pos="567"/>
        </w:tabs>
        <w:jc w:val="both"/>
        <w:rPr>
          <w:bCs/>
          <w:sz w:val="22"/>
          <w:szCs w:val="22"/>
          <w:u w:val="single"/>
          <w:lang w:eastAsia="en-US"/>
        </w:rPr>
      </w:pPr>
      <w:r>
        <w:rPr>
          <w:bCs/>
          <w:sz w:val="22"/>
          <w:szCs w:val="22"/>
          <w:u w:val="single"/>
          <w:lang w:eastAsia="en-US"/>
        </w:rPr>
        <w:t>Atrinktų nepageidaujamų reakcijų apibūdinimas</w:t>
      </w:r>
    </w:p>
    <w:p w14:paraId="600CC2A9" w14:textId="77777777" w:rsidR="003B31DC" w:rsidRDefault="003B31DC">
      <w:pPr>
        <w:widowControl w:val="0"/>
        <w:tabs>
          <w:tab w:val="left" w:pos="567"/>
        </w:tabs>
        <w:jc w:val="both"/>
        <w:rPr>
          <w:bCs/>
          <w:i/>
          <w:iCs/>
          <w:sz w:val="22"/>
          <w:szCs w:val="22"/>
          <w:lang w:eastAsia="en-US"/>
        </w:rPr>
      </w:pPr>
    </w:p>
    <w:p w14:paraId="6494A7FB" w14:textId="77777777" w:rsidR="003B31DC" w:rsidRDefault="00913CBE">
      <w:pPr>
        <w:widowControl w:val="0"/>
        <w:tabs>
          <w:tab w:val="left" w:pos="567"/>
        </w:tabs>
        <w:jc w:val="both"/>
        <w:rPr>
          <w:bCs/>
          <w:i/>
          <w:iCs/>
          <w:sz w:val="22"/>
          <w:szCs w:val="22"/>
          <w:u w:val="single"/>
          <w:lang w:eastAsia="en-US"/>
        </w:rPr>
      </w:pPr>
      <w:r>
        <w:rPr>
          <w:bCs/>
          <w:i/>
          <w:iCs/>
          <w:sz w:val="22"/>
          <w:szCs w:val="22"/>
          <w:u w:val="single"/>
          <w:lang w:eastAsia="en-US"/>
        </w:rPr>
        <w:t>Hipoglikemija</w:t>
      </w:r>
    </w:p>
    <w:p w14:paraId="35FD392D" w14:textId="17496D92" w:rsidR="003B31DC" w:rsidRDefault="00EF0EE8">
      <w:pPr>
        <w:widowControl w:val="0"/>
        <w:tabs>
          <w:tab w:val="left" w:pos="567"/>
        </w:tabs>
        <w:jc w:val="both"/>
        <w:rPr>
          <w:bCs/>
          <w:sz w:val="22"/>
          <w:szCs w:val="22"/>
          <w:lang w:eastAsia="en-US"/>
        </w:rPr>
      </w:pPr>
      <w:r w:rsidRPr="00EF0EE8">
        <w:rPr>
          <w:b/>
          <w:bCs/>
        </w:rPr>
        <w:t xml:space="preserve"> </w:t>
      </w:r>
      <w:r w:rsidRPr="00FA2F7A">
        <w:rPr>
          <w:sz w:val="22"/>
          <w:szCs w:val="22"/>
        </w:rPr>
        <w:t xml:space="preserve">Hipoglikemijos dažnis atitinkamuose tyrimuose priklausė nuo foninio gydymo ir buvo panašus vartojant </w:t>
      </w:r>
      <w:proofErr w:type="spellStart"/>
      <w:r w:rsidRPr="00FA2F7A">
        <w:rPr>
          <w:sz w:val="22"/>
          <w:szCs w:val="22"/>
        </w:rPr>
        <w:t>empaglifloziną</w:t>
      </w:r>
      <w:proofErr w:type="spellEnd"/>
      <w:r w:rsidRPr="00FA2F7A">
        <w:rPr>
          <w:sz w:val="22"/>
          <w:szCs w:val="22"/>
        </w:rPr>
        <w:t xml:space="preserve"> arba placebo kaip papildomą gydymą prie </w:t>
      </w:r>
      <w:proofErr w:type="spellStart"/>
      <w:r w:rsidRPr="00FA2F7A">
        <w:rPr>
          <w:sz w:val="22"/>
          <w:szCs w:val="22"/>
        </w:rPr>
        <w:t>metformino</w:t>
      </w:r>
      <w:proofErr w:type="spellEnd"/>
      <w:r w:rsidRPr="00FA2F7A">
        <w:rPr>
          <w:sz w:val="22"/>
          <w:szCs w:val="22"/>
        </w:rPr>
        <w:t xml:space="preserve">, papildomą gydymą prie </w:t>
      </w:r>
      <w:proofErr w:type="spellStart"/>
      <w:r w:rsidRPr="00FA2F7A">
        <w:rPr>
          <w:sz w:val="22"/>
          <w:szCs w:val="22"/>
        </w:rPr>
        <w:t>linagliptino</w:t>
      </w:r>
      <w:proofErr w:type="spellEnd"/>
      <w:r w:rsidRPr="00FA2F7A">
        <w:rPr>
          <w:sz w:val="22"/>
          <w:szCs w:val="22"/>
        </w:rPr>
        <w:t xml:space="preserve"> ir </w:t>
      </w:r>
      <w:proofErr w:type="spellStart"/>
      <w:r w:rsidRPr="00FA2F7A">
        <w:rPr>
          <w:sz w:val="22"/>
          <w:szCs w:val="22"/>
        </w:rPr>
        <w:t>metformino</w:t>
      </w:r>
      <w:proofErr w:type="spellEnd"/>
      <w:r w:rsidRPr="00FA2F7A">
        <w:rPr>
          <w:sz w:val="22"/>
          <w:szCs w:val="22"/>
        </w:rPr>
        <w:t xml:space="preserve">, taip pat vartojant </w:t>
      </w:r>
      <w:proofErr w:type="spellStart"/>
      <w:r w:rsidRPr="00FA2F7A">
        <w:rPr>
          <w:sz w:val="22"/>
          <w:szCs w:val="22"/>
        </w:rPr>
        <w:t>empagliflozino</w:t>
      </w:r>
      <w:proofErr w:type="spellEnd"/>
      <w:r w:rsidRPr="00FA2F7A">
        <w:rPr>
          <w:sz w:val="22"/>
          <w:szCs w:val="22"/>
        </w:rPr>
        <w:t xml:space="preserve"> ir </w:t>
      </w:r>
      <w:proofErr w:type="spellStart"/>
      <w:r w:rsidRPr="00FA2F7A">
        <w:rPr>
          <w:sz w:val="22"/>
          <w:szCs w:val="22"/>
        </w:rPr>
        <w:t>metformino</w:t>
      </w:r>
      <w:proofErr w:type="spellEnd"/>
      <w:r w:rsidRPr="00FA2F7A">
        <w:rPr>
          <w:sz w:val="22"/>
          <w:szCs w:val="22"/>
        </w:rPr>
        <w:t xml:space="preserve"> derinį anksčiau vaistų nevartojusiems pacientams (lyginant su gydymu atskirais </w:t>
      </w:r>
      <w:proofErr w:type="spellStart"/>
      <w:r w:rsidRPr="00FA2F7A">
        <w:rPr>
          <w:sz w:val="22"/>
          <w:szCs w:val="22"/>
        </w:rPr>
        <w:t>empagliflozino</w:t>
      </w:r>
      <w:proofErr w:type="spellEnd"/>
      <w:r w:rsidRPr="00FA2F7A">
        <w:rPr>
          <w:sz w:val="22"/>
          <w:szCs w:val="22"/>
        </w:rPr>
        <w:t xml:space="preserve"> ir </w:t>
      </w:r>
      <w:proofErr w:type="spellStart"/>
      <w:r w:rsidRPr="00FA2F7A">
        <w:rPr>
          <w:sz w:val="22"/>
          <w:szCs w:val="22"/>
        </w:rPr>
        <w:t>metformino</w:t>
      </w:r>
      <w:proofErr w:type="spellEnd"/>
      <w:r w:rsidRPr="00FA2F7A">
        <w:rPr>
          <w:sz w:val="22"/>
          <w:szCs w:val="22"/>
        </w:rPr>
        <w:t xml:space="preserve"> komponentais) bei taikant papildomą gydymą prie standartinės priežiūros terapijos</w:t>
      </w:r>
      <w:r w:rsidR="00913CBE" w:rsidRPr="00EF0EE8">
        <w:rPr>
          <w:sz w:val="22"/>
          <w:szCs w:val="22"/>
          <w:lang w:eastAsia="en-US"/>
        </w:rPr>
        <w:t>.</w:t>
      </w:r>
      <w:r w:rsidR="00913CBE">
        <w:rPr>
          <w:bCs/>
          <w:sz w:val="22"/>
          <w:szCs w:val="22"/>
          <w:lang w:eastAsia="en-US"/>
        </w:rPr>
        <w:t xml:space="preserve"> Pastebėtas dažnio padidėjimas, vartojant </w:t>
      </w:r>
      <w:proofErr w:type="spellStart"/>
      <w:r w:rsidR="00913CBE">
        <w:rPr>
          <w:bCs/>
          <w:sz w:val="22"/>
          <w:szCs w:val="22"/>
          <w:lang w:eastAsia="en-US"/>
        </w:rPr>
        <w:t>empaglifloziną</w:t>
      </w:r>
      <w:proofErr w:type="spellEnd"/>
      <w:r w:rsidR="00913CBE">
        <w:rPr>
          <w:bCs/>
          <w:sz w:val="22"/>
          <w:szCs w:val="22"/>
          <w:lang w:eastAsia="en-US"/>
        </w:rPr>
        <w:t xml:space="preserve">, </w:t>
      </w:r>
      <w:r w:rsidR="004E3FE0">
        <w:rPr>
          <w:bCs/>
          <w:sz w:val="22"/>
          <w:szCs w:val="22"/>
          <w:lang w:eastAsia="en-US"/>
        </w:rPr>
        <w:t xml:space="preserve">kai buvo skiriamas papildomai </w:t>
      </w:r>
      <w:r w:rsidR="00913CBE">
        <w:rPr>
          <w:bCs/>
          <w:sz w:val="22"/>
          <w:szCs w:val="22"/>
          <w:lang w:eastAsia="en-US"/>
        </w:rPr>
        <w:t xml:space="preserve">prie </w:t>
      </w:r>
      <w:proofErr w:type="spellStart"/>
      <w:r w:rsidR="00913CBE">
        <w:rPr>
          <w:bCs/>
          <w:sz w:val="22"/>
          <w:szCs w:val="22"/>
          <w:lang w:eastAsia="en-US"/>
        </w:rPr>
        <w:t>metformino</w:t>
      </w:r>
      <w:proofErr w:type="spellEnd"/>
      <w:r w:rsidR="00913CBE">
        <w:rPr>
          <w:bCs/>
          <w:sz w:val="22"/>
          <w:szCs w:val="22"/>
          <w:lang w:eastAsia="en-US"/>
        </w:rPr>
        <w:t xml:space="preserve"> ir </w:t>
      </w:r>
      <w:proofErr w:type="spellStart"/>
      <w:r w:rsidR="00913CBE">
        <w:rPr>
          <w:bCs/>
          <w:sz w:val="22"/>
          <w:szCs w:val="22"/>
          <w:lang w:eastAsia="en-US"/>
        </w:rPr>
        <w:t>sulfonilkarbamido</w:t>
      </w:r>
      <w:proofErr w:type="spellEnd"/>
      <w:r w:rsidR="00913CBE">
        <w:rPr>
          <w:bCs/>
          <w:sz w:val="22"/>
          <w:szCs w:val="22"/>
          <w:lang w:eastAsia="en-US"/>
        </w:rPr>
        <w:t xml:space="preserve"> darinio (10 mg </w:t>
      </w:r>
      <w:proofErr w:type="spellStart"/>
      <w:r w:rsidR="00913CBE">
        <w:rPr>
          <w:bCs/>
          <w:sz w:val="22"/>
          <w:szCs w:val="22"/>
          <w:lang w:eastAsia="en-US"/>
        </w:rPr>
        <w:t>empagliflozino</w:t>
      </w:r>
      <w:proofErr w:type="spellEnd"/>
      <w:r w:rsidR="00913CBE">
        <w:rPr>
          <w:bCs/>
          <w:sz w:val="22"/>
          <w:szCs w:val="22"/>
          <w:lang w:eastAsia="en-US"/>
        </w:rPr>
        <w:t xml:space="preserve">: 16,1 %, 25 mg </w:t>
      </w:r>
      <w:proofErr w:type="spellStart"/>
      <w:r w:rsidR="00913CBE">
        <w:rPr>
          <w:bCs/>
          <w:sz w:val="22"/>
          <w:szCs w:val="22"/>
          <w:lang w:eastAsia="en-US"/>
        </w:rPr>
        <w:t>empagliflozino</w:t>
      </w:r>
      <w:proofErr w:type="spellEnd"/>
      <w:r w:rsidR="00913CBE">
        <w:rPr>
          <w:bCs/>
          <w:sz w:val="22"/>
          <w:szCs w:val="22"/>
          <w:lang w:eastAsia="en-US"/>
        </w:rPr>
        <w:t xml:space="preserve">: 11,5 %, placebas: 8,4 %), arba </w:t>
      </w:r>
      <w:r w:rsidR="00504E28">
        <w:rPr>
          <w:bCs/>
          <w:sz w:val="22"/>
          <w:szCs w:val="22"/>
          <w:lang w:eastAsia="en-US"/>
        </w:rPr>
        <w:t xml:space="preserve">papildomai </w:t>
      </w:r>
      <w:r w:rsidR="00913CBE">
        <w:rPr>
          <w:bCs/>
          <w:sz w:val="22"/>
          <w:szCs w:val="22"/>
          <w:lang w:eastAsia="en-US"/>
        </w:rPr>
        <w:t xml:space="preserve">prie </w:t>
      </w:r>
      <w:proofErr w:type="spellStart"/>
      <w:r w:rsidR="00913CBE">
        <w:rPr>
          <w:bCs/>
          <w:sz w:val="22"/>
          <w:szCs w:val="22"/>
          <w:lang w:eastAsia="en-US"/>
        </w:rPr>
        <w:t>metformino</w:t>
      </w:r>
      <w:proofErr w:type="spellEnd"/>
      <w:r w:rsidR="00913CBE">
        <w:rPr>
          <w:bCs/>
          <w:sz w:val="22"/>
          <w:szCs w:val="22"/>
          <w:lang w:eastAsia="en-US"/>
        </w:rPr>
        <w:t xml:space="preserve"> ir insulino (10 mg </w:t>
      </w:r>
      <w:proofErr w:type="spellStart"/>
      <w:r w:rsidR="00913CBE">
        <w:rPr>
          <w:bCs/>
          <w:sz w:val="22"/>
          <w:szCs w:val="22"/>
          <w:lang w:eastAsia="en-US"/>
        </w:rPr>
        <w:t>empagliflozino</w:t>
      </w:r>
      <w:proofErr w:type="spellEnd"/>
      <w:r w:rsidR="00913CBE">
        <w:rPr>
          <w:bCs/>
          <w:sz w:val="22"/>
          <w:szCs w:val="22"/>
          <w:lang w:eastAsia="en-US"/>
        </w:rPr>
        <w:t xml:space="preserve">: 31,3 %, 25 mg </w:t>
      </w:r>
      <w:proofErr w:type="spellStart"/>
      <w:r w:rsidR="00913CBE">
        <w:rPr>
          <w:bCs/>
          <w:sz w:val="22"/>
          <w:szCs w:val="22"/>
          <w:lang w:eastAsia="en-US"/>
        </w:rPr>
        <w:t>empagliflozino</w:t>
      </w:r>
      <w:proofErr w:type="spellEnd"/>
      <w:r w:rsidR="00913CBE">
        <w:rPr>
          <w:bCs/>
          <w:sz w:val="22"/>
          <w:szCs w:val="22"/>
          <w:lang w:eastAsia="en-US"/>
        </w:rPr>
        <w:t>: 36,2 %, placebas: 34,7 %).</w:t>
      </w:r>
    </w:p>
    <w:p w14:paraId="4E8749E4" w14:textId="77777777" w:rsidR="003B31DC" w:rsidRDefault="003B31DC">
      <w:pPr>
        <w:widowControl w:val="0"/>
        <w:tabs>
          <w:tab w:val="left" w:pos="567"/>
        </w:tabs>
        <w:jc w:val="both"/>
        <w:rPr>
          <w:bCs/>
          <w:sz w:val="22"/>
          <w:szCs w:val="22"/>
          <w:lang w:eastAsia="en-US"/>
        </w:rPr>
      </w:pPr>
    </w:p>
    <w:p w14:paraId="372A81CD" w14:textId="76FD3F7F" w:rsidR="003B31DC" w:rsidRDefault="00BF6F8A">
      <w:pPr>
        <w:widowControl w:val="0"/>
        <w:tabs>
          <w:tab w:val="left" w:pos="567"/>
        </w:tabs>
        <w:jc w:val="both"/>
        <w:rPr>
          <w:bCs/>
          <w:i/>
          <w:iCs/>
          <w:sz w:val="22"/>
          <w:szCs w:val="22"/>
          <w:lang w:eastAsia="en-US"/>
        </w:rPr>
      </w:pPr>
      <w:r>
        <w:rPr>
          <w:bCs/>
          <w:i/>
          <w:iCs/>
          <w:sz w:val="22"/>
          <w:szCs w:val="22"/>
          <w:lang w:eastAsia="en-US"/>
        </w:rPr>
        <w:t xml:space="preserve">Sunki </w:t>
      </w:r>
      <w:r w:rsidR="00913CBE">
        <w:rPr>
          <w:bCs/>
          <w:i/>
          <w:iCs/>
          <w:sz w:val="22"/>
          <w:szCs w:val="22"/>
          <w:lang w:eastAsia="en-US"/>
        </w:rPr>
        <w:t xml:space="preserve">hipoglikemija (atvejai, reikalaujantys </w:t>
      </w:r>
      <w:r w:rsidR="00720460">
        <w:rPr>
          <w:bCs/>
          <w:i/>
          <w:iCs/>
          <w:sz w:val="22"/>
          <w:szCs w:val="22"/>
          <w:lang w:eastAsia="en-US"/>
        </w:rPr>
        <w:t xml:space="preserve">medicininės </w:t>
      </w:r>
      <w:r w:rsidR="00913CBE">
        <w:rPr>
          <w:bCs/>
          <w:i/>
          <w:iCs/>
          <w:sz w:val="22"/>
          <w:szCs w:val="22"/>
          <w:lang w:eastAsia="en-US"/>
        </w:rPr>
        <w:t>pagalbos)</w:t>
      </w:r>
    </w:p>
    <w:p w14:paraId="74C2645F" w14:textId="08302FAE" w:rsidR="003B31DC" w:rsidRDefault="00913CBE">
      <w:pPr>
        <w:widowControl w:val="0"/>
        <w:tabs>
          <w:tab w:val="left" w:pos="567"/>
        </w:tabs>
        <w:jc w:val="both"/>
        <w:rPr>
          <w:bCs/>
          <w:sz w:val="22"/>
          <w:szCs w:val="22"/>
          <w:lang w:eastAsia="en-US"/>
        </w:rPr>
      </w:pPr>
      <w:r>
        <w:rPr>
          <w:bCs/>
          <w:sz w:val="22"/>
          <w:szCs w:val="22"/>
          <w:lang w:eastAsia="en-US"/>
        </w:rPr>
        <w:t xml:space="preserve">Bendras sunkios hipoglikemijos dažnis buvo nedidelis (&lt; 1 % pacientų) ir panašus vartojusiems </w:t>
      </w:r>
      <w:proofErr w:type="spellStart"/>
      <w:r>
        <w:rPr>
          <w:bCs/>
          <w:sz w:val="22"/>
          <w:szCs w:val="22"/>
          <w:lang w:eastAsia="en-US"/>
        </w:rPr>
        <w:t>empaglifloziną</w:t>
      </w:r>
      <w:proofErr w:type="spellEnd"/>
      <w:r>
        <w:rPr>
          <w:bCs/>
          <w:sz w:val="22"/>
          <w:szCs w:val="22"/>
          <w:lang w:eastAsia="en-US"/>
        </w:rPr>
        <w:t xml:space="preserve"> ar placebą </w:t>
      </w:r>
      <w:r w:rsidR="003A2B68">
        <w:rPr>
          <w:bCs/>
          <w:sz w:val="22"/>
          <w:szCs w:val="22"/>
          <w:lang w:eastAsia="en-US"/>
        </w:rPr>
        <w:t xml:space="preserve">kaip papildomą gydymą prie </w:t>
      </w:r>
      <w:proofErr w:type="spellStart"/>
      <w:r w:rsidR="003A2B68">
        <w:rPr>
          <w:bCs/>
          <w:sz w:val="22"/>
          <w:szCs w:val="22"/>
          <w:lang w:eastAsia="en-US"/>
        </w:rPr>
        <w:t>metformino</w:t>
      </w:r>
      <w:proofErr w:type="spellEnd"/>
      <w:r w:rsidR="00D20061">
        <w:rPr>
          <w:bCs/>
          <w:sz w:val="22"/>
          <w:szCs w:val="22"/>
          <w:lang w:eastAsia="en-US"/>
        </w:rPr>
        <w:t>,</w:t>
      </w:r>
      <w:r w:rsidR="000D1DF3" w:rsidRPr="000D1DF3">
        <w:t xml:space="preserve"> </w:t>
      </w:r>
      <w:r w:rsidR="000D1DF3" w:rsidRPr="00FA2F7A">
        <w:rPr>
          <w:sz w:val="22"/>
          <w:szCs w:val="22"/>
        </w:rPr>
        <w:t xml:space="preserve">taip pat vartojant </w:t>
      </w:r>
      <w:proofErr w:type="spellStart"/>
      <w:r w:rsidR="000D1DF3" w:rsidRPr="00FA2F7A">
        <w:rPr>
          <w:sz w:val="22"/>
          <w:szCs w:val="22"/>
        </w:rPr>
        <w:t>empagliflozino</w:t>
      </w:r>
      <w:proofErr w:type="spellEnd"/>
      <w:r w:rsidR="000D1DF3" w:rsidRPr="00FA2F7A">
        <w:rPr>
          <w:sz w:val="22"/>
          <w:szCs w:val="22"/>
        </w:rPr>
        <w:t xml:space="preserve"> ir </w:t>
      </w:r>
      <w:proofErr w:type="spellStart"/>
      <w:r w:rsidR="000D1DF3" w:rsidRPr="00FA2F7A">
        <w:rPr>
          <w:sz w:val="22"/>
          <w:szCs w:val="22"/>
        </w:rPr>
        <w:t>metformino</w:t>
      </w:r>
      <w:proofErr w:type="spellEnd"/>
      <w:r w:rsidR="000D1DF3" w:rsidRPr="00FA2F7A">
        <w:rPr>
          <w:sz w:val="22"/>
          <w:szCs w:val="22"/>
        </w:rPr>
        <w:t xml:space="preserve"> derinį anksčiau vaistų nevartojusiems pacientams (lyginant su gydymu atskirais komponentais) bei taikant papildomą gydymą prie standartinės priežiūros terapijos</w:t>
      </w:r>
      <w:r>
        <w:rPr>
          <w:bCs/>
          <w:sz w:val="22"/>
          <w:szCs w:val="22"/>
          <w:lang w:eastAsia="en-US"/>
        </w:rPr>
        <w:t>. Sunkūs hipoglikemijos reiškiniai pasireiškė 0,5 %, 0 % ir 0,5 % pacientų, vartojusiems</w:t>
      </w:r>
      <w:r w:rsidR="00937EBA" w:rsidRPr="00937EBA">
        <w:t xml:space="preserve"> </w:t>
      </w:r>
      <w:r w:rsidR="00937EBA" w:rsidRPr="00FA2F7A">
        <w:rPr>
          <w:sz w:val="22"/>
          <w:szCs w:val="22"/>
        </w:rPr>
        <w:t xml:space="preserve">10 mg </w:t>
      </w:r>
      <w:proofErr w:type="spellStart"/>
      <w:r w:rsidR="00937EBA" w:rsidRPr="00FA2F7A">
        <w:rPr>
          <w:sz w:val="22"/>
          <w:szCs w:val="22"/>
        </w:rPr>
        <w:t>empagliflozino</w:t>
      </w:r>
      <w:proofErr w:type="spellEnd"/>
      <w:r w:rsidR="00937EBA" w:rsidRPr="00FA2F7A">
        <w:rPr>
          <w:sz w:val="22"/>
          <w:szCs w:val="22"/>
        </w:rPr>
        <w:t xml:space="preserve">, 25 mg </w:t>
      </w:r>
      <w:proofErr w:type="spellStart"/>
      <w:r w:rsidR="00937EBA" w:rsidRPr="00FA2F7A">
        <w:rPr>
          <w:sz w:val="22"/>
          <w:szCs w:val="22"/>
        </w:rPr>
        <w:t>empagliflozino</w:t>
      </w:r>
      <w:proofErr w:type="spellEnd"/>
      <w:r w:rsidR="00937EBA" w:rsidRPr="00FA2F7A">
        <w:rPr>
          <w:sz w:val="22"/>
          <w:szCs w:val="22"/>
        </w:rPr>
        <w:t xml:space="preserve"> ir placebo, kai vaistas buvo skiriamas papildomai prie </w:t>
      </w:r>
      <w:proofErr w:type="spellStart"/>
      <w:r w:rsidR="00937EBA" w:rsidRPr="00FA2F7A">
        <w:rPr>
          <w:sz w:val="22"/>
          <w:szCs w:val="22"/>
        </w:rPr>
        <w:t>metformino</w:t>
      </w:r>
      <w:proofErr w:type="spellEnd"/>
      <w:r w:rsidR="00937EBA" w:rsidRPr="00FA2F7A">
        <w:rPr>
          <w:sz w:val="22"/>
          <w:szCs w:val="22"/>
        </w:rPr>
        <w:t xml:space="preserve"> ir insulino</w:t>
      </w:r>
      <w:r w:rsidRPr="00937EBA">
        <w:rPr>
          <w:bCs/>
          <w:sz w:val="22"/>
          <w:szCs w:val="22"/>
          <w:lang w:eastAsia="en-US"/>
        </w:rPr>
        <w:t>.</w:t>
      </w:r>
      <w:r>
        <w:rPr>
          <w:bCs/>
          <w:sz w:val="22"/>
          <w:szCs w:val="22"/>
          <w:lang w:eastAsia="en-US"/>
        </w:rPr>
        <w:t xml:space="preserve"> Sunki hipoglikemija nepasireiškė nė vienam pacientui, vartojusiam derinį su </w:t>
      </w:r>
      <w:proofErr w:type="spellStart"/>
      <w:r>
        <w:rPr>
          <w:bCs/>
          <w:sz w:val="22"/>
          <w:szCs w:val="22"/>
          <w:lang w:eastAsia="en-US"/>
        </w:rPr>
        <w:t>metforminu</w:t>
      </w:r>
      <w:proofErr w:type="spellEnd"/>
      <w:r>
        <w:rPr>
          <w:bCs/>
          <w:sz w:val="22"/>
          <w:szCs w:val="22"/>
          <w:lang w:eastAsia="en-US"/>
        </w:rPr>
        <w:t xml:space="preserve"> ir </w:t>
      </w:r>
      <w:proofErr w:type="spellStart"/>
      <w:r>
        <w:rPr>
          <w:bCs/>
          <w:sz w:val="22"/>
          <w:szCs w:val="22"/>
          <w:lang w:eastAsia="en-US"/>
        </w:rPr>
        <w:t>sulfonilkarbamido</w:t>
      </w:r>
      <w:proofErr w:type="spellEnd"/>
      <w:r>
        <w:rPr>
          <w:bCs/>
          <w:sz w:val="22"/>
          <w:szCs w:val="22"/>
          <w:lang w:eastAsia="en-US"/>
        </w:rPr>
        <w:t xml:space="preserve"> dariniu ir </w:t>
      </w:r>
      <w:r w:rsidR="008255C2">
        <w:rPr>
          <w:bCs/>
          <w:sz w:val="22"/>
          <w:szCs w:val="22"/>
          <w:lang w:eastAsia="en-US"/>
        </w:rPr>
        <w:t xml:space="preserve">papildomai </w:t>
      </w:r>
      <w:r>
        <w:rPr>
          <w:bCs/>
          <w:sz w:val="22"/>
          <w:szCs w:val="22"/>
          <w:lang w:eastAsia="en-US"/>
        </w:rPr>
        <w:t xml:space="preserve">prie </w:t>
      </w:r>
      <w:proofErr w:type="spellStart"/>
      <w:r>
        <w:rPr>
          <w:bCs/>
          <w:sz w:val="22"/>
          <w:szCs w:val="22"/>
          <w:lang w:eastAsia="en-US"/>
        </w:rPr>
        <w:t>linagliptino</w:t>
      </w:r>
      <w:proofErr w:type="spellEnd"/>
      <w:r>
        <w:rPr>
          <w:bCs/>
          <w:sz w:val="22"/>
          <w:szCs w:val="22"/>
          <w:lang w:eastAsia="en-US"/>
        </w:rPr>
        <w:t xml:space="preserve"> ir </w:t>
      </w:r>
      <w:proofErr w:type="spellStart"/>
      <w:r>
        <w:rPr>
          <w:bCs/>
          <w:sz w:val="22"/>
          <w:szCs w:val="22"/>
          <w:lang w:eastAsia="en-US"/>
        </w:rPr>
        <w:t>metformino</w:t>
      </w:r>
      <w:proofErr w:type="spellEnd"/>
      <w:r>
        <w:rPr>
          <w:bCs/>
          <w:sz w:val="22"/>
          <w:szCs w:val="22"/>
          <w:lang w:eastAsia="en-US"/>
        </w:rPr>
        <w:t>.</w:t>
      </w:r>
    </w:p>
    <w:p w14:paraId="6091749D" w14:textId="77777777" w:rsidR="003B31DC" w:rsidRDefault="003B31DC">
      <w:pPr>
        <w:widowControl w:val="0"/>
        <w:tabs>
          <w:tab w:val="left" w:pos="567"/>
        </w:tabs>
        <w:jc w:val="both"/>
        <w:rPr>
          <w:bCs/>
          <w:i/>
          <w:iCs/>
          <w:sz w:val="22"/>
          <w:szCs w:val="22"/>
          <w:lang w:eastAsia="en-US"/>
        </w:rPr>
      </w:pPr>
    </w:p>
    <w:p w14:paraId="47339EA6" w14:textId="77777777" w:rsidR="003B31DC" w:rsidRDefault="00913CBE">
      <w:pPr>
        <w:widowControl w:val="0"/>
        <w:tabs>
          <w:tab w:val="left" w:pos="567"/>
        </w:tabs>
        <w:jc w:val="both"/>
        <w:rPr>
          <w:bCs/>
          <w:i/>
          <w:iCs/>
          <w:sz w:val="22"/>
          <w:szCs w:val="22"/>
          <w:u w:val="single"/>
          <w:lang w:eastAsia="en-US"/>
        </w:rPr>
      </w:pPr>
      <w:r>
        <w:rPr>
          <w:bCs/>
          <w:i/>
          <w:iCs/>
          <w:sz w:val="22"/>
          <w:szCs w:val="22"/>
          <w:u w:val="single"/>
          <w:lang w:eastAsia="en-US"/>
        </w:rPr>
        <w:t>Šlapimo takų infekcinės ligos</w:t>
      </w:r>
    </w:p>
    <w:p w14:paraId="225A2A90" w14:textId="491DDE25" w:rsidR="003B31DC" w:rsidRDefault="00913CBE">
      <w:pPr>
        <w:widowControl w:val="0"/>
        <w:tabs>
          <w:tab w:val="left" w:pos="567"/>
        </w:tabs>
        <w:jc w:val="both"/>
        <w:rPr>
          <w:bCs/>
          <w:sz w:val="22"/>
          <w:szCs w:val="22"/>
          <w:lang w:eastAsia="en-US"/>
        </w:rPr>
      </w:pPr>
      <w:r>
        <w:rPr>
          <w:bCs/>
          <w:sz w:val="22"/>
          <w:szCs w:val="22"/>
          <w:lang w:eastAsia="en-US"/>
        </w:rPr>
        <w:t xml:space="preserve">Bendras šlapimo takų infekcinių ligų, kaip nepageidaujamų reiškinių, dažnis pacientams, vartojusiems 10 mg </w:t>
      </w:r>
      <w:proofErr w:type="spellStart"/>
      <w:r>
        <w:rPr>
          <w:bCs/>
          <w:sz w:val="22"/>
          <w:szCs w:val="22"/>
          <w:lang w:eastAsia="en-US"/>
        </w:rPr>
        <w:t>empagliflozino</w:t>
      </w:r>
      <w:proofErr w:type="spellEnd"/>
      <w:r>
        <w:rPr>
          <w:bCs/>
          <w:sz w:val="22"/>
          <w:szCs w:val="22"/>
          <w:lang w:eastAsia="en-US"/>
        </w:rPr>
        <w:t xml:space="preserve"> dozę, buvo didesnis (8,8 %), negu vartojusiems 25 mg </w:t>
      </w:r>
      <w:proofErr w:type="spellStart"/>
      <w:r>
        <w:rPr>
          <w:bCs/>
          <w:sz w:val="22"/>
          <w:szCs w:val="22"/>
          <w:lang w:eastAsia="en-US"/>
        </w:rPr>
        <w:t>empagliflozino</w:t>
      </w:r>
      <w:proofErr w:type="spellEnd"/>
      <w:r>
        <w:rPr>
          <w:bCs/>
          <w:sz w:val="22"/>
          <w:szCs w:val="22"/>
          <w:lang w:eastAsia="en-US"/>
        </w:rPr>
        <w:t xml:space="preserve"> dozę (6,6 %) ar placebą (7,8 %). Kaip ir placebo atveju, šlapimo takų infekcinė liga dažniau pasireiškė tiems </w:t>
      </w:r>
      <w:proofErr w:type="spellStart"/>
      <w:r>
        <w:rPr>
          <w:bCs/>
          <w:sz w:val="22"/>
          <w:szCs w:val="22"/>
          <w:lang w:eastAsia="en-US"/>
        </w:rPr>
        <w:t>empaglifloziną</w:t>
      </w:r>
      <w:proofErr w:type="spellEnd"/>
      <w:r>
        <w:rPr>
          <w:bCs/>
          <w:sz w:val="22"/>
          <w:szCs w:val="22"/>
          <w:lang w:eastAsia="en-US"/>
        </w:rPr>
        <w:t xml:space="preserve"> vartojantiems pacientams, kurie anksčiau sirgo lėtinėmis ar </w:t>
      </w:r>
      <w:proofErr w:type="spellStart"/>
      <w:r>
        <w:rPr>
          <w:bCs/>
          <w:sz w:val="22"/>
          <w:szCs w:val="22"/>
          <w:lang w:eastAsia="en-US"/>
        </w:rPr>
        <w:t>recidyvuojančiomis</w:t>
      </w:r>
      <w:proofErr w:type="spellEnd"/>
      <w:r>
        <w:rPr>
          <w:bCs/>
          <w:sz w:val="22"/>
          <w:szCs w:val="22"/>
          <w:lang w:eastAsia="en-US"/>
        </w:rPr>
        <w:t xml:space="preserve"> šlapimo takų infekcinėmis ligomis. </w:t>
      </w:r>
      <w:proofErr w:type="spellStart"/>
      <w:r>
        <w:rPr>
          <w:bCs/>
          <w:sz w:val="22"/>
          <w:szCs w:val="22"/>
          <w:lang w:eastAsia="en-US"/>
        </w:rPr>
        <w:t>Empaglifloziną</w:t>
      </w:r>
      <w:proofErr w:type="spellEnd"/>
      <w:r>
        <w:rPr>
          <w:bCs/>
          <w:sz w:val="22"/>
          <w:szCs w:val="22"/>
          <w:lang w:eastAsia="en-US"/>
        </w:rPr>
        <w:t xml:space="preserve"> ar placebą vartojusių pacientų šlapimo takų infekcinių ligų sunkumas (</w:t>
      </w:r>
      <w:proofErr w:type="spellStart"/>
      <w:r>
        <w:rPr>
          <w:bCs/>
          <w:sz w:val="22"/>
          <w:szCs w:val="22"/>
          <w:lang w:eastAsia="en-US"/>
        </w:rPr>
        <w:t>t.y</w:t>
      </w:r>
      <w:proofErr w:type="spellEnd"/>
      <w:r>
        <w:rPr>
          <w:bCs/>
          <w:sz w:val="22"/>
          <w:szCs w:val="22"/>
          <w:lang w:eastAsia="en-US"/>
        </w:rPr>
        <w:t xml:space="preserve">. lengvos, vidutinio sunkumo, sunkios) buvo panašus. Moterims vartojusioms 10 mg, bet ne 25 mg </w:t>
      </w:r>
      <w:proofErr w:type="spellStart"/>
      <w:r>
        <w:rPr>
          <w:bCs/>
          <w:sz w:val="22"/>
          <w:szCs w:val="22"/>
          <w:lang w:eastAsia="en-US"/>
        </w:rPr>
        <w:t>empagliflozino</w:t>
      </w:r>
      <w:proofErr w:type="spellEnd"/>
      <w:r>
        <w:rPr>
          <w:bCs/>
          <w:sz w:val="22"/>
          <w:szCs w:val="22"/>
          <w:lang w:eastAsia="en-US"/>
        </w:rPr>
        <w:t xml:space="preserve"> dozę, palyginti su vartojusiomis placebą, šlapimo takų infekcinių ligų dažnis buvo didesnis. Šlapimo takų infekcinių ligų dažnis pacient</w:t>
      </w:r>
      <w:r w:rsidR="00D77E94">
        <w:rPr>
          <w:bCs/>
          <w:sz w:val="22"/>
          <w:szCs w:val="22"/>
          <w:lang w:eastAsia="en-US"/>
        </w:rPr>
        <w:t>ų</w:t>
      </w:r>
      <w:r>
        <w:rPr>
          <w:bCs/>
          <w:sz w:val="22"/>
          <w:szCs w:val="22"/>
          <w:lang w:eastAsia="en-US"/>
        </w:rPr>
        <w:t xml:space="preserve"> vyr</w:t>
      </w:r>
      <w:r w:rsidR="00C61EA6">
        <w:rPr>
          <w:bCs/>
          <w:sz w:val="22"/>
          <w:szCs w:val="22"/>
          <w:lang w:eastAsia="en-US"/>
        </w:rPr>
        <w:t>ų grupėje</w:t>
      </w:r>
      <w:r>
        <w:rPr>
          <w:bCs/>
          <w:sz w:val="22"/>
          <w:szCs w:val="22"/>
          <w:lang w:eastAsia="en-US"/>
        </w:rPr>
        <w:t xml:space="preserve"> buvo mažas ir proporcingas visose gydomose grupėse.</w:t>
      </w:r>
    </w:p>
    <w:p w14:paraId="781F8B22" w14:textId="77777777" w:rsidR="003B31DC" w:rsidRDefault="003B31DC">
      <w:pPr>
        <w:widowControl w:val="0"/>
        <w:tabs>
          <w:tab w:val="left" w:pos="567"/>
        </w:tabs>
        <w:jc w:val="both"/>
        <w:rPr>
          <w:bCs/>
          <w:sz w:val="22"/>
          <w:szCs w:val="22"/>
          <w:lang w:eastAsia="en-US"/>
        </w:rPr>
      </w:pPr>
    </w:p>
    <w:p w14:paraId="6D2999B9" w14:textId="77777777" w:rsidR="003B31DC" w:rsidRDefault="00913CBE">
      <w:pPr>
        <w:widowControl w:val="0"/>
        <w:tabs>
          <w:tab w:val="left" w:pos="567"/>
        </w:tabs>
        <w:jc w:val="both"/>
        <w:rPr>
          <w:bCs/>
          <w:i/>
          <w:iCs/>
          <w:sz w:val="22"/>
          <w:szCs w:val="22"/>
          <w:u w:val="single"/>
          <w:lang w:eastAsia="en-US"/>
        </w:rPr>
      </w:pPr>
      <w:r>
        <w:rPr>
          <w:bCs/>
          <w:i/>
          <w:iCs/>
          <w:sz w:val="22"/>
          <w:szCs w:val="22"/>
          <w:u w:val="single"/>
          <w:lang w:eastAsia="en-US"/>
        </w:rPr>
        <w:t xml:space="preserve">Makšties </w:t>
      </w:r>
      <w:proofErr w:type="spellStart"/>
      <w:r>
        <w:rPr>
          <w:bCs/>
          <w:i/>
          <w:iCs/>
          <w:sz w:val="22"/>
          <w:szCs w:val="22"/>
          <w:u w:val="single"/>
          <w:lang w:eastAsia="en-US"/>
        </w:rPr>
        <w:t>kandidozė</w:t>
      </w:r>
      <w:proofErr w:type="spellEnd"/>
      <w:r>
        <w:rPr>
          <w:bCs/>
          <w:i/>
          <w:iCs/>
          <w:sz w:val="22"/>
          <w:szCs w:val="22"/>
          <w:u w:val="single"/>
          <w:lang w:eastAsia="en-US"/>
        </w:rPr>
        <w:t xml:space="preserve">, </w:t>
      </w:r>
      <w:proofErr w:type="spellStart"/>
      <w:r>
        <w:rPr>
          <w:bCs/>
          <w:i/>
          <w:iCs/>
          <w:sz w:val="22"/>
          <w:szCs w:val="22"/>
          <w:u w:val="single"/>
          <w:lang w:eastAsia="en-US"/>
        </w:rPr>
        <w:t>vulvovaginitas</w:t>
      </w:r>
      <w:proofErr w:type="spellEnd"/>
      <w:r>
        <w:rPr>
          <w:bCs/>
          <w:i/>
          <w:iCs/>
          <w:sz w:val="22"/>
          <w:szCs w:val="22"/>
          <w:u w:val="single"/>
          <w:lang w:eastAsia="en-US"/>
        </w:rPr>
        <w:t>, balanitas ir kitokios lyties organų infekcinės ligos</w:t>
      </w:r>
    </w:p>
    <w:p w14:paraId="6FFB5081" w14:textId="77777777" w:rsidR="003B31DC" w:rsidRDefault="00913CBE">
      <w:pPr>
        <w:widowControl w:val="0"/>
        <w:tabs>
          <w:tab w:val="left" w:pos="567"/>
        </w:tabs>
        <w:jc w:val="both"/>
        <w:rPr>
          <w:bCs/>
          <w:sz w:val="22"/>
          <w:szCs w:val="22"/>
          <w:lang w:eastAsia="en-US"/>
        </w:rPr>
      </w:pPr>
      <w:r>
        <w:rPr>
          <w:bCs/>
          <w:sz w:val="22"/>
          <w:szCs w:val="22"/>
          <w:lang w:eastAsia="en-US"/>
        </w:rPr>
        <w:t xml:space="preserve">Makšties </w:t>
      </w:r>
      <w:proofErr w:type="spellStart"/>
      <w:r>
        <w:rPr>
          <w:bCs/>
          <w:sz w:val="22"/>
          <w:szCs w:val="22"/>
          <w:lang w:eastAsia="en-US"/>
        </w:rPr>
        <w:t>kandidozė</w:t>
      </w:r>
      <w:proofErr w:type="spellEnd"/>
      <w:r>
        <w:rPr>
          <w:bCs/>
          <w:sz w:val="22"/>
          <w:szCs w:val="22"/>
          <w:lang w:eastAsia="en-US"/>
        </w:rPr>
        <w:t xml:space="preserve">, </w:t>
      </w:r>
      <w:proofErr w:type="spellStart"/>
      <w:r>
        <w:rPr>
          <w:bCs/>
          <w:sz w:val="22"/>
          <w:szCs w:val="22"/>
          <w:lang w:eastAsia="en-US"/>
        </w:rPr>
        <w:t>vulvovaginitas</w:t>
      </w:r>
      <w:proofErr w:type="spellEnd"/>
      <w:r>
        <w:rPr>
          <w:bCs/>
          <w:sz w:val="22"/>
          <w:szCs w:val="22"/>
          <w:lang w:eastAsia="en-US"/>
        </w:rPr>
        <w:t xml:space="preserve">, balanitas ir kitokios lyties organų infekcinės ligos buvo dažnesnės </w:t>
      </w:r>
      <w:proofErr w:type="spellStart"/>
      <w:r>
        <w:rPr>
          <w:bCs/>
          <w:sz w:val="22"/>
          <w:szCs w:val="22"/>
          <w:lang w:eastAsia="en-US"/>
        </w:rPr>
        <w:t>metforminu</w:t>
      </w:r>
      <w:proofErr w:type="spellEnd"/>
      <w:r>
        <w:rPr>
          <w:bCs/>
          <w:sz w:val="22"/>
          <w:szCs w:val="22"/>
          <w:lang w:eastAsia="en-US"/>
        </w:rPr>
        <w:t xml:space="preserve"> gydomiems pacientams, kurie vartojo 10 mg </w:t>
      </w:r>
      <w:proofErr w:type="spellStart"/>
      <w:r>
        <w:rPr>
          <w:bCs/>
          <w:sz w:val="22"/>
          <w:szCs w:val="22"/>
          <w:lang w:eastAsia="en-US"/>
        </w:rPr>
        <w:t>empagliflozino</w:t>
      </w:r>
      <w:proofErr w:type="spellEnd"/>
      <w:r>
        <w:rPr>
          <w:bCs/>
          <w:sz w:val="22"/>
          <w:szCs w:val="22"/>
          <w:lang w:eastAsia="en-US"/>
        </w:rPr>
        <w:t xml:space="preserve"> dozę (4 %) ar 25 mg </w:t>
      </w:r>
      <w:proofErr w:type="spellStart"/>
      <w:r>
        <w:rPr>
          <w:bCs/>
          <w:sz w:val="22"/>
          <w:szCs w:val="22"/>
          <w:lang w:eastAsia="en-US"/>
        </w:rPr>
        <w:t>empagliflozino</w:t>
      </w:r>
      <w:proofErr w:type="spellEnd"/>
      <w:r>
        <w:rPr>
          <w:bCs/>
          <w:sz w:val="22"/>
          <w:szCs w:val="22"/>
          <w:lang w:eastAsia="en-US"/>
        </w:rPr>
        <w:t xml:space="preserve"> dozę (3,9 %), palyginti su vartojusiais placebą (1,3 %), ir </w:t>
      </w:r>
      <w:proofErr w:type="spellStart"/>
      <w:r>
        <w:rPr>
          <w:bCs/>
          <w:sz w:val="22"/>
          <w:szCs w:val="22"/>
          <w:lang w:eastAsia="en-US"/>
        </w:rPr>
        <w:t>empagliflozino</w:t>
      </w:r>
      <w:proofErr w:type="spellEnd"/>
      <w:r>
        <w:rPr>
          <w:bCs/>
          <w:sz w:val="22"/>
          <w:szCs w:val="22"/>
          <w:lang w:eastAsia="en-US"/>
        </w:rPr>
        <w:t xml:space="preserve"> vartojusioms moterims buvo dažnesnės, palyginti su vartojusiomis placebo. Pacientams vyrams dažnio skirtumas buvo mažesnis. Lyties organų infekcinės ligos buvo lengvos ar vidutinio sunkumo, sunkių nebuvo.</w:t>
      </w:r>
    </w:p>
    <w:p w14:paraId="174C6046" w14:textId="77777777" w:rsidR="003B31DC" w:rsidRDefault="003B31DC">
      <w:pPr>
        <w:widowControl w:val="0"/>
        <w:tabs>
          <w:tab w:val="left" w:pos="567"/>
        </w:tabs>
        <w:jc w:val="both"/>
        <w:rPr>
          <w:bCs/>
          <w:sz w:val="22"/>
          <w:szCs w:val="22"/>
          <w:lang w:eastAsia="en-US"/>
        </w:rPr>
      </w:pPr>
    </w:p>
    <w:p w14:paraId="68161733" w14:textId="77777777" w:rsidR="003B31DC" w:rsidRDefault="00913CBE">
      <w:pPr>
        <w:widowControl w:val="0"/>
        <w:tabs>
          <w:tab w:val="left" w:pos="567"/>
        </w:tabs>
        <w:jc w:val="both"/>
        <w:rPr>
          <w:bCs/>
          <w:sz w:val="22"/>
          <w:szCs w:val="22"/>
          <w:lang w:eastAsia="en-US"/>
        </w:rPr>
      </w:pPr>
      <w:r>
        <w:rPr>
          <w:bCs/>
          <w:sz w:val="22"/>
          <w:szCs w:val="22"/>
          <w:lang w:eastAsia="en-US"/>
        </w:rPr>
        <w:t xml:space="preserve">Kartu su lyties organų infekcinėmis ligomis pranešta apie </w:t>
      </w:r>
      <w:proofErr w:type="spellStart"/>
      <w:r>
        <w:rPr>
          <w:bCs/>
          <w:sz w:val="22"/>
          <w:szCs w:val="22"/>
          <w:lang w:eastAsia="en-US"/>
        </w:rPr>
        <w:t>fimozės</w:t>
      </w:r>
      <w:proofErr w:type="spellEnd"/>
      <w:r>
        <w:rPr>
          <w:bCs/>
          <w:sz w:val="22"/>
          <w:szCs w:val="22"/>
          <w:lang w:eastAsia="en-US"/>
        </w:rPr>
        <w:t xml:space="preserve"> / įgytos </w:t>
      </w:r>
      <w:proofErr w:type="spellStart"/>
      <w:r>
        <w:rPr>
          <w:bCs/>
          <w:sz w:val="22"/>
          <w:szCs w:val="22"/>
          <w:lang w:eastAsia="en-US"/>
        </w:rPr>
        <w:t>fimozės</w:t>
      </w:r>
      <w:proofErr w:type="spellEnd"/>
      <w:r>
        <w:rPr>
          <w:bCs/>
          <w:sz w:val="22"/>
          <w:szCs w:val="22"/>
          <w:lang w:eastAsia="en-US"/>
        </w:rPr>
        <w:t xml:space="preserve"> atvejus ir kai kuriais atvejais reikėjo atlikti apipjaustymą.</w:t>
      </w:r>
    </w:p>
    <w:p w14:paraId="3284DB17" w14:textId="77777777" w:rsidR="003B31DC" w:rsidRDefault="003B31DC">
      <w:pPr>
        <w:widowControl w:val="0"/>
        <w:tabs>
          <w:tab w:val="left" w:pos="567"/>
        </w:tabs>
        <w:jc w:val="both"/>
        <w:rPr>
          <w:bCs/>
          <w:sz w:val="22"/>
          <w:szCs w:val="22"/>
          <w:lang w:eastAsia="en-US"/>
        </w:rPr>
      </w:pPr>
    </w:p>
    <w:p w14:paraId="2DD5D9D9" w14:textId="77777777" w:rsidR="003B31DC" w:rsidRDefault="00913CBE">
      <w:pPr>
        <w:widowControl w:val="0"/>
        <w:tabs>
          <w:tab w:val="left" w:pos="567"/>
        </w:tabs>
        <w:jc w:val="both"/>
        <w:rPr>
          <w:bCs/>
          <w:i/>
          <w:iCs/>
          <w:sz w:val="22"/>
          <w:szCs w:val="22"/>
          <w:u w:val="single"/>
          <w:lang w:eastAsia="en-US"/>
        </w:rPr>
      </w:pPr>
      <w:r>
        <w:rPr>
          <w:bCs/>
          <w:i/>
          <w:iCs/>
          <w:sz w:val="22"/>
          <w:szCs w:val="22"/>
          <w:u w:val="single"/>
          <w:lang w:eastAsia="en-US"/>
        </w:rPr>
        <w:t>Padažnėjęs šlapinimasis</w:t>
      </w:r>
    </w:p>
    <w:p w14:paraId="0013212B" w14:textId="4636F722" w:rsidR="003B31DC" w:rsidRDefault="00913CBE">
      <w:pPr>
        <w:widowControl w:val="0"/>
        <w:tabs>
          <w:tab w:val="left" w:pos="567"/>
        </w:tabs>
        <w:jc w:val="both"/>
        <w:rPr>
          <w:bCs/>
          <w:sz w:val="22"/>
          <w:szCs w:val="22"/>
          <w:lang w:eastAsia="en-US"/>
        </w:rPr>
      </w:pPr>
      <w:r>
        <w:rPr>
          <w:bCs/>
          <w:sz w:val="22"/>
          <w:szCs w:val="22"/>
          <w:lang w:eastAsia="en-US"/>
        </w:rPr>
        <w:t>Kaip buvo tikėta</w:t>
      </w:r>
      <w:r w:rsidR="0069524C">
        <w:rPr>
          <w:bCs/>
          <w:sz w:val="22"/>
          <w:szCs w:val="22"/>
          <w:lang w:eastAsia="en-US"/>
        </w:rPr>
        <w:t>si pagal</w:t>
      </w:r>
      <w:r>
        <w:rPr>
          <w:bCs/>
          <w:sz w:val="22"/>
          <w:szCs w:val="22"/>
          <w:lang w:eastAsia="en-US"/>
        </w:rPr>
        <w:t xml:space="preserve">  veikimo mechanizmą, padažnėjęs šlapinimasis (vertintas pagal PT tyrimą, įskaitant </w:t>
      </w:r>
      <w:proofErr w:type="spellStart"/>
      <w:r>
        <w:rPr>
          <w:bCs/>
          <w:sz w:val="22"/>
          <w:szCs w:val="22"/>
          <w:lang w:eastAsia="en-US"/>
        </w:rPr>
        <w:t>poliakiuriją</w:t>
      </w:r>
      <w:proofErr w:type="spellEnd"/>
      <w:r>
        <w:rPr>
          <w:bCs/>
          <w:sz w:val="22"/>
          <w:szCs w:val="22"/>
          <w:lang w:eastAsia="en-US"/>
        </w:rPr>
        <w:t xml:space="preserve">, </w:t>
      </w:r>
      <w:proofErr w:type="spellStart"/>
      <w:r>
        <w:rPr>
          <w:bCs/>
          <w:sz w:val="22"/>
          <w:szCs w:val="22"/>
          <w:lang w:eastAsia="en-US"/>
        </w:rPr>
        <w:t>poliuriją</w:t>
      </w:r>
      <w:proofErr w:type="spellEnd"/>
      <w:r>
        <w:rPr>
          <w:bCs/>
          <w:sz w:val="22"/>
          <w:szCs w:val="22"/>
          <w:lang w:eastAsia="en-US"/>
        </w:rPr>
        <w:t xml:space="preserve"> ir </w:t>
      </w:r>
      <w:proofErr w:type="spellStart"/>
      <w:r>
        <w:rPr>
          <w:bCs/>
          <w:sz w:val="22"/>
          <w:szCs w:val="22"/>
          <w:lang w:eastAsia="en-US"/>
        </w:rPr>
        <w:t>nikturiją</w:t>
      </w:r>
      <w:proofErr w:type="spellEnd"/>
      <w:r>
        <w:rPr>
          <w:bCs/>
          <w:sz w:val="22"/>
          <w:szCs w:val="22"/>
          <w:lang w:eastAsia="en-US"/>
        </w:rPr>
        <w:t xml:space="preserve">) buvo dažnesnis tiems </w:t>
      </w:r>
      <w:proofErr w:type="spellStart"/>
      <w:r>
        <w:rPr>
          <w:bCs/>
          <w:sz w:val="22"/>
          <w:szCs w:val="22"/>
          <w:lang w:eastAsia="en-US"/>
        </w:rPr>
        <w:t>metforminu</w:t>
      </w:r>
      <w:proofErr w:type="spellEnd"/>
      <w:r>
        <w:rPr>
          <w:bCs/>
          <w:sz w:val="22"/>
          <w:szCs w:val="22"/>
          <w:lang w:eastAsia="en-US"/>
        </w:rPr>
        <w:t xml:space="preserve"> gydomiems pacientams, kurie vartojo 10 mg </w:t>
      </w:r>
      <w:proofErr w:type="spellStart"/>
      <w:r>
        <w:rPr>
          <w:bCs/>
          <w:sz w:val="22"/>
          <w:szCs w:val="22"/>
          <w:lang w:eastAsia="en-US"/>
        </w:rPr>
        <w:t>empagliflozino</w:t>
      </w:r>
      <w:proofErr w:type="spellEnd"/>
      <w:r>
        <w:rPr>
          <w:bCs/>
          <w:sz w:val="22"/>
          <w:szCs w:val="22"/>
          <w:lang w:eastAsia="en-US"/>
        </w:rPr>
        <w:t xml:space="preserve"> dozę (3 %) ar 25 mg </w:t>
      </w:r>
      <w:proofErr w:type="spellStart"/>
      <w:r>
        <w:rPr>
          <w:bCs/>
          <w:sz w:val="22"/>
          <w:szCs w:val="22"/>
          <w:lang w:eastAsia="en-US"/>
        </w:rPr>
        <w:t>empagliflozino</w:t>
      </w:r>
      <w:proofErr w:type="spellEnd"/>
      <w:r>
        <w:rPr>
          <w:bCs/>
          <w:sz w:val="22"/>
          <w:szCs w:val="22"/>
          <w:lang w:eastAsia="en-US"/>
        </w:rPr>
        <w:t xml:space="preserve"> dozę (2,9 %), palyginti su vartojusiais placebą, </w:t>
      </w:r>
      <w:r w:rsidR="00985502">
        <w:rPr>
          <w:bCs/>
          <w:sz w:val="22"/>
          <w:szCs w:val="22"/>
          <w:lang w:eastAsia="en-US"/>
        </w:rPr>
        <w:t xml:space="preserve">skiriant vaistą papildomai </w:t>
      </w:r>
      <w:r>
        <w:rPr>
          <w:bCs/>
          <w:sz w:val="22"/>
          <w:szCs w:val="22"/>
          <w:lang w:eastAsia="en-US"/>
        </w:rPr>
        <w:t xml:space="preserve">prie </w:t>
      </w:r>
      <w:proofErr w:type="spellStart"/>
      <w:r>
        <w:rPr>
          <w:bCs/>
          <w:sz w:val="22"/>
          <w:szCs w:val="22"/>
          <w:lang w:eastAsia="en-US"/>
        </w:rPr>
        <w:t>metformino</w:t>
      </w:r>
      <w:proofErr w:type="spellEnd"/>
      <w:r w:rsidR="002C634F">
        <w:rPr>
          <w:bCs/>
          <w:sz w:val="22"/>
          <w:szCs w:val="22"/>
          <w:lang w:eastAsia="en-US"/>
        </w:rPr>
        <w:t xml:space="preserve"> terapijos</w:t>
      </w:r>
      <w:r>
        <w:rPr>
          <w:bCs/>
          <w:sz w:val="22"/>
          <w:szCs w:val="22"/>
          <w:lang w:eastAsia="en-US"/>
        </w:rPr>
        <w:t xml:space="preserve"> (1,4 %). Padažnėjęs šlapinimasis daugiausia buvo nedidelio ar vidutinio stiprumo. </w:t>
      </w:r>
      <w:proofErr w:type="spellStart"/>
      <w:r>
        <w:rPr>
          <w:bCs/>
          <w:sz w:val="22"/>
          <w:szCs w:val="22"/>
          <w:lang w:eastAsia="en-US"/>
        </w:rPr>
        <w:t>Nikturijos</w:t>
      </w:r>
      <w:proofErr w:type="spellEnd"/>
      <w:r>
        <w:rPr>
          <w:bCs/>
          <w:sz w:val="22"/>
          <w:szCs w:val="22"/>
          <w:lang w:eastAsia="en-US"/>
        </w:rPr>
        <w:t xml:space="preserve"> dažnis placebą ir </w:t>
      </w:r>
      <w:proofErr w:type="spellStart"/>
      <w:r>
        <w:rPr>
          <w:bCs/>
          <w:sz w:val="22"/>
          <w:szCs w:val="22"/>
          <w:lang w:eastAsia="en-US"/>
        </w:rPr>
        <w:t>empaglifloziną</w:t>
      </w:r>
      <w:proofErr w:type="spellEnd"/>
      <w:r>
        <w:rPr>
          <w:bCs/>
          <w:sz w:val="22"/>
          <w:szCs w:val="22"/>
          <w:lang w:eastAsia="en-US"/>
        </w:rPr>
        <w:t xml:space="preserve"> vartojusiems pacientams buvo panašus (&lt; 1 %).</w:t>
      </w:r>
    </w:p>
    <w:p w14:paraId="78EC1F19" w14:textId="77777777" w:rsidR="003B31DC" w:rsidRDefault="003B31DC">
      <w:pPr>
        <w:widowControl w:val="0"/>
        <w:tabs>
          <w:tab w:val="left" w:pos="567"/>
        </w:tabs>
        <w:jc w:val="both"/>
        <w:rPr>
          <w:bCs/>
          <w:sz w:val="22"/>
          <w:szCs w:val="22"/>
          <w:lang w:eastAsia="en-US"/>
        </w:rPr>
      </w:pPr>
    </w:p>
    <w:p w14:paraId="1571EFEE" w14:textId="77777777" w:rsidR="003B31DC" w:rsidRDefault="00913CBE">
      <w:pPr>
        <w:widowControl w:val="0"/>
        <w:tabs>
          <w:tab w:val="left" w:pos="567"/>
        </w:tabs>
        <w:jc w:val="both"/>
        <w:rPr>
          <w:bCs/>
          <w:i/>
          <w:iCs/>
          <w:sz w:val="22"/>
          <w:szCs w:val="22"/>
          <w:u w:val="single"/>
          <w:lang w:eastAsia="en-US"/>
        </w:rPr>
      </w:pPr>
      <w:proofErr w:type="spellStart"/>
      <w:r>
        <w:rPr>
          <w:bCs/>
          <w:i/>
          <w:iCs/>
          <w:sz w:val="22"/>
          <w:szCs w:val="22"/>
          <w:u w:val="single"/>
          <w:lang w:eastAsia="en-US"/>
        </w:rPr>
        <w:t>Hipovolemija</w:t>
      </w:r>
      <w:proofErr w:type="spellEnd"/>
    </w:p>
    <w:p w14:paraId="4F0E49AA" w14:textId="1AFC2BF9" w:rsidR="003B31DC" w:rsidRPr="0072038D" w:rsidRDefault="00913CBE">
      <w:pPr>
        <w:widowControl w:val="0"/>
        <w:tabs>
          <w:tab w:val="left" w:pos="567"/>
        </w:tabs>
        <w:jc w:val="both"/>
        <w:rPr>
          <w:bCs/>
          <w:sz w:val="22"/>
          <w:szCs w:val="22"/>
          <w:lang w:eastAsia="en-US"/>
        </w:rPr>
      </w:pPr>
      <w:r>
        <w:rPr>
          <w:bCs/>
          <w:sz w:val="22"/>
          <w:szCs w:val="22"/>
          <w:lang w:eastAsia="en-US"/>
        </w:rPr>
        <w:t xml:space="preserve">Bendras </w:t>
      </w:r>
      <w:proofErr w:type="spellStart"/>
      <w:r>
        <w:rPr>
          <w:bCs/>
          <w:sz w:val="22"/>
          <w:szCs w:val="22"/>
          <w:lang w:eastAsia="en-US"/>
        </w:rPr>
        <w:t>hipovolemijos</w:t>
      </w:r>
      <w:proofErr w:type="spellEnd"/>
      <w:r>
        <w:rPr>
          <w:bCs/>
          <w:sz w:val="22"/>
          <w:szCs w:val="22"/>
          <w:lang w:eastAsia="en-US"/>
        </w:rPr>
        <w:t xml:space="preserve"> dažnis (įskaitant iš anksto apibrėžtus terminus: kraujospūdžio sumažėjimą (matuojant ambulatorijoje), </w:t>
      </w:r>
      <w:proofErr w:type="spellStart"/>
      <w:r>
        <w:rPr>
          <w:bCs/>
          <w:sz w:val="22"/>
          <w:szCs w:val="22"/>
          <w:lang w:eastAsia="en-US"/>
        </w:rPr>
        <w:t>sistolinio</w:t>
      </w:r>
      <w:proofErr w:type="spellEnd"/>
      <w:r>
        <w:rPr>
          <w:bCs/>
          <w:sz w:val="22"/>
          <w:szCs w:val="22"/>
          <w:lang w:eastAsia="en-US"/>
        </w:rPr>
        <w:t xml:space="preserve"> kraujospūdžio sumažėjimą, dehidrataciją, </w:t>
      </w:r>
      <w:proofErr w:type="spellStart"/>
      <w:r>
        <w:rPr>
          <w:bCs/>
          <w:sz w:val="22"/>
          <w:szCs w:val="22"/>
          <w:lang w:eastAsia="en-US"/>
        </w:rPr>
        <w:t>hipotenziją</w:t>
      </w:r>
      <w:proofErr w:type="spellEnd"/>
      <w:r>
        <w:rPr>
          <w:bCs/>
          <w:sz w:val="22"/>
          <w:szCs w:val="22"/>
          <w:lang w:eastAsia="en-US"/>
        </w:rPr>
        <w:t xml:space="preserve">, </w:t>
      </w:r>
      <w:proofErr w:type="spellStart"/>
      <w:r>
        <w:rPr>
          <w:bCs/>
          <w:sz w:val="22"/>
          <w:szCs w:val="22"/>
          <w:lang w:eastAsia="en-US"/>
        </w:rPr>
        <w:t>hipovolemiją</w:t>
      </w:r>
      <w:proofErr w:type="spellEnd"/>
      <w:r>
        <w:rPr>
          <w:bCs/>
          <w:sz w:val="22"/>
          <w:szCs w:val="22"/>
          <w:lang w:eastAsia="en-US"/>
        </w:rPr>
        <w:t xml:space="preserve">, </w:t>
      </w:r>
      <w:proofErr w:type="spellStart"/>
      <w:r>
        <w:rPr>
          <w:bCs/>
          <w:sz w:val="22"/>
          <w:szCs w:val="22"/>
          <w:lang w:eastAsia="en-US"/>
        </w:rPr>
        <w:t>ortostatinę</w:t>
      </w:r>
      <w:proofErr w:type="spellEnd"/>
      <w:r>
        <w:rPr>
          <w:bCs/>
          <w:sz w:val="22"/>
          <w:szCs w:val="22"/>
          <w:lang w:eastAsia="en-US"/>
        </w:rPr>
        <w:t xml:space="preserve"> </w:t>
      </w:r>
      <w:proofErr w:type="spellStart"/>
      <w:r>
        <w:rPr>
          <w:bCs/>
          <w:sz w:val="22"/>
          <w:szCs w:val="22"/>
          <w:lang w:eastAsia="en-US"/>
        </w:rPr>
        <w:t>hipotenziją</w:t>
      </w:r>
      <w:proofErr w:type="spellEnd"/>
      <w:r>
        <w:rPr>
          <w:bCs/>
          <w:sz w:val="22"/>
          <w:szCs w:val="22"/>
          <w:lang w:eastAsia="en-US"/>
        </w:rPr>
        <w:t xml:space="preserve"> ir apalpimą) buvo nedidelis </w:t>
      </w:r>
      <w:proofErr w:type="spellStart"/>
      <w:r>
        <w:rPr>
          <w:bCs/>
          <w:sz w:val="22"/>
          <w:szCs w:val="22"/>
          <w:lang w:eastAsia="en-US"/>
        </w:rPr>
        <w:t>metforminu</w:t>
      </w:r>
      <w:proofErr w:type="spellEnd"/>
      <w:r>
        <w:rPr>
          <w:bCs/>
          <w:sz w:val="22"/>
          <w:szCs w:val="22"/>
          <w:lang w:eastAsia="en-US"/>
        </w:rPr>
        <w:t xml:space="preserve"> gydomiems pacientams, kurie vartojo </w:t>
      </w:r>
      <w:proofErr w:type="spellStart"/>
      <w:r>
        <w:rPr>
          <w:bCs/>
          <w:sz w:val="22"/>
          <w:szCs w:val="22"/>
          <w:lang w:eastAsia="en-US"/>
        </w:rPr>
        <w:t>empaglifloziną</w:t>
      </w:r>
      <w:proofErr w:type="spellEnd"/>
      <w:r>
        <w:rPr>
          <w:bCs/>
          <w:sz w:val="22"/>
          <w:szCs w:val="22"/>
          <w:lang w:eastAsia="en-US"/>
        </w:rPr>
        <w:t xml:space="preserve"> (10 mg </w:t>
      </w:r>
      <w:proofErr w:type="spellStart"/>
      <w:r>
        <w:rPr>
          <w:bCs/>
          <w:sz w:val="22"/>
          <w:szCs w:val="22"/>
          <w:lang w:eastAsia="en-US"/>
        </w:rPr>
        <w:t>empagliflozino</w:t>
      </w:r>
      <w:proofErr w:type="spellEnd"/>
      <w:r>
        <w:rPr>
          <w:bCs/>
          <w:sz w:val="22"/>
          <w:szCs w:val="22"/>
          <w:lang w:eastAsia="en-US"/>
        </w:rPr>
        <w:t xml:space="preserve"> dozę: 0,6 %, 25 mg </w:t>
      </w:r>
      <w:proofErr w:type="spellStart"/>
      <w:r>
        <w:rPr>
          <w:bCs/>
          <w:sz w:val="22"/>
          <w:szCs w:val="22"/>
          <w:lang w:eastAsia="en-US"/>
        </w:rPr>
        <w:t>empagliflozino</w:t>
      </w:r>
      <w:proofErr w:type="spellEnd"/>
      <w:r>
        <w:rPr>
          <w:bCs/>
          <w:sz w:val="22"/>
          <w:szCs w:val="22"/>
          <w:lang w:eastAsia="en-US"/>
        </w:rPr>
        <w:t xml:space="preserve"> dozę: 0,3 %) ir kurie vartojo placebą (0,1 %). </w:t>
      </w:r>
      <w:proofErr w:type="spellStart"/>
      <w:r>
        <w:rPr>
          <w:bCs/>
          <w:sz w:val="22"/>
          <w:szCs w:val="22"/>
          <w:lang w:eastAsia="en-US"/>
        </w:rPr>
        <w:t>Empagliflozino</w:t>
      </w:r>
      <w:proofErr w:type="spellEnd"/>
      <w:r>
        <w:rPr>
          <w:bCs/>
          <w:sz w:val="22"/>
          <w:szCs w:val="22"/>
          <w:lang w:eastAsia="en-US"/>
        </w:rPr>
        <w:t xml:space="preserve"> poveikis gliukozės išskyrimui su šlapimu yra susijęs su osmosine diureze, kuri gali </w:t>
      </w:r>
      <w:r w:rsidR="008B21F3">
        <w:rPr>
          <w:bCs/>
          <w:sz w:val="22"/>
          <w:szCs w:val="22"/>
          <w:lang w:eastAsia="en-US"/>
        </w:rPr>
        <w:t>pa</w:t>
      </w:r>
      <w:r>
        <w:rPr>
          <w:bCs/>
          <w:sz w:val="22"/>
          <w:szCs w:val="22"/>
          <w:lang w:eastAsia="en-US"/>
        </w:rPr>
        <w:t xml:space="preserve">veikti </w:t>
      </w:r>
      <w:r>
        <w:rPr>
          <w:bCs/>
          <w:sz w:val="22"/>
          <w:szCs w:val="22"/>
          <w:lang w:eastAsia="en-US"/>
        </w:rPr>
        <w:lastRenderedPageBreak/>
        <w:t xml:space="preserve">hidratacijos būklę 75 metų ir vyresniems pacientams.  75 metų ir vyresnių pacientų </w:t>
      </w:r>
      <w:r w:rsidR="00AB2BD9">
        <w:rPr>
          <w:bCs/>
          <w:sz w:val="22"/>
          <w:szCs w:val="22"/>
          <w:lang w:eastAsia="en-US"/>
        </w:rPr>
        <w:t xml:space="preserve">grupėje </w:t>
      </w:r>
      <w:proofErr w:type="spellStart"/>
      <w:r w:rsidR="006662D1">
        <w:rPr>
          <w:bCs/>
          <w:sz w:val="22"/>
          <w:szCs w:val="22"/>
          <w:lang w:eastAsia="en-US"/>
        </w:rPr>
        <w:t>hipovolemija</w:t>
      </w:r>
      <w:proofErr w:type="spellEnd"/>
      <w:r w:rsidR="006662D1">
        <w:rPr>
          <w:bCs/>
          <w:sz w:val="22"/>
          <w:szCs w:val="22"/>
          <w:lang w:eastAsia="en-US"/>
        </w:rPr>
        <w:t xml:space="preserve"> pasireiškė </w:t>
      </w:r>
      <w:r>
        <w:rPr>
          <w:bCs/>
          <w:sz w:val="22"/>
          <w:szCs w:val="22"/>
          <w:lang w:eastAsia="en-US"/>
        </w:rPr>
        <w:t>vienam pacientui, vartojusiam</w:t>
      </w:r>
      <w:r w:rsidR="0072038D" w:rsidRPr="0072038D">
        <w:t xml:space="preserve"> </w:t>
      </w:r>
      <w:r w:rsidR="0072038D" w:rsidRPr="00FA2F7A">
        <w:rPr>
          <w:sz w:val="22"/>
          <w:szCs w:val="22"/>
        </w:rPr>
        <w:t xml:space="preserve">25 mg </w:t>
      </w:r>
      <w:proofErr w:type="spellStart"/>
      <w:r w:rsidR="0072038D" w:rsidRPr="00FA2F7A">
        <w:rPr>
          <w:sz w:val="22"/>
          <w:szCs w:val="22"/>
        </w:rPr>
        <w:t>empagliflozino</w:t>
      </w:r>
      <w:proofErr w:type="spellEnd"/>
      <w:r w:rsidR="0072038D" w:rsidRPr="00FA2F7A">
        <w:rPr>
          <w:sz w:val="22"/>
          <w:szCs w:val="22"/>
        </w:rPr>
        <w:t xml:space="preserve"> doz</w:t>
      </w:r>
      <w:r w:rsidR="0072038D">
        <w:rPr>
          <w:sz w:val="22"/>
          <w:szCs w:val="22"/>
        </w:rPr>
        <w:t>ę</w:t>
      </w:r>
      <w:r w:rsidR="0072038D" w:rsidRPr="00FA2F7A">
        <w:rPr>
          <w:sz w:val="22"/>
          <w:szCs w:val="22"/>
        </w:rPr>
        <w:t xml:space="preserve"> papildomai prie </w:t>
      </w:r>
      <w:proofErr w:type="spellStart"/>
      <w:r w:rsidR="0072038D" w:rsidRPr="00FA2F7A">
        <w:rPr>
          <w:sz w:val="22"/>
          <w:szCs w:val="22"/>
        </w:rPr>
        <w:t>metformino</w:t>
      </w:r>
      <w:proofErr w:type="spellEnd"/>
      <w:r w:rsidR="0072038D" w:rsidRPr="00FA2F7A">
        <w:rPr>
          <w:sz w:val="22"/>
          <w:szCs w:val="22"/>
        </w:rPr>
        <w:t xml:space="preserve"> terapijos</w:t>
      </w:r>
      <w:r w:rsidRPr="0072038D">
        <w:rPr>
          <w:bCs/>
          <w:sz w:val="22"/>
          <w:szCs w:val="22"/>
          <w:lang w:eastAsia="en-US"/>
        </w:rPr>
        <w:t>.</w:t>
      </w:r>
    </w:p>
    <w:p w14:paraId="722CCE2E" w14:textId="77777777" w:rsidR="003B31DC" w:rsidRDefault="003B31DC">
      <w:pPr>
        <w:widowControl w:val="0"/>
        <w:tabs>
          <w:tab w:val="left" w:pos="567"/>
        </w:tabs>
        <w:jc w:val="both"/>
        <w:rPr>
          <w:bCs/>
          <w:sz w:val="22"/>
          <w:szCs w:val="22"/>
          <w:lang w:eastAsia="en-US"/>
        </w:rPr>
      </w:pPr>
    </w:p>
    <w:p w14:paraId="3BEEA93B" w14:textId="35B2C117" w:rsidR="003B31DC" w:rsidRDefault="00B13605">
      <w:pPr>
        <w:widowControl w:val="0"/>
        <w:tabs>
          <w:tab w:val="left" w:pos="567"/>
        </w:tabs>
        <w:jc w:val="both"/>
        <w:rPr>
          <w:bCs/>
          <w:i/>
          <w:iCs/>
          <w:sz w:val="22"/>
          <w:szCs w:val="22"/>
          <w:u w:val="single"/>
          <w:lang w:eastAsia="en-US"/>
        </w:rPr>
      </w:pPr>
      <w:r>
        <w:rPr>
          <w:bCs/>
          <w:i/>
          <w:iCs/>
          <w:sz w:val="22"/>
          <w:szCs w:val="22"/>
          <w:u w:val="single"/>
          <w:lang w:eastAsia="en-US"/>
        </w:rPr>
        <w:t>K</w:t>
      </w:r>
      <w:r w:rsidR="00913CBE">
        <w:rPr>
          <w:bCs/>
          <w:i/>
          <w:iCs/>
          <w:sz w:val="22"/>
          <w:szCs w:val="22"/>
          <w:u w:val="single"/>
          <w:lang w:eastAsia="en-US"/>
        </w:rPr>
        <w:t>reatinino kieki</w:t>
      </w:r>
      <w:r>
        <w:rPr>
          <w:bCs/>
          <w:i/>
          <w:iCs/>
          <w:sz w:val="22"/>
          <w:szCs w:val="22"/>
          <w:u w:val="single"/>
          <w:lang w:eastAsia="en-US"/>
        </w:rPr>
        <w:t>o</w:t>
      </w:r>
      <w:r w:rsidR="00913CBE">
        <w:rPr>
          <w:bCs/>
          <w:i/>
          <w:iCs/>
          <w:sz w:val="22"/>
          <w:szCs w:val="22"/>
          <w:u w:val="single"/>
          <w:lang w:eastAsia="en-US"/>
        </w:rPr>
        <w:t xml:space="preserve"> kraujyje</w:t>
      </w:r>
      <w:r>
        <w:rPr>
          <w:bCs/>
          <w:i/>
          <w:iCs/>
          <w:sz w:val="22"/>
          <w:szCs w:val="22"/>
          <w:u w:val="single"/>
          <w:lang w:eastAsia="en-US"/>
        </w:rPr>
        <w:t xml:space="preserve"> </w:t>
      </w:r>
      <w:r w:rsidR="00C7190C">
        <w:rPr>
          <w:bCs/>
          <w:i/>
          <w:iCs/>
          <w:sz w:val="22"/>
          <w:szCs w:val="22"/>
          <w:u w:val="single"/>
          <w:lang w:eastAsia="en-US"/>
        </w:rPr>
        <w:t>p</w:t>
      </w:r>
      <w:r>
        <w:rPr>
          <w:bCs/>
          <w:i/>
          <w:iCs/>
          <w:sz w:val="22"/>
          <w:szCs w:val="22"/>
          <w:u w:val="single"/>
          <w:lang w:eastAsia="en-US"/>
        </w:rPr>
        <w:t>adidėj</w:t>
      </w:r>
      <w:r w:rsidR="00C7190C">
        <w:rPr>
          <w:bCs/>
          <w:i/>
          <w:iCs/>
          <w:sz w:val="22"/>
          <w:szCs w:val="22"/>
          <w:u w:val="single"/>
          <w:lang w:eastAsia="en-US"/>
        </w:rPr>
        <w:t>imas</w:t>
      </w:r>
      <w:r w:rsidR="00913CBE">
        <w:rPr>
          <w:bCs/>
          <w:i/>
          <w:iCs/>
          <w:sz w:val="22"/>
          <w:szCs w:val="22"/>
          <w:u w:val="single"/>
          <w:lang w:eastAsia="en-US"/>
        </w:rPr>
        <w:t xml:space="preserve"> / </w:t>
      </w:r>
      <w:proofErr w:type="spellStart"/>
      <w:r w:rsidR="00913CBE">
        <w:rPr>
          <w:bCs/>
          <w:i/>
          <w:iCs/>
          <w:sz w:val="22"/>
          <w:szCs w:val="22"/>
          <w:u w:val="single"/>
          <w:lang w:eastAsia="en-US"/>
        </w:rPr>
        <w:t>glomerulų</w:t>
      </w:r>
      <w:proofErr w:type="spellEnd"/>
      <w:r w:rsidR="00913CBE">
        <w:rPr>
          <w:bCs/>
          <w:i/>
          <w:iCs/>
          <w:sz w:val="22"/>
          <w:szCs w:val="22"/>
          <w:u w:val="single"/>
          <w:lang w:eastAsia="en-US"/>
        </w:rPr>
        <w:t xml:space="preserve"> filtracijos grei</w:t>
      </w:r>
      <w:r>
        <w:rPr>
          <w:bCs/>
          <w:i/>
          <w:iCs/>
          <w:sz w:val="22"/>
          <w:szCs w:val="22"/>
          <w:u w:val="single"/>
          <w:lang w:eastAsia="en-US"/>
        </w:rPr>
        <w:t>čio sumažėjimas</w:t>
      </w:r>
    </w:p>
    <w:p w14:paraId="4DDF1346" w14:textId="01BC35E1" w:rsidR="003B31DC" w:rsidRDefault="00913CBE">
      <w:pPr>
        <w:widowControl w:val="0"/>
        <w:tabs>
          <w:tab w:val="left" w:pos="567"/>
        </w:tabs>
        <w:jc w:val="both"/>
        <w:rPr>
          <w:bCs/>
          <w:sz w:val="22"/>
          <w:szCs w:val="22"/>
          <w:lang w:eastAsia="en-US"/>
        </w:rPr>
      </w:pPr>
      <w:r>
        <w:rPr>
          <w:bCs/>
          <w:sz w:val="22"/>
          <w:szCs w:val="22"/>
          <w:lang w:eastAsia="en-US"/>
        </w:rPr>
        <w:t xml:space="preserve">Bendras pacientų, kuriems buvo padidėjęs kreatinino kiekis kraujyje ir sumažėjęs </w:t>
      </w:r>
      <w:proofErr w:type="spellStart"/>
      <w:r>
        <w:rPr>
          <w:bCs/>
          <w:sz w:val="22"/>
          <w:szCs w:val="22"/>
          <w:lang w:eastAsia="en-US"/>
        </w:rPr>
        <w:t>glomerulų</w:t>
      </w:r>
      <w:proofErr w:type="spellEnd"/>
      <w:r>
        <w:rPr>
          <w:bCs/>
          <w:sz w:val="22"/>
          <w:szCs w:val="22"/>
          <w:lang w:eastAsia="en-US"/>
        </w:rPr>
        <w:t xml:space="preserve"> filtracijos greitis, dažnis </w:t>
      </w:r>
      <w:r w:rsidR="0020510C">
        <w:rPr>
          <w:bCs/>
          <w:sz w:val="22"/>
          <w:szCs w:val="22"/>
          <w:lang w:eastAsia="en-US"/>
        </w:rPr>
        <w:t>vartojant</w:t>
      </w:r>
      <w:r>
        <w:rPr>
          <w:bCs/>
          <w:sz w:val="22"/>
          <w:szCs w:val="22"/>
          <w:lang w:eastAsia="en-US"/>
        </w:rPr>
        <w:t xml:space="preserve"> </w:t>
      </w:r>
      <w:proofErr w:type="spellStart"/>
      <w:r>
        <w:rPr>
          <w:bCs/>
          <w:sz w:val="22"/>
          <w:szCs w:val="22"/>
          <w:lang w:eastAsia="en-US"/>
        </w:rPr>
        <w:t>empaglifloziną</w:t>
      </w:r>
      <w:proofErr w:type="spellEnd"/>
      <w:r>
        <w:rPr>
          <w:bCs/>
          <w:sz w:val="22"/>
          <w:szCs w:val="22"/>
          <w:lang w:eastAsia="en-US"/>
        </w:rPr>
        <w:t xml:space="preserve"> </w:t>
      </w:r>
      <w:r w:rsidR="0020510C">
        <w:rPr>
          <w:bCs/>
          <w:sz w:val="22"/>
          <w:szCs w:val="22"/>
          <w:lang w:eastAsia="en-US"/>
        </w:rPr>
        <w:t xml:space="preserve">arba </w:t>
      </w:r>
      <w:proofErr w:type="spellStart"/>
      <w:r>
        <w:rPr>
          <w:bCs/>
          <w:sz w:val="22"/>
          <w:szCs w:val="22"/>
          <w:lang w:eastAsia="en-US"/>
        </w:rPr>
        <w:t>placeb</w:t>
      </w:r>
      <w:r w:rsidR="0020510C">
        <w:rPr>
          <w:bCs/>
          <w:sz w:val="22"/>
          <w:szCs w:val="22"/>
          <w:lang w:eastAsia="en-US"/>
        </w:rPr>
        <w:t>o</w:t>
      </w:r>
      <w:r w:rsidR="00D33793">
        <w:rPr>
          <w:bCs/>
          <w:sz w:val="22"/>
          <w:szCs w:val="22"/>
          <w:lang w:eastAsia="en-US"/>
        </w:rPr>
        <w:t>papildomai</w:t>
      </w:r>
      <w:proofErr w:type="spellEnd"/>
      <w:r>
        <w:rPr>
          <w:bCs/>
          <w:sz w:val="22"/>
          <w:szCs w:val="22"/>
          <w:lang w:eastAsia="en-US"/>
        </w:rPr>
        <w:t xml:space="preserve"> pridėtą prie </w:t>
      </w:r>
      <w:proofErr w:type="spellStart"/>
      <w:r>
        <w:rPr>
          <w:bCs/>
          <w:sz w:val="22"/>
          <w:szCs w:val="22"/>
          <w:lang w:eastAsia="en-US"/>
        </w:rPr>
        <w:t>metformino</w:t>
      </w:r>
      <w:proofErr w:type="spellEnd"/>
      <w:r w:rsidR="00CA12CC">
        <w:rPr>
          <w:bCs/>
          <w:sz w:val="22"/>
          <w:szCs w:val="22"/>
          <w:lang w:eastAsia="en-US"/>
        </w:rPr>
        <w:t xml:space="preserve"> buvo panašus</w:t>
      </w:r>
      <w:r>
        <w:rPr>
          <w:bCs/>
          <w:sz w:val="22"/>
          <w:szCs w:val="22"/>
          <w:lang w:eastAsia="en-US"/>
        </w:rPr>
        <w:t xml:space="preserve"> (padidėjęs kreatinino kiekis: vartojusiems </w:t>
      </w:r>
      <w:proofErr w:type="spellStart"/>
      <w:r>
        <w:rPr>
          <w:bCs/>
          <w:sz w:val="22"/>
          <w:szCs w:val="22"/>
          <w:lang w:eastAsia="en-US"/>
        </w:rPr>
        <w:t>empagliflozino</w:t>
      </w:r>
      <w:proofErr w:type="spellEnd"/>
      <w:r>
        <w:rPr>
          <w:bCs/>
          <w:sz w:val="22"/>
          <w:szCs w:val="22"/>
          <w:lang w:eastAsia="en-US"/>
        </w:rPr>
        <w:t xml:space="preserve"> 10 mg – 0,5 %, vartojusiems </w:t>
      </w:r>
      <w:proofErr w:type="spellStart"/>
      <w:r>
        <w:rPr>
          <w:bCs/>
          <w:sz w:val="22"/>
          <w:szCs w:val="22"/>
          <w:lang w:eastAsia="en-US"/>
        </w:rPr>
        <w:t>empagliflozino</w:t>
      </w:r>
      <w:proofErr w:type="spellEnd"/>
      <w:r>
        <w:rPr>
          <w:bCs/>
          <w:sz w:val="22"/>
          <w:szCs w:val="22"/>
          <w:lang w:eastAsia="en-US"/>
        </w:rPr>
        <w:t xml:space="preserve"> 25 mg – 0,1 %, vartojusiems placebą – 0,4 %; sumažėjęs </w:t>
      </w:r>
      <w:proofErr w:type="spellStart"/>
      <w:r>
        <w:rPr>
          <w:bCs/>
          <w:sz w:val="22"/>
          <w:szCs w:val="22"/>
          <w:lang w:eastAsia="en-US"/>
        </w:rPr>
        <w:t>glomerulų</w:t>
      </w:r>
      <w:proofErr w:type="spellEnd"/>
      <w:r>
        <w:rPr>
          <w:bCs/>
          <w:sz w:val="22"/>
          <w:szCs w:val="22"/>
          <w:lang w:eastAsia="en-US"/>
        </w:rPr>
        <w:t xml:space="preserve"> filtracijos greitis: vartojusiems </w:t>
      </w:r>
      <w:proofErr w:type="spellStart"/>
      <w:r>
        <w:rPr>
          <w:bCs/>
          <w:sz w:val="22"/>
          <w:szCs w:val="22"/>
          <w:lang w:eastAsia="en-US"/>
        </w:rPr>
        <w:t>empagliflozino</w:t>
      </w:r>
      <w:proofErr w:type="spellEnd"/>
      <w:r>
        <w:rPr>
          <w:bCs/>
          <w:sz w:val="22"/>
          <w:szCs w:val="22"/>
          <w:lang w:eastAsia="en-US"/>
        </w:rPr>
        <w:t xml:space="preserve"> 10 mg – 0,1 %, vartojusiems </w:t>
      </w:r>
      <w:proofErr w:type="spellStart"/>
      <w:r>
        <w:rPr>
          <w:bCs/>
          <w:sz w:val="22"/>
          <w:szCs w:val="22"/>
          <w:lang w:eastAsia="en-US"/>
        </w:rPr>
        <w:t>empagliflozino</w:t>
      </w:r>
      <w:proofErr w:type="spellEnd"/>
      <w:r>
        <w:rPr>
          <w:bCs/>
          <w:sz w:val="22"/>
          <w:szCs w:val="22"/>
          <w:lang w:eastAsia="en-US"/>
        </w:rPr>
        <w:t xml:space="preserve"> 25 mg – 0 %, vartojusiems placebą – 0,2 %).</w:t>
      </w:r>
    </w:p>
    <w:p w14:paraId="01F35247" w14:textId="37872501" w:rsidR="003B31DC" w:rsidRDefault="00913CBE">
      <w:pPr>
        <w:widowControl w:val="0"/>
        <w:tabs>
          <w:tab w:val="left" w:pos="567"/>
        </w:tabs>
        <w:jc w:val="both"/>
        <w:rPr>
          <w:bCs/>
          <w:sz w:val="22"/>
          <w:szCs w:val="22"/>
          <w:lang w:eastAsia="en-US"/>
        </w:rPr>
      </w:pPr>
      <w:r>
        <w:rPr>
          <w:bCs/>
          <w:sz w:val="22"/>
          <w:szCs w:val="22"/>
          <w:lang w:eastAsia="en-US"/>
        </w:rPr>
        <w:t xml:space="preserve">Pradinis kreatinino kiekio padidėjimas ir pradinis apskaičiuoto </w:t>
      </w:r>
      <w:proofErr w:type="spellStart"/>
      <w:r>
        <w:rPr>
          <w:bCs/>
          <w:sz w:val="22"/>
          <w:szCs w:val="22"/>
          <w:lang w:eastAsia="en-US"/>
        </w:rPr>
        <w:t>glomerulų</w:t>
      </w:r>
      <w:proofErr w:type="spellEnd"/>
      <w:r>
        <w:rPr>
          <w:bCs/>
          <w:sz w:val="22"/>
          <w:szCs w:val="22"/>
          <w:lang w:eastAsia="en-US"/>
        </w:rPr>
        <w:t xml:space="preserve"> filtracijos greičio sumažėjimas pacientams, gydytiems </w:t>
      </w:r>
      <w:proofErr w:type="spellStart"/>
      <w:r>
        <w:rPr>
          <w:bCs/>
          <w:sz w:val="22"/>
          <w:szCs w:val="22"/>
          <w:lang w:eastAsia="en-US"/>
        </w:rPr>
        <w:t>empagliflozinu</w:t>
      </w:r>
      <w:proofErr w:type="spellEnd"/>
      <w:r w:rsidR="00A6168D">
        <w:rPr>
          <w:bCs/>
          <w:sz w:val="22"/>
          <w:szCs w:val="22"/>
          <w:lang w:eastAsia="en-US"/>
        </w:rPr>
        <w:t xml:space="preserve"> papildomai</w:t>
      </w:r>
      <w:r>
        <w:rPr>
          <w:bCs/>
          <w:sz w:val="22"/>
          <w:szCs w:val="22"/>
          <w:lang w:eastAsia="en-US"/>
        </w:rPr>
        <w:t xml:space="preserve"> pridėtu prie </w:t>
      </w:r>
      <w:proofErr w:type="spellStart"/>
      <w:r>
        <w:rPr>
          <w:bCs/>
          <w:sz w:val="22"/>
          <w:szCs w:val="22"/>
          <w:lang w:eastAsia="en-US"/>
        </w:rPr>
        <w:t>metformino</w:t>
      </w:r>
      <w:proofErr w:type="spellEnd"/>
      <w:r w:rsidR="00CD5FEF">
        <w:rPr>
          <w:bCs/>
          <w:sz w:val="22"/>
          <w:szCs w:val="22"/>
          <w:lang w:eastAsia="en-US"/>
        </w:rPr>
        <w:t xml:space="preserve"> terapijos</w:t>
      </w:r>
      <w:r>
        <w:rPr>
          <w:bCs/>
          <w:sz w:val="22"/>
          <w:szCs w:val="22"/>
          <w:lang w:eastAsia="en-US"/>
        </w:rPr>
        <w:t xml:space="preserve">, tęsiant gydymą </w:t>
      </w:r>
      <w:r w:rsidR="00147F11">
        <w:rPr>
          <w:bCs/>
          <w:sz w:val="22"/>
          <w:szCs w:val="22"/>
          <w:lang w:eastAsia="en-US"/>
        </w:rPr>
        <w:t xml:space="preserve">paprastai buvo laikinas </w:t>
      </w:r>
      <w:r>
        <w:rPr>
          <w:bCs/>
          <w:sz w:val="22"/>
          <w:szCs w:val="22"/>
          <w:lang w:eastAsia="en-US"/>
        </w:rPr>
        <w:t>arba grįždavo į normą nutraukus gydymą.</w:t>
      </w:r>
    </w:p>
    <w:p w14:paraId="6EA82C35" w14:textId="77777777" w:rsidR="003B31DC" w:rsidRDefault="00913CBE">
      <w:pPr>
        <w:widowControl w:val="0"/>
        <w:tabs>
          <w:tab w:val="left" w:pos="567"/>
        </w:tabs>
        <w:jc w:val="both"/>
        <w:rPr>
          <w:bCs/>
          <w:sz w:val="22"/>
          <w:szCs w:val="22"/>
          <w:lang w:eastAsia="en-US"/>
        </w:rPr>
      </w:pPr>
      <w:r>
        <w:rPr>
          <w:bCs/>
          <w:sz w:val="22"/>
          <w:szCs w:val="22"/>
          <w:lang w:eastAsia="en-US"/>
        </w:rPr>
        <w:t xml:space="preserve">EMPA-REG OUTCOME tyrime </w:t>
      </w:r>
      <w:proofErr w:type="spellStart"/>
      <w:r>
        <w:rPr>
          <w:bCs/>
          <w:sz w:val="22"/>
          <w:szCs w:val="22"/>
          <w:lang w:eastAsia="en-US"/>
        </w:rPr>
        <w:t>empagliflozinu</w:t>
      </w:r>
      <w:proofErr w:type="spellEnd"/>
      <w:r>
        <w:rPr>
          <w:bCs/>
          <w:sz w:val="22"/>
          <w:szCs w:val="22"/>
          <w:lang w:eastAsia="en-US"/>
        </w:rPr>
        <w:t xml:space="preserve"> gydytiems pacientams iš pradžių </w:t>
      </w:r>
      <w:proofErr w:type="spellStart"/>
      <w:r>
        <w:rPr>
          <w:bCs/>
          <w:sz w:val="22"/>
          <w:szCs w:val="22"/>
          <w:lang w:eastAsia="en-US"/>
        </w:rPr>
        <w:t>aGFG</w:t>
      </w:r>
      <w:proofErr w:type="spellEnd"/>
      <w:r>
        <w:rPr>
          <w:bCs/>
          <w:sz w:val="22"/>
          <w:szCs w:val="22"/>
          <w:lang w:eastAsia="en-US"/>
        </w:rPr>
        <w:t xml:space="preserve"> taip pat sumažėdavo (vidurkis: 3 ml/min / 1,73 m</w:t>
      </w:r>
      <w:r>
        <w:rPr>
          <w:bCs/>
          <w:sz w:val="22"/>
          <w:szCs w:val="22"/>
          <w:vertAlign w:val="superscript"/>
          <w:lang w:eastAsia="en-US"/>
        </w:rPr>
        <w:t>2</w:t>
      </w:r>
      <w:r>
        <w:rPr>
          <w:bCs/>
          <w:sz w:val="22"/>
          <w:szCs w:val="22"/>
          <w:lang w:eastAsia="en-US"/>
        </w:rPr>
        <w:t xml:space="preserve">). Paskui, tęsiant gydymą, </w:t>
      </w:r>
      <w:proofErr w:type="spellStart"/>
      <w:r>
        <w:rPr>
          <w:bCs/>
          <w:sz w:val="22"/>
          <w:szCs w:val="22"/>
          <w:lang w:eastAsia="en-US"/>
        </w:rPr>
        <w:t>aGFG</w:t>
      </w:r>
      <w:proofErr w:type="spellEnd"/>
      <w:r>
        <w:rPr>
          <w:bCs/>
          <w:sz w:val="22"/>
          <w:szCs w:val="22"/>
          <w:lang w:eastAsia="en-US"/>
        </w:rPr>
        <w:t xml:space="preserve"> išlikdavo pastovus. Nutraukus gydymą pradinė vidutinė </w:t>
      </w:r>
      <w:proofErr w:type="spellStart"/>
      <w:r>
        <w:rPr>
          <w:bCs/>
          <w:sz w:val="22"/>
          <w:szCs w:val="22"/>
          <w:lang w:eastAsia="en-US"/>
        </w:rPr>
        <w:t>aGFG</w:t>
      </w:r>
      <w:proofErr w:type="spellEnd"/>
      <w:r>
        <w:rPr>
          <w:bCs/>
          <w:sz w:val="22"/>
          <w:szCs w:val="22"/>
          <w:lang w:eastAsia="en-US"/>
        </w:rPr>
        <w:t xml:space="preserve"> vertė atsistatydavo, todėl galima daryti prielaidą, kad šiems inkstų funkcijos pokyčiams įtakos gali turėti ūminiai hemodinamikos pokyčiai.</w:t>
      </w:r>
    </w:p>
    <w:p w14:paraId="44B4D2DC" w14:textId="77777777" w:rsidR="003B31DC" w:rsidRDefault="003B31DC">
      <w:pPr>
        <w:widowControl w:val="0"/>
        <w:tabs>
          <w:tab w:val="left" w:pos="567"/>
        </w:tabs>
        <w:jc w:val="both"/>
        <w:rPr>
          <w:bCs/>
          <w:sz w:val="22"/>
          <w:szCs w:val="22"/>
          <w:lang w:eastAsia="en-US"/>
        </w:rPr>
      </w:pPr>
    </w:p>
    <w:p w14:paraId="680A182A" w14:textId="77777777" w:rsidR="003B31DC" w:rsidRDefault="00913CBE">
      <w:pPr>
        <w:widowControl w:val="0"/>
        <w:tabs>
          <w:tab w:val="left" w:pos="567"/>
        </w:tabs>
        <w:jc w:val="both"/>
        <w:rPr>
          <w:bCs/>
          <w:sz w:val="22"/>
          <w:szCs w:val="22"/>
          <w:u w:val="single"/>
          <w:lang w:eastAsia="en-US"/>
        </w:rPr>
      </w:pPr>
      <w:r>
        <w:rPr>
          <w:bCs/>
          <w:sz w:val="22"/>
          <w:szCs w:val="22"/>
          <w:u w:val="single"/>
          <w:lang w:eastAsia="en-US"/>
        </w:rPr>
        <w:t>Vaikų populiacija</w:t>
      </w:r>
    </w:p>
    <w:p w14:paraId="664DDFB8" w14:textId="56A3637D" w:rsidR="003B31DC" w:rsidRDefault="00913CBE">
      <w:pPr>
        <w:widowControl w:val="0"/>
        <w:tabs>
          <w:tab w:val="left" w:pos="567"/>
        </w:tabs>
        <w:jc w:val="both"/>
        <w:rPr>
          <w:bCs/>
          <w:sz w:val="22"/>
          <w:szCs w:val="22"/>
          <w:lang w:eastAsia="en-US"/>
        </w:rPr>
      </w:pPr>
      <w:r>
        <w:rPr>
          <w:bCs/>
          <w:sz w:val="22"/>
          <w:szCs w:val="22"/>
          <w:lang w:eastAsia="en-US"/>
        </w:rPr>
        <w:t xml:space="preserve">Atliekant DINAMO tyrimą, gydyti 157 vaikai, kurių amžius 10 metų ir vyresni, sergantys 2 tipo cukriniu diabetu; iš jų 52 pacientai vartojo </w:t>
      </w:r>
      <w:proofErr w:type="spellStart"/>
      <w:r>
        <w:rPr>
          <w:bCs/>
          <w:sz w:val="22"/>
          <w:szCs w:val="22"/>
          <w:lang w:eastAsia="en-US"/>
        </w:rPr>
        <w:t>empaglifloziną</w:t>
      </w:r>
      <w:proofErr w:type="spellEnd"/>
      <w:r>
        <w:rPr>
          <w:bCs/>
          <w:sz w:val="22"/>
          <w:szCs w:val="22"/>
          <w:lang w:eastAsia="en-US"/>
        </w:rPr>
        <w:t xml:space="preserve">, 52 – </w:t>
      </w:r>
      <w:proofErr w:type="spellStart"/>
      <w:r>
        <w:rPr>
          <w:bCs/>
          <w:sz w:val="22"/>
          <w:szCs w:val="22"/>
          <w:lang w:eastAsia="en-US"/>
        </w:rPr>
        <w:t>linagliptiną</w:t>
      </w:r>
      <w:proofErr w:type="spellEnd"/>
      <w:r>
        <w:rPr>
          <w:bCs/>
          <w:sz w:val="22"/>
          <w:szCs w:val="22"/>
          <w:lang w:eastAsia="en-US"/>
        </w:rPr>
        <w:t xml:space="preserve">, o 53 – placebą (žr. 5.1 skyrių). Placebu kontroliuojamos fazės metu dažniausiai pasitaikiusi nepageidaujama reakcija į vaistinį preparatą buvo hipoglikemija (10 mg ir 25 mg </w:t>
      </w:r>
      <w:proofErr w:type="spellStart"/>
      <w:r>
        <w:rPr>
          <w:bCs/>
          <w:sz w:val="22"/>
          <w:szCs w:val="22"/>
          <w:lang w:eastAsia="en-US"/>
        </w:rPr>
        <w:t>empagliflozino</w:t>
      </w:r>
      <w:proofErr w:type="spellEnd"/>
      <w:r>
        <w:rPr>
          <w:bCs/>
          <w:sz w:val="22"/>
          <w:szCs w:val="22"/>
          <w:lang w:eastAsia="en-US"/>
        </w:rPr>
        <w:t xml:space="preserve"> jungtiniai duomenys: 23,1 %, placebas: 9,4 %). Nė vienas atvejis nebuvo sunkus ar reikalaujantis </w:t>
      </w:r>
      <w:r w:rsidR="00CE7A2A">
        <w:rPr>
          <w:bCs/>
          <w:sz w:val="22"/>
          <w:szCs w:val="22"/>
          <w:lang w:eastAsia="en-US"/>
        </w:rPr>
        <w:t xml:space="preserve">medicininio </w:t>
      </w:r>
      <w:r>
        <w:rPr>
          <w:bCs/>
          <w:sz w:val="22"/>
          <w:szCs w:val="22"/>
          <w:lang w:eastAsia="en-US"/>
        </w:rPr>
        <w:t>gydymo.</w:t>
      </w:r>
    </w:p>
    <w:p w14:paraId="548C753A" w14:textId="77777777" w:rsidR="003B31DC" w:rsidRDefault="003B31DC">
      <w:pPr>
        <w:widowControl w:val="0"/>
        <w:tabs>
          <w:tab w:val="left" w:pos="567"/>
        </w:tabs>
        <w:jc w:val="both"/>
        <w:rPr>
          <w:sz w:val="22"/>
          <w:szCs w:val="22"/>
          <w:u w:val="single"/>
          <w:lang w:eastAsia="en-US"/>
        </w:rPr>
      </w:pPr>
    </w:p>
    <w:p w14:paraId="2B7A14AD" w14:textId="77777777" w:rsidR="003B31DC" w:rsidRDefault="00913CBE">
      <w:pPr>
        <w:widowControl w:val="0"/>
        <w:tabs>
          <w:tab w:val="left" w:pos="567"/>
        </w:tabs>
        <w:jc w:val="both"/>
        <w:rPr>
          <w:sz w:val="22"/>
          <w:szCs w:val="22"/>
          <w:lang w:eastAsia="en-US"/>
        </w:rPr>
      </w:pPr>
      <w:r>
        <w:rPr>
          <w:sz w:val="22"/>
          <w:szCs w:val="22"/>
          <w:lang w:eastAsia="en-US"/>
        </w:rPr>
        <w:t>Iš esmės, vaikams nustatyti saugumo duomenys buvo panašūs į 2 tipo cukriniu diabetu sergančių suaugusiųjų saugumo duomenis.</w:t>
      </w:r>
    </w:p>
    <w:p w14:paraId="05780C30" w14:textId="77777777" w:rsidR="003B31DC" w:rsidRDefault="003B31DC">
      <w:pPr>
        <w:widowControl w:val="0"/>
        <w:tabs>
          <w:tab w:val="left" w:pos="567"/>
        </w:tabs>
        <w:jc w:val="both"/>
        <w:rPr>
          <w:sz w:val="22"/>
          <w:szCs w:val="22"/>
          <w:u w:val="single"/>
          <w:lang w:eastAsia="en-US"/>
        </w:rPr>
      </w:pPr>
    </w:p>
    <w:p w14:paraId="69785105" w14:textId="77777777" w:rsidR="003B31DC" w:rsidRDefault="00913CBE">
      <w:pPr>
        <w:widowControl w:val="0"/>
        <w:tabs>
          <w:tab w:val="left" w:pos="567"/>
        </w:tabs>
        <w:jc w:val="both"/>
        <w:rPr>
          <w:sz w:val="22"/>
          <w:szCs w:val="22"/>
          <w:u w:val="single"/>
          <w:lang w:eastAsia="en-US"/>
        </w:rPr>
      </w:pPr>
      <w:r>
        <w:rPr>
          <w:sz w:val="22"/>
          <w:szCs w:val="22"/>
          <w:u w:val="single"/>
          <w:lang w:eastAsia="en-US"/>
        </w:rPr>
        <w:t>Pranešimas apie įtariamas nepageidaujamas reakcijas</w:t>
      </w:r>
    </w:p>
    <w:p w14:paraId="47C926E0" w14:textId="77777777" w:rsidR="003B31DC" w:rsidRDefault="00913CBE">
      <w:pPr>
        <w:widowControl w:val="0"/>
        <w:tabs>
          <w:tab w:val="left" w:pos="567"/>
        </w:tabs>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en-US"/>
        </w:rPr>
        <w:t>https://vvkt.lrv.lt/lt/</w:t>
      </w:r>
      <w:r>
        <w:rPr>
          <w:color w:val="0000EE"/>
          <w:sz w:val="22"/>
          <w:szCs w:val="22"/>
          <w:lang w:eastAsia="en-US"/>
        </w:rPr>
        <w:t xml:space="preserve"> </w:t>
      </w:r>
      <w:r>
        <w:rPr>
          <w:sz w:val="22"/>
          <w:szCs w:val="22"/>
          <w:lang w:eastAsia="en-US"/>
        </w:rPr>
        <w:t>nurodytais būdais.</w:t>
      </w:r>
    </w:p>
    <w:p w14:paraId="0AE53519" w14:textId="77777777" w:rsidR="003B31DC" w:rsidRDefault="003B31DC">
      <w:pPr>
        <w:widowControl w:val="0"/>
        <w:autoSpaceDE w:val="0"/>
        <w:autoSpaceDN w:val="0"/>
        <w:adjustRightInd w:val="0"/>
        <w:rPr>
          <w:bCs/>
          <w:sz w:val="22"/>
          <w:szCs w:val="22"/>
          <w:u w:val="single"/>
          <w:lang w:eastAsia="en-US"/>
        </w:rPr>
      </w:pPr>
    </w:p>
    <w:p w14:paraId="1632ABC5" w14:textId="77777777" w:rsidR="003B31DC" w:rsidRDefault="00913CBE">
      <w:pPr>
        <w:widowControl w:val="0"/>
        <w:tabs>
          <w:tab w:val="left" w:pos="567"/>
        </w:tabs>
        <w:ind w:left="567" w:hanging="567"/>
        <w:outlineLvl w:val="2"/>
        <w:rPr>
          <w:b/>
          <w:kern w:val="28"/>
          <w:sz w:val="22"/>
          <w:szCs w:val="22"/>
          <w:lang w:eastAsia="en-US"/>
        </w:rPr>
      </w:pPr>
      <w:r>
        <w:rPr>
          <w:b/>
          <w:kern w:val="28"/>
          <w:sz w:val="22"/>
          <w:szCs w:val="22"/>
          <w:lang w:eastAsia="en-US"/>
        </w:rPr>
        <w:t>4.9</w:t>
      </w:r>
      <w:r>
        <w:rPr>
          <w:b/>
          <w:kern w:val="28"/>
          <w:sz w:val="22"/>
          <w:szCs w:val="22"/>
          <w:lang w:eastAsia="en-US"/>
        </w:rPr>
        <w:tab/>
        <w:t>Perdozavimas</w:t>
      </w:r>
    </w:p>
    <w:p w14:paraId="30F45412" w14:textId="77777777" w:rsidR="003B31DC" w:rsidRDefault="003B31DC">
      <w:pPr>
        <w:widowControl w:val="0"/>
        <w:tabs>
          <w:tab w:val="left" w:pos="540"/>
        </w:tabs>
        <w:autoSpaceDE w:val="0"/>
        <w:autoSpaceDN w:val="0"/>
        <w:adjustRightInd w:val="0"/>
        <w:rPr>
          <w:sz w:val="22"/>
          <w:szCs w:val="22"/>
          <w:u w:val="single"/>
          <w:lang w:eastAsia="sl-SI"/>
        </w:rPr>
      </w:pPr>
    </w:p>
    <w:p w14:paraId="284A1686"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Simptomai</w:t>
      </w:r>
    </w:p>
    <w:p w14:paraId="3D4EE04E" w14:textId="77777777" w:rsidR="003B31DC" w:rsidRDefault="003B31DC">
      <w:pPr>
        <w:autoSpaceDE w:val="0"/>
        <w:autoSpaceDN w:val="0"/>
        <w:adjustRightInd w:val="0"/>
        <w:rPr>
          <w:rFonts w:eastAsiaTheme="minorHAnsi"/>
          <w:color w:val="000000"/>
          <w:sz w:val="22"/>
          <w:szCs w:val="22"/>
          <w:lang w:eastAsia="en-US"/>
        </w:rPr>
      </w:pPr>
    </w:p>
    <w:p w14:paraId="15FFF112" w14:textId="77777777" w:rsidR="003B31DC" w:rsidRDefault="00913CBE">
      <w:pPr>
        <w:autoSpaceDE w:val="0"/>
        <w:autoSpaceDN w:val="0"/>
        <w:adjustRightInd w:val="0"/>
        <w:rPr>
          <w:rFonts w:eastAsiaTheme="minorHAnsi"/>
          <w:i/>
          <w:iCs/>
          <w:color w:val="000000"/>
          <w:sz w:val="22"/>
          <w:szCs w:val="22"/>
          <w:u w:val="single"/>
          <w:lang w:eastAsia="en-US"/>
        </w:rPr>
      </w:pPr>
      <w:proofErr w:type="spellStart"/>
      <w:r>
        <w:rPr>
          <w:rFonts w:eastAsiaTheme="minorHAnsi"/>
          <w:i/>
          <w:iCs/>
          <w:color w:val="000000"/>
          <w:sz w:val="22"/>
          <w:szCs w:val="22"/>
          <w:u w:val="single"/>
          <w:lang w:eastAsia="en-US"/>
        </w:rPr>
        <w:t>Empagliflozinas</w:t>
      </w:r>
      <w:proofErr w:type="spellEnd"/>
    </w:p>
    <w:p w14:paraId="16D00620" w14:textId="552CA13A"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Kontroliuojamų klinikinių tyrimų metu sveikiems savanoriams mažesnės negu 800 mg vienkartinės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dozės (t. y. 32 kartus didesnės už didžiausią rekomenduojamą paros dozę) ir mažesnės kaip 100 mg daugkartinės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paros dozes (t. y. 4 kartus didesnės už didžiausią rekomenduojamą paros dozę) pacientams, sergantiems 2 tipo cukriniu diabetu, toksinio poveikio nesukėlė.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padidino gliukozės išskyrimą su šlapimu, todėl padidėjo šlapimo kiekis. Nustatytas šlapimo kiekio padidėjimas nepriklausė nuo dozės ir nebuvo kliniškai reikšmingas. Žmonių gydymo didesnėmis negu 800 mg dozėmis patirties nėra.</w:t>
      </w:r>
    </w:p>
    <w:p w14:paraId="4587B126" w14:textId="77777777" w:rsidR="003B31DC" w:rsidRDefault="003B31DC">
      <w:pPr>
        <w:autoSpaceDE w:val="0"/>
        <w:autoSpaceDN w:val="0"/>
        <w:adjustRightInd w:val="0"/>
        <w:rPr>
          <w:rFonts w:eastAsiaTheme="minorHAnsi"/>
          <w:color w:val="000000"/>
          <w:sz w:val="22"/>
          <w:szCs w:val="22"/>
          <w:lang w:eastAsia="en-US"/>
        </w:rPr>
      </w:pPr>
    </w:p>
    <w:p w14:paraId="01A3C923" w14:textId="77777777" w:rsidR="003B31DC" w:rsidRDefault="00913CBE">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Metforminas</w:t>
      </w:r>
    </w:p>
    <w:p w14:paraId="0367FE63" w14:textId="2C3220B6"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Vartojant mažesnes negu 85 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dozes, hipoglikemijos atvejų nebuvo, nors esant tokiom</w:t>
      </w:r>
      <w:r w:rsidR="005A35F4">
        <w:rPr>
          <w:rFonts w:eastAsiaTheme="minorHAnsi"/>
          <w:color w:val="000000"/>
          <w:sz w:val="22"/>
          <w:szCs w:val="22"/>
          <w:lang w:eastAsia="en-US"/>
        </w:rPr>
        <w:t>i</w:t>
      </w:r>
      <w:r>
        <w:rPr>
          <w:rFonts w:eastAsiaTheme="minorHAnsi"/>
          <w:color w:val="000000"/>
          <w:sz w:val="22"/>
          <w:szCs w:val="22"/>
          <w:lang w:eastAsia="en-US"/>
        </w:rPr>
        <w:t>s aplinkybė</w:t>
      </w:r>
      <w:r w:rsidR="00A109C6">
        <w:rPr>
          <w:rFonts w:eastAsiaTheme="minorHAnsi"/>
          <w:color w:val="000000"/>
          <w:sz w:val="22"/>
          <w:szCs w:val="22"/>
          <w:lang w:eastAsia="en-US"/>
        </w:rPr>
        <w:t>mi</w:t>
      </w:r>
      <w:r>
        <w:rPr>
          <w:rFonts w:eastAsiaTheme="minorHAnsi"/>
          <w:color w:val="000000"/>
          <w:sz w:val="22"/>
          <w:szCs w:val="22"/>
          <w:lang w:eastAsia="en-US"/>
        </w:rPr>
        <w:t xml:space="preserve">s </w:t>
      </w:r>
      <w:r w:rsidR="00A109C6">
        <w:rPr>
          <w:rFonts w:eastAsiaTheme="minorHAnsi"/>
          <w:color w:val="000000"/>
          <w:sz w:val="22"/>
          <w:szCs w:val="22"/>
          <w:lang w:eastAsia="en-US"/>
        </w:rPr>
        <w:t xml:space="preserve">pasireiškė </w:t>
      </w: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Smarkiai perdozavus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ar esant lydinčioms rizikingomis aplinkybėmis, gali pasireikšti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yra skubios medicininės pagalbos reikalaujanti sveikatos būklė ir turi būti gydoma ligoninėje (žr. 4.4 ir 4.5 skyrius).</w:t>
      </w:r>
    </w:p>
    <w:p w14:paraId="4796D80F" w14:textId="77777777" w:rsidR="003B31DC" w:rsidRDefault="003B31DC">
      <w:pPr>
        <w:autoSpaceDE w:val="0"/>
        <w:autoSpaceDN w:val="0"/>
        <w:adjustRightInd w:val="0"/>
        <w:rPr>
          <w:rFonts w:eastAsiaTheme="minorHAnsi"/>
          <w:color w:val="000000"/>
          <w:sz w:val="22"/>
          <w:szCs w:val="22"/>
          <w:lang w:eastAsia="en-US"/>
        </w:rPr>
      </w:pPr>
    </w:p>
    <w:p w14:paraId="00EB905A"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Gydymas</w:t>
      </w:r>
    </w:p>
    <w:p w14:paraId="680D7933" w14:textId="77777777" w:rsidR="003B31DC" w:rsidRDefault="003B31DC">
      <w:pPr>
        <w:autoSpaceDE w:val="0"/>
        <w:autoSpaceDN w:val="0"/>
        <w:adjustRightInd w:val="0"/>
        <w:rPr>
          <w:rFonts w:eastAsiaTheme="minorHAnsi"/>
          <w:color w:val="000000"/>
          <w:sz w:val="22"/>
          <w:szCs w:val="22"/>
          <w:lang w:eastAsia="en-US"/>
        </w:rPr>
      </w:pPr>
    </w:p>
    <w:p w14:paraId="67EF95AF" w14:textId="1F1A3D76"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Perdozavus reikia pradėti taikyti gydymą, atsižvelgiant į paciento klinikinę būklę. Hemodializė yra veiksmingiausias būdas laktatui ir </w:t>
      </w:r>
      <w:proofErr w:type="spellStart"/>
      <w:r>
        <w:rPr>
          <w:rFonts w:eastAsiaTheme="minorHAnsi"/>
          <w:color w:val="000000"/>
          <w:sz w:val="22"/>
          <w:szCs w:val="22"/>
          <w:lang w:eastAsia="en-US"/>
        </w:rPr>
        <w:t>metforminui</w:t>
      </w:r>
      <w:proofErr w:type="spellEnd"/>
      <w:r>
        <w:rPr>
          <w:rFonts w:eastAsiaTheme="minorHAnsi"/>
          <w:color w:val="000000"/>
          <w:sz w:val="22"/>
          <w:szCs w:val="22"/>
          <w:lang w:eastAsia="en-US"/>
        </w:rPr>
        <w:t xml:space="preserve"> </w:t>
      </w:r>
      <w:r w:rsidR="00BF5605">
        <w:rPr>
          <w:rFonts w:eastAsiaTheme="minorHAnsi"/>
          <w:color w:val="000000"/>
          <w:sz w:val="22"/>
          <w:szCs w:val="22"/>
          <w:lang w:eastAsia="en-US"/>
        </w:rPr>
        <w:t>pa</w:t>
      </w:r>
      <w:r>
        <w:rPr>
          <w:rFonts w:eastAsiaTheme="minorHAnsi"/>
          <w:color w:val="000000"/>
          <w:sz w:val="22"/>
          <w:szCs w:val="22"/>
          <w:lang w:eastAsia="en-US"/>
        </w:rPr>
        <w:t xml:space="preserve">šalinti.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šalinimas hemodialize netirtas.</w:t>
      </w:r>
    </w:p>
    <w:p w14:paraId="6D4E3F0D" w14:textId="77777777" w:rsidR="003B31DC" w:rsidRDefault="003B31DC">
      <w:pPr>
        <w:widowControl w:val="0"/>
        <w:ind w:left="567" w:hanging="567"/>
        <w:rPr>
          <w:sz w:val="22"/>
          <w:szCs w:val="22"/>
          <w:lang w:eastAsia="en-US"/>
        </w:rPr>
      </w:pPr>
    </w:p>
    <w:p w14:paraId="6DD5C5D0" w14:textId="77777777" w:rsidR="003B31DC" w:rsidRDefault="00913CBE">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3D12B293" w14:textId="77777777" w:rsidR="003B31DC" w:rsidRDefault="003B31DC">
      <w:pPr>
        <w:widowControl w:val="0"/>
        <w:ind w:left="567" w:hanging="567"/>
        <w:rPr>
          <w:sz w:val="22"/>
          <w:szCs w:val="22"/>
          <w:lang w:eastAsia="en-US"/>
        </w:rPr>
      </w:pPr>
    </w:p>
    <w:p w14:paraId="11598E8B" w14:textId="77777777" w:rsidR="003B31DC" w:rsidRDefault="00913CBE">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33BE1582" w14:textId="77777777" w:rsidR="003B31DC" w:rsidRDefault="003B31DC">
      <w:pPr>
        <w:widowControl w:val="0"/>
        <w:ind w:left="567" w:hanging="567"/>
        <w:rPr>
          <w:sz w:val="22"/>
          <w:szCs w:val="22"/>
          <w:lang w:eastAsia="en-US"/>
        </w:rPr>
      </w:pPr>
    </w:p>
    <w:p w14:paraId="1E4BD9BF" w14:textId="77777777" w:rsidR="003B31DC" w:rsidRDefault="00913CBE">
      <w:pPr>
        <w:widowControl w:val="0"/>
        <w:autoSpaceDE w:val="0"/>
        <w:autoSpaceDN w:val="0"/>
        <w:adjustRightInd w:val="0"/>
        <w:rPr>
          <w:sz w:val="22"/>
          <w:szCs w:val="22"/>
          <w:lang w:eastAsia="en-US"/>
        </w:rPr>
      </w:pPr>
      <w:proofErr w:type="spellStart"/>
      <w:r>
        <w:rPr>
          <w:sz w:val="22"/>
          <w:szCs w:val="22"/>
          <w:lang w:eastAsia="en-US"/>
        </w:rPr>
        <w:t>Farmakoterapinė</w:t>
      </w:r>
      <w:proofErr w:type="spellEnd"/>
      <w:r>
        <w:rPr>
          <w:sz w:val="22"/>
          <w:szCs w:val="22"/>
          <w:lang w:eastAsia="en-US"/>
        </w:rPr>
        <w:t xml:space="preserve"> grupė – Vaistai cukriniam diabetui gydyti, geriamųjų gliukozės kiekį kraujyje mažinančių vaistų deriniai, ATC kodas – A10BD20.</w:t>
      </w:r>
    </w:p>
    <w:p w14:paraId="5EED2CBB" w14:textId="77777777" w:rsidR="003B31DC" w:rsidRDefault="003B31DC">
      <w:pPr>
        <w:widowControl w:val="0"/>
        <w:autoSpaceDE w:val="0"/>
        <w:autoSpaceDN w:val="0"/>
        <w:adjustRightInd w:val="0"/>
        <w:rPr>
          <w:sz w:val="22"/>
          <w:szCs w:val="22"/>
          <w:lang w:eastAsia="en-US"/>
        </w:rPr>
      </w:pPr>
    </w:p>
    <w:p w14:paraId="4BD9F28D" w14:textId="77777777" w:rsidR="003B31DC" w:rsidRDefault="00913CBE">
      <w:pPr>
        <w:widowControl w:val="0"/>
        <w:rPr>
          <w:sz w:val="22"/>
          <w:szCs w:val="22"/>
          <w:u w:val="single"/>
          <w:lang w:eastAsia="en-US"/>
        </w:rPr>
      </w:pPr>
      <w:r>
        <w:rPr>
          <w:sz w:val="22"/>
          <w:szCs w:val="22"/>
          <w:u w:val="single"/>
          <w:lang w:eastAsia="en-US"/>
        </w:rPr>
        <w:t>Veikimo mechanizmas</w:t>
      </w:r>
    </w:p>
    <w:p w14:paraId="033AE54A" w14:textId="77777777" w:rsidR="003B31DC" w:rsidRDefault="003B31DC">
      <w:pPr>
        <w:widowControl w:val="0"/>
        <w:rPr>
          <w:sz w:val="22"/>
          <w:szCs w:val="22"/>
          <w:u w:val="single"/>
          <w:lang w:eastAsia="en-US"/>
        </w:rPr>
      </w:pPr>
    </w:p>
    <w:p w14:paraId="057B081A" w14:textId="7E0C1E43" w:rsidR="003B31DC" w:rsidRDefault="00913CBE">
      <w:pPr>
        <w:widowControl w:val="0"/>
        <w:rPr>
          <w:sz w:val="22"/>
          <w:szCs w:val="22"/>
          <w:lang w:eastAsia="en-US"/>
        </w:rPr>
      </w:pPr>
      <w:proofErr w:type="spellStart"/>
      <w:r>
        <w:rPr>
          <w:sz w:val="22"/>
          <w:szCs w:val="22"/>
          <w:lang w:eastAsia="en-US"/>
        </w:rPr>
        <w:t>Mempoglyn</w:t>
      </w:r>
      <w:proofErr w:type="spellEnd"/>
      <w:r>
        <w:rPr>
          <w:sz w:val="22"/>
          <w:szCs w:val="22"/>
          <w:lang w:eastAsia="en-US"/>
        </w:rPr>
        <w:t xml:space="preserve"> sudėtyje yra du </w:t>
      </w:r>
      <w:proofErr w:type="spellStart"/>
      <w:r>
        <w:rPr>
          <w:sz w:val="22"/>
          <w:szCs w:val="22"/>
          <w:lang w:eastAsia="en-US"/>
        </w:rPr>
        <w:t>antihiperglikeminiai</w:t>
      </w:r>
      <w:proofErr w:type="spellEnd"/>
      <w:r>
        <w:rPr>
          <w:sz w:val="22"/>
          <w:szCs w:val="22"/>
          <w:lang w:eastAsia="en-US"/>
        </w:rPr>
        <w:t xml:space="preserve"> vaistiniai preparatai, kurie dėl vienas kitą papildančio veikimo mechanizmo gerina </w:t>
      </w:r>
      <w:proofErr w:type="spellStart"/>
      <w:r>
        <w:rPr>
          <w:sz w:val="22"/>
          <w:szCs w:val="22"/>
          <w:lang w:eastAsia="en-US"/>
        </w:rPr>
        <w:t>glikemijos</w:t>
      </w:r>
      <w:proofErr w:type="spellEnd"/>
      <w:r>
        <w:rPr>
          <w:sz w:val="22"/>
          <w:szCs w:val="22"/>
          <w:lang w:eastAsia="en-US"/>
        </w:rPr>
        <w:t xml:space="preserve"> kontrolę 2 tipo cukriniu diabetu sergantiems pacientams, t. y. natrio </w:t>
      </w:r>
      <w:r w:rsidR="00937340">
        <w:rPr>
          <w:sz w:val="22"/>
          <w:szCs w:val="22"/>
          <w:lang w:eastAsia="en-US"/>
        </w:rPr>
        <w:t xml:space="preserve">ir </w:t>
      </w:r>
      <w:r>
        <w:rPr>
          <w:sz w:val="22"/>
          <w:szCs w:val="22"/>
          <w:lang w:eastAsia="en-US"/>
        </w:rPr>
        <w:t xml:space="preserve">gliukozės </w:t>
      </w:r>
      <w:r w:rsidR="00937340">
        <w:rPr>
          <w:sz w:val="22"/>
          <w:szCs w:val="22"/>
          <w:lang w:eastAsia="en-US"/>
        </w:rPr>
        <w:t xml:space="preserve">vienakrypčio transporto </w:t>
      </w:r>
      <w:r>
        <w:rPr>
          <w:sz w:val="22"/>
          <w:szCs w:val="22"/>
          <w:lang w:eastAsia="en-US"/>
        </w:rPr>
        <w:t>2</w:t>
      </w:r>
      <w:r w:rsidR="002C1B56">
        <w:rPr>
          <w:sz w:val="22"/>
          <w:szCs w:val="22"/>
          <w:lang w:eastAsia="en-US"/>
        </w:rPr>
        <w:t>-ojo nešiklio</w:t>
      </w:r>
      <w:r>
        <w:rPr>
          <w:sz w:val="22"/>
          <w:szCs w:val="22"/>
          <w:lang w:eastAsia="en-US"/>
        </w:rPr>
        <w:t xml:space="preserve"> (SGLT2) inhibitorius </w:t>
      </w:r>
      <w:proofErr w:type="spellStart"/>
      <w:r>
        <w:rPr>
          <w:sz w:val="22"/>
          <w:szCs w:val="22"/>
          <w:lang w:eastAsia="en-US"/>
        </w:rPr>
        <w:t>empagliflozinas</w:t>
      </w:r>
      <w:proofErr w:type="spellEnd"/>
      <w:r>
        <w:rPr>
          <w:sz w:val="22"/>
          <w:szCs w:val="22"/>
          <w:lang w:eastAsia="en-US"/>
        </w:rPr>
        <w:t xml:space="preserve"> ir </w:t>
      </w:r>
      <w:proofErr w:type="spellStart"/>
      <w:r>
        <w:rPr>
          <w:sz w:val="22"/>
          <w:szCs w:val="22"/>
          <w:lang w:eastAsia="en-US"/>
        </w:rPr>
        <w:t>biguanidų</w:t>
      </w:r>
      <w:proofErr w:type="spellEnd"/>
      <w:r>
        <w:rPr>
          <w:sz w:val="22"/>
          <w:szCs w:val="22"/>
          <w:lang w:eastAsia="en-US"/>
        </w:rPr>
        <w:t xml:space="preserve"> grupės atstovas </w:t>
      </w:r>
      <w:proofErr w:type="spellStart"/>
      <w:r>
        <w:rPr>
          <w:sz w:val="22"/>
          <w:szCs w:val="22"/>
          <w:lang w:eastAsia="en-US"/>
        </w:rPr>
        <w:t>metformino</w:t>
      </w:r>
      <w:proofErr w:type="spellEnd"/>
      <w:r>
        <w:rPr>
          <w:sz w:val="22"/>
          <w:szCs w:val="22"/>
          <w:lang w:eastAsia="en-US"/>
        </w:rPr>
        <w:t xml:space="preserve"> hidrochloridas.</w:t>
      </w:r>
    </w:p>
    <w:p w14:paraId="5BF2741C" w14:textId="77777777" w:rsidR="003B31DC" w:rsidRDefault="003B31DC">
      <w:pPr>
        <w:widowControl w:val="0"/>
        <w:rPr>
          <w:sz w:val="22"/>
          <w:szCs w:val="22"/>
          <w:lang w:eastAsia="en-US"/>
        </w:rPr>
      </w:pPr>
    </w:p>
    <w:p w14:paraId="7F5D3C83" w14:textId="77777777" w:rsidR="003B31DC" w:rsidRDefault="00913CBE">
      <w:pPr>
        <w:widowControl w:val="0"/>
        <w:rPr>
          <w:i/>
          <w:iCs/>
          <w:sz w:val="22"/>
          <w:szCs w:val="22"/>
          <w:u w:val="single"/>
          <w:lang w:eastAsia="en-US"/>
        </w:rPr>
      </w:pPr>
      <w:proofErr w:type="spellStart"/>
      <w:r>
        <w:rPr>
          <w:i/>
          <w:iCs/>
          <w:sz w:val="22"/>
          <w:szCs w:val="22"/>
          <w:u w:val="single"/>
          <w:lang w:eastAsia="en-US"/>
        </w:rPr>
        <w:t>Empagliflozinas</w:t>
      </w:r>
      <w:proofErr w:type="spellEnd"/>
    </w:p>
    <w:p w14:paraId="36E76327" w14:textId="77777777" w:rsidR="003B31DC" w:rsidRDefault="003B31DC">
      <w:pPr>
        <w:widowControl w:val="0"/>
        <w:rPr>
          <w:sz w:val="22"/>
          <w:szCs w:val="22"/>
          <w:lang w:eastAsia="en-US"/>
        </w:rPr>
      </w:pPr>
    </w:p>
    <w:p w14:paraId="65D3A8DB" w14:textId="729BDC4B" w:rsidR="003B31DC" w:rsidRDefault="00913CBE">
      <w:pPr>
        <w:widowControl w:val="0"/>
        <w:rPr>
          <w:sz w:val="22"/>
          <w:szCs w:val="22"/>
          <w:lang w:eastAsia="en-US"/>
        </w:rPr>
      </w:pPr>
      <w:proofErr w:type="spellStart"/>
      <w:r>
        <w:rPr>
          <w:sz w:val="22"/>
          <w:szCs w:val="22"/>
          <w:lang w:eastAsia="en-US"/>
        </w:rPr>
        <w:t>Empagliflozinas</w:t>
      </w:r>
      <w:proofErr w:type="spellEnd"/>
      <w:r>
        <w:rPr>
          <w:sz w:val="22"/>
          <w:szCs w:val="22"/>
          <w:lang w:eastAsia="en-US"/>
        </w:rPr>
        <w:t xml:space="preserve"> yra grįžtamojo</w:t>
      </w:r>
      <w:r w:rsidR="0019480C">
        <w:rPr>
          <w:sz w:val="22"/>
          <w:szCs w:val="22"/>
          <w:lang w:eastAsia="en-US"/>
        </w:rPr>
        <w:t xml:space="preserve"> poveikio</w:t>
      </w:r>
      <w:r>
        <w:rPr>
          <w:sz w:val="22"/>
          <w:szCs w:val="22"/>
          <w:lang w:eastAsia="en-US"/>
        </w:rPr>
        <w:t xml:space="preserve">, labai stipraus (IC50: 1,3 </w:t>
      </w:r>
      <w:proofErr w:type="spellStart"/>
      <w:r>
        <w:rPr>
          <w:sz w:val="22"/>
          <w:szCs w:val="22"/>
          <w:lang w:eastAsia="en-US"/>
        </w:rPr>
        <w:t>nmol</w:t>
      </w:r>
      <w:proofErr w:type="spellEnd"/>
      <w:r>
        <w:rPr>
          <w:sz w:val="22"/>
          <w:szCs w:val="22"/>
          <w:lang w:eastAsia="en-US"/>
        </w:rPr>
        <w:t xml:space="preserve">), selektyvaus, konkurencinio veikimo SGLT2 inhibitorius. Kitų gliukozės nešiklių, kurie svarbūs gliukozei pernešti į periferinius audinius, </w:t>
      </w:r>
      <w:proofErr w:type="spellStart"/>
      <w:r>
        <w:rPr>
          <w:sz w:val="22"/>
          <w:szCs w:val="22"/>
          <w:lang w:eastAsia="en-US"/>
        </w:rPr>
        <w:t>empagliflozinas</w:t>
      </w:r>
      <w:proofErr w:type="spellEnd"/>
      <w:r>
        <w:rPr>
          <w:sz w:val="22"/>
          <w:szCs w:val="22"/>
          <w:lang w:eastAsia="en-US"/>
        </w:rPr>
        <w:t xml:space="preserve"> neslopina ir nešiklį SGLT2 veikia 5 000 kartų selektyviau negu nešiklį SGLT1, kuris yra svarbiausias nešiklis, atsakingas už gliukozės absorbciją žarnose. SGLT2 raiška yra labai didelė inkstuose, o kituose audiniuose jo raiškos visiškai nėra arba ji labai maža. Jis, kaip svarbiausias nešiklis, yra atsakingas už gliukozės reabsorbciją iš </w:t>
      </w:r>
      <w:proofErr w:type="spellStart"/>
      <w:r>
        <w:rPr>
          <w:sz w:val="22"/>
          <w:szCs w:val="22"/>
          <w:lang w:eastAsia="en-US"/>
        </w:rPr>
        <w:t>glomerulų</w:t>
      </w:r>
      <w:proofErr w:type="spellEnd"/>
      <w:r>
        <w:rPr>
          <w:sz w:val="22"/>
          <w:szCs w:val="22"/>
          <w:lang w:eastAsia="en-US"/>
        </w:rPr>
        <w:t xml:space="preserve"> filtrato atgal į kraujotaką. Pacientų, sergančių 2 tipo cukriniu diabetu ir </w:t>
      </w:r>
      <w:r w:rsidR="00A36B6E">
        <w:rPr>
          <w:sz w:val="22"/>
          <w:szCs w:val="22"/>
          <w:lang w:eastAsia="en-US"/>
        </w:rPr>
        <w:t xml:space="preserve">kuriems pasireiškia </w:t>
      </w:r>
      <w:r>
        <w:rPr>
          <w:sz w:val="22"/>
          <w:szCs w:val="22"/>
          <w:lang w:eastAsia="en-US"/>
        </w:rPr>
        <w:t xml:space="preserve">hiperglikemija, organizme filtruojamas ir </w:t>
      </w:r>
      <w:proofErr w:type="spellStart"/>
      <w:r>
        <w:rPr>
          <w:sz w:val="22"/>
          <w:szCs w:val="22"/>
          <w:lang w:eastAsia="en-US"/>
        </w:rPr>
        <w:t>reabsorbuojamas</w:t>
      </w:r>
      <w:proofErr w:type="spellEnd"/>
      <w:r>
        <w:rPr>
          <w:sz w:val="22"/>
          <w:szCs w:val="22"/>
          <w:lang w:eastAsia="en-US"/>
        </w:rPr>
        <w:t xml:space="preserve"> didesnis gliukozės kiekis.</w:t>
      </w:r>
    </w:p>
    <w:p w14:paraId="0401C3A9" w14:textId="1279E94C" w:rsidR="003B31DC" w:rsidRDefault="00913CBE">
      <w:pPr>
        <w:widowControl w:val="0"/>
        <w:rPr>
          <w:sz w:val="22"/>
          <w:szCs w:val="22"/>
          <w:lang w:eastAsia="en-US"/>
        </w:rPr>
      </w:pPr>
      <w:proofErr w:type="spellStart"/>
      <w:r>
        <w:rPr>
          <w:sz w:val="22"/>
          <w:szCs w:val="22"/>
          <w:lang w:eastAsia="en-US"/>
        </w:rPr>
        <w:t>Empagliflozinas</w:t>
      </w:r>
      <w:proofErr w:type="spellEnd"/>
      <w:r>
        <w:rPr>
          <w:sz w:val="22"/>
          <w:szCs w:val="22"/>
          <w:lang w:eastAsia="en-US"/>
        </w:rPr>
        <w:t xml:space="preserve">, sumažindamas gliukozės reabsorbciją inkstuose, pagerina </w:t>
      </w:r>
      <w:proofErr w:type="spellStart"/>
      <w:r>
        <w:rPr>
          <w:sz w:val="22"/>
          <w:szCs w:val="22"/>
          <w:lang w:eastAsia="en-US"/>
        </w:rPr>
        <w:t>glikemijos</w:t>
      </w:r>
      <w:proofErr w:type="spellEnd"/>
      <w:r>
        <w:rPr>
          <w:sz w:val="22"/>
          <w:szCs w:val="22"/>
          <w:lang w:eastAsia="en-US"/>
        </w:rPr>
        <w:t xml:space="preserve"> kontrolę pacientams, sergantiems 2 tipo cukriniu diabetu. Gliukozės kiekis, kurį inkstai pašalina šiuo mechanizmu, priklauso nuo gliukozės koncentracijos kraujyje ir GFG. SGLT2 slopinimas pacientams, sergantiems 2 tipo cukriniu diabetu ir hiperglikemija, sukelia gliukozės pertekliaus išskyrimą su šlapimu. Be to, pradėjus </w:t>
      </w:r>
      <w:r w:rsidR="00F75025">
        <w:rPr>
          <w:sz w:val="22"/>
          <w:szCs w:val="22"/>
          <w:lang w:eastAsia="en-US"/>
        </w:rPr>
        <w:t xml:space="preserve">vartoti </w:t>
      </w:r>
      <w:proofErr w:type="spellStart"/>
      <w:r>
        <w:rPr>
          <w:sz w:val="22"/>
          <w:szCs w:val="22"/>
          <w:lang w:eastAsia="en-US"/>
        </w:rPr>
        <w:t>empagliflozin</w:t>
      </w:r>
      <w:r w:rsidR="0062023C">
        <w:rPr>
          <w:sz w:val="22"/>
          <w:szCs w:val="22"/>
          <w:lang w:eastAsia="en-US"/>
        </w:rPr>
        <w:t>ą</w:t>
      </w:r>
      <w:proofErr w:type="spellEnd"/>
      <w:r w:rsidR="0062023C">
        <w:rPr>
          <w:sz w:val="22"/>
          <w:szCs w:val="22"/>
          <w:lang w:eastAsia="en-US"/>
        </w:rPr>
        <w:t>,</w:t>
      </w:r>
      <w:r>
        <w:rPr>
          <w:sz w:val="22"/>
          <w:szCs w:val="22"/>
          <w:lang w:eastAsia="en-US"/>
        </w:rPr>
        <w:t xml:space="preserve"> padidėja natrio išskyrimas ir dėl to atsiranda osmo</w:t>
      </w:r>
      <w:r w:rsidR="0020208A">
        <w:rPr>
          <w:sz w:val="22"/>
          <w:szCs w:val="22"/>
          <w:lang w:eastAsia="en-US"/>
        </w:rPr>
        <w:t>s</w:t>
      </w:r>
      <w:r>
        <w:rPr>
          <w:sz w:val="22"/>
          <w:szCs w:val="22"/>
          <w:lang w:eastAsia="en-US"/>
        </w:rPr>
        <w:t xml:space="preserve">inė diurezė bei sumažėja </w:t>
      </w:r>
      <w:proofErr w:type="spellStart"/>
      <w:r>
        <w:rPr>
          <w:sz w:val="22"/>
          <w:szCs w:val="22"/>
          <w:lang w:eastAsia="en-US"/>
        </w:rPr>
        <w:t>intravaskulinis</w:t>
      </w:r>
      <w:proofErr w:type="spellEnd"/>
      <w:r>
        <w:rPr>
          <w:sz w:val="22"/>
          <w:szCs w:val="22"/>
          <w:lang w:eastAsia="en-US"/>
        </w:rPr>
        <w:t xml:space="preserve"> tūris.</w:t>
      </w:r>
    </w:p>
    <w:p w14:paraId="52BBE5A9" w14:textId="77777777" w:rsidR="003B31DC" w:rsidRDefault="003B31DC">
      <w:pPr>
        <w:widowControl w:val="0"/>
        <w:rPr>
          <w:sz w:val="22"/>
          <w:szCs w:val="22"/>
          <w:lang w:eastAsia="en-US"/>
        </w:rPr>
      </w:pPr>
    </w:p>
    <w:p w14:paraId="0D66783D" w14:textId="77777777" w:rsidR="003B31DC" w:rsidRDefault="00913CBE">
      <w:pPr>
        <w:widowControl w:val="0"/>
        <w:rPr>
          <w:sz w:val="22"/>
          <w:szCs w:val="22"/>
          <w:lang w:eastAsia="en-US"/>
        </w:rPr>
      </w:pPr>
      <w:r>
        <w:rPr>
          <w:sz w:val="22"/>
          <w:szCs w:val="22"/>
          <w:lang w:eastAsia="en-US"/>
        </w:rPr>
        <w:t xml:space="preserve">Pacientams, sergantiems 2 tipo cukriniu diabetu, gliukozės išskyrimas su šlapimu padidėja tuoj pat po pirmos </w:t>
      </w:r>
      <w:proofErr w:type="spellStart"/>
      <w:r>
        <w:rPr>
          <w:sz w:val="22"/>
          <w:szCs w:val="22"/>
          <w:lang w:eastAsia="en-US"/>
        </w:rPr>
        <w:t>empagliflozino</w:t>
      </w:r>
      <w:proofErr w:type="spellEnd"/>
      <w:r>
        <w:rPr>
          <w:sz w:val="22"/>
          <w:szCs w:val="22"/>
          <w:lang w:eastAsia="en-US"/>
        </w:rPr>
        <w:t xml:space="preserve"> dozės pavartojimo ir nenutrūksta per visą 24 valandų dozės intervalą. Vartojant 25 mg </w:t>
      </w:r>
      <w:proofErr w:type="spellStart"/>
      <w:r>
        <w:rPr>
          <w:sz w:val="22"/>
          <w:szCs w:val="22"/>
          <w:lang w:eastAsia="en-US"/>
        </w:rPr>
        <w:t>empagliflozino</w:t>
      </w:r>
      <w:proofErr w:type="spellEnd"/>
      <w:r>
        <w:rPr>
          <w:sz w:val="22"/>
          <w:szCs w:val="22"/>
          <w:lang w:eastAsia="en-US"/>
        </w:rPr>
        <w:t xml:space="preserve"> dozę, padidėjęs gliukozės išskyrimas su šlapimu išliko 4 savaičių gydymo laikotarpio pabaigoje ir buvo vidutiniškai 78 g per parą. Dėl padidėjusio gliukozės išskyrimo su šlapimu 2 tipo cukriniu diabetu sergantiems pacientams tuoj pat sumažėjo gliukozės kiekis kraujo plazmoje.</w:t>
      </w:r>
    </w:p>
    <w:p w14:paraId="2F1F6898" w14:textId="69F7B663" w:rsidR="003B31DC" w:rsidRDefault="00913CBE">
      <w:pPr>
        <w:widowControl w:val="0"/>
        <w:rPr>
          <w:sz w:val="22"/>
          <w:szCs w:val="22"/>
          <w:lang w:eastAsia="en-US"/>
        </w:rPr>
      </w:pPr>
      <w:proofErr w:type="spellStart"/>
      <w:r>
        <w:rPr>
          <w:sz w:val="22"/>
          <w:szCs w:val="22"/>
          <w:lang w:eastAsia="en-US"/>
        </w:rPr>
        <w:t>Empagliflozinas</w:t>
      </w:r>
      <w:proofErr w:type="spellEnd"/>
      <w:r>
        <w:rPr>
          <w:sz w:val="22"/>
          <w:szCs w:val="22"/>
          <w:lang w:eastAsia="en-US"/>
        </w:rPr>
        <w:t xml:space="preserve"> pagerina gliukozės kiekį kraujo plazmoje nevalgius ir po valgio. </w:t>
      </w:r>
      <w:proofErr w:type="spellStart"/>
      <w:r>
        <w:rPr>
          <w:sz w:val="22"/>
          <w:szCs w:val="22"/>
          <w:lang w:eastAsia="en-US"/>
        </w:rPr>
        <w:t>Empagliflozino</w:t>
      </w:r>
      <w:proofErr w:type="spellEnd"/>
      <w:r>
        <w:rPr>
          <w:sz w:val="22"/>
          <w:szCs w:val="22"/>
          <w:lang w:eastAsia="en-US"/>
        </w:rPr>
        <w:t xml:space="preserve"> veikimo mechanizmas nepriklauso nuo beta ląstelių funkcijos ir insulino apykaitos, todėl hipoglikemijos rizika yra maža. Buvo nustatytas pakaitinių beta ląstelių funkcijos žymenų, įskaitant kasos beta ląstelių funkcijos homeostazės modelio įvertinimą (angl. HOMA-β), pagerėjimas. Be to, gliukozės išsiskyrimas su šlapimu sukelia kalorijų netekimą, susijusį su kūno riebalų netekimu ir kūno svorio mažėjimu. </w:t>
      </w:r>
      <w:proofErr w:type="spellStart"/>
      <w:r>
        <w:rPr>
          <w:sz w:val="22"/>
          <w:szCs w:val="22"/>
          <w:lang w:eastAsia="en-US"/>
        </w:rPr>
        <w:t>Empagliflozino</w:t>
      </w:r>
      <w:proofErr w:type="spellEnd"/>
      <w:r>
        <w:rPr>
          <w:sz w:val="22"/>
          <w:szCs w:val="22"/>
          <w:lang w:eastAsia="en-US"/>
        </w:rPr>
        <w:t xml:space="preserve"> sukeltą </w:t>
      </w:r>
      <w:proofErr w:type="spellStart"/>
      <w:r>
        <w:rPr>
          <w:sz w:val="22"/>
          <w:szCs w:val="22"/>
          <w:lang w:eastAsia="en-US"/>
        </w:rPr>
        <w:t>gliukozuriją</w:t>
      </w:r>
      <w:proofErr w:type="spellEnd"/>
      <w:r>
        <w:rPr>
          <w:sz w:val="22"/>
          <w:szCs w:val="22"/>
          <w:lang w:eastAsia="en-US"/>
        </w:rPr>
        <w:t xml:space="preserve"> lydi nedidelė diurezė, kuri gali prisidėti prie ilgalaikio nedidelio kraujospūdžio sumažėjimo. Vartojant </w:t>
      </w:r>
      <w:proofErr w:type="spellStart"/>
      <w:r>
        <w:rPr>
          <w:sz w:val="22"/>
          <w:szCs w:val="22"/>
          <w:lang w:eastAsia="en-US"/>
        </w:rPr>
        <w:t>empaglifloziną</w:t>
      </w:r>
      <w:proofErr w:type="spellEnd"/>
      <w:r>
        <w:rPr>
          <w:sz w:val="22"/>
          <w:szCs w:val="22"/>
          <w:lang w:eastAsia="en-US"/>
        </w:rPr>
        <w:t xml:space="preserve"> stebimos </w:t>
      </w:r>
      <w:proofErr w:type="spellStart"/>
      <w:r>
        <w:rPr>
          <w:sz w:val="22"/>
          <w:szCs w:val="22"/>
          <w:lang w:eastAsia="en-US"/>
        </w:rPr>
        <w:t>gliukozurija</w:t>
      </w:r>
      <w:proofErr w:type="spellEnd"/>
      <w:r>
        <w:rPr>
          <w:sz w:val="22"/>
          <w:szCs w:val="22"/>
          <w:lang w:eastAsia="en-US"/>
        </w:rPr>
        <w:t xml:space="preserve">, </w:t>
      </w:r>
      <w:proofErr w:type="spellStart"/>
      <w:r>
        <w:rPr>
          <w:sz w:val="22"/>
          <w:szCs w:val="22"/>
          <w:lang w:eastAsia="en-US"/>
        </w:rPr>
        <w:t>natriurezė</w:t>
      </w:r>
      <w:proofErr w:type="spellEnd"/>
      <w:r>
        <w:rPr>
          <w:sz w:val="22"/>
          <w:szCs w:val="22"/>
          <w:lang w:eastAsia="en-US"/>
        </w:rPr>
        <w:t xml:space="preserve"> ir osmo</w:t>
      </w:r>
      <w:r w:rsidR="002522BB">
        <w:rPr>
          <w:sz w:val="22"/>
          <w:szCs w:val="22"/>
          <w:lang w:eastAsia="en-US"/>
        </w:rPr>
        <w:t>s</w:t>
      </w:r>
      <w:r>
        <w:rPr>
          <w:sz w:val="22"/>
          <w:szCs w:val="22"/>
          <w:lang w:eastAsia="en-US"/>
        </w:rPr>
        <w:t>inė diurezė gali turėti įtakos gerinant pasekmes širdies ir kraujagyslių sistemai.</w:t>
      </w:r>
    </w:p>
    <w:p w14:paraId="62FC5E0B" w14:textId="77777777" w:rsidR="003B31DC" w:rsidRDefault="003B31DC">
      <w:pPr>
        <w:widowControl w:val="0"/>
        <w:rPr>
          <w:i/>
          <w:iCs/>
          <w:sz w:val="22"/>
          <w:szCs w:val="22"/>
          <w:lang w:eastAsia="en-US"/>
        </w:rPr>
      </w:pPr>
    </w:p>
    <w:p w14:paraId="06B0A923" w14:textId="77777777" w:rsidR="003B31DC" w:rsidRDefault="00913CBE">
      <w:pPr>
        <w:widowControl w:val="0"/>
        <w:rPr>
          <w:i/>
          <w:iCs/>
          <w:sz w:val="22"/>
          <w:szCs w:val="22"/>
          <w:u w:val="single"/>
          <w:lang w:eastAsia="en-US"/>
        </w:rPr>
      </w:pPr>
      <w:r>
        <w:rPr>
          <w:i/>
          <w:iCs/>
          <w:sz w:val="22"/>
          <w:szCs w:val="22"/>
          <w:u w:val="single"/>
          <w:lang w:eastAsia="en-US"/>
        </w:rPr>
        <w:t>Metforminas</w:t>
      </w:r>
    </w:p>
    <w:p w14:paraId="42554EB9" w14:textId="77777777" w:rsidR="003B31DC" w:rsidRDefault="003B31DC">
      <w:pPr>
        <w:widowControl w:val="0"/>
        <w:rPr>
          <w:sz w:val="22"/>
          <w:szCs w:val="22"/>
          <w:lang w:eastAsia="en-US"/>
        </w:rPr>
      </w:pPr>
    </w:p>
    <w:p w14:paraId="5DB9F316" w14:textId="77777777" w:rsidR="003B31DC" w:rsidRDefault="00913CBE">
      <w:pPr>
        <w:widowControl w:val="0"/>
        <w:rPr>
          <w:sz w:val="22"/>
          <w:szCs w:val="22"/>
          <w:lang w:eastAsia="en-US"/>
        </w:rPr>
      </w:pPr>
      <w:r>
        <w:rPr>
          <w:sz w:val="22"/>
          <w:szCs w:val="22"/>
          <w:lang w:eastAsia="en-US"/>
        </w:rPr>
        <w:t xml:space="preserve">Metforminas yra </w:t>
      </w:r>
      <w:proofErr w:type="spellStart"/>
      <w:r>
        <w:rPr>
          <w:sz w:val="22"/>
          <w:szCs w:val="22"/>
          <w:lang w:eastAsia="en-US"/>
        </w:rPr>
        <w:t>antihiperglikeminio</w:t>
      </w:r>
      <w:proofErr w:type="spellEnd"/>
      <w:r>
        <w:rPr>
          <w:sz w:val="22"/>
          <w:szCs w:val="22"/>
          <w:lang w:eastAsia="en-US"/>
        </w:rPr>
        <w:t xml:space="preserve"> poveikio </w:t>
      </w:r>
      <w:proofErr w:type="spellStart"/>
      <w:r>
        <w:rPr>
          <w:sz w:val="22"/>
          <w:szCs w:val="22"/>
          <w:lang w:eastAsia="en-US"/>
        </w:rPr>
        <w:t>biguanidas</w:t>
      </w:r>
      <w:proofErr w:type="spellEnd"/>
      <w:r>
        <w:rPr>
          <w:sz w:val="22"/>
          <w:szCs w:val="22"/>
          <w:lang w:eastAsia="en-US"/>
        </w:rPr>
        <w:t>, mažinantis bazinį gliukozės kiekį kraujo plazmoje ir gliukozės kiekį po valgio. Jis neskatina insulino sekrecijos, todėl nesukelia hipoglikemijos.</w:t>
      </w:r>
    </w:p>
    <w:p w14:paraId="41AF71B4" w14:textId="77777777" w:rsidR="003B31DC" w:rsidRDefault="00913CBE">
      <w:pPr>
        <w:widowControl w:val="0"/>
        <w:rPr>
          <w:sz w:val="22"/>
          <w:szCs w:val="22"/>
          <w:lang w:eastAsia="en-US"/>
        </w:rPr>
      </w:pPr>
      <w:r>
        <w:rPr>
          <w:sz w:val="22"/>
          <w:szCs w:val="22"/>
          <w:lang w:eastAsia="en-US"/>
        </w:rPr>
        <w:t>Metforminas gali veikti trimis mechanizmais:</w:t>
      </w:r>
    </w:p>
    <w:p w14:paraId="02A9D0A6" w14:textId="77777777" w:rsidR="003B31DC" w:rsidRDefault="00913CBE">
      <w:pPr>
        <w:widowControl w:val="0"/>
        <w:rPr>
          <w:sz w:val="22"/>
          <w:szCs w:val="22"/>
          <w:lang w:eastAsia="en-US"/>
        </w:rPr>
      </w:pPr>
      <w:r>
        <w:rPr>
          <w:sz w:val="22"/>
          <w:szCs w:val="22"/>
          <w:lang w:eastAsia="en-US"/>
        </w:rPr>
        <w:t>-</w:t>
      </w:r>
      <w:r>
        <w:rPr>
          <w:sz w:val="22"/>
          <w:szCs w:val="22"/>
          <w:lang w:eastAsia="en-US"/>
        </w:rPr>
        <w:tab/>
        <w:t xml:space="preserve">slopindamas </w:t>
      </w:r>
      <w:proofErr w:type="spellStart"/>
      <w:r>
        <w:rPr>
          <w:sz w:val="22"/>
          <w:szCs w:val="22"/>
          <w:lang w:eastAsia="en-US"/>
        </w:rPr>
        <w:t>gliukoneogenezę</w:t>
      </w:r>
      <w:proofErr w:type="spellEnd"/>
      <w:r>
        <w:rPr>
          <w:sz w:val="22"/>
          <w:szCs w:val="22"/>
          <w:lang w:eastAsia="en-US"/>
        </w:rPr>
        <w:t xml:space="preserve"> bei </w:t>
      </w:r>
      <w:proofErr w:type="spellStart"/>
      <w:r>
        <w:rPr>
          <w:sz w:val="22"/>
          <w:szCs w:val="22"/>
          <w:lang w:eastAsia="en-US"/>
        </w:rPr>
        <w:t>glikogenolizę</w:t>
      </w:r>
      <w:proofErr w:type="spellEnd"/>
      <w:r>
        <w:rPr>
          <w:sz w:val="22"/>
          <w:szCs w:val="22"/>
          <w:lang w:eastAsia="en-US"/>
        </w:rPr>
        <w:t>, mažina gliukozės gamybą kepenyse;</w:t>
      </w:r>
    </w:p>
    <w:p w14:paraId="47B62401" w14:textId="77777777" w:rsidR="003B31DC" w:rsidRDefault="00913CBE">
      <w:pPr>
        <w:widowControl w:val="0"/>
        <w:rPr>
          <w:sz w:val="22"/>
          <w:szCs w:val="22"/>
          <w:lang w:eastAsia="en-US"/>
        </w:rPr>
      </w:pPr>
      <w:r>
        <w:rPr>
          <w:sz w:val="22"/>
          <w:szCs w:val="22"/>
          <w:lang w:eastAsia="en-US"/>
        </w:rPr>
        <w:t>-</w:t>
      </w:r>
      <w:r>
        <w:rPr>
          <w:sz w:val="22"/>
          <w:szCs w:val="22"/>
          <w:lang w:eastAsia="en-US"/>
        </w:rPr>
        <w:tab/>
        <w:t>raumenyse, padidindamas jautrumą insulinui, pagerina gliukozės pasisavinimą ir panaudojimą periferijoje;</w:t>
      </w:r>
    </w:p>
    <w:p w14:paraId="319020F2" w14:textId="77777777" w:rsidR="003B31DC" w:rsidRDefault="00913CBE">
      <w:pPr>
        <w:widowControl w:val="0"/>
        <w:rPr>
          <w:sz w:val="22"/>
          <w:szCs w:val="22"/>
          <w:lang w:eastAsia="en-US"/>
        </w:rPr>
      </w:pPr>
      <w:r>
        <w:rPr>
          <w:sz w:val="22"/>
          <w:szCs w:val="22"/>
          <w:lang w:eastAsia="en-US"/>
        </w:rPr>
        <w:t>-</w:t>
      </w:r>
      <w:r>
        <w:rPr>
          <w:sz w:val="22"/>
          <w:szCs w:val="22"/>
          <w:lang w:eastAsia="en-US"/>
        </w:rPr>
        <w:tab/>
        <w:t>uždelsdamas gliukozės absorbciją žarnyne.</w:t>
      </w:r>
    </w:p>
    <w:p w14:paraId="014CA196" w14:textId="74B60874" w:rsidR="003B31DC" w:rsidRDefault="00913CBE">
      <w:pPr>
        <w:widowControl w:val="0"/>
        <w:rPr>
          <w:sz w:val="22"/>
          <w:szCs w:val="22"/>
          <w:lang w:eastAsia="en-US"/>
        </w:rPr>
      </w:pPr>
      <w:r>
        <w:rPr>
          <w:sz w:val="22"/>
          <w:szCs w:val="22"/>
          <w:lang w:eastAsia="en-US"/>
        </w:rPr>
        <w:t>Metforminas, veikdamas glikogen</w:t>
      </w:r>
      <w:r w:rsidR="00755586">
        <w:rPr>
          <w:sz w:val="22"/>
          <w:szCs w:val="22"/>
          <w:lang w:eastAsia="en-US"/>
        </w:rPr>
        <w:t xml:space="preserve">o </w:t>
      </w:r>
      <w:r>
        <w:rPr>
          <w:sz w:val="22"/>
          <w:szCs w:val="22"/>
          <w:lang w:eastAsia="en-US"/>
        </w:rPr>
        <w:t>sint</w:t>
      </w:r>
      <w:r w:rsidR="00755586">
        <w:rPr>
          <w:sz w:val="22"/>
          <w:szCs w:val="22"/>
          <w:lang w:eastAsia="en-US"/>
        </w:rPr>
        <w:t>e</w:t>
      </w:r>
      <w:r>
        <w:rPr>
          <w:sz w:val="22"/>
          <w:szCs w:val="22"/>
          <w:lang w:eastAsia="en-US"/>
        </w:rPr>
        <w:t xml:space="preserve">zę, stimuliuoja glikogeno sintezę ląstelėse. Metforminas didina visų iki šiol žinomų rūšių gliukozės membraninių nešiklių (GLUT) </w:t>
      </w:r>
      <w:proofErr w:type="spellStart"/>
      <w:r w:rsidR="00F4608A">
        <w:rPr>
          <w:sz w:val="22"/>
          <w:szCs w:val="22"/>
          <w:lang w:eastAsia="en-US"/>
        </w:rPr>
        <w:t>transportinį</w:t>
      </w:r>
      <w:r>
        <w:rPr>
          <w:sz w:val="22"/>
          <w:szCs w:val="22"/>
          <w:lang w:eastAsia="en-US"/>
        </w:rPr>
        <w:t>pajėgumą</w:t>
      </w:r>
      <w:proofErr w:type="spellEnd"/>
      <w:r>
        <w:rPr>
          <w:sz w:val="22"/>
          <w:szCs w:val="22"/>
          <w:lang w:eastAsia="en-US"/>
        </w:rPr>
        <w:t>.</w:t>
      </w:r>
    </w:p>
    <w:p w14:paraId="73DF9769" w14:textId="77777777" w:rsidR="003B31DC" w:rsidRDefault="003B31DC">
      <w:pPr>
        <w:widowControl w:val="0"/>
        <w:rPr>
          <w:sz w:val="22"/>
          <w:szCs w:val="22"/>
          <w:lang w:eastAsia="en-US"/>
        </w:rPr>
      </w:pPr>
    </w:p>
    <w:p w14:paraId="63C07F85" w14:textId="5A62B888" w:rsidR="003B31DC" w:rsidRDefault="00913CBE">
      <w:pPr>
        <w:widowControl w:val="0"/>
        <w:rPr>
          <w:sz w:val="22"/>
          <w:szCs w:val="22"/>
          <w:lang w:eastAsia="en-US"/>
        </w:rPr>
      </w:pPr>
      <w:r>
        <w:rPr>
          <w:sz w:val="22"/>
          <w:szCs w:val="22"/>
          <w:lang w:eastAsia="en-US"/>
        </w:rPr>
        <w:lastRenderedPageBreak/>
        <w:t xml:space="preserve">Žmonėms, </w:t>
      </w:r>
      <w:proofErr w:type="spellStart"/>
      <w:r>
        <w:rPr>
          <w:sz w:val="22"/>
          <w:szCs w:val="22"/>
          <w:lang w:eastAsia="en-US"/>
        </w:rPr>
        <w:t>metforminas</w:t>
      </w:r>
      <w:proofErr w:type="spellEnd"/>
      <w:r>
        <w:rPr>
          <w:sz w:val="22"/>
          <w:szCs w:val="22"/>
          <w:lang w:eastAsia="en-US"/>
        </w:rPr>
        <w:t xml:space="preserve"> nepriklausomai nuo poveikio </w:t>
      </w:r>
      <w:proofErr w:type="spellStart"/>
      <w:r>
        <w:rPr>
          <w:sz w:val="22"/>
          <w:szCs w:val="22"/>
          <w:lang w:eastAsia="en-US"/>
        </w:rPr>
        <w:t>glikemijai</w:t>
      </w:r>
      <w:proofErr w:type="spellEnd"/>
      <w:r w:rsidR="009C38FF">
        <w:rPr>
          <w:sz w:val="22"/>
          <w:szCs w:val="22"/>
          <w:lang w:eastAsia="en-US"/>
        </w:rPr>
        <w:t>,</w:t>
      </w:r>
      <w:r>
        <w:rPr>
          <w:sz w:val="22"/>
          <w:szCs w:val="22"/>
          <w:lang w:eastAsia="en-US"/>
        </w:rPr>
        <w:t xml:space="preserve"> sukelia palankų poveikį lipidų metabolizmui. Tai buvo įrodyta kontroliuojamų, vidutinės trukmės ar ilgalaikių klinikinių tyrimų metu vartojant terapines dozes: </w:t>
      </w:r>
      <w:proofErr w:type="spellStart"/>
      <w:r>
        <w:rPr>
          <w:sz w:val="22"/>
          <w:szCs w:val="22"/>
          <w:lang w:eastAsia="en-US"/>
        </w:rPr>
        <w:t>metforminas</w:t>
      </w:r>
      <w:proofErr w:type="spellEnd"/>
      <w:r>
        <w:rPr>
          <w:sz w:val="22"/>
          <w:szCs w:val="22"/>
          <w:lang w:eastAsia="en-US"/>
        </w:rPr>
        <w:t xml:space="preserve"> sumažino bendro cholesterolio, MTL cholesterolio ir trigliceridų kiekius.</w:t>
      </w:r>
    </w:p>
    <w:p w14:paraId="6AE8F7BE" w14:textId="77777777" w:rsidR="003B31DC" w:rsidRDefault="003B31DC">
      <w:pPr>
        <w:widowControl w:val="0"/>
        <w:rPr>
          <w:sz w:val="22"/>
          <w:szCs w:val="22"/>
          <w:lang w:eastAsia="en-US"/>
        </w:rPr>
      </w:pPr>
    </w:p>
    <w:p w14:paraId="0675197B" w14:textId="77777777" w:rsidR="003B31DC" w:rsidRDefault="00913CBE">
      <w:pPr>
        <w:widowControl w:val="0"/>
        <w:rPr>
          <w:sz w:val="22"/>
          <w:szCs w:val="22"/>
          <w:u w:val="single"/>
          <w:lang w:eastAsia="en-US"/>
        </w:rPr>
      </w:pPr>
      <w:r>
        <w:rPr>
          <w:sz w:val="22"/>
          <w:szCs w:val="22"/>
          <w:u w:val="single"/>
          <w:lang w:eastAsia="en-US"/>
        </w:rPr>
        <w:t>Klinikinis veiksmingumas ir saugumas</w:t>
      </w:r>
    </w:p>
    <w:p w14:paraId="555F350F" w14:textId="77777777" w:rsidR="003B31DC" w:rsidRDefault="003B31DC">
      <w:pPr>
        <w:widowControl w:val="0"/>
        <w:rPr>
          <w:sz w:val="22"/>
          <w:szCs w:val="22"/>
          <w:u w:val="single"/>
          <w:lang w:eastAsia="en-US"/>
        </w:rPr>
      </w:pPr>
    </w:p>
    <w:p w14:paraId="40837530" w14:textId="77777777" w:rsidR="003B31DC" w:rsidRDefault="00913CBE">
      <w:pPr>
        <w:widowControl w:val="0"/>
        <w:rPr>
          <w:sz w:val="22"/>
          <w:szCs w:val="22"/>
          <w:lang w:eastAsia="en-US"/>
        </w:rPr>
      </w:pPr>
      <w:proofErr w:type="spellStart"/>
      <w:r>
        <w:rPr>
          <w:sz w:val="22"/>
          <w:szCs w:val="22"/>
          <w:lang w:eastAsia="en-US"/>
        </w:rPr>
        <w:t>Glikemijos</w:t>
      </w:r>
      <w:proofErr w:type="spellEnd"/>
      <w:r>
        <w:rPr>
          <w:sz w:val="22"/>
          <w:szCs w:val="22"/>
          <w:lang w:eastAsia="en-US"/>
        </w:rPr>
        <w:t xml:space="preserve"> kontrolės pagerinimas ir sergamumo širdies bei kraujagyslių ligomis ir mirštamumo nuo jų sumažinimas yra neatskiriamos 2 tipo cukrinio diabeto gydymo dalys.</w:t>
      </w:r>
    </w:p>
    <w:p w14:paraId="0E338C21" w14:textId="77777777" w:rsidR="003B31DC" w:rsidRDefault="003B31DC">
      <w:pPr>
        <w:widowControl w:val="0"/>
        <w:rPr>
          <w:sz w:val="22"/>
          <w:szCs w:val="22"/>
          <w:lang w:eastAsia="en-US"/>
        </w:rPr>
      </w:pPr>
    </w:p>
    <w:p w14:paraId="6A9391B9" w14:textId="100BC5B4" w:rsidR="003B31DC" w:rsidRDefault="00913CBE">
      <w:pPr>
        <w:widowControl w:val="0"/>
        <w:rPr>
          <w:sz w:val="22"/>
          <w:szCs w:val="22"/>
          <w:lang w:eastAsia="en-US"/>
        </w:rPr>
      </w:pPr>
      <w:proofErr w:type="spellStart"/>
      <w:r>
        <w:rPr>
          <w:sz w:val="22"/>
          <w:szCs w:val="22"/>
          <w:lang w:eastAsia="en-US"/>
        </w:rPr>
        <w:t>Glikemijos</w:t>
      </w:r>
      <w:proofErr w:type="spellEnd"/>
      <w:r>
        <w:rPr>
          <w:sz w:val="22"/>
          <w:szCs w:val="22"/>
          <w:lang w:eastAsia="en-US"/>
        </w:rPr>
        <w:t xml:space="preserve"> kontrolės veiksmingumas ir pasekmės širdies bei kraujagyslių sistemai buvo vertinti 9-uose dvigubai </w:t>
      </w:r>
      <w:r w:rsidR="00892F63">
        <w:rPr>
          <w:sz w:val="22"/>
          <w:szCs w:val="22"/>
          <w:lang w:eastAsia="en-US"/>
        </w:rPr>
        <w:t>koduotuose</w:t>
      </w:r>
      <w:r>
        <w:rPr>
          <w:sz w:val="22"/>
          <w:szCs w:val="22"/>
          <w:lang w:eastAsia="en-US"/>
        </w:rPr>
        <w:t xml:space="preserve">, placebu ar aktyviu veikliuoju preparatu kontroliuojamuose </w:t>
      </w:r>
      <w:r w:rsidR="00F14387">
        <w:rPr>
          <w:sz w:val="22"/>
          <w:szCs w:val="22"/>
          <w:lang w:eastAsia="en-US"/>
        </w:rPr>
        <w:t>klinikiniuose tyrimuose</w:t>
      </w:r>
      <w:r w:rsidR="00D02888">
        <w:rPr>
          <w:sz w:val="22"/>
          <w:szCs w:val="22"/>
          <w:lang w:eastAsia="en-US"/>
        </w:rPr>
        <w:t xml:space="preserve">, trukusiuose ne trumpiau kaip </w:t>
      </w:r>
      <w:r>
        <w:rPr>
          <w:sz w:val="22"/>
          <w:szCs w:val="22"/>
          <w:lang w:eastAsia="en-US"/>
        </w:rPr>
        <w:t xml:space="preserve"> 24 sava</w:t>
      </w:r>
      <w:r w:rsidR="00D02888">
        <w:rPr>
          <w:sz w:val="22"/>
          <w:szCs w:val="22"/>
          <w:lang w:eastAsia="en-US"/>
        </w:rPr>
        <w:t>ites</w:t>
      </w:r>
      <w:r>
        <w:rPr>
          <w:sz w:val="22"/>
          <w:szCs w:val="22"/>
          <w:lang w:eastAsia="en-US"/>
        </w:rPr>
        <w:t xml:space="preserve"> , kuriuose dalyvavo iš viso 10 366 pacientai, sergantys 2 tipo cukriniu diabetu, iš kurių 2 950 pacientų vartojo 10 mg </w:t>
      </w:r>
      <w:proofErr w:type="spellStart"/>
      <w:r>
        <w:rPr>
          <w:sz w:val="22"/>
          <w:szCs w:val="22"/>
          <w:lang w:eastAsia="en-US"/>
        </w:rPr>
        <w:t>empagliflozino</w:t>
      </w:r>
      <w:proofErr w:type="spellEnd"/>
      <w:r>
        <w:rPr>
          <w:sz w:val="22"/>
          <w:szCs w:val="22"/>
          <w:lang w:eastAsia="en-US"/>
        </w:rPr>
        <w:t xml:space="preserve"> dozę ir 3 701 pacientas – 25 mg </w:t>
      </w:r>
      <w:proofErr w:type="spellStart"/>
      <w:r>
        <w:rPr>
          <w:sz w:val="22"/>
          <w:szCs w:val="22"/>
          <w:lang w:eastAsia="en-US"/>
        </w:rPr>
        <w:t>empagliflozino</w:t>
      </w:r>
      <w:proofErr w:type="spellEnd"/>
      <w:r>
        <w:rPr>
          <w:sz w:val="22"/>
          <w:szCs w:val="22"/>
          <w:lang w:eastAsia="en-US"/>
        </w:rPr>
        <w:t xml:space="preserve"> dozę </w:t>
      </w:r>
      <w:r w:rsidR="009C65A7">
        <w:rPr>
          <w:sz w:val="22"/>
          <w:szCs w:val="22"/>
          <w:lang w:eastAsia="en-US"/>
        </w:rPr>
        <w:t xml:space="preserve">kaip papildomą </w:t>
      </w:r>
      <w:r>
        <w:rPr>
          <w:sz w:val="22"/>
          <w:szCs w:val="22"/>
          <w:lang w:eastAsia="en-US"/>
        </w:rPr>
        <w:t>gydym</w:t>
      </w:r>
      <w:r w:rsidR="00093FEE">
        <w:rPr>
          <w:sz w:val="22"/>
          <w:szCs w:val="22"/>
          <w:lang w:eastAsia="en-US"/>
        </w:rPr>
        <w:t>ą prie</w:t>
      </w:r>
      <w:r>
        <w:rPr>
          <w:sz w:val="22"/>
          <w:szCs w:val="22"/>
          <w:lang w:eastAsia="en-US"/>
        </w:rPr>
        <w:t xml:space="preserve"> </w:t>
      </w:r>
      <w:proofErr w:type="spellStart"/>
      <w:r>
        <w:rPr>
          <w:sz w:val="22"/>
          <w:szCs w:val="22"/>
          <w:lang w:eastAsia="en-US"/>
        </w:rPr>
        <w:t>metformin</w:t>
      </w:r>
      <w:r w:rsidR="00093FEE">
        <w:rPr>
          <w:sz w:val="22"/>
          <w:szCs w:val="22"/>
          <w:lang w:eastAsia="en-US"/>
        </w:rPr>
        <w:t>o</w:t>
      </w:r>
      <w:proofErr w:type="spellEnd"/>
      <w:r w:rsidR="00093FEE">
        <w:rPr>
          <w:sz w:val="22"/>
          <w:szCs w:val="22"/>
          <w:lang w:eastAsia="en-US"/>
        </w:rPr>
        <w:t xml:space="preserve"> terapijos</w:t>
      </w:r>
      <w:r>
        <w:rPr>
          <w:sz w:val="22"/>
          <w:szCs w:val="22"/>
          <w:lang w:eastAsia="en-US"/>
        </w:rPr>
        <w:t xml:space="preserve">. Iš jų 266 arba 264 pacientai atitinkamai buvo gydomi 10 mg arba 25 mg </w:t>
      </w:r>
      <w:proofErr w:type="spellStart"/>
      <w:r>
        <w:rPr>
          <w:sz w:val="22"/>
          <w:szCs w:val="22"/>
          <w:lang w:eastAsia="en-US"/>
        </w:rPr>
        <w:t>empagliflozino</w:t>
      </w:r>
      <w:proofErr w:type="spellEnd"/>
      <w:r>
        <w:rPr>
          <w:sz w:val="22"/>
          <w:szCs w:val="22"/>
          <w:lang w:eastAsia="en-US"/>
        </w:rPr>
        <w:t xml:space="preserve"> doze </w:t>
      </w:r>
      <w:r w:rsidR="00C029EA">
        <w:rPr>
          <w:sz w:val="22"/>
          <w:szCs w:val="22"/>
          <w:lang w:eastAsia="en-US"/>
        </w:rPr>
        <w:t xml:space="preserve">kaip papildomu gydymu prie </w:t>
      </w:r>
      <w:r>
        <w:rPr>
          <w:sz w:val="22"/>
          <w:szCs w:val="22"/>
          <w:lang w:eastAsia="en-US"/>
        </w:rPr>
        <w:t xml:space="preserve"> </w:t>
      </w:r>
      <w:proofErr w:type="spellStart"/>
      <w:r>
        <w:rPr>
          <w:sz w:val="22"/>
          <w:szCs w:val="22"/>
          <w:lang w:eastAsia="en-US"/>
        </w:rPr>
        <w:t>metformin</w:t>
      </w:r>
      <w:r w:rsidR="00E03F78">
        <w:rPr>
          <w:sz w:val="22"/>
          <w:szCs w:val="22"/>
          <w:lang w:eastAsia="en-US"/>
        </w:rPr>
        <w:t>o</w:t>
      </w:r>
      <w:proofErr w:type="spellEnd"/>
      <w:r>
        <w:rPr>
          <w:sz w:val="22"/>
          <w:szCs w:val="22"/>
          <w:lang w:eastAsia="en-US"/>
        </w:rPr>
        <w:t xml:space="preserve"> ir insulin</w:t>
      </w:r>
      <w:r w:rsidR="00E03F78">
        <w:rPr>
          <w:sz w:val="22"/>
          <w:szCs w:val="22"/>
          <w:lang w:eastAsia="en-US"/>
        </w:rPr>
        <w:t>o</w:t>
      </w:r>
      <w:r>
        <w:rPr>
          <w:sz w:val="22"/>
          <w:szCs w:val="22"/>
          <w:lang w:eastAsia="en-US"/>
        </w:rPr>
        <w:t>.</w:t>
      </w:r>
    </w:p>
    <w:p w14:paraId="3A4A47D7" w14:textId="217D976F" w:rsidR="003B31DC" w:rsidRDefault="00913CBE">
      <w:pPr>
        <w:widowControl w:val="0"/>
        <w:rPr>
          <w:sz w:val="22"/>
          <w:szCs w:val="22"/>
          <w:lang w:eastAsia="en-US"/>
        </w:rPr>
      </w:pPr>
      <w:proofErr w:type="spellStart"/>
      <w:r>
        <w:rPr>
          <w:sz w:val="22"/>
          <w:szCs w:val="22"/>
          <w:lang w:eastAsia="en-US"/>
        </w:rPr>
        <w:t>Empaglifloziną</w:t>
      </w:r>
      <w:proofErr w:type="spellEnd"/>
      <w:r>
        <w:rPr>
          <w:sz w:val="22"/>
          <w:szCs w:val="22"/>
          <w:lang w:eastAsia="en-US"/>
        </w:rPr>
        <w:t xml:space="preserve"> derinant su </w:t>
      </w:r>
      <w:proofErr w:type="spellStart"/>
      <w:r>
        <w:rPr>
          <w:sz w:val="22"/>
          <w:szCs w:val="22"/>
          <w:lang w:eastAsia="en-US"/>
        </w:rPr>
        <w:t>metforminu</w:t>
      </w:r>
      <w:proofErr w:type="spellEnd"/>
      <w:r>
        <w:rPr>
          <w:sz w:val="22"/>
          <w:szCs w:val="22"/>
          <w:lang w:eastAsia="en-US"/>
        </w:rPr>
        <w:t xml:space="preserve">, vartojamu </w:t>
      </w:r>
      <w:r w:rsidR="00D2145B">
        <w:rPr>
          <w:sz w:val="22"/>
          <w:szCs w:val="22"/>
          <w:lang w:eastAsia="en-US"/>
        </w:rPr>
        <w:t xml:space="preserve">kartu </w:t>
      </w:r>
      <w:r>
        <w:rPr>
          <w:sz w:val="22"/>
          <w:szCs w:val="22"/>
          <w:lang w:eastAsia="en-US"/>
        </w:rPr>
        <w:t>su kitais antidiabetiniais vaistiniais preparatais (</w:t>
      </w:r>
      <w:proofErr w:type="spellStart"/>
      <w:r>
        <w:rPr>
          <w:sz w:val="22"/>
          <w:szCs w:val="22"/>
          <w:lang w:eastAsia="en-US"/>
        </w:rPr>
        <w:t>pioglitazonu</w:t>
      </w:r>
      <w:proofErr w:type="spellEnd"/>
      <w:r>
        <w:rPr>
          <w:sz w:val="22"/>
          <w:szCs w:val="22"/>
          <w:lang w:eastAsia="en-US"/>
        </w:rPr>
        <w:t xml:space="preserve">, </w:t>
      </w:r>
      <w:proofErr w:type="spellStart"/>
      <w:r>
        <w:rPr>
          <w:sz w:val="22"/>
          <w:szCs w:val="22"/>
          <w:lang w:eastAsia="en-US"/>
        </w:rPr>
        <w:t>sulfonilkarbamido</w:t>
      </w:r>
      <w:proofErr w:type="spellEnd"/>
      <w:r>
        <w:rPr>
          <w:sz w:val="22"/>
          <w:szCs w:val="22"/>
          <w:lang w:eastAsia="en-US"/>
        </w:rPr>
        <w:t xml:space="preserve"> dariniais, DPP-4 inhibitoriais ir insulinu) arba be jų, kliniškai reikšmingai sumažėjo HbA1c kiekis, gliukozės kiekis kraujo plazmoje nevalgius (GKKN), kūno svoris ir </w:t>
      </w:r>
      <w:proofErr w:type="spellStart"/>
      <w:r>
        <w:rPr>
          <w:sz w:val="22"/>
          <w:szCs w:val="22"/>
          <w:lang w:eastAsia="en-US"/>
        </w:rPr>
        <w:t>sistolinis</w:t>
      </w:r>
      <w:proofErr w:type="spellEnd"/>
      <w:r>
        <w:rPr>
          <w:sz w:val="22"/>
          <w:szCs w:val="22"/>
          <w:lang w:eastAsia="en-US"/>
        </w:rPr>
        <w:t xml:space="preserve"> bei </w:t>
      </w:r>
      <w:proofErr w:type="spellStart"/>
      <w:r>
        <w:rPr>
          <w:sz w:val="22"/>
          <w:szCs w:val="22"/>
          <w:lang w:eastAsia="en-US"/>
        </w:rPr>
        <w:t>diastolinis</w:t>
      </w:r>
      <w:proofErr w:type="spellEnd"/>
      <w:r>
        <w:rPr>
          <w:sz w:val="22"/>
          <w:szCs w:val="22"/>
          <w:lang w:eastAsia="en-US"/>
        </w:rPr>
        <w:t xml:space="preserve"> kraujospūdžiai. Gydant 25 mg </w:t>
      </w:r>
      <w:proofErr w:type="spellStart"/>
      <w:r>
        <w:rPr>
          <w:sz w:val="22"/>
          <w:szCs w:val="22"/>
          <w:lang w:eastAsia="en-US"/>
        </w:rPr>
        <w:t>empagliflozino</w:t>
      </w:r>
      <w:proofErr w:type="spellEnd"/>
      <w:r>
        <w:rPr>
          <w:sz w:val="22"/>
          <w:szCs w:val="22"/>
          <w:lang w:eastAsia="en-US"/>
        </w:rPr>
        <w:t xml:space="preserve"> doze, palyginti su 10 mg </w:t>
      </w:r>
      <w:proofErr w:type="spellStart"/>
      <w:r>
        <w:rPr>
          <w:sz w:val="22"/>
          <w:szCs w:val="22"/>
          <w:lang w:eastAsia="en-US"/>
        </w:rPr>
        <w:t>empagliflozino</w:t>
      </w:r>
      <w:proofErr w:type="spellEnd"/>
      <w:r>
        <w:rPr>
          <w:sz w:val="22"/>
          <w:szCs w:val="22"/>
          <w:lang w:eastAsia="en-US"/>
        </w:rPr>
        <w:t xml:space="preserve"> doze ir placebu, didesnė dalis pacientų pasiekė mažesnį kaip 7 % tikslinį HbA1c rodiklį ir mažesniam pacientų skaičiui prireikė </w:t>
      </w:r>
      <w:r w:rsidR="007F3350" w:rsidRPr="00FA2F7A">
        <w:rPr>
          <w:sz w:val="22"/>
          <w:szCs w:val="22"/>
        </w:rPr>
        <w:t xml:space="preserve">papildomo </w:t>
      </w:r>
      <w:proofErr w:type="spellStart"/>
      <w:r w:rsidR="007F3350" w:rsidRPr="00FA2F7A">
        <w:rPr>
          <w:sz w:val="22"/>
          <w:szCs w:val="22"/>
        </w:rPr>
        <w:t>glikemiją</w:t>
      </w:r>
      <w:proofErr w:type="spellEnd"/>
      <w:r w:rsidR="007F3350" w:rsidRPr="00FA2F7A">
        <w:rPr>
          <w:sz w:val="22"/>
          <w:szCs w:val="22"/>
        </w:rPr>
        <w:t xml:space="preserve"> mažinančio</w:t>
      </w:r>
      <w:r w:rsidR="007F3350">
        <w:t xml:space="preserve"> </w:t>
      </w:r>
      <w:r>
        <w:rPr>
          <w:sz w:val="22"/>
          <w:szCs w:val="22"/>
          <w:lang w:eastAsia="en-US"/>
        </w:rPr>
        <w:t xml:space="preserve">gydymo. Gydant </w:t>
      </w:r>
      <w:proofErr w:type="spellStart"/>
      <w:r>
        <w:rPr>
          <w:sz w:val="22"/>
          <w:szCs w:val="22"/>
          <w:lang w:eastAsia="en-US"/>
        </w:rPr>
        <w:t>empagliflozinu</w:t>
      </w:r>
      <w:proofErr w:type="spellEnd"/>
      <w:r>
        <w:rPr>
          <w:sz w:val="22"/>
          <w:szCs w:val="22"/>
          <w:lang w:eastAsia="en-US"/>
        </w:rPr>
        <w:t xml:space="preserve">, 75 metų ir vyresniems pacientams HbA1c kiekio sumažėjimas skaitine reikšme buvo mažesnis. Didesnis pradinis HbA1c kiekis buvo susijęs su didesniu HbA1c kiekio sumažėjimu. Be to, </w:t>
      </w:r>
      <w:proofErr w:type="spellStart"/>
      <w:r>
        <w:rPr>
          <w:sz w:val="22"/>
          <w:szCs w:val="22"/>
          <w:lang w:eastAsia="en-US"/>
        </w:rPr>
        <w:t>empagliflozinu</w:t>
      </w:r>
      <w:proofErr w:type="spellEnd"/>
      <w:r>
        <w:rPr>
          <w:sz w:val="22"/>
          <w:szCs w:val="22"/>
          <w:lang w:eastAsia="en-US"/>
        </w:rPr>
        <w:t xml:space="preserve"> papildžius standartinį gydymą pacientams, sergantiems 2 tipo cukriniu diabetu ir nustatyta širdies ir kraujagyslių liga, sumažėjo mirštamumas nuo širdies ir kraujagyslių ligų.</w:t>
      </w:r>
    </w:p>
    <w:p w14:paraId="4EB2D095" w14:textId="77777777" w:rsidR="003B31DC" w:rsidRDefault="003B31DC">
      <w:pPr>
        <w:widowControl w:val="0"/>
        <w:rPr>
          <w:sz w:val="22"/>
          <w:szCs w:val="22"/>
          <w:lang w:eastAsia="en-US"/>
        </w:rPr>
      </w:pPr>
    </w:p>
    <w:p w14:paraId="2C8E70EC" w14:textId="16EA7474" w:rsidR="003B31DC" w:rsidRDefault="00965469">
      <w:pPr>
        <w:widowControl w:val="0"/>
        <w:rPr>
          <w:sz w:val="22"/>
          <w:szCs w:val="22"/>
          <w:lang w:eastAsia="en-US"/>
        </w:rPr>
      </w:pPr>
      <w:proofErr w:type="spellStart"/>
      <w:r w:rsidRPr="00FA2F7A">
        <w:rPr>
          <w:i/>
          <w:iCs/>
          <w:sz w:val="22"/>
          <w:szCs w:val="22"/>
        </w:rPr>
        <w:t>Empagliflozinas</w:t>
      </w:r>
      <w:proofErr w:type="spellEnd"/>
      <w:r w:rsidRPr="00FA2F7A">
        <w:rPr>
          <w:i/>
          <w:iCs/>
          <w:sz w:val="22"/>
          <w:szCs w:val="22"/>
        </w:rPr>
        <w:t xml:space="preserve"> kaip papildomas gydymas prie </w:t>
      </w:r>
      <w:proofErr w:type="spellStart"/>
      <w:r w:rsidRPr="00FA2F7A">
        <w:rPr>
          <w:i/>
          <w:iCs/>
          <w:sz w:val="22"/>
          <w:szCs w:val="22"/>
        </w:rPr>
        <w:t>metformino</w:t>
      </w:r>
      <w:proofErr w:type="spellEnd"/>
      <w:r w:rsidRPr="00FA2F7A">
        <w:rPr>
          <w:i/>
          <w:iCs/>
          <w:sz w:val="22"/>
          <w:szCs w:val="22"/>
        </w:rPr>
        <w:t xml:space="preserve">, </w:t>
      </w:r>
      <w:proofErr w:type="spellStart"/>
      <w:r w:rsidRPr="00FA2F7A">
        <w:rPr>
          <w:i/>
          <w:iCs/>
          <w:sz w:val="22"/>
          <w:szCs w:val="22"/>
        </w:rPr>
        <w:t>sulfonilkarbamido</w:t>
      </w:r>
      <w:proofErr w:type="spellEnd"/>
      <w:r w:rsidRPr="00FA2F7A">
        <w:rPr>
          <w:i/>
          <w:iCs/>
          <w:sz w:val="22"/>
          <w:szCs w:val="22"/>
        </w:rPr>
        <w:t xml:space="preserve"> darinių ar </w:t>
      </w:r>
      <w:proofErr w:type="spellStart"/>
      <w:r w:rsidRPr="00FA2F7A">
        <w:rPr>
          <w:i/>
          <w:iCs/>
          <w:sz w:val="22"/>
          <w:szCs w:val="22"/>
        </w:rPr>
        <w:t>pioglitazono</w:t>
      </w:r>
      <w:proofErr w:type="spellEnd"/>
    </w:p>
    <w:p w14:paraId="6F8EEADE" w14:textId="447B6E4A" w:rsidR="003B31DC" w:rsidRDefault="001C6D69">
      <w:pPr>
        <w:widowControl w:val="0"/>
        <w:rPr>
          <w:sz w:val="22"/>
          <w:szCs w:val="22"/>
          <w:lang w:eastAsia="en-US"/>
        </w:rPr>
      </w:pPr>
      <w:r>
        <w:rPr>
          <w:sz w:val="22"/>
          <w:szCs w:val="22"/>
          <w:lang w:eastAsia="en-US"/>
        </w:rPr>
        <w:t xml:space="preserve">Gydymas </w:t>
      </w:r>
      <w:proofErr w:type="spellStart"/>
      <w:r>
        <w:rPr>
          <w:sz w:val="22"/>
          <w:szCs w:val="22"/>
          <w:lang w:eastAsia="en-US"/>
        </w:rPr>
        <w:t>e</w:t>
      </w:r>
      <w:r w:rsidR="00913CBE">
        <w:rPr>
          <w:sz w:val="22"/>
          <w:szCs w:val="22"/>
          <w:lang w:eastAsia="en-US"/>
        </w:rPr>
        <w:t>mpagliflozinu</w:t>
      </w:r>
      <w:proofErr w:type="spellEnd"/>
      <w:r w:rsidR="00913CBE">
        <w:rPr>
          <w:sz w:val="22"/>
          <w:szCs w:val="22"/>
          <w:lang w:eastAsia="en-US"/>
        </w:rPr>
        <w:t xml:space="preserve">, </w:t>
      </w:r>
      <w:r w:rsidR="009C707F">
        <w:rPr>
          <w:sz w:val="22"/>
          <w:szCs w:val="22"/>
          <w:lang w:eastAsia="en-US"/>
        </w:rPr>
        <w:t xml:space="preserve">jį </w:t>
      </w:r>
      <w:r w:rsidR="00B515D5">
        <w:rPr>
          <w:sz w:val="22"/>
          <w:szCs w:val="22"/>
          <w:lang w:eastAsia="en-US"/>
        </w:rPr>
        <w:t xml:space="preserve">pridedant prie </w:t>
      </w:r>
      <w:r w:rsidR="00913CBE">
        <w:rPr>
          <w:sz w:val="22"/>
          <w:szCs w:val="22"/>
          <w:lang w:eastAsia="en-US"/>
        </w:rPr>
        <w:t xml:space="preserve"> </w:t>
      </w:r>
      <w:proofErr w:type="spellStart"/>
      <w:r w:rsidR="00913CBE">
        <w:rPr>
          <w:sz w:val="22"/>
          <w:szCs w:val="22"/>
          <w:lang w:eastAsia="en-US"/>
        </w:rPr>
        <w:t>metformin</w:t>
      </w:r>
      <w:r w:rsidR="00B515D5">
        <w:rPr>
          <w:sz w:val="22"/>
          <w:szCs w:val="22"/>
          <w:lang w:eastAsia="en-US"/>
        </w:rPr>
        <w:t>o</w:t>
      </w:r>
      <w:proofErr w:type="spellEnd"/>
      <w:r w:rsidR="00913CBE">
        <w:rPr>
          <w:sz w:val="22"/>
          <w:szCs w:val="22"/>
          <w:lang w:eastAsia="en-US"/>
        </w:rPr>
        <w:t xml:space="preserve">, </w:t>
      </w:r>
      <w:proofErr w:type="spellStart"/>
      <w:r w:rsidR="00913CBE">
        <w:rPr>
          <w:sz w:val="22"/>
          <w:szCs w:val="22"/>
          <w:lang w:eastAsia="en-US"/>
        </w:rPr>
        <w:t>metformin</w:t>
      </w:r>
      <w:r w:rsidR="00463F6D">
        <w:rPr>
          <w:sz w:val="22"/>
          <w:szCs w:val="22"/>
          <w:lang w:eastAsia="en-US"/>
        </w:rPr>
        <w:t>o</w:t>
      </w:r>
      <w:proofErr w:type="spellEnd"/>
      <w:r w:rsidR="00913CBE">
        <w:rPr>
          <w:sz w:val="22"/>
          <w:szCs w:val="22"/>
          <w:lang w:eastAsia="en-US"/>
        </w:rPr>
        <w:t xml:space="preserve"> ir </w:t>
      </w:r>
      <w:proofErr w:type="spellStart"/>
      <w:r w:rsidR="00913CBE">
        <w:rPr>
          <w:sz w:val="22"/>
          <w:szCs w:val="22"/>
          <w:lang w:eastAsia="en-US"/>
        </w:rPr>
        <w:t>sulfonilkarbamido</w:t>
      </w:r>
      <w:proofErr w:type="spellEnd"/>
      <w:r w:rsidR="00913CBE">
        <w:rPr>
          <w:sz w:val="22"/>
          <w:szCs w:val="22"/>
          <w:lang w:eastAsia="en-US"/>
        </w:rPr>
        <w:t xml:space="preserve"> dariniu ar </w:t>
      </w:r>
      <w:proofErr w:type="spellStart"/>
      <w:r w:rsidR="00913CBE">
        <w:rPr>
          <w:sz w:val="22"/>
          <w:szCs w:val="22"/>
          <w:lang w:eastAsia="en-US"/>
        </w:rPr>
        <w:t>pioglitazonu</w:t>
      </w:r>
      <w:proofErr w:type="spellEnd"/>
      <w:r w:rsidR="00913CBE">
        <w:rPr>
          <w:sz w:val="22"/>
          <w:szCs w:val="22"/>
          <w:lang w:eastAsia="en-US"/>
        </w:rPr>
        <w:t xml:space="preserve"> ir </w:t>
      </w:r>
      <w:proofErr w:type="spellStart"/>
      <w:r w:rsidR="00913CBE">
        <w:rPr>
          <w:sz w:val="22"/>
          <w:szCs w:val="22"/>
          <w:lang w:eastAsia="en-US"/>
        </w:rPr>
        <w:t>metformin</w:t>
      </w:r>
      <w:r w:rsidR="00463F6D">
        <w:rPr>
          <w:sz w:val="22"/>
          <w:szCs w:val="22"/>
          <w:lang w:eastAsia="en-US"/>
        </w:rPr>
        <w:t>o</w:t>
      </w:r>
      <w:proofErr w:type="spellEnd"/>
      <w:r w:rsidR="00463F6D">
        <w:rPr>
          <w:sz w:val="22"/>
          <w:szCs w:val="22"/>
          <w:lang w:eastAsia="en-US"/>
        </w:rPr>
        <w:t xml:space="preserve"> deriniu</w:t>
      </w:r>
      <w:r w:rsidR="00913CBE">
        <w:rPr>
          <w:sz w:val="22"/>
          <w:szCs w:val="22"/>
          <w:lang w:eastAsia="en-US"/>
        </w:rPr>
        <w:t>, statistiškai reikšmingai (p &lt; 0,0001) sumažėjo HbA1c kiekis ir kūno svoris (3 lentelė)</w:t>
      </w:r>
      <w:r w:rsidR="00ED237C">
        <w:rPr>
          <w:sz w:val="22"/>
          <w:szCs w:val="22"/>
          <w:lang w:eastAsia="en-US"/>
        </w:rPr>
        <w:t xml:space="preserve"> lyginant su placebo grupe</w:t>
      </w:r>
      <w:r w:rsidR="0087777A">
        <w:rPr>
          <w:sz w:val="22"/>
          <w:szCs w:val="22"/>
          <w:lang w:eastAsia="en-US"/>
        </w:rPr>
        <w:t>.</w:t>
      </w:r>
      <w:r w:rsidR="00913CBE">
        <w:rPr>
          <w:sz w:val="22"/>
          <w:szCs w:val="22"/>
          <w:lang w:eastAsia="en-US"/>
        </w:rPr>
        <w:t xml:space="preserve"> </w:t>
      </w:r>
      <w:r w:rsidR="0087777A">
        <w:rPr>
          <w:sz w:val="22"/>
          <w:szCs w:val="22"/>
          <w:lang w:eastAsia="en-US"/>
        </w:rPr>
        <w:t>B</w:t>
      </w:r>
      <w:r w:rsidR="00913CBE">
        <w:rPr>
          <w:sz w:val="22"/>
          <w:szCs w:val="22"/>
          <w:lang w:eastAsia="en-US"/>
        </w:rPr>
        <w:t xml:space="preserve">e to, kliniškai reikšmingai sumažėjo gliukozės kiekis kraujo plazmoje nevalgius, </w:t>
      </w:r>
      <w:proofErr w:type="spellStart"/>
      <w:r w:rsidR="00913CBE">
        <w:rPr>
          <w:sz w:val="22"/>
          <w:szCs w:val="22"/>
          <w:lang w:eastAsia="en-US"/>
        </w:rPr>
        <w:t>sistolinis</w:t>
      </w:r>
      <w:proofErr w:type="spellEnd"/>
      <w:r w:rsidR="00913CBE">
        <w:rPr>
          <w:sz w:val="22"/>
          <w:szCs w:val="22"/>
          <w:lang w:eastAsia="en-US"/>
        </w:rPr>
        <w:t xml:space="preserve"> ir </w:t>
      </w:r>
      <w:proofErr w:type="spellStart"/>
      <w:r w:rsidR="00913CBE">
        <w:rPr>
          <w:sz w:val="22"/>
          <w:szCs w:val="22"/>
          <w:lang w:eastAsia="en-US"/>
        </w:rPr>
        <w:t>diastolinis</w:t>
      </w:r>
      <w:proofErr w:type="spellEnd"/>
      <w:r w:rsidR="00913CBE">
        <w:rPr>
          <w:sz w:val="22"/>
          <w:szCs w:val="22"/>
          <w:lang w:eastAsia="en-US"/>
        </w:rPr>
        <w:t xml:space="preserve"> kraujospūdžiai.</w:t>
      </w:r>
    </w:p>
    <w:p w14:paraId="58D53E62" w14:textId="6C71ACF4" w:rsidR="003B31DC" w:rsidRDefault="00913CBE">
      <w:pPr>
        <w:widowControl w:val="0"/>
        <w:rPr>
          <w:sz w:val="22"/>
          <w:szCs w:val="22"/>
          <w:lang w:eastAsia="en-US"/>
        </w:rPr>
      </w:pPr>
      <w:r>
        <w:rPr>
          <w:sz w:val="22"/>
          <w:szCs w:val="22"/>
          <w:lang w:eastAsia="en-US"/>
        </w:rPr>
        <w:t>Dvigubai koduot</w:t>
      </w:r>
      <w:r w:rsidR="00FB3735">
        <w:rPr>
          <w:sz w:val="22"/>
          <w:szCs w:val="22"/>
          <w:lang w:eastAsia="en-US"/>
        </w:rPr>
        <w:t>uose,</w:t>
      </w:r>
      <w:r>
        <w:rPr>
          <w:sz w:val="22"/>
          <w:szCs w:val="22"/>
          <w:lang w:eastAsia="en-US"/>
        </w:rPr>
        <w:t xml:space="preserve"> placebu kontroliuojam</w:t>
      </w:r>
      <w:r w:rsidR="00FB3735">
        <w:rPr>
          <w:sz w:val="22"/>
          <w:szCs w:val="22"/>
          <w:lang w:eastAsia="en-US"/>
        </w:rPr>
        <w:t>uose</w:t>
      </w:r>
      <w:r>
        <w:rPr>
          <w:sz w:val="22"/>
          <w:szCs w:val="22"/>
          <w:lang w:eastAsia="en-US"/>
        </w:rPr>
        <w:t xml:space="preserve"> šių tyrimų </w:t>
      </w:r>
      <w:r w:rsidR="00A05C63">
        <w:rPr>
          <w:sz w:val="22"/>
          <w:szCs w:val="22"/>
          <w:lang w:eastAsia="en-US"/>
        </w:rPr>
        <w:t>tęsiniuose</w:t>
      </w:r>
      <w:r>
        <w:rPr>
          <w:sz w:val="22"/>
          <w:szCs w:val="22"/>
          <w:lang w:eastAsia="en-US"/>
        </w:rPr>
        <w:t xml:space="preserve"> HbA1c kiekio, kūno svorio ir kraujospūdžio sumažėjimas </w:t>
      </w:r>
      <w:r w:rsidR="00F454AB">
        <w:rPr>
          <w:sz w:val="22"/>
          <w:szCs w:val="22"/>
          <w:lang w:eastAsia="en-US"/>
        </w:rPr>
        <w:t>išliko</w:t>
      </w:r>
      <w:r>
        <w:rPr>
          <w:sz w:val="22"/>
          <w:szCs w:val="22"/>
          <w:lang w:eastAsia="en-US"/>
        </w:rPr>
        <w:t xml:space="preserve"> iki 76</w:t>
      </w:r>
      <w:r w:rsidR="00A05C63">
        <w:rPr>
          <w:sz w:val="22"/>
          <w:szCs w:val="22"/>
          <w:lang w:eastAsia="en-US"/>
        </w:rPr>
        <w:t>-osios</w:t>
      </w:r>
      <w:r>
        <w:rPr>
          <w:sz w:val="22"/>
          <w:szCs w:val="22"/>
          <w:lang w:eastAsia="en-US"/>
        </w:rPr>
        <w:t xml:space="preserve"> </w:t>
      </w:r>
      <w:r w:rsidR="002D5A42">
        <w:rPr>
          <w:sz w:val="22"/>
          <w:szCs w:val="22"/>
          <w:lang w:eastAsia="en-US"/>
        </w:rPr>
        <w:t xml:space="preserve">gydymo </w:t>
      </w:r>
      <w:r>
        <w:rPr>
          <w:sz w:val="22"/>
          <w:szCs w:val="22"/>
          <w:lang w:eastAsia="en-US"/>
        </w:rPr>
        <w:t>savaitės.</w:t>
      </w:r>
    </w:p>
    <w:p w14:paraId="07C719A2" w14:textId="77777777" w:rsidR="003B31DC" w:rsidRDefault="003B31DC">
      <w:pPr>
        <w:rPr>
          <w:sz w:val="22"/>
          <w:szCs w:val="22"/>
          <w:lang w:eastAsia="sl-SI"/>
        </w:rPr>
      </w:pPr>
    </w:p>
    <w:p w14:paraId="7C2F2222" w14:textId="77777777" w:rsidR="003B31DC" w:rsidRPr="00A02B90" w:rsidRDefault="00913CBE">
      <w:pPr>
        <w:ind w:left="1118" w:right="11" w:hanging="1133"/>
        <w:rPr>
          <w:sz w:val="22"/>
          <w:szCs w:val="22"/>
          <w:lang w:eastAsia="sl-SI"/>
        </w:rPr>
      </w:pPr>
      <w:r w:rsidRPr="00A02B90">
        <w:rPr>
          <w:sz w:val="22"/>
          <w:szCs w:val="22"/>
          <w:lang w:eastAsia="sl-SI"/>
        </w:rPr>
        <w:t>3 lentelė:</w:t>
      </w:r>
      <w:r w:rsidRPr="00A02B90">
        <w:rPr>
          <w:sz w:val="22"/>
          <w:szCs w:val="22"/>
          <w:lang w:eastAsia="sl-SI"/>
        </w:rPr>
        <w:tab/>
        <w:t>24 savaičių placebu kontroliuojamų tyrimų veiksmingumo rezultatai</w:t>
      </w: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1701"/>
        <w:gridCol w:w="2126"/>
        <w:gridCol w:w="2126"/>
      </w:tblGrid>
      <w:tr w:rsidR="003B31DC" w14:paraId="47CE6C75" w14:textId="77777777">
        <w:trPr>
          <w:trHeight w:val="251"/>
        </w:trPr>
        <w:tc>
          <w:tcPr>
            <w:tcW w:w="8895" w:type="dxa"/>
            <w:gridSpan w:val="4"/>
          </w:tcPr>
          <w:p w14:paraId="373D5ABA" w14:textId="77777777" w:rsidR="003B31DC" w:rsidRDefault="00913CBE">
            <w:pPr>
              <w:tabs>
                <w:tab w:val="left" w:pos="9071"/>
              </w:tabs>
              <w:ind w:right="8"/>
              <w:jc w:val="center"/>
              <w:rPr>
                <w:lang w:val="en-GB" w:eastAsia="en-US"/>
              </w:rPr>
            </w:pPr>
            <w:proofErr w:type="spellStart"/>
            <w:r>
              <w:rPr>
                <w:b/>
                <w:lang w:val="en-GB" w:eastAsia="en-US"/>
              </w:rPr>
              <w:t>Gydymo</w:t>
            </w:r>
            <w:proofErr w:type="spellEnd"/>
            <w:r>
              <w:rPr>
                <w:b/>
                <w:lang w:val="en-GB" w:eastAsia="en-US"/>
              </w:rPr>
              <w:t xml:space="preserve"> </w:t>
            </w:r>
            <w:proofErr w:type="spellStart"/>
            <w:r>
              <w:rPr>
                <w:b/>
                <w:lang w:val="en-GB" w:eastAsia="en-US"/>
              </w:rPr>
              <w:t>metforminu</w:t>
            </w:r>
            <w:proofErr w:type="spellEnd"/>
            <w:r>
              <w:rPr>
                <w:b/>
                <w:lang w:val="en-GB" w:eastAsia="en-US"/>
              </w:rPr>
              <w:t xml:space="preserve"> </w:t>
            </w:r>
            <w:proofErr w:type="spellStart"/>
            <w:r>
              <w:rPr>
                <w:b/>
                <w:lang w:val="en-GB" w:eastAsia="en-US"/>
              </w:rPr>
              <w:t>papildymas</w:t>
            </w:r>
            <w:r>
              <w:rPr>
                <w:spacing w:val="-2"/>
                <w:vertAlign w:val="superscript"/>
                <w:lang w:val="en-GB" w:eastAsia="en-US"/>
              </w:rPr>
              <w:t>a</w:t>
            </w:r>
            <w:proofErr w:type="spellEnd"/>
          </w:p>
        </w:tc>
      </w:tr>
      <w:tr w:rsidR="003B31DC" w14:paraId="237D0597" w14:textId="77777777">
        <w:trPr>
          <w:trHeight w:val="254"/>
        </w:trPr>
        <w:tc>
          <w:tcPr>
            <w:tcW w:w="2942" w:type="dxa"/>
            <w:vMerge w:val="restart"/>
          </w:tcPr>
          <w:p w14:paraId="5523AB01" w14:textId="77777777" w:rsidR="003B31DC" w:rsidRDefault="003B31DC">
            <w:pPr>
              <w:tabs>
                <w:tab w:val="left" w:pos="9071"/>
              </w:tabs>
              <w:rPr>
                <w:lang w:val="en-GB" w:eastAsia="en-US"/>
              </w:rPr>
            </w:pPr>
          </w:p>
        </w:tc>
        <w:tc>
          <w:tcPr>
            <w:tcW w:w="1701" w:type="dxa"/>
            <w:vMerge w:val="restart"/>
          </w:tcPr>
          <w:p w14:paraId="546431C9" w14:textId="77777777" w:rsidR="003B31DC" w:rsidRDefault="00913CBE">
            <w:pPr>
              <w:tabs>
                <w:tab w:val="left" w:pos="9071"/>
              </w:tabs>
              <w:rPr>
                <w:b/>
                <w:lang w:val="en-GB" w:eastAsia="en-US"/>
              </w:rPr>
            </w:pPr>
            <w:proofErr w:type="spellStart"/>
            <w:r>
              <w:rPr>
                <w:b/>
                <w:spacing w:val="-2"/>
                <w:lang w:val="en-GB" w:eastAsia="en-US"/>
              </w:rPr>
              <w:t>Placebas</w:t>
            </w:r>
            <w:proofErr w:type="spellEnd"/>
          </w:p>
        </w:tc>
        <w:tc>
          <w:tcPr>
            <w:tcW w:w="4252" w:type="dxa"/>
            <w:gridSpan w:val="2"/>
          </w:tcPr>
          <w:p w14:paraId="22D6BF7E" w14:textId="77777777" w:rsidR="003B31DC" w:rsidRDefault="00913CBE">
            <w:pPr>
              <w:tabs>
                <w:tab w:val="left" w:pos="9071"/>
              </w:tabs>
              <w:jc w:val="center"/>
              <w:rPr>
                <w:b/>
                <w:lang w:val="en-GB" w:eastAsia="en-US"/>
              </w:rPr>
            </w:pPr>
            <w:proofErr w:type="spellStart"/>
            <w:r>
              <w:rPr>
                <w:b/>
                <w:spacing w:val="-2"/>
                <w:lang w:val="en-GB" w:eastAsia="en-US"/>
              </w:rPr>
              <w:t>Empagliflozinas</w:t>
            </w:r>
            <w:proofErr w:type="spellEnd"/>
          </w:p>
        </w:tc>
      </w:tr>
      <w:tr w:rsidR="003B31DC" w14:paraId="50F74D9A" w14:textId="77777777">
        <w:trPr>
          <w:trHeight w:val="253"/>
        </w:trPr>
        <w:tc>
          <w:tcPr>
            <w:tcW w:w="2942" w:type="dxa"/>
            <w:vMerge/>
            <w:tcBorders>
              <w:top w:val="nil"/>
            </w:tcBorders>
          </w:tcPr>
          <w:p w14:paraId="0E4C29E8" w14:textId="77777777" w:rsidR="003B31DC" w:rsidRDefault="003B31DC">
            <w:pPr>
              <w:tabs>
                <w:tab w:val="left" w:pos="9071"/>
              </w:tabs>
              <w:rPr>
                <w:sz w:val="24"/>
                <w:lang w:val="en-GB" w:eastAsia="sl-SI"/>
              </w:rPr>
            </w:pPr>
          </w:p>
        </w:tc>
        <w:tc>
          <w:tcPr>
            <w:tcW w:w="1701" w:type="dxa"/>
            <w:vMerge/>
            <w:tcBorders>
              <w:top w:val="nil"/>
            </w:tcBorders>
          </w:tcPr>
          <w:p w14:paraId="1AF057AA" w14:textId="77777777" w:rsidR="003B31DC" w:rsidRDefault="003B31DC">
            <w:pPr>
              <w:tabs>
                <w:tab w:val="left" w:pos="9071"/>
              </w:tabs>
              <w:rPr>
                <w:sz w:val="24"/>
                <w:lang w:val="en-GB" w:eastAsia="sl-SI"/>
              </w:rPr>
            </w:pPr>
          </w:p>
        </w:tc>
        <w:tc>
          <w:tcPr>
            <w:tcW w:w="2126" w:type="dxa"/>
          </w:tcPr>
          <w:p w14:paraId="115FD8F2" w14:textId="77777777" w:rsidR="003B31DC" w:rsidRDefault="00913CBE">
            <w:pPr>
              <w:tabs>
                <w:tab w:val="left" w:pos="9071"/>
              </w:tabs>
              <w:ind w:right="12"/>
              <w:jc w:val="center"/>
              <w:rPr>
                <w:b/>
                <w:lang w:val="en-GB" w:eastAsia="en-US"/>
              </w:rPr>
            </w:pPr>
            <w:r>
              <w:rPr>
                <w:b/>
                <w:lang w:val="en-GB" w:eastAsia="en-US"/>
              </w:rPr>
              <w:t>10 mg</w:t>
            </w:r>
          </w:p>
        </w:tc>
        <w:tc>
          <w:tcPr>
            <w:tcW w:w="2126" w:type="dxa"/>
          </w:tcPr>
          <w:p w14:paraId="25127AA2" w14:textId="77777777" w:rsidR="003B31DC" w:rsidRDefault="00913CBE">
            <w:pPr>
              <w:tabs>
                <w:tab w:val="left" w:pos="9071"/>
              </w:tabs>
              <w:ind w:right="7"/>
              <w:jc w:val="center"/>
              <w:rPr>
                <w:b/>
                <w:lang w:val="en-GB" w:eastAsia="en-US"/>
              </w:rPr>
            </w:pPr>
            <w:r>
              <w:rPr>
                <w:b/>
                <w:lang w:val="en-GB" w:eastAsia="en-US"/>
              </w:rPr>
              <w:t>25 mg</w:t>
            </w:r>
          </w:p>
        </w:tc>
      </w:tr>
      <w:tr w:rsidR="003B31DC" w14:paraId="723DC02D" w14:textId="77777777">
        <w:trPr>
          <w:trHeight w:val="251"/>
        </w:trPr>
        <w:tc>
          <w:tcPr>
            <w:tcW w:w="2942" w:type="dxa"/>
          </w:tcPr>
          <w:p w14:paraId="3A68E1FD" w14:textId="77777777" w:rsidR="003B31DC" w:rsidRDefault="00913CBE">
            <w:pPr>
              <w:tabs>
                <w:tab w:val="left" w:pos="9071"/>
              </w:tabs>
              <w:rPr>
                <w:lang w:val="en-GB" w:eastAsia="en-US"/>
              </w:rPr>
            </w:pPr>
            <w:r>
              <w:rPr>
                <w:spacing w:val="-10"/>
                <w:lang w:val="en-GB" w:eastAsia="en-US"/>
              </w:rPr>
              <w:t>N</w:t>
            </w:r>
          </w:p>
        </w:tc>
        <w:tc>
          <w:tcPr>
            <w:tcW w:w="1701" w:type="dxa"/>
          </w:tcPr>
          <w:p w14:paraId="64B286F7" w14:textId="77777777" w:rsidR="003B31DC" w:rsidRDefault="00913CBE">
            <w:pPr>
              <w:tabs>
                <w:tab w:val="left" w:pos="9071"/>
              </w:tabs>
              <w:ind w:right="2"/>
              <w:jc w:val="center"/>
              <w:rPr>
                <w:lang w:val="en-GB" w:eastAsia="en-US"/>
              </w:rPr>
            </w:pPr>
            <w:r>
              <w:rPr>
                <w:spacing w:val="-5"/>
                <w:lang w:val="en-GB" w:eastAsia="en-US"/>
              </w:rPr>
              <w:t>207</w:t>
            </w:r>
          </w:p>
        </w:tc>
        <w:tc>
          <w:tcPr>
            <w:tcW w:w="2126" w:type="dxa"/>
          </w:tcPr>
          <w:p w14:paraId="2FF0ACB0" w14:textId="77777777" w:rsidR="003B31DC" w:rsidRDefault="00913CBE">
            <w:pPr>
              <w:tabs>
                <w:tab w:val="left" w:pos="9071"/>
              </w:tabs>
              <w:ind w:right="8"/>
              <w:jc w:val="center"/>
              <w:rPr>
                <w:lang w:val="en-GB" w:eastAsia="en-US"/>
              </w:rPr>
            </w:pPr>
            <w:r>
              <w:rPr>
                <w:spacing w:val="-5"/>
                <w:lang w:val="en-GB" w:eastAsia="en-US"/>
              </w:rPr>
              <w:t>217</w:t>
            </w:r>
          </w:p>
        </w:tc>
        <w:tc>
          <w:tcPr>
            <w:tcW w:w="2126" w:type="dxa"/>
          </w:tcPr>
          <w:p w14:paraId="3F1DB88D" w14:textId="77777777" w:rsidR="003B31DC" w:rsidRDefault="00913CBE">
            <w:pPr>
              <w:tabs>
                <w:tab w:val="left" w:pos="9071"/>
              </w:tabs>
              <w:ind w:right="3"/>
              <w:jc w:val="center"/>
              <w:rPr>
                <w:lang w:val="en-GB" w:eastAsia="en-US"/>
              </w:rPr>
            </w:pPr>
            <w:r>
              <w:rPr>
                <w:spacing w:val="-5"/>
                <w:lang w:val="en-GB" w:eastAsia="en-US"/>
              </w:rPr>
              <w:t>213</w:t>
            </w:r>
          </w:p>
        </w:tc>
      </w:tr>
      <w:tr w:rsidR="003B31DC" w14:paraId="68D1D823" w14:textId="77777777">
        <w:trPr>
          <w:trHeight w:val="254"/>
        </w:trPr>
        <w:tc>
          <w:tcPr>
            <w:tcW w:w="8895" w:type="dxa"/>
            <w:gridSpan w:val="4"/>
          </w:tcPr>
          <w:p w14:paraId="46027F13" w14:textId="77777777" w:rsidR="003B31DC" w:rsidRDefault="00913CBE">
            <w:pPr>
              <w:tabs>
                <w:tab w:val="left" w:pos="9071"/>
              </w:tabs>
              <w:rPr>
                <w:b/>
                <w:lang w:val="en-GB" w:eastAsia="en-US"/>
              </w:rPr>
            </w:pPr>
            <w:r>
              <w:rPr>
                <w:b/>
                <w:lang w:val="en-GB" w:eastAsia="en-US"/>
              </w:rPr>
              <w:t>HbA1c</w:t>
            </w:r>
            <w:r>
              <w:rPr>
                <w:b/>
                <w:spacing w:val="-5"/>
                <w:lang w:val="en-GB" w:eastAsia="en-US"/>
              </w:rPr>
              <w:t xml:space="preserve"> </w:t>
            </w:r>
            <w:proofErr w:type="spellStart"/>
            <w:r>
              <w:rPr>
                <w:b/>
                <w:spacing w:val="-5"/>
                <w:lang w:val="en-GB" w:eastAsia="en-US"/>
              </w:rPr>
              <w:t>kiekis</w:t>
            </w:r>
            <w:proofErr w:type="spellEnd"/>
            <w:r>
              <w:rPr>
                <w:b/>
                <w:spacing w:val="-5"/>
                <w:lang w:val="en-GB" w:eastAsia="en-US"/>
              </w:rPr>
              <w:t xml:space="preserve"> (%)</w:t>
            </w:r>
          </w:p>
        </w:tc>
      </w:tr>
      <w:tr w:rsidR="003B31DC" w14:paraId="1282BAEA" w14:textId="77777777">
        <w:trPr>
          <w:trHeight w:val="251"/>
        </w:trPr>
        <w:tc>
          <w:tcPr>
            <w:tcW w:w="2942" w:type="dxa"/>
          </w:tcPr>
          <w:p w14:paraId="555DA78E" w14:textId="77777777" w:rsidR="003B31DC" w:rsidRDefault="00913CBE">
            <w:pPr>
              <w:tabs>
                <w:tab w:val="left" w:pos="9071"/>
              </w:tabs>
              <w:rPr>
                <w:lang w:val="en-GB" w:eastAsia="en-US"/>
              </w:rPr>
            </w:pPr>
            <w:proofErr w:type="spellStart"/>
            <w:r>
              <w:rPr>
                <w:lang w:val="en-GB" w:eastAsia="en-US"/>
              </w:rPr>
              <w:t>Pradinis</w:t>
            </w:r>
            <w:proofErr w:type="spellEnd"/>
            <w:r>
              <w:rPr>
                <w:spacing w:val="-2"/>
                <w:lang w:val="en-GB" w:eastAsia="en-US"/>
              </w:rPr>
              <w:t xml:space="preserve"> (</w:t>
            </w:r>
            <w:proofErr w:type="spellStart"/>
            <w:r>
              <w:rPr>
                <w:spacing w:val="-2"/>
                <w:lang w:val="en-GB" w:eastAsia="en-US"/>
              </w:rPr>
              <w:t>vidurkis</w:t>
            </w:r>
            <w:proofErr w:type="spellEnd"/>
            <w:r>
              <w:rPr>
                <w:spacing w:val="-2"/>
                <w:lang w:val="en-GB" w:eastAsia="en-US"/>
              </w:rPr>
              <w:t>)</w:t>
            </w:r>
          </w:p>
        </w:tc>
        <w:tc>
          <w:tcPr>
            <w:tcW w:w="1701" w:type="dxa"/>
          </w:tcPr>
          <w:p w14:paraId="04F1E18F" w14:textId="77777777" w:rsidR="003B31DC" w:rsidRDefault="00913CBE">
            <w:pPr>
              <w:tabs>
                <w:tab w:val="left" w:pos="9071"/>
              </w:tabs>
              <w:jc w:val="center"/>
              <w:rPr>
                <w:lang w:val="en-GB" w:eastAsia="en-US"/>
              </w:rPr>
            </w:pPr>
            <w:r>
              <w:rPr>
                <w:spacing w:val="-4"/>
                <w:lang w:val="en-GB" w:eastAsia="en-US"/>
              </w:rPr>
              <w:t>7,90</w:t>
            </w:r>
          </w:p>
        </w:tc>
        <w:tc>
          <w:tcPr>
            <w:tcW w:w="2126" w:type="dxa"/>
          </w:tcPr>
          <w:p w14:paraId="4E66DECD" w14:textId="77777777" w:rsidR="003B31DC" w:rsidRDefault="00913CBE">
            <w:pPr>
              <w:tabs>
                <w:tab w:val="left" w:pos="9071"/>
              </w:tabs>
              <w:ind w:right="6"/>
              <w:jc w:val="center"/>
              <w:rPr>
                <w:lang w:val="en-GB" w:eastAsia="en-US"/>
              </w:rPr>
            </w:pPr>
            <w:r>
              <w:rPr>
                <w:spacing w:val="-4"/>
                <w:lang w:val="en-GB" w:eastAsia="en-US"/>
              </w:rPr>
              <w:t>7,94</w:t>
            </w:r>
          </w:p>
        </w:tc>
        <w:tc>
          <w:tcPr>
            <w:tcW w:w="2126" w:type="dxa"/>
          </w:tcPr>
          <w:p w14:paraId="5B7E2C9F" w14:textId="77777777" w:rsidR="003B31DC" w:rsidRDefault="00913CBE">
            <w:pPr>
              <w:tabs>
                <w:tab w:val="left" w:pos="9071"/>
              </w:tabs>
              <w:jc w:val="center"/>
              <w:rPr>
                <w:lang w:val="en-GB" w:eastAsia="en-US"/>
              </w:rPr>
            </w:pPr>
            <w:r>
              <w:rPr>
                <w:spacing w:val="-4"/>
                <w:lang w:val="en-GB" w:eastAsia="en-US"/>
              </w:rPr>
              <w:t>7,86</w:t>
            </w:r>
          </w:p>
        </w:tc>
      </w:tr>
      <w:tr w:rsidR="003B31DC" w14:paraId="29D26FF7" w14:textId="77777777">
        <w:trPr>
          <w:trHeight w:val="254"/>
        </w:trPr>
        <w:tc>
          <w:tcPr>
            <w:tcW w:w="2942" w:type="dxa"/>
          </w:tcPr>
          <w:p w14:paraId="3C494CBE" w14:textId="77777777" w:rsidR="003B31DC" w:rsidRDefault="00913CBE">
            <w:pPr>
              <w:tabs>
                <w:tab w:val="left" w:pos="9071"/>
              </w:tabs>
              <w:ind w:right="680"/>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palyginti</w:t>
            </w:r>
            <w:proofErr w:type="spellEnd"/>
            <w:r>
              <w:rPr>
                <w:lang w:val="en-GB" w:eastAsia="en-US"/>
              </w:rPr>
              <w:t xml:space="preserve"> </w:t>
            </w:r>
            <w:proofErr w:type="spellStart"/>
            <w:r>
              <w:rPr>
                <w:lang w:val="en-GB" w:eastAsia="en-US"/>
              </w:rPr>
              <w:t>su</w:t>
            </w:r>
            <w:proofErr w:type="spellEnd"/>
            <w:r>
              <w:rPr>
                <w:lang w:val="en-GB" w:eastAsia="en-US"/>
              </w:rPr>
              <w:t xml:space="preserve"> pradiniu</w:t>
            </w:r>
            <w:r>
              <w:rPr>
                <w:spacing w:val="-2"/>
                <w:vertAlign w:val="superscript"/>
                <w:lang w:val="en-GB" w:eastAsia="en-US"/>
              </w:rPr>
              <w:t>1</w:t>
            </w:r>
          </w:p>
        </w:tc>
        <w:tc>
          <w:tcPr>
            <w:tcW w:w="1701" w:type="dxa"/>
          </w:tcPr>
          <w:p w14:paraId="6311F587" w14:textId="77777777" w:rsidR="003B31DC" w:rsidRDefault="00913CBE">
            <w:pPr>
              <w:tabs>
                <w:tab w:val="left" w:pos="9071"/>
              </w:tabs>
              <w:ind w:right="7"/>
              <w:jc w:val="center"/>
              <w:rPr>
                <w:lang w:val="en-GB" w:eastAsia="en-US"/>
              </w:rPr>
            </w:pPr>
            <w:r>
              <w:rPr>
                <w:spacing w:val="-4"/>
                <w:lang w:val="en-GB" w:eastAsia="en-US"/>
              </w:rPr>
              <w:t>-0,13</w:t>
            </w:r>
          </w:p>
        </w:tc>
        <w:tc>
          <w:tcPr>
            <w:tcW w:w="2126" w:type="dxa"/>
          </w:tcPr>
          <w:p w14:paraId="43053A72" w14:textId="77777777" w:rsidR="003B31DC" w:rsidRDefault="00913CBE">
            <w:pPr>
              <w:tabs>
                <w:tab w:val="left" w:pos="9071"/>
              </w:tabs>
              <w:ind w:right="13"/>
              <w:jc w:val="center"/>
              <w:rPr>
                <w:lang w:val="en-GB" w:eastAsia="en-US"/>
              </w:rPr>
            </w:pPr>
            <w:r>
              <w:rPr>
                <w:spacing w:val="-4"/>
                <w:lang w:val="en-GB" w:eastAsia="en-US"/>
              </w:rPr>
              <w:t>-0,70</w:t>
            </w:r>
          </w:p>
        </w:tc>
        <w:tc>
          <w:tcPr>
            <w:tcW w:w="2126" w:type="dxa"/>
          </w:tcPr>
          <w:p w14:paraId="3AA011AA" w14:textId="77777777" w:rsidR="003B31DC" w:rsidRDefault="00913CBE">
            <w:pPr>
              <w:tabs>
                <w:tab w:val="left" w:pos="9071"/>
              </w:tabs>
              <w:ind w:right="8"/>
              <w:jc w:val="center"/>
              <w:rPr>
                <w:lang w:val="en-GB" w:eastAsia="en-US"/>
              </w:rPr>
            </w:pPr>
            <w:r>
              <w:rPr>
                <w:spacing w:val="-4"/>
                <w:lang w:val="en-GB" w:eastAsia="en-US"/>
              </w:rPr>
              <w:t>-0,77</w:t>
            </w:r>
          </w:p>
        </w:tc>
      </w:tr>
      <w:tr w:rsidR="003B31DC" w14:paraId="495C44E6" w14:textId="77777777">
        <w:trPr>
          <w:trHeight w:val="505"/>
        </w:trPr>
        <w:tc>
          <w:tcPr>
            <w:tcW w:w="2942" w:type="dxa"/>
          </w:tcPr>
          <w:p w14:paraId="091E1BF8" w14:textId="77777777" w:rsidR="003B31DC" w:rsidRPr="00A02B90" w:rsidRDefault="00913CBE">
            <w:pPr>
              <w:tabs>
                <w:tab w:val="left" w:pos="9071"/>
              </w:tabs>
              <w:rPr>
                <w:lang w:val="fr-FR" w:eastAsia="en-US"/>
              </w:rPr>
            </w:pPr>
            <w:r w:rsidRPr="00A02B90">
              <w:rPr>
                <w:lang w:val="fr-FR" w:eastAsia="en-US"/>
              </w:rPr>
              <w:t>Skirtumas, palyginti su placebu</w:t>
            </w:r>
            <w:r w:rsidRPr="00A02B90">
              <w:rPr>
                <w:spacing w:val="-2"/>
                <w:vertAlign w:val="superscript"/>
                <w:lang w:val="fr-FR" w:eastAsia="en-US"/>
              </w:rPr>
              <w:t>1</w:t>
            </w:r>
          </w:p>
          <w:p w14:paraId="6323A646" w14:textId="77777777" w:rsidR="003B31DC" w:rsidRPr="00A02B90" w:rsidRDefault="00913CBE">
            <w:pPr>
              <w:tabs>
                <w:tab w:val="left" w:pos="9071"/>
              </w:tabs>
              <w:rPr>
                <w:lang w:val="fr-FR" w:eastAsia="en-US"/>
              </w:rPr>
            </w:pPr>
            <w:r w:rsidRPr="00A02B90">
              <w:rPr>
                <w:lang w:val="fr-FR" w:eastAsia="en-US"/>
              </w:rPr>
              <w:t>(97,5 %</w:t>
            </w:r>
            <w:r w:rsidRPr="00A02B90">
              <w:rPr>
                <w:spacing w:val="-6"/>
                <w:lang w:val="fr-FR" w:eastAsia="en-US"/>
              </w:rPr>
              <w:t xml:space="preserve"> </w:t>
            </w:r>
            <w:r w:rsidRPr="00A02B90">
              <w:rPr>
                <w:spacing w:val="-5"/>
                <w:lang w:val="fr-FR" w:eastAsia="en-US"/>
              </w:rPr>
              <w:t>PI)</w:t>
            </w:r>
          </w:p>
        </w:tc>
        <w:tc>
          <w:tcPr>
            <w:tcW w:w="1701" w:type="dxa"/>
          </w:tcPr>
          <w:p w14:paraId="69AEB992" w14:textId="77777777" w:rsidR="003B31DC" w:rsidRPr="00A02B90" w:rsidRDefault="003B31DC">
            <w:pPr>
              <w:tabs>
                <w:tab w:val="left" w:pos="9071"/>
              </w:tabs>
              <w:rPr>
                <w:lang w:val="fr-FR" w:eastAsia="en-US"/>
              </w:rPr>
            </w:pPr>
          </w:p>
        </w:tc>
        <w:tc>
          <w:tcPr>
            <w:tcW w:w="2126" w:type="dxa"/>
          </w:tcPr>
          <w:p w14:paraId="6F1216B0" w14:textId="77777777" w:rsidR="003B31DC" w:rsidRDefault="00913CBE">
            <w:pPr>
              <w:tabs>
                <w:tab w:val="left" w:pos="9071"/>
              </w:tabs>
              <w:ind w:right="12"/>
              <w:jc w:val="center"/>
              <w:rPr>
                <w:lang w:val="en-GB" w:eastAsia="en-US"/>
              </w:rPr>
            </w:pPr>
            <w:r>
              <w:rPr>
                <w:lang w:val="en-GB" w:eastAsia="en-US"/>
              </w:rPr>
              <w:t>-0,57*</w:t>
            </w:r>
            <w:r>
              <w:rPr>
                <w:spacing w:val="-5"/>
                <w:lang w:val="en-GB" w:eastAsia="en-US"/>
              </w:rPr>
              <w:t xml:space="preserve"> </w:t>
            </w:r>
            <w:r>
              <w:rPr>
                <w:lang w:val="en-GB" w:eastAsia="en-US"/>
              </w:rPr>
              <w:t>(-0,72,</w:t>
            </w:r>
            <w:r>
              <w:rPr>
                <w:spacing w:val="-2"/>
                <w:lang w:val="en-GB" w:eastAsia="en-US"/>
              </w:rPr>
              <w:t xml:space="preserve"> </w:t>
            </w:r>
            <w:r>
              <w:rPr>
                <w:lang w:val="en-GB" w:eastAsia="en-US"/>
              </w:rPr>
              <w:t>-</w:t>
            </w:r>
            <w:r>
              <w:rPr>
                <w:spacing w:val="-2"/>
                <w:lang w:val="en-GB" w:eastAsia="en-US"/>
              </w:rPr>
              <w:t>0,42)</w:t>
            </w:r>
          </w:p>
        </w:tc>
        <w:tc>
          <w:tcPr>
            <w:tcW w:w="2126" w:type="dxa"/>
          </w:tcPr>
          <w:p w14:paraId="23FD596C" w14:textId="77777777" w:rsidR="003B31DC" w:rsidRDefault="00913CBE">
            <w:pPr>
              <w:tabs>
                <w:tab w:val="left" w:pos="9071"/>
              </w:tabs>
              <w:ind w:right="6"/>
              <w:jc w:val="center"/>
              <w:rPr>
                <w:lang w:val="en-GB" w:eastAsia="en-US"/>
              </w:rPr>
            </w:pPr>
            <w:r>
              <w:rPr>
                <w:lang w:val="en-GB" w:eastAsia="en-US"/>
              </w:rPr>
              <w:t>-0,64*</w:t>
            </w:r>
            <w:r>
              <w:rPr>
                <w:spacing w:val="-5"/>
                <w:lang w:val="en-GB" w:eastAsia="en-US"/>
              </w:rPr>
              <w:t xml:space="preserve"> </w:t>
            </w:r>
            <w:r>
              <w:rPr>
                <w:lang w:val="en-GB" w:eastAsia="en-US"/>
              </w:rPr>
              <w:t>(-0,79,</w:t>
            </w:r>
            <w:r>
              <w:rPr>
                <w:spacing w:val="-2"/>
                <w:lang w:val="en-GB" w:eastAsia="en-US"/>
              </w:rPr>
              <w:t xml:space="preserve"> </w:t>
            </w:r>
            <w:r>
              <w:rPr>
                <w:lang w:val="en-GB" w:eastAsia="en-US"/>
              </w:rPr>
              <w:t>-</w:t>
            </w:r>
            <w:r>
              <w:rPr>
                <w:spacing w:val="-2"/>
                <w:lang w:val="en-GB" w:eastAsia="en-US"/>
              </w:rPr>
              <w:t>0,48)</w:t>
            </w:r>
          </w:p>
        </w:tc>
      </w:tr>
      <w:tr w:rsidR="003B31DC" w14:paraId="48F079CB" w14:textId="77777777">
        <w:trPr>
          <w:trHeight w:val="251"/>
        </w:trPr>
        <w:tc>
          <w:tcPr>
            <w:tcW w:w="2942" w:type="dxa"/>
          </w:tcPr>
          <w:p w14:paraId="73CBFC06" w14:textId="77777777" w:rsidR="003B31DC" w:rsidRDefault="00913CBE">
            <w:pPr>
              <w:tabs>
                <w:tab w:val="left" w:pos="9071"/>
              </w:tabs>
              <w:rPr>
                <w:lang w:val="en-GB" w:eastAsia="en-US"/>
              </w:rPr>
            </w:pPr>
            <w:r>
              <w:rPr>
                <w:spacing w:val="-10"/>
                <w:lang w:val="en-GB" w:eastAsia="en-US"/>
              </w:rPr>
              <w:t>N</w:t>
            </w:r>
          </w:p>
        </w:tc>
        <w:tc>
          <w:tcPr>
            <w:tcW w:w="1701" w:type="dxa"/>
          </w:tcPr>
          <w:p w14:paraId="73907587" w14:textId="77777777" w:rsidR="003B31DC" w:rsidRDefault="00913CBE">
            <w:pPr>
              <w:tabs>
                <w:tab w:val="left" w:pos="9071"/>
              </w:tabs>
              <w:ind w:right="2"/>
              <w:jc w:val="center"/>
              <w:rPr>
                <w:lang w:val="en-GB" w:eastAsia="en-US"/>
              </w:rPr>
            </w:pPr>
            <w:r>
              <w:rPr>
                <w:spacing w:val="-5"/>
                <w:lang w:val="en-GB" w:eastAsia="en-US"/>
              </w:rPr>
              <w:t>184</w:t>
            </w:r>
          </w:p>
        </w:tc>
        <w:tc>
          <w:tcPr>
            <w:tcW w:w="2126" w:type="dxa"/>
          </w:tcPr>
          <w:p w14:paraId="07F9A5EC" w14:textId="77777777" w:rsidR="003B31DC" w:rsidRDefault="00913CBE">
            <w:pPr>
              <w:tabs>
                <w:tab w:val="left" w:pos="9071"/>
              </w:tabs>
              <w:ind w:right="8"/>
              <w:jc w:val="center"/>
              <w:rPr>
                <w:lang w:val="en-GB" w:eastAsia="en-US"/>
              </w:rPr>
            </w:pPr>
            <w:r>
              <w:rPr>
                <w:spacing w:val="-5"/>
                <w:lang w:val="en-GB" w:eastAsia="en-US"/>
              </w:rPr>
              <w:t>199</w:t>
            </w:r>
          </w:p>
        </w:tc>
        <w:tc>
          <w:tcPr>
            <w:tcW w:w="2126" w:type="dxa"/>
          </w:tcPr>
          <w:p w14:paraId="0F5EF52D" w14:textId="77777777" w:rsidR="003B31DC" w:rsidRDefault="00913CBE">
            <w:pPr>
              <w:tabs>
                <w:tab w:val="left" w:pos="9071"/>
              </w:tabs>
              <w:ind w:right="3"/>
              <w:jc w:val="center"/>
              <w:rPr>
                <w:lang w:val="en-GB" w:eastAsia="en-US"/>
              </w:rPr>
            </w:pPr>
            <w:r>
              <w:rPr>
                <w:spacing w:val="-5"/>
                <w:lang w:val="en-GB" w:eastAsia="en-US"/>
              </w:rPr>
              <w:t>191</w:t>
            </w:r>
          </w:p>
        </w:tc>
      </w:tr>
      <w:tr w:rsidR="003B31DC" w14:paraId="63DC6483" w14:textId="77777777">
        <w:trPr>
          <w:trHeight w:val="760"/>
        </w:trPr>
        <w:tc>
          <w:tcPr>
            <w:tcW w:w="2942" w:type="dxa"/>
          </w:tcPr>
          <w:p w14:paraId="4C7D2E4C" w14:textId="77777777" w:rsidR="003B31DC" w:rsidRPr="00A02B90" w:rsidRDefault="00913CBE">
            <w:pPr>
              <w:tabs>
                <w:tab w:val="left" w:pos="9071"/>
              </w:tabs>
              <w:ind w:right="176"/>
              <w:rPr>
                <w:b/>
                <w:lang w:val="lt-LT" w:eastAsia="en-US"/>
              </w:rPr>
            </w:pPr>
            <w:r w:rsidRPr="00A02B90">
              <w:rPr>
                <w:b/>
                <w:lang w:val="lt-LT" w:eastAsia="en-US"/>
              </w:rPr>
              <w:t>Pacientai (%), kurių HbA1c kiekis tapo &lt; 7 % ir kurių pradinis HbA1c kiekis buvo ≥ 7 %</w:t>
            </w:r>
            <w:r w:rsidRPr="00A02B90">
              <w:rPr>
                <w:b/>
                <w:vertAlign w:val="superscript"/>
                <w:lang w:val="lt-LT" w:eastAsia="en-US"/>
              </w:rPr>
              <w:t>2</w:t>
            </w:r>
          </w:p>
        </w:tc>
        <w:tc>
          <w:tcPr>
            <w:tcW w:w="1701" w:type="dxa"/>
          </w:tcPr>
          <w:p w14:paraId="7965F35F" w14:textId="77777777" w:rsidR="003B31DC" w:rsidRDefault="00913CBE">
            <w:pPr>
              <w:tabs>
                <w:tab w:val="left" w:pos="9071"/>
              </w:tabs>
              <w:jc w:val="center"/>
              <w:rPr>
                <w:lang w:val="en-GB" w:eastAsia="en-US"/>
              </w:rPr>
            </w:pPr>
            <w:r>
              <w:rPr>
                <w:spacing w:val="-4"/>
                <w:lang w:val="en-GB" w:eastAsia="en-US"/>
              </w:rPr>
              <w:t>12,5</w:t>
            </w:r>
          </w:p>
        </w:tc>
        <w:tc>
          <w:tcPr>
            <w:tcW w:w="2126" w:type="dxa"/>
          </w:tcPr>
          <w:p w14:paraId="57367494" w14:textId="77777777" w:rsidR="003B31DC" w:rsidRDefault="00913CBE">
            <w:pPr>
              <w:tabs>
                <w:tab w:val="left" w:pos="9071"/>
              </w:tabs>
              <w:ind w:right="6"/>
              <w:jc w:val="center"/>
              <w:rPr>
                <w:lang w:val="en-GB" w:eastAsia="en-US"/>
              </w:rPr>
            </w:pPr>
            <w:r>
              <w:rPr>
                <w:spacing w:val="-4"/>
                <w:lang w:val="en-GB" w:eastAsia="en-US"/>
              </w:rPr>
              <w:t>37,7</w:t>
            </w:r>
          </w:p>
        </w:tc>
        <w:tc>
          <w:tcPr>
            <w:tcW w:w="2126" w:type="dxa"/>
          </w:tcPr>
          <w:p w14:paraId="5F232F59" w14:textId="77777777" w:rsidR="003B31DC" w:rsidRDefault="00913CBE">
            <w:pPr>
              <w:tabs>
                <w:tab w:val="left" w:pos="9071"/>
              </w:tabs>
              <w:jc w:val="center"/>
              <w:rPr>
                <w:lang w:val="en-GB" w:eastAsia="en-US"/>
              </w:rPr>
            </w:pPr>
            <w:r>
              <w:rPr>
                <w:spacing w:val="-4"/>
                <w:lang w:val="en-GB" w:eastAsia="en-US"/>
              </w:rPr>
              <w:t>38,7</w:t>
            </w:r>
          </w:p>
        </w:tc>
      </w:tr>
      <w:tr w:rsidR="003B31DC" w14:paraId="3F44C21B" w14:textId="77777777">
        <w:trPr>
          <w:trHeight w:val="251"/>
        </w:trPr>
        <w:tc>
          <w:tcPr>
            <w:tcW w:w="2942" w:type="dxa"/>
          </w:tcPr>
          <w:p w14:paraId="1908E71C" w14:textId="77777777" w:rsidR="003B31DC" w:rsidRDefault="00913CBE">
            <w:pPr>
              <w:tabs>
                <w:tab w:val="left" w:pos="9071"/>
              </w:tabs>
              <w:rPr>
                <w:lang w:val="en-GB" w:eastAsia="en-US"/>
              </w:rPr>
            </w:pPr>
            <w:r>
              <w:rPr>
                <w:spacing w:val="-10"/>
                <w:lang w:val="en-GB" w:eastAsia="en-US"/>
              </w:rPr>
              <w:t>N</w:t>
            </w:r>
          </w:p>
        </w:tc>
        <w:tc>
          <w:tcPr>
            <w:tcW w:w="1701" w:type="dxa"/>
          </w:tcPr>
          <w:p w14:paraId="0596D7C5" w14:textId="77777777" w:rsidR="003B31DC" w:rsidRDefault="00913CBE">
            <w:pPr>
              <w:tabs>
                <w:tab w:val="left" w:pos="9071"/>
              </w:tabs>
              <w:ind w:right="2"/>
              <w:jc w:val="center"/>
              <w:rPr>
                <w:lang w:val="en-GB" w:eastAsia="en-US"/>
              </w:rPr>
            </w:pPr>
            <w:r>
              <w:rPr>
                <w:spacing w:val="-5"/>
                <w:lang w:val="en-GB" w:eastAsia="en-US"/>
              </w:rPr>
              <w:t>207</w:t>
            </w:r>
          </w:p>
        </w:tc>
        <w:tc>
          <w:tcPr>
            <w:tcW w:w="2126" w:type="dxa"/>
          </w:tcPr>
          <w:p w14:paraId="06E055B2" w14:textId="77777777" w:rsidR="003B31DC" w:rsidRDefault="00913CBE">
            <w:pPr>
              <w:tabs>
                <w:tab w:val="left" w:pos="9071"/>
              </w:tabs>
              <w:ind w:right="8"/>
              <w:jc w:val="center"/>
              <w:rPr>
                <w:lang w:val="en-GB" w:eastAsia="en-US"/>
              </w:rPr>
            </w:pPr>
            <w:r>
              <w:rPr>
                <w:spacing w:val="-5"/>
                <w:lang w:val="en-GB" w:eastAsia="en-US"/>
              </w:rPr>
              <w:t>217</w:t>
            </w:r>
          </w:p>
        </w:tc>
        <w:tc>
          <w:tcPr>
            <w:tcW w:w="2126" w:type="dxa"/>
          </w:tcPr>
          <w:p w14:paraId="674438D2" w14:textId="77777777" w:rsidR="003B31DC" w:rsidRDefault="00913CBE">
            <w:pPr>
              <w:tabs>
                <w:tab w:val="left" w:pos="9071"/>
              </w:tabs>
              <w:ind w:right="3"/>
              <w:jc w:val="center"/>
              <w:rPr>
                <w:lang w:val="en-GB" w:eastAsia="en-US"/>
              </w:rPr>
            </w:pPr>
            <w:r>
              <w:rPr>
                <w:spacing w:val="-5"/>
                <w:lang w:val="en-GB" w:eastAsia="en-US"/>
              </w:rPr>
              <w:t>213</w:t>
            </w:r>
          </w:p>
        </w:tc>
      </w:tr>
      <w:tr w:rsidR="003B31DC" w14:paraId="1FFBDACC" w14:textId="77777777">
        <w:trPr>
          <w:trHeight w:val="253"/>
        </w:trPr>
        <w:tc>
          <w:tcPr>
            <w:tcW w:w="8895" w:type="dxa"/>
            <w:gridSpan w:val="4"/>
          </w:tcPr>
          <w:p w14:paraId="4BD75C47" w14:textId="77777777" w:rsidR="003B31DC" w:rsidRDefault="00913CBE">
            <w:pPr>
              <w:tabs>
                <w:tab w:val="left" w:pos="9071"/>
              </w:tabs>
              <w:rPr>
                <w:b/>
                <w:lang w:val="en-GB" w:eastAsia="en-US"/>
              </w:rPr>
            </w:pPr>
            <w:proofErr w:type="spellStart"/>
            <w:r>
              <w:rPr>
                <w:b/>
                <w:lang w:val="en-GB" w:eastAsia="en-US"/>
              </w:rPr>
              <w:t>Kūno</w:t>
            </w:r>
            <w:proofErr w:type="spellEnd"/>
            <w:r>
              <w:rPr>
                <w:b/>
                <w:lang w:val="en-GB" w:eastAsia="en-US"/>
              </w:rPr>
              <w:t xml:space="preserve"> </w:t>
            </w:r>
            <w:proofErr w:type="spellStart"/>
            <w:r>
              <w:rPr>
                <w:b/>
                <w:lang w:val="en-GB" w:eastAsia="en-US"/>
              </w:rPr>
              <w:t>svoris</w:t>
            </w:r>
            <w:proofErr w:type="spellEnd"/>
            <w:r>
              <w:rPr>
                <w:b/>
                <w:spacing w:val="-5"/>
                <w:lang w:val="en-GB" w:eastAsia="en-US"/>
              </w:rPr>
              <w:t xml:space="preserve"> </w:t>
            </w:r>
            <w:r>
              <w:rPr>
                <w:b/>
                <w:spacing w:val="-4"/>
                <w:lang w:val="en-GB" w:eastAsia="en-US"/>
              </w:rPr>
              <w:t>(kg)</w:t>
            </w:r>
          </w:p>
        </w:tc>
      </w:tr>
      <w:tr w:rsidR="003B31DC" w14:paraId="682A7881" w14:textId="77777777">
        <w:trPr>
          <w:trHeight w:val="254"/>
        </w:trPr>
        <w:tc>
          <w:tcPr>
            <w:tcW w:w="2942" w:type="dxa"/>
          </w:tcPr>
          <w:p w14:paraId="1C059722" w14:textId="77777777" w:rsidR="003B31DC" w:rsidRDefault="00913CBE">
            <w:pPr>
              <w:tabs>
                <w:tab w:val="left" w:pos="9071"/>
              </w:tabs>
              <w:rPr>
                <w:lang w:val="en-GB" w:eastAsia="en-US"/>
              </w:rPr>
            </w:pPr>
            <w:proofErr w:type="spellStart"/>
            <w:r>
              <w:rPr>
                <w:lang w:val="en-GB" w:eastAsia="en-US"/>
              </w:rPr>
              <w:t>Pradinis</w:t>
            </w:r>
            <w:proofErr w:type="spellEnd"/>
            <w:r>
              <w:rPr>
                <w:lang w:val="en-GB" w:eastAsia="en-US"/>
              </w:rPr>
              <w:t xml:space="preserve"> (</w:t>
            </w:r>
            <w:proofErr w:type="spellStart"/>
            <w:r>
              <w:rPr>
                <w:lang w:val="en-GB" w:eastAsia="en-US"/>
              </w:rPr>
              <w:t>vidurkis</w:t>
            </w:r>
            <w:proofErr w:type="spellEnd"/>
            <w:r>
              <w:rPr>
                <w:lang w:val="en-GB" w:eastAsia="en-US"/>
              </w:rPr>
              <w:t>)</w:t>
            </w:r>
          </w:p>
        </w:tc>
        <w:tc>
          <w:tcPr>
            <w:tcW w:w="1701" w:type="dxa"/>
          </w:tcPr>
          <w:p w14:paraId="1D83B0B8" w14:textId="77777777" w:rsidR="003B31DC" w:rsidRDefault="00913CBE">
            <w:pPr>
              <w:tabs>
                <w:tab w:val="left" w:pos="9071"/>
              </w:tabs>
              <w:jc w:val="center"/>
              <w:rPr>
                <w:lang w:val="en-GB" w:eastAsia="en-US"/>
              </w:rPr>
            </w:pPr>
            <w:r>
              <w:rPr>
                <w:spacing w:val="-2"/>
                <w:lang w:val="en-GB" w:eastAsia="en-US"/>
              </w:rPr>
              <w:t>79,73</w:t>
            </w:r>
          </w:p>
        </w:tc>
        <w:tc>
          <w:tcPr>
            <w:tcW w:w="2126" w:type="dxa"/>
          </w:tcPr>
          <w:p w14:paraId="601F539D" w14:textId="77777777" w:rsidR="003B31DC" w:rsidRDefault="00913CBE">
            <w:pPr>
              <w:tabs>
                <w:tab w:val="left" w:pos="9071"/>
              </w:tabs>
              <w:ind w:right="6"/>
              <w:jc w:val="center"/>
              <w:rPr>
                <w:lang w:val="en-GB" w:eastAsia="en-US"/>
              </w:rPr>
            </w:pPr>
            <w:r>
              <w:rPr>
                <w:spacing w:val="-2"/>
                <w:lang w:val="en-GB" w:eastAsia="en-US"/>
              </w:rPr>
              <w:t>81,59</w:t>
            </w:r>
          </w:p>
        </w:tc>
        <w:tc>
          <w:tcPr>
            <w:tcW w:w="2126" w:type="dxa"/>
          </w:tcPr>
          <w:p w14:paraId="2CD7A6E5" w14:textId="77777777" w:rsidR="003B31DC" w:rsidRDefault="00913CBE">
            <w:pPr>
              <w:tabs>
                <w:tab w:val="left" w:pos="9071"/>
              </w:tabs>
              <w:jc w:val="center"/>
              <w:rPr>
                <w:lang w:val="en-GB" w:eastAsia="en-US"/>
              </w:rPr>
            </w:pPr>
            <w:r>
              <w:rPr>
                <w:spacing w:val="-2"/>
                <w:lang w:val="en-GB" w:eastAsia="en-US"/>
              </w:rPr>
              <w:t>82,21</w:t>
            </w:r>
          </w:p>
        </w:tc>
      </w:tr>
      <w:tr w:rsidR="003B31DC" w14:paraId="4E36ECF0" w14:textId="77777777">
        <w:trPr>
          <w:trHeight w:val="251"/>
        </w:trPr>
        <w:tc>
          <w:tcPr>
            <w:tcW w:w="2942" w:type="dxa"/>
          </w:tcPr>
          <w:p w14:paraId="405DDA7C" w14:textId="77777777" w:rsidR="003B31DC" w:rsidRDefault="00913CBE">
            <w:pPr>
              <w:tabs>
                <w:tab w:val="left" w:pos="9071"/>
              </w:tabs>
              <w:ind w:right="680"/>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palyginti</w:t>
            </w:r>
            <w:proofErr w:type="spellEnd"/>
            <w:r>
              <w:rPr>
                <w:lang w:val="en-GB" w:eastAsia="en-US"/>
              </w:rPr>
              <w:t xml:space="preserve"> </w:t>
            </w:r>
            <w:proofErr w:type="spellStart"/>
            <w:r>
              <w:rPr>
                <w:lang w:val="en-GB" w:eastAsia="en-US"/>
              </w:rPr>
              <w:t>su</w:t>
            </w:r>
            <w:proofErr w:type="spellEnd"/>
            <w:r>
              <w:rPr>
                <w:lang w:val="en-GB" w:eastAsia="en-US"/>
              </w:rPr>
              <w:t xml:space="preserve"> </w:t>
            </w:r>
            <w:r>
              <w:rPr>
                <w:lang w:val="en-GB" w:eastAsia="en-US"/>
              </w:rPr>
              <w:lastRenderedPageBreak/>
              <w:t>pradiniu</w:t>
            </w:r>
            <w:r>
              <w:rPr>
                <w:vertAlign w:val="superscript"/>
                <w:lang w:val="en-GB" w:eastAsia="en-US"/>
              </w:rPr>
              <w:t>1</w:t>
            </w:r>
          </w:p>
        </w:tc>
        <w:tc>
          <w:tcPr>
            <w:tcW w:w="1701" w:type="dxa"/>
          </w:tcPr>
          <w:p w14:paraId="6B9396EB" w14:textId="77777777" w:rsidR="003B31DC" w:rsidRDefault="00913CBE">
            <w:pPr>
              <w:tabs>
                <w:tab w:val="left" w:pos="9071"/>
              </w:tabs>
              <w:ind w:right="7"/>
              <w:jc w:val="center"/>
              <w:rPr>
                <w:lang w:val="en-GB" w:eastAsia="en-US"/>
              </w:rPr>
            </w:pPr>
            <w:r>
              <w:rPr>
                <w:spacing w:val="-4"/>
                <w:lang w:val="en-GB" w:eastAsia="en-US"/>
              </w:rPr>
              <w:lastRenderedPageBreak/>
              <w:t>-0,45</w:t>
            </w:r>
          </w:p>
        </w:tc>
        <w:tc>
          <w:tcPr>
            <w:tcW w:w="2126" w:type="dxa"/>
          </w:tcPr>
          <w:p w14:paraId="1811A757" w14:textId="77777777" w:rsidR="003B31DC" w:rsidRDefault="00913CBE">
            <w:pPr>
              <w:tabs>
                <w:tab w:val="left" w:pos="9071"/>
              </w:tabs>
              <w:ind w:right="13"/>
              <w:jc w:val="center"/>
              <w:rPr>
                <w:lang w:val="en-GB" w:eastAsia="en-US"/>
              </w:rPr>
            </w:pPr>
            <w:r>
              <w:rPr>
                <w:spacing w:val="-4"/>
                <w:lang w:val="en-GB" w:eastAsia="en-US"/>
              </w:rPr>
              <w:t>-2,08</w:t>
            </w:r>
          </w:p>
        </w:tc>
        <w:tc>
          <w:tcPr>
            <w:tcW w:w="2126" w:type="dxa"/>
          </w:tcPr>
          <w:p w14:paraId="784D72B8" w14:textId="77777777" w:rsidR="003B31DC" w:rsidRDefault="00913CBE">
            <w:pPr>
              <w:tabs>
                <w:tab w:val="left" w:pos="9071"/>
              </w:tabs>
              <w:ind w:right="8"/>
              <w:jc w:val="center"/>
              <w:rPr>
                <w:lang w:val="en-GB" w:eastAsia="en-US"/>
              </w:rPr>
            </w:pPr>
            <w:r>
              <w:rPr>
                <w:spacing w:val="-4"/>
                <w:lang w:val="en-GB" w:eastAsia="en-US"/>
              </w:rPr>
              <w:t>-2,46</w:t>
            </w:r>
          </w:p>
        </w:tc>
      </w:tr>
      <w:tr w:rsidR="003B31DC" w14:paraId="259A1D36" w14:textId="77777777">
        <w:trPr>
          <w:trHeight w:val="506"/>
        </w:trPr>
        <w:tc>
          <w:tcPr>
            <w:tcW w:w="2942" w:type="dxa"/>
          </w:tcPr>
          <w:p w14:paraId="2C2C82D6" w14:textId="77777777" w:rsidR="003B31DC" w:rsidRPr="00A02B90" w:rsidRDefault="00913CBE">
            <w:pPr>
              <w:tabs>
                <w:tab w:val="left" w:pos="9071"/>
              </w:tabs>
              <w:rPr>
                <w:lang w:val="fr-FR" w:eastAsia="en-US"/>
              </w:rPr>
            </w:pPr>
            <w:r w:rsidRPr="00A02B90">
              <w:rPr>
                <w:lang w:val="fr-FR" w:eastAsia="en-US"/>
              </w:rPr>
              <w:t>Skirtumas, palyginti su placebu</w:t>
            </w:r>
            <w:r w:rsidRPr="00A02B90">
              <w:rPr>
                <w:vertAlign w:val="superscript"/>
                <w:lang w:val="fr-FR" w:eastAsia="en-US"/>
              </w:rPr>
              <w:t>1</w:t>
            </w:r>
          </w:p>
          <w:p w14:paraId="42A428CE" w14:textId="77777777" w:rsidR="003B31DC" w:rsidRPr="00A02B90" w:rsidRDefault="00913CBE">
            <w:pPr>
              <w:tabs>
                <w:tab w:val="left" w:pos="9071"/>
              </w:tabs>
              <w:rPr>
                <w:lang w:val="fr-FR" w:eastAsia="en-US"/>
              </w:rPr>
            </w:pPr>
            <w:r w:rsidRPr="00A02B90">
              <w:rPr>
                <w:lang w:val="fr-FR" w:eastAsia="en-US"/>
              </w:rPr>
              <w:t>(97,5 % PI)</w:t>
            </w:r>
          </w:p>
        </w:tc>
        <w:tc>
          <w:tcPr>
            <w:tcW w:w="1701" w:type="dxa"/>
          </w:tcPr>
          <w:p w14:paraId="2EBE313E" w14:textId="77777777" w:rsidR="003B31DC" w:rsidRPr="00A02B90" w:rsidRDefault="003B31DC">
            <w:pPr>
              <w:tabs>
                <w:tab w:val="left" w:pos="9071"/>
              </w:tabs>
              <w:rPr>
                <w:lang w:val="fr-FR" w:eastAsia="en-US"/>
              </w:rPr>
            </w:pPr>
          </w:p>
        </w:tc>
        <w:tc>
          <w:tcPr>
            <w:tcW w:w="2126" w:type="dxa"/>
          </w:tcPr>
          <w:p w14:paraId="5173D929" w14:textId="77777777" w:rsidR="003B31DC" w:rsidRDefault="00913CBE">
            <w:pPr>
              <w:tabs>
                <w:tab w:val="left" w:pos="9071"/>
              </w:tabs>
              <w:ind w:right="12"/>
              <w:jc w:val="center"/>
              <w:rPr>
                <w:lang w:val="en-GB" w:eastAsia="en-US"/>
              </w:rPr>
            </w:pPr>
            <w:r>
              <w:rPr>
                <w:lang w:val="en-GB" w:eastAsia="en-US"/>
              </w:rPr>
              <w:t>-1,63*</w:t>
            </w:r>
            <w:r>
              <w:rPr>
                <w:spacing w:val="-5"/>
                <w:lang w:val="en-GB" w:eastAsia="en-US"/>
              </w:rPr>
              <w:t xml:space="preserve"> </w:t>
            </w:r>
            <w:r>
              <w:rPr>
                <w:lang w:val="en-GB" w:eastAsia="en-US"/>
              </w:rPr>
              <w:t>(-2,17,</w:t>
            </w:r>
            <w:r>
              <w:rPr>
                <w:spacing w:val="-2"/>
                <w:lang w:val="en-GB" w:eastAsia="en-US"/>
              </w:rPr>
              <w:t xml:space="preserve"> </w:t>
            </w:r>
            <w:r>
              <w:rPr>
                <w:lang w:val="en-GB" w:eastAsia="en-US"/>
              </w:rPr>
              <w:t>-</w:t>
            </w:r>
            <w:r>
              <w:rPr>
                <w:spacing w:val="-2"/>
                <w:lang w:val="en-GB" w:eastAsia="en-US"/>
              </w:rPr>
              <w:t>1,08)</w:t>
            </w:r>
          </w:p>
        </w:tc>
        <w:tc>
          <w:tcPr>
            <w:tcW w:w="2126" w:type="dxa"/>
          </w:tcPr>
          <w:p w14:paraId="645ED83A" w14:textId="77777777" w:rsidR="003B31DC" w:rsidRDefault="00913CBE">
            <w:pPr>
              <w:tabs>
                <w:tab w:val="left" w:pos="9071"/>
              </w:tabs>
              <w:ind w:right="6"/>
              <w:jc w:val="center"/>
              <w:rPr>
                <w:lang w:val="en-GB" w:eastAsia="en-US"/>
              </w:rPr>
            </w:pPr>
            <w:r>
              <w:rPr>
                <w:lang w:val="en-GB" w:eastAsia="en-US"/>
              </w:rPr>
              <w:t>-2,01*</w:t>
            </w:r>
            <w:r>
              <w:rPr>
                <w:spacing w:val="-5"/>
                <w:lang w:val="en-GB" w:eastAsia="en-US"/>
              </w:rPr>
              <w:t xml:space="preserve"> </w:t>
            </w:r>
            <w:r>
              <w:rPr>
                <w:lang w:val="en-GB" w:eastAsia="en-US"/>
              </w:rPr>
              <w:t>(-2,56,</w:t>
            </w:r>
            <w:r>
              <w:rPr>
                <w:spacing w:val="-2"/>
                <w:lang w:val="en-GB" w:eastAsia="en-US"/>
              </w:rPr>
              <w:t xml:space="preserve"> </w:t>
            </w:r>
            <w:r>
              <w:rPr>
                <w:lang w:val="en-GB" w:eastAsia="en-US"/>
              </w:rPr>
              <w:t>-</w:t>
            </w:r>
            <w:r>
              <w:rPr>
                <w:spacing w:val="-2"/>
                <w:lang w:val="en-GB" w:eastAsia="en-US"/>
              </w:rPr>
              <w:t>1,46)</w:t>
            </w:r>
          </w:p>
        </w:tc>
      </w:tr>
      <w:tr w:rsidR="003B31DC" w14:paraId="2EAA5EBF" w14:textId="77777777">
        <w:trPr>
          <w:trHeight w:val="253"/>
        </w:trPr>
        <w:tc>
          <w:tcPr>
            <w:tcW w:w="2942" w:type="dxa"/>
          </w:tcPr>
          <w:p w14:paraId="245F68ED" w14:textId="77777777" w:rsidR="003B31DC" w:rsidRDefault="00913CBE">
            <w:pPr>
              <w:tabs>
                <w:tab w:val="left" w:pos="9071"/>
              </w:tabs>
              <w:rPr>
                <w:lang w:val="en-GB" w:eastAsia="en-US"/>
              </w:rPr>
            </w:pPr>
            <w:r>
              <w:rPr>
                <w:spacing w:val="-10"/>
                <w:lang w:val="en-GB" w:eastAsia="en-US"/>
              </w:rPr>
              <w:t>N</w:t>
            </w:r>
          </w:p>
        </w:tc>
        <w:tc>
          <w:tcPr>
            <w:tcW w:w="1701" w:type="dxa"/>
          </w:tcPr>
          <w:p w14:paraId="7B490A6F" w14:textId="77777777" w:rsidR="003B31DC" w:rsidRDefault="00913CBE">
            <w:pPr>
              <w:tabs>
                <w:tab w:val="left" w:pos="9071"/>
              </w:tabs>
              <w:ind w:right="2"/>
              <w:jc w:val="center"/>
              <w:rPr>
                <w:lang w:val="en-GB" w:eastAsia="en-US"/>
              </w:rPr>
            </w:pPr>
            <w:r>
              <w:rPr>
                <w:spacing w:val="-5"/>
                <w:lang w:val="en-GB" w:eastAsia="en-US"/>
              </w:rPr>
              <w:t>207</w:t>
            </w:r>
          </w:p>
        </w:tc>
        <w:tc>
          <w:tcPr>
            <w:tcW w:w="2126" w:type="dxa"/>
          </w:tcPr>
          <w:p w14:paraId="3C224953" w14:textId="77777777" w:rsidR="003B31DC" w:rsidRDefault="00913CBE">
            <w:pPr>
              <w:tabs>
                <w:tab w:val="left" w:pos="9071"/>
              </w:tabs>
              <w:ind w:right="8"/>
              <w:jc w:val="center"/>
              <w:rPr>
                <w:lang w:val="en-GB" w:eastAsia="en-US"/>
              </w:rPr>
            </w:pPr>
            <w:r>
              <w:rPr>
                <w:spacing w:val="-5"/>
                <w:lang w:val="en-GB" w:eastAsia="en-US"/>
              </w:rPr>
              <w:t>217</w:t>
            </w:r>
          </w:p>
        </w:tc>
        <w:tc>
          <w:tcPr>
            <w:tcW w:w="2126" w:type="dxa"/>
          </w:tcPr>
          <w:p w14:paraId="0A63B884" w14:textId="77777777" w:rsidR="003B31DC" w:rsidRDefault="00913CBE">
            <w:pPr>
              <w:tabs>
                <w:tab w:val="left" w:pos="9071"/>
              </w:tabs>
              <w:ind w:right="3"/>
              <w:jc w:val="center"/>
              <w:rPr>
                <w:lang w:val="en-GB" w:eastAsia="en-US"/>
              </w:rPr>
            </w:pPr>
            <w:r>
              <w:rPr>
                <w:spacing w:val="-5"/>
                <w:lang w:val="en-GB" w:eastAsia="en-US"/>
              </w:rPr>
              <w:t>213</w:t>
            </w:r>
          </w:p>
        </w:tc>
      </w:tr>
      <w:tr w:rsidR="003B31DC" w14:paraId="29C2B9BC" w14:textId="77777777">
        <w:trPr>
          <w:trHeight w:val="251"/>
        </w:trPr>
        <w:tc>
          <w:tcPr>
            <w:tcW w:w="8895" w:type="dxa"/>
            <w:gridSpan w:val="4"/>
          </w:tcPr>
          <w:p w14:paraId="5901811A" w14:textId="77777777" w:rsidR="003B31DC" w:rsidRDefault="00913CBE">
            <w:pPr>
              <w:tabs>
                <w:tab w:val="left" w:pos="9071"/>
              </w:tabs>
              <w:rPr>
                <w:b/>
                <w:lang w:val="en-GB" w:eastAsia="en-US"/>
              </w:rPr>
            </w:pPr>
            <w:r>
              <w:rPr>
                <w:b/>
                <w:lang w:val="en-GB" w:eastAsia="en-US"/>
              </w:rPr>
              <w:t>SKS</w:t>
            </w:r>
            <w:r>
              <w:rPr>
                <w:b/>
                <w:spacing w:val="-5"/>
                <w:lang w:val="en-GB" w:eastAsia="en-US"/>
              </w:rPr>
              <w:t xml:space="preserve"> </w:t>
            </w:r>
            <w:r>
              <w:rPr>
                <w:b/>
                <w:spacing w:val="-2"/>
                <w:lang w:val="en-GB" w:eastAsia="en-US"/>
              </w:rPr>
              <w:t>(mmHg)</w:t>
            </w:r>
            <w:r>
              <w:rPr>
                <w:b/>
                <w:spacing w:val="-2"/>
                <w:vertAlign w:val="superscript"/>
                <w:lang w:val="en-GB" w:eastAsia="en-US"/>
              </w:rPr>
              <w:t>2</w:t>
            </w:r>
          </w:p>
        </w:tc>
      </w:tr>
      <w:tr w:rsidR="003B31DC" w14:paraId="58E6F6D1" w14:textId="77777777">
        <w:trPr>
          <w:trHeight w:val="253"/>
        </w:trPr>
        <w:tc>
          <w:tcPr>
            <w:tcW w:w="2942" w:type="dxa"/>
          </w:tcPr>
          <w:p w14:paraId="2E5C1B5E" w14:textId="77777777" w:rsidR="003B31DC" w:rsidRDefault="00913CBE">
            <w:pPr>
              <w:tabs>
                <w:tab w:val="left" w:pos="9071"/>
              </w:tabs>
              <w:rPr>
                <w:lang w:val="en-GB" w:eastAsia="en-US"/>
              </w:rPr>
            </w:pPr>
            <w:proofErr w:type="spellStart"/>
            <w:r>
              <w:rPr>
                <w:lang w:val="en-GB" w:eastAsia="en-US"/>
              </w:rPr>
              <w:t>Pradinis</w:t>
            </w:r>
            <w:proofErr w:type="spellEnd"/>
            <w:r>
              <w:rPr>
                <w:lang w:val="en-GB" w:eastAsia="en-US"/>
              </w:rPr>
              <w:t xml:space="preserve"> (</w:t>
            </w:r>
            <w:proofErr w:type="spellStart"/>
            <w:r>
              <w:rPr>
                <w:lang w:val="en-GB" w:eastAsia="en-US"/>
              </w:rPr>
              <w:t>vidurkis</w:t>
            </w:r>
            <w:proofErr w:type="spellEnd"/>
            <w:r>
              <w:rPr>
                <w:lang w:val="en-GB" w:eastAsia="en-US"/>
              </w:rPr>
              <w:t>)</w:t>
            </w:r>
          </w:p>
        </w:tc>
        <w:tc>
          <w:tcPr>
            <w:tcW w:w="1701" w:type="dxa"/>
          </w:tcPr>
          <w:p w14:paraId="1E92B639" w14:textId="77777777" w:rsidR="003B31DC" w:rsidRDefault="00913CBE">
            <w:pPr>
              <w:tabs>
                <w:tab w:val="left" w:pos="9071"/>
              </w:tabs>
              <w:jc w:val="center"/>
              <w:rPr>
                <w:lang w:val="en-GB" w:eastAsia="en-US"/>
              </w:rPr>
            </w:pPr>
            <w:r>
              <w:rPr>
                <w:spacing w:val="-2"/>
                <w:lang w:val="en-GB" w:eastAsia="en-US"/>
              </w:rPr>
              <w:t>128,6</w:t>
            </w:r>
          </w:p>
        </w:tc>
        <w:tc>
          <w:tcPr>
            <w:tcW w:w="2126" w:type="dxa"/>
          </w:tcPr>
          <w:p w14:paraId="7D6570B6" w14:textId="77777777" w:rsidR="003B31DC" w:rsidRDefault="00913CBE">
            <w:pPr>
              <w:tabs>
                <w:tab w:val="left" w:pos="9071"/>
              </w:tabs>
              <w:ind w:right="6"/>
              <w:jc w:val="center"/>
              <w:rPr>
                <w:lang w:val="en-GB" w:eastAsia="en-US"/>
              </w:rPr>
            </w:pPr>
            <w:r>
              <w:rPr>
                <w:spacing w:val="-2"/>
                <w:lang w:val="en-GB" w:eastAsia="en-US"/>
              </w:rPr>
              <w:t>129,6</w:t>
            </w:r>
          </w:p>
        </w:tc>
        <w:tc>
          <w:tcPr>
            <w:tcW w:w="2126" w:type="dxa"/>
          </w:tcPr>
          <w:p w14:paraId="37A1E550" w14:textId="77777777" w:rsidR="003B31DC" w:rsidRDefault="00913CBE">
            <w:pPr>
              <w:tabs>
                <w:tab w:val="left" w:pos="9071"/>
              </w:tabs>
              <w:jc w:val="center"/>
              <w:rPr>
                <w:lang w:val="en-GB" w:eastAsia="en-US"/>
              </w:rPr>
            </w:pPr>
            <w:r>
              <w:rPr>
                <w:spacing w:val="-2"/>
                <w:lang w:val="en-GB" w:eastAsia="en-US"/>
              </w:rPr>
              <w:t>130,0</w:t>
            </w:r>
          </w:p>
        </w:tc>
      </w:tr>
      <w:tr w:rsidR="003B31DC" w14:paraId="5FFA5344" w14:textId="77777777">
        <w:trPr>
          <w:trHeight w:val="251"/>
        </w:trPr>
        <w:tc>
          <w:tcPr>
            <w:tcW w:w="2942" w:type="dxa"/>
          </w:tcPr>
          <w:p w14:paraId="2F979814" w14:textId="77777777" w:rsidR="003B31DC" w:rsidRDefault="00913CBE">
            <w:pPr>
              <w:tabs>
                <w:tab w:val="left" w:pos="9071"/>
              </w:tabs>
              <w:ind w:right="680"/>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palyginti</w:t>
            </w:r>
            <w:proofErr w:type="spellEnd"/>
            <w:r>
              <w:rPr>
                <w:lang w:val="en-GB" w:eastAsia="en-US"/>
              </w:rPr>
              <w:t xml:space="preserve"> </w:t>
            </w:r>
            <w:proofErr w:type="spellStart"/>
            <w:r>
              <w:rPr>
                <w:lang w:val="en-GB" w:eastAsia="en-US"/>
              </w:rPr>
              <w:t>su</w:t>
            </w:r>
            <w:proofErr w:type="spellEnd"/>
            <w:r>
              <w:rPr>
                <w:lang w:val="en-GB" w:eastAsia="en-US"/>
              </w:rPr>
              <w:t xml:space="preserve"> pradiniu</w:t>
            </w:r>
            <w:r>
              <w:rPr>
                <w:vertAlign w:val="superscript"/>
                <w:lang w:val="en-GB" w:eastAsia="en-US"/>
              </w:rPr>
              <w:t>1</w:t>
            </w:r>
          </w:p>
        </w:tc>
        <w:tc>
          <w:tcPr>
            <w:tcW w:w="1701" w:type="dxa"/>
          </w:tcPr>
          <w:p w14:paraId="65B1FD2C" w14:textId="77777777" w:rsidR="003B31DC" w:rsidRDefault="00913CBE">
            <w:pPr>
              <w:tabs>
                <w:tab w:val="left" w:pos="9071"/>
              </w:tabs>
              <w:ind w:right="7"/>
              <w:jc w:val="center"/>
              <w:rPr>
                <w:lang w:val="en-GB" w:eastAsia="en-US"/>
              </w:rPr>
            </w:pPr>
            <w:r>
              <w:rPr>
                <w:spacing w:val="-4"/>
                <w:lang w:val="en-GB" w:eastAsia="en-US"/>
              </w:rPr>
              <w:t>-</w:t>
            </w:r>
            <w:r>
              <w:rPr>
                <w:spacing w:val="-5"/>
                <w:lang w:val="en-GB" w:eastAsia="en-US"/>
              </w:rPr>
              <w:t>0,4</w:t>
            </w:r>
          </w:p>
        </w:tc>
        <w:tc>
          <w:tcPr>
            <w:tcW w:w="2126" w:type="dxa"/>
          </w:tcPr>
          <w:p w14:paraId="784A6CE1" w14:textId="77777777" w:rsidR="003B31DC" w:rsidRDefault="00913CBE">
            <w:pPr>
              <w:tabs>
                <w:tab w:val="left" w:pos="9071"/>
              </w:tabs>
              <w:ind w:right="13"/>
              <w:jc w:val="center"/>
              <w:rPr>
                <w:lang w:val="en-GB" w:eastAsia="en-US"/>
              </w:rPr>
            </w:pPr>
            <w:r>
              <w:rPr>
                <w:spacing w:val="-4"/>
                <w:lang w:val="en-GB" w:eastAsia="en-US"/>
              </w:rPr>
              <w:t>-</w:t>
            </w:r>
            <w:r>
              <w:rPr>
                <w:spacing w:val="-5"/>
                <w:lang w:val="en-GB" w:eastAsia="en-US"/>
              </w:rPr>
              <w:t>4,5</w:t>
            </w:r>
          </w:p>
        </w:tc>
        <w:tc>
          <w:tcPr>
            <w:tcW w:w="2126" w:type="dxa"/>
          </w:tcPr>
          <w:p w14:paraId="5A3FE328" w14:textId="77777777" w:rsidR="003B31DC" w:rsidRDefault="00913CBE">
            <w:pPr>
              <w:tabs>
                <w:tab w:val="left" w:pos="9071"/>
              </w:tabs>
              <w:ind w:right="8"/>
              <w:jc w:val="center"/>
              <w:rPr>
                <w:lang w:val="en-GB" w:eastAsia="en-US"/>
              </w:rPr>
            </w:pPr>
            <w:r>
              <w:rPr>
                <w:spacing w:val="-4"/>
                <w:lang w:val="en-GB" w:eastAsia="en-US"/>
              </w:rPr>
              <w:t>-</w:t>
            </w:r>
            <w:r>
              <w:rPr>
                <w:spacing w:val="-5"/>
                <w:lang w:val="en-GB" w:eastAsia="en-US"/>
              </w:rPr>
              <w:t>5,2</w:t>
            </w:r>
          </w:p>
        </w:tc>
      </w:tr>
      <w:tr w:rsidR="003B31DC" w14:paraId="5C54008E" w14:textId="77777777">
        <w:trPr>
          <w:trHeight w:val="506"/>
        </w:trPr>
        <w:tc>
          <w:tcPr>
            <w:tcW w:w="2942" w:type="dxa"/>
          </w:tcPr>
          <w:p w14:paraId="21593A76" w14:textId="77777777" w:rsidR="003B31DC" w:rsidRPr="00A02B90" w:rsidRDefault="00913CBE">
            <w:pPr>
              <w:tabs>
                <w:tab w:val="left" w:pos="9071"/>
              </w:tabs>
              <w:ind w:right="176"/>
              <w:rPr>
                <w:lang w:val="fr-FR" w:eastAsia="en-US"/>
              </w:rPr>
            </w:pPr>
            <w:r w:rsidRPr="00A02B90">
              <w:rPr>
                <w:lang w:val="fr-FR" w:eastAsia="en-US"/>
              </w:rPr>
              <w:t>Skirtumas, palyginti su placebu</w:t>
            </w:r>
            <w:r w:rsidRPr="00A02B90">
              <w:rPr>
                <w:vertAlign w:val="superscript"/>
                <w:lang w:val="fr-FR" w:eastAsia="en-US"/>
              </w:rPr>
              <w:t>1</w:t>
            </w:r>
          </w:p>
          <w:p w14:paraId="772483C6" w14:textId="77777777" w:rsidR="003B31DC" w:rsidRPr="00A02B90" w:rsidRDefault="00913CBE">
            <w:pPr>
              <w:tabs>
                <w:tab w:val="left" w:pos="9071"/>
              </w:tabs>
              <w:ind w:right="176"/>
              <w:rPr>
                <w:lang w:val="fr-FR" w:eastAsia="en-US"/>
              </w:rPr>
            </w:pPr>
            <w:r w:rsidRPr="00A02B90">
              <w:rPr>
                <w:lang w:val="fr-FR" w:eastAsia="en-US"/>
              </w:rPr>
              <w:t>(97,5 % PI)</w:t>
            </w:r>
          </w:p>
        </w:tc>
        <w:tc>
          <w:tcPr>
            <w:tcW w:w="1701" w:type="dxa"/>
          </w:tcPr>
          <w:p w14:paraId="4EE04B00" w14:textId="77777777" w:rsidR="003B31DC" w:rsidRPr="00A02B90" w:rsidRDefault="003B31DC">
            <w:pPr>
              <w:tabs>
                <w:tab w:val="left" w:pos="9071"/>
              </w:tabs>
              <w:rPr>
                <w:lang w:val="fr-FR" w:eastAsia="en-US"/>
              </w:rPr>
            </w:pPr>
          </w:p>
        </w:tc>
        <w:tc>
          <w:tcPr>
            <w:tcW w:w="2126" w:type="dxa"/>
          </w:tcPr>
          <w:p w14:paraId="0DAA1373" w14:textId="77777777" w:rsidR="003B31DC" w:rsidRDefault="00913CBE">
            <w:pPr>
              <w:tabs>
                <w:tab w:val="left" w:pos="9071"/>
              </w:tabs>
              <w:ind w:right="12"/>
              <w:jc w:val="center"/>
              <w:rPr>
                <w:lang w:val="en-GB" w:eastAsia="en-US"/>
              </w:rPr>
            </w:pPr>
            <w:r>
              <w:rPr>
                <w:lang w:val="en-GB" w:eastAsia="en-US"/>
              </w:rPr>
              <w:t>-4,1*</w:t>
            </w:r>
            <w:r>
              <w:rPr>
                <w:spacing w:val="-5"/>
                <w:lang w:val="en-GB" w:eastAsia="en-US"/>
              </w:rPr>
              <w:t xml:space="preserve"> </w:t>
            </w:r>
            <w:r>
              <w:rPr>
                <w:lang w:val="en-GB" w:eastAsia="en-US"/>
              </w:rPr>
              <w:t>(-6,2,</w:t>
            </w:r>
            <w:r>
              <w:rPr>
                <w:spacing w:val="-2"/>
                <w:lang w:val="en-GB" w:eastAsia="en-US"/>
              </w:rPr>
              <w:t xml:space="preserve"> </w:t>
            </w:r>
            <w:r>
              <w:rPr>
                <w:lang w:val="en-GB" w:eastAsia="en-US"/>
              </w:rPr>
              <w:t>-</w:t>
            </w:r>
            <w:r>
              <w:rPr>
                <w:spacing w:val="-4"/>
                <w:lang w:val="en-GB" w:eastAsia="en-US"/>
              </w:rPr>
              <w:t>2,1)</w:t>
            </w:r>
          </w:p>
        </w:tc>
        <w:tc>
          <w:tcPr>
            <w:tcW w:w="2126" w:type="dxa"/>
          </w:tcPr>
          <w:p w14:paraId="50B8CB17" w14:textId="77777777" w:rsidR="003B31DC" w:rsidRDefault="00913CBE">
            <w:pPr>
              <w:tabs>
                <w:tab w:val="left" w:pos="9071"/>
              </w:tabs>
              <w:ind w:right="6"/>
              <w:jc w:val="center"/>
              <w:rPr>
                <w:lang w:val="en-GB" w:eastAsia="en-US"/>
              </w:rPr>
            </w:pPr>
            <w:r>
              <w:rPr>
                <w:lang w:val="en-GB" w:eastAsia="en-US"/>
              </w:rPr>
              <w:t>-4,8*</w:t>
            </w:r>
            <w:r>
              <w:rPr>
                <w:spacing w:val="-5"/>
                <w:lang w:val="en-GB" w:eastAsia="en-US"/>
              </w:rPr>
              <w:t xml:space="preserve"> </w:t>
            </w:r>
            <w:r>
              <w:rPr>
                <w:lang w:val="en-GB" w:eastAsia="en-US"/>
              </w:rPr>
              <w:t>(-6,9,</w:t>
            </w:r>
            <w:r>
              <w:rPr>
                <w:spacing w:val="-2"/>
                <w:lang w:val="en-GB" w:eastAsia="en-US"/>
              </w:rPr>
              <w:t xml:space="preserve"> </w:t>
            </w:r>
            <w:r>
              <w:rPr>
                <w:lang w:val="en-GB" w:eastAsia="en-US"/>
              </w:rPr>
              <w:t>-</w:t>
            </w:r>
            <w:r>
              <w:rPr>
                <w:spacing w:val="-4"/>
                <w:lang w:val="en-GB" w:eastAsia="en-US"/>
              </w:rPr>
              <w:t>2,7)</w:t>
            </w:r>
          </w:p>
        </w:tc>
      </w:tr>
      <w:tr w:rsidR="003B31DC" w14:paraId="095484A9" w14:textId="77777777">
        <w:trPr>
          <w:trHeight w:val="253"/>
        </w:trPr>
        <w:tc>
          <w:tcPr>
            <w:tcW w:w="8895" w:type="dxa"/>
            <w:gridSpan w:val="4"/>
          </w:tcPr>
          <w:p w14:paraId="1DA62134" w14:textId="77777777" w:rsidR="003B31DC" w:rsidRDefault="00913CBE">
            <w:pPr>
              <w:tabs>
                <w:tab w:val="left" w:pos="9071"/>
              </w:tabs>
              <w:ind w:right="1"/>
              <w:jc w:val="center"/>
              <w:rPr>
                <w:lang w:val="en-GB" w:eastAsia="en-US"/>
              </w:rPr>
            </w:pPr>
            <w:proofErr w:type="spellStart"/>
            <w:r>
              <w:rPr>
                <w:b/>
                <w:lang w:val="en-GB" w:eastAsia="en-US"/>
              </w:rPr>
              <w:t>Gydymo</w:t>
            </w:r>
            <w:proofErr w:type="spellEnd"/>
            <w:r>
              <w:rPr>
                <w:b/>
                <w:lang w:val="en-GB" w:eastAsia="en-US"/>
              </w:rPr>
              <w:t xml:space="preserve"> </w:t>
            </w:r>
            <w:proofErr w:type="spellStart"/>
            <w:r>
              <w:rPr>
                <w:b/>
                <w:lang w:val="en-GB" w:eastAsia="en-US"/>
              </w:rPr>
              <w:t>metforminu</w:t>
            </w:r>
            <w:proofErr w:type="spellEnd"/>
            <w:r>
              <w:rPr>
                <w:b/>
                <w:lang w:val="en-GB" w:eastAsia="en-US"/>
              </w:rPr>
              <w:t xml:space="preserve"> </w:t>
            </w:r>
            <w:proofErr w:type="spellStart"/>
            <w:r>
              <w:rPr>
                <w:b/>
                <w:lang w:val="en-GB" w:eastAsia="en-US"/>
              </w:rPr>
              <w:t>papildymas</w:t>
            </w:r>
            <w:r>
              <w:rPr>
                <w:spacing w:val="-2"/>
                <w:vertAlign w:val="superscript"/>
                <w:lang w:val="en-GB" w:eastAsia="en-US"/>
              </w:rPr>
              <w:t>a</w:t>
            </w:r>
            <w:proofErr w:type="spellEnd"/>
          </w:p>
        </w:tc>
      </w:tr>
      <w:tr w:rsidR="003B31DC" w14:paraId="5C982A32" w14:textId="77777777">
        <w:trPr>
          <w:trHeight w:val="253"/>
        </w:trPr>
        <w:tc>
          <w:tcPr>
            <w:tcW w:w="2942" w:type="dxa"/>
            <w:vMerge w:val="restart"/>
          </w:tcPr>
          <w:p w14:paraId="0A7206CA" w14:textId="77777777" w:rsidR="003B31DC" w:rsidRDefault="003B31DC">
            <w:pPr>
              <w:tabs>
                <w:tab w:val="left" w:pos="9071"/>
              </w:tabs>
              <w:rPr>
                <w:lang w:val="en-GB" w:eastAsia="en-US"/>
              </w:rPr>
            </w:pPr>
          </w:p>
        </w:tc>
        <w:tc>
          <w:tcPr>
            <w:tcW w:w="1701" w:type="dxa"/>
            <w:vMerge w:val="restart"/>
          </w:tcPr>
          <w:p w14:paraId="537B1A1F" w14:textId="77777777" w:rsidR="003B31DC" w:rsidRDefault="00913CBE">
            <w:pPr>
              <w:tabs>
                <w:tab w:val="left" w:pos="9071"/>
              </w:tabs>
              <w:rPr>
                <w:b/>
                <w:lang w:val="en-GB" w:eastAsia="en-US"/>
              </w:rPr>
            </w:pPr>
            <w:proofErr w:type="spellStart"/>
            <w:r>
              <w:rPr>
                <w:b/>
                <w:spacing w:val="-2"/>
                <w:lang w:val="en-GB" w:eastAsia="en-US"/>
              </w:rPr>
              <w:t>Placebas</w:t>
            </w:r>
            <w:proofErr w:type="spellEnd"/>
          </w:p>
        </w:tc>
        <w:tc>
          <w:tcPr>
            <w:tcW w:w="4252" w:type="dxa"/>
            <w:gridSpan w:val="2"/>
          </w:tcPr>
          <w:p w14:paraId="34A5ED95" w14:textId="77777777" w:rsidR="003B31DC" w:rsidRDefault="00913CBE">
            <w:pPr>
              <w:tabs>
                <w:tab w:val="left" w:pos="9071"/>
              </w:tabs>
              <w:jc w:val="center"/>
              <w:rPr>
                <w:b/>
                <w:lang w:val="en-GB" w:eastAsia="en-US"/>
              </w:rPr>
            </w:pPr>
            <w:proofErr w:type="spellStart"/>
            <w:r>
              <w:rPr>
                <w:b/>
                <w:spacing w:val="-2"/>
                <w:lang w:val="en-GB" w:eastAsia="en-US"/>
              </w:rPr>
              <w:t>Empagliflozinas</w:t>
            </w:r>
            <w:proofErr w:type="spellEnd"/>
          </w:p>
        </w:tc>
      </w:tr>
      <w:tr w:rsidR="003B31DC" w14:paraId="059F6C87" w14:textId="77777777">
        <w:trPr>
          <w:trHeight w:val="251"/>
        </w:trPr>
        <w:tc>
          <w:tcPr>
            <w:tcW w:w="2942" w:type="dxa"/>
            <w:vMerge/>
            <w:tcBorders>
              <w:top w:val="nil"/>
            </w:tcBorders>
          </w:tcPr>
          <w:p w14:paraId="54979B6D" w14:textId="77777777" w:rsidR="003B31DC" w:rsidRDefault="003B31DC">
            <w:pPr>
              <w:tabs>
                <w:tab w:val="left" w:pos="9071"/>
              </w:tabs>
              <w:rPr>
                <w:sz w:val="24"/>
                <w:lang w:val="en-GB" w:eastAsia="sl-SI"/>
              </w:rPr>
            </w:pPr>
          </w:p>
        </w:tc>
        <w:tc>
          <w:tcPr>
            <w:tcW w:w="1701" w:type="dxa"/>
            <w:vMerge/>
            <w:tcBorders>
              <w:top w:val="nil"/>
            </w:tcBorders>
          </w:tcPr>
          <w:p w14:paraId="57328794" w14:textId="77777777" w:rsidR="003B31DC" w:rsidRDefault="003B31DC">
            <w:pPr>
              <w:tabs>
                <w:tab w:val="left" w:pos="9071"/>
              </w:tabs>
              <w:rPr>
                <w:sz w:val="24"/>
                <w:lang w:val="en-GB" w:eastAsia="sl-SI"/>
              </w:rPr>
            </w:pPr>
          </w:p>
        </w:tc>
        <w:tc>
          <w:tcPr>
            <w:tcW w:w="2126" w:type="dxa"/>
          </w:tcPr>
          <w:p w14:paraId="48881095" w14:textId="77777777" w:rsidR="003B31DC" w:rsidRDefault="00913CBE">
            <w:pPr>
              <w:tabs>
                <w:tab w:val="left" w:pos="9071"/>
              </w:tabs>
              <w:ind w:right="12"/>
              <w:jc w:val="center"/>
              <w:rPr>
                <w:b/>
                <w:lang w:val="en-GB" w:eastAsia="en-US"/>
              </w:rPr>
            </w:pPr>
            <w:r>
              <w:rPr>
                <w:b/>
                <w:lang w:val="en-GB" w:eastAsia="en-US"/>
              </w:rPr>
              <w:t>10 mg</w:t>
            </w:r>
          </w:p>
        </w:tc>
        <w:tc>
          <w:tcPr>
            <w:tcW w:w="2126" w:type="dxa"/>
          </w:tcPr>
          <w:p w14:paraId="26F0F979" w14:textId="77777777" w:rsidR="003B31DC" w:rsidRDefault="00913CBE">
            <w:pPr>
              <w:tabs>
                <w:tab w:val="left" w:pos="9071"/>
              </w:tabs>
              <w:ind w:right="7"/>
              <w:jc w:val="center"/>
              <w:rPr>
                <w:b/>
                <w:lang w:val="en-GB" w:eastAsia="en-US"/>
              </w:rPr>
            </w:pPr>
            <w:r>
              <w:rPr>
                <w:b/>
                <w:lang w:val="en-GB" w:eastAsia="en-US"/>
              </w:rPr>
              <w:t>25 mg</w:t>
            </w:r>
          </w:p>
        </w:tc>
      </w:tr>
      <w:tr w:rsidR="003B31DC" w14:paraId="00B04C33" w14:textId="77777777">
        <w:trPr>
          <w:trHeight w:val="253"/>
        </w:trPr>
        <w:tc>
          <w:tcPr>
            <w:tcW w:w="2942" w:type="dxa"/>
          </w:tcPr>
          <w:p w14:paraId="50133B27" w14:textId="77777777" w:rsidR="003B31DC" w:rsidRDefault="00913CBE">
            <w:pPr>
              <w:tabs>
                <w:tab w:val="left" w:pos="9071"/>
              </w:tabs>
              <w:rPr>
                <w:lang w:val="en-GB" w:eastAsia="en-US"/>
              </w:rPr>
            </w:pPr>
            <w:r>
              <w:rPr>
                <w:spacing w:val="-10"/>
                <w:lang w:val="en-GB" w:eastAsia="en-US"/>
              </w:rPr>
              <w:t>N</w:t>
            </w:r>
          </w:p>
        </w:tc>
        <w:tc>
          <w:tcPr>
            <w:tcW w:w="1701" w:type="dxa"/>
          </w:tcPr>
          <w:p w14:paraId="0CD12548" w14:textId="77777777" w:rsidR="003B31DC" w:rsidRDefault="00913CBE">
            <w:pPr>
              <w:tabs>
                <w:tab w:val="left" w:pos="9071"/>
              </w:tabs>
              <w:ind w:right="2"/>
              <w:jc w:val="center"/>
              <w:rPr>
                <w:lang w:val="en-GB" w:eastAsia="en-US"/>
              </w:rPr>
            </w:pPr>
            <w:r>
              <w:rPr>
                <w:spacing w:val="-5"/>
                <w:lang w:val="en-GB" w:eastAsia="en-US"/>
              </w:rPr>
              <w:t>225</w:t>
            </w:r>
          </w:p>
        </w:tc>
        <w:tc>
          <w:tcPr>
            <w:tcW w:w="2126" w:type="dxa"/>
          </w:tcPr>
          <w:p w14:paraId="4E8FF407" w14:textId="77777777" w:rsidR="003B31DC" w:rsidRDefault="00913CBE">
            <w:pPr>
              <w:tabs>
                <w:tab w:val="left" w:pos="9071"/>
              </w:tabs>
              <w:ind w:right="8"/>
              <w:jc w:val="center"/>
              <w:rPr>
                <w:lang w:val="en-GB" w:eastAsia="en-US"/>
              </w:rPr>
            </w:pPr>
            <w:r>
              <w:rPr>
                <w:spacing w:val="-5"/>
                <w:lang w:val="en-GB" w:eastAsia="en-US"/>
              </w:rPr>
              <w:t>225</w:t>
            </w:r>
          </w:p>
        </w:tc>
        <w:tc>
          <w:tcPr>
            <w:tcW w:w="2126" w:type="dxa"/>
          </w:tcPr>
          <w:p w14:paraId="03918537" w14:textId="77777777" w:rsidR="003B31DC" w:rsidRDefault="00913CBE">
            <w:pPr>
              <w:tabs>
                <w:tab w:val="left" w:pos="9071"/>
              </w:tabs>
              <w:ind w:right="3"/>
              <w:jc w:val="center"/>
              <w:rPr>
                <w:lang w:val="en-GB" w:eastAsia="en-US"/>
              </w:rPr>
            </w:pPr>
            <w:r>
              <w:rPr>
                <w:spacing w:val="-5"/>
                <w:lang w:val="en-GB" w:eastAsia="en-US"/>
              </w:rPr>
              <w:t>216</w:t>
            </w:r>
          </w:p>
        </w:tc>
      </w:tr>
      <w:tr w:rsidR="003B31DC" w14:paraId="5F55E186" w14:textId="77777777">
        <w:trPr>
          <w:trHeight w:val="251"/>
        </w:trPr>
        <w:tc>
          <w:tcPr>
            <w:tcW w:w="8895" w:type="dxa"/>
            <w:gridSpan w:val="4"/>
          </w:tcPr>
          <w:p w14:paraId="0668035E" w14:textId="77777777" w:rsidR="003B31DC" w:rsidRDefault="00913CBE">
            <w:pPr>
              <w:tabs>
                <w:tab w:val="left" w:pos="9071"/>
              </w:tabs>
              <w:rPr>
                <w:b/>
                <w:lang w:val="en-GB" w:eastAsia="en-US"/>
              </w:rPr>
            </w:pPr>
            <w:r>
              <w:rPr>
                <w:b/>
                <w:lang w:val="en-GB" w:eastAsia="en-US"/>
              </w:rPr>
              <w:t xml:space="preserve">HbA1c </w:t>
            </w:r>
            <w:proofErr w:type="spellStart"/>
            <w:r>
              <w:rPr>
                <w:b/>
                <w:lang w:val="en-GB" w:eastAsia="en-US"/>
              </w:rPr>
              <w:t>kiekis</w:t>
            </w:r>
            <w:proofErr w:type="spellEnd"/>
            <w:r>
              <w:rPr>
                <w:b/>
                <w:spacing w:val="-5"/>
                <w:lang w:val="en-GB" w:eastAsia="en-US"/>
              </w:rPr>
              <w:t xml:space="preserve"> (%)</w:t>
            </w:r>
          </w:p>
        </w:tc>
      </w:tr>
      <w:tr w:rsidR="003B31DC" w14:paraId="22B5C484" w14:textId="77777777">
        <w:trPr>
          <w:trHeight w:val="253"/>
        </w:trPr>
        <w:tc>
          <w:tcPr>
            <w:tcW w:w="2942" w:type="dxa"/>
          </w:tcPr>
          <w:p w14:paraId="7CB9B5BD" w14:textId="77777777" w:rsidR="003B31DC" w:rsidRDefault="00913CBE">
            <w:pPr>
              <w:tabs>
                <w:tab w:val="left" w:pos="9071"/>
              </w:tabs>
              <w:rPr>
                <w:lang w:val="en-GB" w:eastAsia="en-US"/>
              </w:rPr>
            </w:pPr>
            <w:proofErr w:type="spellStart"/>
            <w:r>
              <w:t>Pradinis</w:t>
            </w:r>
            <w:proofErr w:type="spellEnd"/>
            <w:r>
              <w:t xml:space="preserve"> (</w:t>
            </w:r>
            <w:proofErr w:type="spellStart"/>
            <w:r>
              <w:t>vidurkis</w:t>
            </w:r>
            <w:proofErr w:type="spellEnd"/>
            <w:r>
              <w:t>)</w:t>
            </w:r>
          </w:p>
        </w:tc>
        <w:tc>
          <w:tcPr>
            <w:tcW w:w="1701" w:type="dxa"/>
          </w:tcPr>
          <w:p w14:paraId="7B7E0F5D" w14:textId="77777777" w:rsidR="003B31DC" w:rsidRDefault="00913CBE">
            <w:pPr>
              <w:tabs>
                <w:tab w:val="left" w:pos="9071"/>
              </w:tabs>
              <w:jc w:val="center"/>
              <w:rPr>
                <w:lang w:val="en-GB" w:eastAsia="en-US"/>
              </w:rPr>
            </w:pPr>
            <w:r>
              <w:rPr>
                <w:spacing w:val="-4"/>
                <w:lang w:val="en-GB" w:eastAsia="en-US"/>
              </w:rPr>
              <w:t>8,15</w:t>
            </w:r>
          </w:p>
        </w:tc>
        <w:tc>
          <w:tcPr>
            <w:tcW w:w="2126" w:type="dxa"/>
          </w:tcPr>
          <w:p w14:paraId="2E205ECB" w14:textId="77777777" w:rsidR="003B31DC" w:rsidRDefault="00913CBE">
            <w:pPr>
              <w:tabs>
                <w:tab w:val="left" w:pos="9071"/>
              </w:tabs>
              <w:ind w:right="6"/>
              <w:jc w:val="center"/>
              <w:rPr>
                <w:lang w:val="en-GB" w:eastAsia="en-US"/>
              </w:rPr>
            </w:pPr>
            <w:r>
              <w:rPr>
                <w:spacing w:val="-4"/>
                <w:lang w:val="en-GB" w:eastAsia="en-US"/>
              </w:rPr>
              <w:t>8,07</w:t>
            </w:r>
          </w:p>
        </w:tc>
        <w:tc>
          <w:tcPr>
            <w:tcW w:w="2126" w:type="dxa"/>
          </w:tcPr>
          <w:p w14:paraId="2AE15CE7" w14:textId="77777777" w:rsidR="003B31DC" w:rsidRDefault="00913CBE">
            <w:pPr>
              <w:tabs>
                <w:tab w:val="left" w:pos="9071"/>
              </w:tabs>
              <w:jc w:val="center"/>
              <w:rPr>
                <w:lang w:val="en-GB" w:eastAsia="en-US"/>
              </w:rPr>
            </w:pPr>
            <w:r>
              <w:rPr>
                <w:spacing w:val="-4"/>
                <w:lang w:val="en-GB" w:eastAsia="en-US"/>
              </w:rPr>
              <w:t>8,10</w:t>
            </w:r>
          </w:p>
        </w:tc>
      </w:tr>
      <w:tr w:rsidR="003B31DC" w14:paraId="344E2B7E" w14:textId="77777777">
        <w:trPr>
          <w:trHeight w:val="251"/>
        </w:trPr>
        <w:tc>
          <w:tcPr>
            <w:tcW w:w="2942" w:type="dxa"/>
          </w:tcPr>
          <w:p w14:paraId="3240B114" w14:textId="77777777" w:rsidR="003B31DC" w:rsidRDefault="00913CBE">
            <w:pPr>
              <w:tabs>
                <w:tab w:val="left" w:pos="9071"/>
              </w:tabs>
              <w:ind w:right="680"/>
              <w:rPr>
                <w:lang w:val="en-GB" w:eastAsia="en-US"/>
              </w:rPr>
            </w:pPr>
            <w:proofErr w:type="spellStart"/>
            <w:r>
              <w:t>Pokytis</w:t>
            </w:r>
            <w:proofErr w:type="spellEnd"/>
            <w:r>
              <w:t xml:space="preserve">, </w:t>
            </w:r>
            <w:proofErr w:type="spellStart"/>
            <w:r>
              <w:t>palyginti</w:t>
            </w:r>
            <w:proofErr w:type="spellEnd"/>
            <w:r>
              <w:t xml:space="preserve"> </w:t>
            </w:r>
            <w:proofErr w:type="spellStart"/>
            <w:r>
              <w:t>su</w:t>
            </w:r>
            <w:proofErr w:type="spellEnd"/>
            <w:r>
              <w:t xml:space="preserve"> pradiniu</w:t>
            </w:r>
            <w:r>
              <w:rPr>
                <w:vertAlign w:val="superscript"/>
              </w:rPr>
              <w:t>1</w:t>
            </w:r>
          </w:p>
        </w:tc>
        <w:tc>
          <w:tcPr>
            <w:tcW w:w="1701" w:type="dxa"/>
          </w:tcPr>
          <w:p w14:paraId="76D61DC9" w14:textId="77777777" w:rsidR="003B31DC" w:rsidRDefault="00913CBE">
            <w:pPr>
              <w:tabs>
                <w:tab w:val="left" w:pos="9071"/>
              </w:tabs>
              <w:ind w:right="7"/>
              <w:jc w:val="center"/>
              <w:rPr>
                <w:lang w:val="en-GB" w:eastAsia="en-US"/>
              </w:rPr>
            </w:pPr>
            <w:r>
              <w:rPr>
                <w:spacing w:val="-4"/>
                <w:lang w:val="en-GB" w:eastAsia="en-US"/>
              </w:rPr>
              <w:t>-0,17</w:t>
            </w:r>
          </w:p>
        </w:tc>
        <w:tc>
          <w:tcPr>
            <w:tcW w:w="2126" w:type="dxa"/>
          </w:tcPr>
          <w:p w14:paraId="0F4199D7" w14:textId="77777777" w:rsidR="003B31DC" w:rsidRDefault="00913CBE">
            <w:pPr>
              <w:tabs>
                <w:tab w:val="left" w:pos="9071"/>
              </w:tabs>
              <w:ind w:right="13"/>
              <w:jc w:val="center"/>
              <w:rPr>
                <w:lang w:val="en-GB" w:eastAsia="en-US"/>
              </w:rPr>
            </w:pPr>
            <w:r>
              <w:rPr>
                <w:spacing w:val="-4"/>
                <w:lang w:val="en-GB" w:eastAsia="en-US"/>
              </w:rPr>
              <w:t>-0,82</w:t>
            </w:r>
          </w:p>
        </w:tc>
        <w:tc>
          <w:tcPr>
            <w:tcW w:w="2126" w:type="dxa"/>
          </w:tcPr>
          <w:p w14:paraId="62B77D48" w14:textId="77777777" w:rsidR="003B31DC" w:rsidRDefault="00913CBE">
            <w:pPr>
              <w:tabs>
                <w:tab w:val="left" w:pos="9071"/>
              </w:tabs>
              <w:ind w:right="8"/>
              <w:jc w:val="center"/>
              <w:rPr>
                <w:lang w:val="en-GB" w:eastAsia="en-US"/>
              </w:rPr>
            </w:pPr>
            <w:r>
              <w:rPr>
                <w:spacing w:val="-4"/>
                <w:lang w:val="en-GB" w:eastAsia="en-US"/>
              </w:rPr>
              <w:t>-0,77</w:t>
            </w:r>
          </w:p>
        </w:tc>
      </w:tr>
      <w:tr w:rsidR="003B31DC" w14:paraId="5479FC03" w14:textId="77777777">
        <w:trPr>
          <w:trHeight w:val="506"/>
        </w:trPr>
        <w:tc>
          <w:tcPr>
            <w:tcW w:w="2942" w:type="dxa"/>
          </w:tcPr>
          <w:p w14:paraId="35E74FAD" w14:textId="77777777" w:rsidR="003B31DC" w:rsidRPr="00A02B90" w:rsidRDefault="00913CBE">
            <w:pPr>
              <w:tabs>
                <w:tab w:val="left" w:pos="9071"/>
              </w:tabs>
              <w:rPr>
                <w:lang w:val="fr-FR"/>
              </w:rPr>
            </w:pPr>
            <w:r w:rsidRPr="00A02B90">
              <w:rPr>
                <w:lang w:val="fr-FR"/>
              </w:rPr>
              <w:t>Skirtumas, palyginti su placebu</w:t>
            </w:r>
            <w:r w:rsidRPr="00A02B90">
              <w:rPr>
                <w:vertAlign w:val="superscript"/>
                <w:lang w:val="fr-FR"/>
              </w:rPr>
              <w:t>1</w:t>
            </w:r>
          </w:p>
          <w:p w14:paraId="05E85D98" w14:textId="77777777" w:rsidR="003B31DC" w:rsidRPr="00A02B90" w:rsidRDefault="00913CBE">
            <w:pPr>
              <w:tabs>
                <w:tab w:val="left" w:pos="9071"/>
              </w:tabs>
              <w:rPr>
                <w:lang w:val="fr-FR" w:eastAsia="en-US"/>
              </w:rPr>
            </w:pPr>
            <w:r w:rsidRPr="00A02B90">
              <w:rPr>
                <w:lang w:val="fr-FR" w:eastAsia="en-US"/>
              </w:rPr>
              <w:t>(97,5 % PI)</w:t>
            </w:r>
          </w:p>
        </w:tc>
        <w:tc>
          <w:tcPr>
            <w:tcW w:w="1701" w:type="dxa"/>
          </w:tcPr>
          <w:p w14:paraId="3E5B371B" w14:textId="77777777" w:rsidR="003B31DC" w:rsidRPr="00A02B90" w:rsidRDefault="003B31DC">
            <w:pPr>
              <w:tabs>
                <w:tab w:val="left" w:pos="9071"/>
              </w:tabs>
              <w:rPr>
                <w:lang w:val="fr-FR" w:eastAsia="en-US"/>
              </w:rPr>
            </w:pPr>
          </w:p>
        </w:tc>
        <w:tc>
          <w:tcPr>
            <w:tcW w:w="2126" w:type="dxa"/>
          </w:tcPr>
          <w:p w14:paraId="4C5DEB10" w14:textId="77777777" w:rsidR="003B31DC" w:rsidRDefault="00913CBE">
            <w:pPr>
              <w:tabs>
                <w:tab w:val="left" w:pos="9071"/>
              </w:tabs>
              <w:ind w:right="12"/>
              <w:jc w:val="center"/>
              <w:rPr>
                <w:lang w:val="en-GB" w:eastAsia="en-US"/>
              </w:rPr>
            </w:pPr>
            <w:r>
              <w:rPr>
                <w:lang w:val="en-GB" w:eastAsia="en-US"/>
              </w:rPr>
              <w:t>-0,64*</w:t>
            </w:r>
            <w:r>
              <w:rPr>
                <w:spacing w:val="-5"/>
                <w:lang w:val="en-GB" w:eastAsia="en-US"/>
              </w:rPr>
              <w:t xml:space="preserve"> </w:t>
            </w:r>
            <w:r>
              <w:rPr>
                <w:lang w:val="en-GB" w:eastAsia="en-US"/>
              </w:rPr>
              <w:t>(-0,79,</w:t>
            </w:r>
            <w:r>
              <w:rPr>
                <w:spacing w:val="-2"/>
                <w:lang w:val="en-GB" w:eastAsia="en-US"/>
              </w:rPr>
              <w:t xml:space="preserve"> </w:t>
            </w:r>
            <w:r>
              <w:rPr>
                <w:lang w:val="en-GB" w:eastAsia="en-US"/>
              </w:rPr>
              <w:t>-</w:t>
            </w:r>
            <w:r>
              <w:rPr>
                <w:spacing w:val="-2"/>
                <w:lang w:val="en-GB" w:eastAsia="en-US"/>
              </w:rPr>
              <w:t>0,49)</w:t>
            </w:r>
          </w:p>
        </w:tc>
        <w:tc>
          <w:tcPr>
            <w:tcW w:w="2126" w:type="dxa"/>
          </w:tcPr>
          <w:p w14:paraId="4A0FA000" w14:textId="77777777" w:rsidR="003B31DC" w:rsidRDefault="00913CBE">
            <w:pPr>
              <w:tabs>
                <w:tab w:val="left" w:pos="9071"/>
              </w:tabs>
              <w:ind w:right="6"/>
              <w:jc w:val="center"/>
              <w:rPr>
                <w:lang w:val="en-GB" w:eastAsia="en-US"/>
              </w:rPr>
            </w:pPr>
            <w:r>
              <w:rPr>
                <w:lang w:val="en-GB" w:eastAsia="en-US"/>
              </w:rPr>
              <w:t>-0,59*</w:t>
            </w:r>
            <w:r>
              <w:rPr>
                <w:spacing w:val="-5"/>
                <w:lang w:val="en-GB" w:eastAsia="en-US"/>
              </w:rPr>
              <w:t xml:space="preserve"> </w:t>
            </w:r>
            <w:r>
              <w:rPr>
                <w:lang w:val="en-GB" w:eastAsia="en-US"/>
              </w:rPr>
              <w:t>(-0,74,</w:t>
            </w:r>
            <w:r>
              <w:rPr>
                <w:spacing w:val="-2"/>
                <w:lang w:val="en-GB" w:eastAsia="en-US"/>
              </w:rPr>
              <w:t xml:space="preserve"> </w:t>
            </w:r>
            <w:r>
              <w:rPr>
                <w:lang w:val="en-GB" w:eastAsia="en-US"/>
              </w:rPr>
              <w:t>-</w:t>
            </w:r>
            <w:r>
              <w:rPr>
                <w:spacing w:val="-2"/>
                <w:lang w:val="en-GB" w:eastAsia="en-US"/>
              </w:rPr>
              <w:t>0,44)</w:t>
            </w:r>
          </w:p>
        </w:tc>
      </w:tr>
      <w:tr w:rsidR="003B31DC" w14:paraId="4079B956" w14:textId="77777777">
        <w:trPr>
          <w:trHeight w:val="253"/>
        </w:trPr>
        <w:tc>
          <w:tcPr>
            <w:tcW w:w="2942" w:type="dxa"/>
          </w:tcPr>
          <w:p w14:paraId="66C5DB06" w14:textId="77777777" w:rsidR="003B31DC" w:rsidRDefault="00913CBE">
            <w:pPr>
              <w:tabs>
                <w:tab w:val="left" w:pos="9071"/>
              </w:tabs>
              <w:rPr>
                <w:lang w:val="en-GB" w:eastAsia="en-US"/>
              </w:rPr>
            </w:pPr>
            <w:r>
              <w:rPr>
                <w:spacing w:val="-10"/>
                <w:lang w:val="en-GB" w:eastAsia="en-US"/>
              </w:rPr>
              <w:t>N</w:t>
            </w:r>
          </w:p>
        </w:tc>
        <w:tc>
          <w:tcPr>
            <w:tcW w:w="1701" w:type="dxa"/>
          </w:tcPr>
          <w:p w14:paraId="4F707083" w14:textId="77777777" w:rsidR="003B31DC" w:rsidRDefault="00913CBE">
            <w:pPr>
              <w:tabs>
                <w:tab w:val="left" w:pos="9071"/>
              </w:tabs>
              <w:ind w:right="2"/>
              <w:jc w:val="center"/>
              <w:rPr>
                <w:lang w:val="en-GB" w:eastAsia="en-US"/>
              </w:rPr>
            </w:pPr>
            <w:r>
              <w:rPr>
                <w:spacing w:val="-5"/>
                <w:lang w:val="en-GB" w:eastAsia="en-US"/>
              </w:rPr>
              <w:t>216</w:t>
            </w:r>
          </w:p>
        </w:tc>
        <w:tc>
          <w:tcPr>
            <w:tcW w:w="2126" w:type="dxa"/>
          </w:tcPr>
          <w:p w14:paraId="27992AAE" w14:textId="77777777" w:rsidR="003B31DC" w:rsidRDefault="00913CBE">
            <w:pPr>
              <w:tabs>
                <w:tab w:val="left" w:pos="9071"/>
              </w:tabs>
              <w:ind w:right="8"/>
              <w:jc w:val="center"/>
              <w:rPr>
                <w:lang w:val="en-GB" w:eastAsia="en-US"/>
              </w:rPr>
            </w:pPr>
            <w:r>
              <w:rPr>
                <w:spacing w:val="-5"/>
                <w:lang w:val="en-GB" w:eastAsia="en-US"/>
              </w:rPr>
              <w:t>209</w:t>
            </w:r>
          </w:p>
        </w:tc>
        <w:tc>
          <w:tcPr>
            <w:tcW w:w="2126" w:type="dxa"/>
          </w:tcPr>
          <w:p w14:paraId="3A072DED" w14:textId="77777777" w:rsidR="003B31DC" w:rsidRDefault="00913CBE">
            <w:pPr>
              <w:tabs>
                <w:tab w:val="left" w:pos="9071"/>
              </w:tabs>
              <w:ind w:right="3"/>
              <w:jc w:val="center"/>
              <w:rPr>
                <w:lang w:val="en-GB" w:eastAsia="en-US"/>
              </w:rPr>
            </w:pPr>
            <w:r>
              <w:rPr>
                <w:spacing w:val="-5"/>
                <w:lang w:val="en-GB" w:eastAsia="en-US"/>
              </w:rPr>
              <w:t>202</w:t>
            </w:r>
          </w:p>
        </w:tc>
      </w:tr>
      <w:tr w:rsidR="003B31DC" w14:paraId="444AEE33" w14:textId="77777777">
        <w:trPr>
          <w:trHeight w:val="758"/>
        </w:trPr>
        <w:tc>
          <w:tcPr>
            <w:tcW w:w="2942" w:type="dxa"/>
          </w:tcPr>
          <w:p w14:paraId="18C7E2B9" w14:textId="77777777" w:rsidR="003B31DC" w:rsidRPr="00A02B90" w:rsidRDefault="00913CBE">
            <w:pPr>
              <w:tabs>
                <w:tab w:val="left" w:pos="9071"/>
              </w:tabs>
              <w:rPr>
                <w:b/>
                <w:lang w:val="lt-LT" w:eastAsia="en-US"/>
              </w:rPr>
            </w:pPr>
            <w:r w:rsidRPr="00A02B90">
              <w:rPr>
                <w:b/>
                <w:lang w:val="lt-LT" w:eastAsia="en-US"/>
              </w:rPr>
              <w:t>Pacientai (%), kurių HbA1c kiekis tapo &lt; 7 % ir kurių pradinis HbA1c kiekis buvo ≥ 7 %</w:t>
            </w:r>
            <w:r w:rsidRPr="00A02B90">
              <w:rPr>
                <w:b/>
                <w:vertAlign w:val="superscript"/>
                <w:lang w:val="lt-LT" w:eastAsia="en-US"/>
              </w:rPr>
              <w:t>2</w:t>
            </w:r>
          </w:p>
        </w:tc>
        <w:tc>
          <w:tcPr>
            <w:tcW w:w="1701" w:type="dxa"/>
          </w:tcPr>
          <w:p w14:paraId="47519BD0" w14:textId="77777777" w:rsidR="003B31DC" w:rsidRDefault="00913CBE">
            <w:pPr>
              <w:tabs>
                <w:tab w:val="left" w:pos="9071"/>
              </w:tabs>
              <w:ind w:right="4"/>
              <w:jc w:val="center"/>
              <w:rPr>
                <w:lang w:val="en-GB" w:eastAsia="en-US"/>
              </w:rPr>
            </w:pPr>
            <w:r>
              <w:rPr>
                <w:spacing w:val="-5"/>
                <w:lang w:val="en-GB" w:eastAsia="en-US"/>
              </w:rPr>
              <w:t>9,3</w:t>
            </w:r>
          </w:p>
        </w:tc>
        <w:tc>
          <w:tcPr>
            <w:tcW w:w="2126" w:type="dxa"/>
          </w:tcPr>
          <w:p w14:paraId="20D354C7" w14:textId="77777777" w:rsidR="003B31DC" w:rsidRDefault="00913CBE">
            <w:pPr>
              <w:tabs>
                <w:tab w:val="left" w:pos="9071"/>
              </w:tabs>
              <w:ind w:right="6"/>
              <w:jc w:val="center"/>
              <w:rPr>
                <w:lang w:val="en-GB" w:eastAsia="en-US"/>
              </w:rPr>
            </w:pPr>
            <w:r>
              <w:rPr>
                <w:spacing w:val="-4"/>
                <w:lang w:val="en-GB" w:eastAsia="en-US"/>
              </w:rPr>
              <w:t>26,3</w:t>
            </w:r>
          </w:p>
        </w:tc>
        <w:tc>
          <w:tcPr>
            <w:tcW w:w="2126" w:type="dxa"/>
          </w:tcPr>
          <w:p w14:paraId="66682471" w14:textId="77777777" w:rsidR="003B31DC" w:rsidRDefault="00913CBE">
            <w:pPr>
              <w:tabs>
                <w:tab w:val="left" w:pos="9071"/>
              </w:tabs>
              <w:jc w:val="center"/>
              <w:rPr>
                <w:lang w:val="en-GB" w:eastAsia="en-US"/>
              </w:rPr>
            </w:pPr>
            <w:r>
              <w:rPr>
                <w:spacing w:val="-4"/>
                <w:lang w:val="en-GB" w:eastAsia="en-US"/>
              </w:rPr>
              <w:t>32,2</w:t>
            </w:r>
          </w:p>
        </w:tc>
      </w:tr>
      <w:tr w:rsidR="003B31DC" w14:paraId="6C232357" w14:textId="77777777">
        <w:trPr>
          <w:trHeight w:val="253"/>
        </w:trPr>
        <w:tc>
          <w:tcPr>
            <w:tcW w:w="2942" w:type="dxa"/>
          </w:tcPr>
          <w:p w14:paraId="09A0EAA1" w14:textId="77777777" w:rsidR="003B31DC" w:rsidRDefault="00913CBE">
            <w:pPr>
              <w:tabs>
                <w:tab w:val="left" w:pos="9071"/>
              </w:tabs>
              <w:rPr>
                <w:lang w:val="en-GB" w:eastAsia="en-US"/>
              </w:rPr>
            </w:pPr>
            <w:r>
              <w:rPr>
                <w:spacing w:val="-10"/>
                <w:lang w:val="en-GB" w:eastAsia="en-US"/>
              </w:rPr>
              <w:t>N</w:t>
            </w:r>
          </w:p>
        </w:tc>
        <w:tc>
          <w:tcPr>
            <w:tcW w:w="1701" w:type="dxa"/>
          </w:tcPr>
          <w:p w14:paraId="7D55DCA1" w14:textId="77777777" w:rsidR="003B31DC" w:rsidRDefault="00913CBE">
            <w:pPr>
              <w:tabs>
                <w:tab w:val="left" w:pos="9071"/>
              </w:tabs>
              <w:ind w:right="2"/>
              <w:jc w:val="center"/>
              <w:rPr>
                <w:lang w:val="en-GB" w:eastAsia="en-US"/>
              </w:rPr>
            </w:pPr>
            <w:r>
              <w:rPr>
                <w:spacing w:val="-5"/>
                <w:lang w:val="en-GB" w:eastAsia="en-US"/>
              </w:rPr>
              <w:t>225</w:t>
            </w:r>
          </w:p>
        </w:tc>
        <w:tc>
          <w:tcPr>
            <w:tcW w:w="2126" w:type="dxa"/>
          </w:tcPr>
          <w:p w14:paraId="61FE0AE4" w14:textId="77777777" w:rsidR="003B31DC" w:rsidRDefault="00913CBE">
            <w:pPr>
              <w:tabs>
                <w:tab w:val="left" w:pos="9071"/>
              </w:tabs>
              <w:ind w:right="8"/>
              <w:jc w:val="center"/>
              <w:rPr>
                <w:lang w:val="en-GB" w:eastAsia="en-US"/>
              </w:rPr>
            </w:pPr>
            <w:r>
              <w:rPr>
                <w:spacing w:val="-5"/>
                <w:lang w:val="en-GB" w:eastAsia="en-US"/>
              </w:rPr>
              <w:t>225</w:t>
            </w:r>
          </w:p>
        </w:tc>
        <w:tc>
          <w:tcPr>
            <w:tcW w:w="2126" w:type="dxa"/>
          </w:tcPr>
          <w:p w14:paraId="69F4B726" w14:textId="77777777" w:rsidR="003B31DC" w:rsidRDefault="00913CBE">
            <w:pPr>
              <w:tabs>
                <w:tab w:val="left" w:pos="9071"/>
              </w:tabs>
              <w:ind w:right="3"/>
              <w:jc w:val="center"/>
              <w:rPr>
                <w:lang w:val="en-GB" w:eastAsia="en-US"/>
              </w:rPr>
            </w:pPr>
            <w:r>
              <w:rPr>
                <w:spacing w:val="-5"/>
                <w:lang w:val="en-GB" w:eastAsia="en-US"/>
              </w:rPr>
              <w:t>216</w:t>
            </w:r>
          </w:p>
        </w:tc>
      </w:tr>
      <w:tr w:rsidR="003B31DC" w14:paraId="42B001A0" w14:textId="77777777">
        <w:trPr>
          <w:trHeight w:val="253"/>
        </w:trPr>
        <w:tc>
          <w:tcPr>
            <w:tcW w:w="8895" w:type="dxa"/>
            <w:gridSpan w:val="4"/>
          </w:tcPr>
          <w:p w14:paraId="1B0FA816" w14:textId="77777777" w:rsidR="003B31DC" w:rsidRDefault="00913CBE">
            <w:pPr>
              <w:tabs>
                <w:tab w:val="left" w:pos="9071"/>
              </w:tabs>
              <w:rPr>
                <w:b/>
                <w:lang w:val="en-GB" w:eastAsia="en-US"/>
              </w:rPr>
            </w:pPr>
            <w:r>
              <w:rPr>
                <w:b/>
                <w:lang w:val="en-GB" w:eastAsia="en-US"/>
              </w:rPr>
              <w:t>K</w:t>
            </w:r>
            <w:proofErr w:type="spellStart"/>
            <w:r>
              <w:rPr>
                <w:b/>
                <w:lang w:val="lt-LT" w:eastAsia="en-US"/>
              </w:rPr>
              <w:t>ūno</w:t>
            </w:r>
            <w:proofErr w:type="spellEnd"/>
            <w:r>
              <w:rPr>
                <w:b/>
                <w:lang w:val="lt-LT" w:eastAsia="en-US"/>
              </w:rPr>
              <w:t xml:space="preserve"> svoris</w:t>
            </w:r>
            <w:r>
              <w:rPr>
                <w:b/>
                <w:spacing w:val="-5"/>
                <w:lang w:val="en-GB" w:eastAsia="en-US"/>
              </w:rPr>
              <w:t xml:space="preserve"> </w:t>
            </w:r>
            <w:r>
              <w:rPr>
                <w:b/>
                <w:spacing w:val="-4"/>
                <w:lang w:val="en-GB" w:eastAsia="en-US"/>
              </w:rPr>
              <w:t>(kg)</w:t>
            </w:r>
          </w:p>
        </w:tc>
      </w:tr>
      <w:tr w:rsidR="003B31DC" w14:paraId="4A7FE63B" w14:textId="77777777">
        <w:trPr>
          <w:trHeight w:val="251"/>
        </w:trPr>
        <w:tc>
          <w:tcPr>
            <w:tcW w:w="2942" w:type="dxa"/>
          </w:tcPr>
          <w:p w14:paraId="753B225A" w14:textId="77777777" w:rsidR="003B31DC" w:rsidRDefault="00913CBE">
            <w:pPr>
              <w:tabs>
                <w:tab w:val="left" w:pos="9071"/>
              </w:tabs>
              <w:rPr>
                <w:lang w:val="en-GB" w:eastAsia="en-US"/>
              </w:rPr>
            </w:pPr>
            <w:proofErr w:type="spellStart"/>
            <w:r>
              <w:t>Pradinis</w:t>
            </w:r>
            <w:proofErr w:type="spellEnd"/>
            <w:r>
              <w:t xml:space="preserve"> (</w:t>
            </w:r>
            <w:proofErr w:type="spellStart"/>
            <w:r>
              <w:t>vidurkis</w:t>
            </w:r>
            <w:proofErr w:type="spellEnd"/>
            <w:r>
              <w:t>)</w:t>
            </w:r>
          </w:p>
        </w:tc>
        <w:tc>
          <w:tcPr>
            <w:tcW w:w="1701" w:type="dxa"/>
          </w:tcPr>
          <w:p w14:paraId="78A1BE9E" w14:textId="77777777" w:rsidR="003B31DC" w:rsidRDefault="00913CBE">
            <w:pPr>
              <w:tabs>
                <w:tab w:val="left" w:pos="9071"/>
              </w:tabs>
              <w:jc w:val="center"/>
              <w:rPr>
                <w:lang w:val="en-GB" w:eastAsia="en-US"/>
              </w:rPr>
            </w:pPr>
            <w:r>
              <w:rPr>
                <w:spacing w:val="-2"/>
                <w:lang w:val="en-GB" w:eastAsia="en-US"/>
              </w:rPr>
              <w:t>76,23</w:t>
            </w:r>
          </w:p>
        </w:tc>
        <w:tc>
          <w:tcPr>
            <w:tcW w:w="2126" w:type="dxa"/>
          </w:tcPr>
          <w:p w14:paraId="701AB133" w14:textId="77777777" w:rsidR="003B31DC" w:rsidRDefault="00913CBE">
            <w:pPr>
              <w:tabs>
                <w:tab w:val="left" w:pos="9071"/>
              </w:tabs>
              <w:ind w:right="6"/>
              <w:jc w:val="center"/>
              <w:rPr>
                <w:lang w:val="en-GB" w:eastAsia="en-US"/>
              </w:rPr>
            </w:pPr>
            <w:r>
              <w:rPr>
                <w:spacing w:val="-2"/>
                <w:lang w:val="en-GB" w:eastAsia="en-US"/>
              </w:rPr>
              <w:t>77,08</w:t>
            </w:r>
          </w:p>
        </w:tc>
        <w:tc>
          <w:tcPr>
            <w:tcW w:w="2126" w:type="dxa"/>
          </w:tcPr>
          <w:p w14:paraId="4B0CF0D5" w14:textId="77777777" w:rsidR="003B31DC" w:rsidRDefault="00913CBE">
            <w:pPr>
              <w:tabs>
                <w:tab w:val="left" w:pos="9071"/>
              </w:tabs>
              <w:jc w:val="center"/>
              <w:rPr>
                <w:lang w:val="en-GB" w:eastAsia="en-US"/>
              </w:rPr>
            </w:pPr>
            <w:r>
              <w:rPr>
                <w:spacing w:val="-2"/>
                <w:lang w:val="en-GB" w:eastAsia="en-US"/>
              </w:rPr>
              <w:t>77,50</w:t>
            </w:r>
          </w:p>
        </w:tc>
      </w:tr>
      <w:tr w:rsidR="003B31DC" w14:paraId="2212D4A3" w14:textId="77777777">
        <w:trPr>
          <w:trHeight w:val="253"/>
        </w:trPr>
        <w:tc>
          <w:tcPr>
            <w:tcW w:w="2942" w:type="dxa"/>
          </w:tcPr>
          <w:p w14:paraId="27B050E2" w14:textId="77777777" w:rsidR="003B31DC" w:rsidRDefault="00913CBE">
            <w:pPr>
              <w:tabs>
                <w:tab w:val="left" w:pos="9071"/>
              </w:tabs>
              <w:ind w:right="680"/>
              <w:rPr>
                <w:lang w:val="en-GB" w:eastAsia="en-US"/>
              </w:rPr>
            </w:pPr>
            <w:proofErr w:type="spellStart"/>
            <w:r>
              <w:t>Pokytis</w:t>
            </w:r>
            <w:proofErr w:type="spellEnd"/>
            <w:r>
              <w:t xml:space="preserve">, </w:t>
            </w:r>
            <w:proofErr w:type="spellStart"/>
            <w:r>
              <w:t>palyginti</w:t>
            </w:r>
            <w:proofErr w:type="spellEnd"/>
            <w:r>
              <w:t xml:space="preserve"> </w:t>
            </w:r>
            <w:proofErr w:type="spellStart"/>
            <w:r>
              <w:t>su</w:t>
            </w:r>
            <w:proofErr w:type="spellEnd"/>
            <w:r>
              <w:t xml:space="preserve"> pradiniu</w:t>
            </w:r>
            <w:r>
              <w:rPr>
                <w:vertAlign w:val="superscript"/>
              </w:rPr>
              <w:t>1</w:t>
            </w:r>
          </w:p>
        </w:tc>
        <w:tc>
          <w:tcPr>
            <w:tcW w:w="1701" w:type="dxa"/>
          </w:tcPr>
          <w:p w14:paraId="321BB3B6" w14:textId="77777777" w:rsidR="003B31DC" w:rsidRDefault="00913CBE">
            <w:pPr>
              <w:tabs>
                <w:tab w:val="left" w:pos="9071"/>
              </w:tabs>
              <w:ind w:right="7"/>
              <w:jc w:val="center"/>
              <w:rPr>
                <w:lang w:val="en-GB" w:eastAsia="en-US"/>
              </w:rPr>
            </w:pPr>
            <w:r>
              <w:rPr>
                <w:spacing w:val="-4"/>
                <w:lang w:val="en-GB" w:eastAsia="en-US"/>
              </w:rPr>
              <w:t>-0,39</w:t>
            </w:r>
          </w:p>
        </w:tc>
        <w:tc>
          <w:tcPr>
            <w:tcW w:w="2126" w:type="dxa"/>
          </w:tcPr>
          <w:p w14:paraId="6BCA1D23" w14:textId="77777777" w:rsidR="003B31DC" w:rsidRDefault="00913CBE">
            <w:pPr>
              <w:tabs>
                <w:tab w:val="left" w:pos="9071"/>
              </w:tabs>
              <w:ind w:right="13"/>
              <w:jc w:val="center"/>
              <w:rPr>
                <w:lang w:val="en-GB" w:eastAsia="en-US"/>
              </w:rPr>
            </w:pPr>
            <w:r>
              <w:rPr>
                <w:spacing w:val="-4"/>
                <w:lang w:val="en-GB" w:eastAsia="en-US"/>
              </w:rPr>
              <w:t>-2,16</w:t>
            </w:r>
          </w:p>
        </w:tc>
        <w:tc>
          <w:tcPr>
            <w:tcW w:w="2126" w:type="dxa"/>
          </w:tcPr>
          <w:p w14:paraId="43CCC79E" w14:textId="77777777" w:rsidR="003B31DC" w:rsidRDefault="00913CBE">
            <w:pPr>
              <w:tabs>
                <w:tab w:val="left" w:pos="9071"/>
              </w:tabs>
              <w:ind w:right="8"/>
              <w:jc w:val="center"/>
              <w:rPr>
                <w:lang w:val="en-GB" w:eastAsia="en-US"/>
              </w:rPr>
            </w:pPr>
            <w:r>
              <w:rPr>
                <w:spacing w:val="-4"/>
                <w:lang w:val="en-GB" w:eastAsia="en-US"/>
              </w:rPr>
              <w:t>-2,39</w:t>
            </w:r>
          </w:p>
        </w:tc>
      </w:tr>
      <w:tr w:rsidR="003B31DC" w14:paraId="02C4254D" w14:textId="77777777">
        <w:trPr>
          <w:trHeight w:val="506"/>
        </w:trPr>
        <w:tc>
          <w:tcPr>
            <w:tcW w:w="2942" w:type="dxa"/>
          </w:tcPr>
          <w:p w14:paraId="47743BB2" w14:textId="77777777" w:rsidR="003B31DC" w:rsidRPr="00A02B90" w:rsidRDefault="00913CBE">
            <w:pPr>
              <w:tabs>
                <w:tab w:val="left" w:pos="9071"/>
              </w:tabs>
              <w:rPr>
                <w:lang w:val="fr-FR"/>
              </w:rPr>
            </w:pPr>
            <w:r w:rsidRPr="00A02B90">
              <w:rPr>
                <w:lang w:val="fr-FR"/>
              </w:rPr>
              <w:t>Skirtumas, palyginti su placebu</w:t>
            </w:r>
            <w:r w:rsidRPr="00A02B90">
              <w:rPr>
                <w:vertAlign w:val="superscript"/>
                <w:lang w:val="fr-FR"/>
              </w:rPr>
              <w:t>1</w:t>
            </w:r>
          </w:p>
          <w:p w14:paraId="5122E445" w14:textId="77777777" w:rsidR="003B31DC" w:rsidRPr="00A02B90" w:rsidRDefault="00913CBE">
            <w:pPr>
              <w:tabs>
                <w:tab w:val="left" w:pos="9071"/>
              </w:tabs>
              <w:rPr>
                <w:lang w:val="fr-FR" w:eastAsia="en-US"/>
              </w:rPr>
            </w:pPr>
            <w:r w:rsidRPr="00A02B90">
              <w:rPr>
                <w:lang w:val="fr-FR" w:eastAsia="en-US"/>
              </w:rPr>
              <w:t>(97,5 % PI)</w:t>
            </w:r>
          </w:p>
        </w:tc>
        <w:tc>
          <w:tcPr>
            <w:tcW w:w="1701" w:type="dxa"/>
          </w:tcPr>
          <w:p w14:paraId="429C0548" w14:textId="77777777" w:rsidR="003B31DC" w:rsidRPr="00A02B90" w:rsidRDefault="003B31DC">
            <w:pPr>
              <w:tabs>
                <w:tab w:val="left" w:pos="9071"/>
              </w:tabs>
              <w:rPr>
                <w:lang w:val="fr-FR" w:eastAsia="en-US"/>
              </w:rPr>
            </w:pPr>
          </w:p>
        </w:tc>
        <w:tc>
          <w:tcPr>
            <w:tcW w:w="2126" w:type="dxa"/>
          </w:tcPr>
          <w:p w14:paraId="7683694E" w14:textId="77777777" w:rsidR="003B31DC" w:rsidRDefault="00913CBE">
            <w:pPr>
              <w:tabs>
                <w:tab w:val="left" w:pos="9071"/>
              </w:tabs>
              <w:ind w:right="12"/>
              <w:jc w:val="center"/>
              <w:rPr>
                <w:lang w:val="en-GB" w:eastAsia="en-US"/>
              </w:rPr>
            </w:pPr>
            <w:r>
              <w:rPr>
                <w:lang w:val="en-GB" w:eastAsia="en-US"/>
              </w:rPr>
              <w:t>-1,76*</w:t>
            </w:r>
            <w:r>
              <w:rPr>
                <w:spacing w:val="-5"/>
                <w:lang w:val="en-GB" w:eastAsia="en-US"/>
              </w:rPr>
              <w:t xml:space="preserve"> </w:t>
            </w:r>
            <w:r>
              <w:rPr>
                <w:lang w:val="en-GB" w:eastAsia="en-US"/>
              </w:rPr>
              <w:t>(-2,25,</w:t>
            </w:r>
            <w:r>
              <w:rPr>
                <w:spacing w:val="-2"/>
                <w:lang w:val="en-GB" w:eastAsia="en-US"/>
              </w:rPr>
              <w:t xml:space="preserve"> </w:t>
            </w:r>
            <w:r>
              <w:rPr>
                <w:lang w:val="en-GB" w:eastAsia="en-US"/>
              </w:rPr>
              <w:t>-</w:t>
            </w:r>
            <w:r>
              <w:rPr>
                <w:spacing w:val="-2"/>
                <w:lang w:val="en-GB" w:eastAsia="en-US"/>
              </w:rPr>
              <w:t>1,28)</w:t>
            </w:r>
          </w:p>
        </w:tc>
        <w:tc>
          <w:tcPr>
            <w:tcW w:w="2126" w:type="dxa"/>
          </w:tcPr>
          <w:p w14:paraId="2A6BC07C" w14:textId="77777777" w:rsidR="003B31DC" w:rsidRDefault="00913CBE">
            <w:pPr>
              <w:tabs>
                <w:tab w:val="left" w:pos="9071"/>
              </w:tabs>
              <w:ind w:right="6"/>
              <w:jc w:val="center"/>
              <w:rPr>
                <w:lang w:val="en-GB" w:eastAsia="en-US"/>
              </w:rPr>
            </w:pPr>
            <w:r>
              <w:rPr>
                <w:lang w:val="en-GB" w:eastAsia="en-US"/>
              </w:rPr>
              <w:t>-1,99*</w:t>
            </w:r>
            <w:r>
              <w:rPr>
                <w:spacing w:val="-5"/>
                <w:lang w:val="en-GB" w:eastAsia="en-US"/>
              </w:rPr>
              <w:t xml:space="preserve"> </w:t>
            </w:r>
            <w:r>
              <w:rPr>
                <w:lang w:val="en-GB" w:eastAsia="en-US"/>
              </w:rPr>
              <w:t>(-2,48,</w:t>
            </w:r>
            <w:r>
              <w:rPr>
                <w:spacing w:val="-2"/>
                <w:lang w:val="en-GB" w:eastAsia="en-US"/>
              </w:rPr>
              <w:t xml:space="preserve"> </w:t>
            </w:r>
            <w:r>
              <w:rPr>
                <w:lang w:val="en-GB" w:eastAsia="en-US"/>
              </w:rPr>
              <w:t>-</w:t>
            </w:r>
            <w:r>
              <w:rPr>
                <w:spacing w:val="-2"/>
                <w:lang w:val="en-GB" w:eastAsia="en-US"/>
              </w:rPr>
              <w:t>1,50)</w:t>
            </w:r>
          </w:p>
        </w:tc>
      </w:tr>
      <w:tr w:rsidR="003B31DC" w14:paraId="0C039992" w14:textId="77777777">
        <w:trPr>
          <w:trHeight w:val="251"/>
        </w:trPr>
        <w:tc>
          <w:tcPr>
            <w:tcW w:w="2942" w:type="dxa"/>
          </w:tcPr>
          <w:p w14:paraId="39D79CB1" w14:textId="77777777" w:rsidR="003B31DC" w:rsidRDefault="00913CBE">
            <w:pPr>
              <w:tabs>
                <w:tab w:val="left" w:pos="9071"/>
              </w:tabs>
              <w:rPr>
                <w:lang w:val="en-GB" w:eastAsia="en-US"/>
              </w:rPr>
            </w:pPr>
            <w:r>
              <w:rPr>
                <w:spacing w:val="-10"/>
                <w:lang w:val="en-GB" w:eastAsia="en-US"/>
              </w:rPr>
              <w:t>N</w:t>
            </w:r>
          </w:p>
        </w:tc>
        <w:tc>
          <w:tcPr>
            <w:tcW w:w="1701" w:type="dxa"/>
          </w:tcPr>
          <w:p w14:paraId="1FA3021B" w14:textId="77777777" w:rsidR="003B31DC" w:rsidRDefault="00913CBE">
            <w:pPr>
              <w:tabs>
                <w:tab w:val="left" w:pos="9071"/>
              </w:tabs>
              <w:ind w:right="2"/>
              <w:jc w:val="center"/>
              <w:rPr>
                <w:lang w:val="en-GB" w:eastAsia="en-US"/>
              </w:rPr>
            </w:pPr>
            <w:r>
              <w:rPr>
                <w:spacing w:val="-5"/>
                <w:lang w:val="en-GB" w:eastAsia="en-US"/>
              </w:rPr>
              <w:t>225</w:t>
            </w:r>
          </w:p>
        </w:tc>
        <w:tc>
          <w:tcPr>
            <w:tcW w:w="2126" w:type="dxa"/>
          </w:tcPr>
          <w:p w14:paraId="4B947B15" w14:textId="77777777" w:rsidR="003B31DC" w:rsidRDefault="00913CBE">
            <w:pPr>
              <w:tabs>
                <w:tab w:val="left" w:pos="9071"/>
              </w:tabs>
              <w:ind w:right="8"/>
              <w:jc w:val="center"/>
              <w:rPr>
                <w:lang w:val="en-GB" w:eastAsia="en-US"/>
              </w:rPr>
            </w:pPr>
            <w:r>
              <w:rPr>
                <w:spacing w:val="-5"/>
                <w:lang w:val="en-GB" w:eastAsia="en-US"/>
              </w:rPr>
              <w:t>225</w:t>
            </w:r>
          </w:p>
        </w:tc>
        <w:tc>
          <w:tcPr>
            <w:tcW w:w="2126" w:type="dxa"/>
          </w:tcPr>
          <w:p w14:paraId="1A42B417" w14:textId="77777777" w:rsidR="003B31DC" w:rsidRDefault="00913CBE">
            <w:pPr>
              <w:tabs>
                <w:tab w:val="left" w:pos="9071"/>
              </w:tabs>
              <w:ind w:right="3"/>
              <w:jc w:val="center"/>
              <w:rPr>
                <w:lang w:val="en-GB" w:eastAsia="en-US"/>
              </w:rPr>
            </w:pPr>
            <w:r>
              <w:rPr>
                <w:spacing w:val="-5"/>
                <w:lang w:val="en-GB" w:eastAsia="en-US"/>
              </w:rPr>
              <w:t>216</w:t>
            </w:r>
          </w:p>
        </w:tc>
      </w:tr>
      <w:tr w:rsidR="003B31DC" w14:paraId="560BE326" w14:textId="77777777">
        <w:trPr>
          <w:trHeight w:val="253"/>
        </w:trPr>
        <w:tc>
          <w:tcPr>
            <w:tcW w:w="8895" w:type="dxa"/>
            <w:gridSpan w:val="4"/>
          </w:tcPr>
          <w:p w14:paraId="012726E5" w14:textId="77777777" w:rsidR="003B31DC" w:rsidRDefault="00913CBE">
            <w:pPr>
              <w:tabs>
                <w:tab w:val="left" w:pos="9071"/>
              </w:tabs>
              <w:rPr>
                <w:b/>
                <w:lang w:val="en-GB" w:eastAsia="en-US"/>
              </w:rPr>
            </w:pPr>
            <w:r>
              <w:rPr>
                <w:b/>
                <w:lang w:val="en-GB" w:eastAsia="en-US"/>
              </w:rPr>
              <w:t>SBP</w:t>
            </w:r>
            <w:r>
              <w:rPr>
                <w:b/>
                <w:spacing w:val="-5"/>
                <w:lang w:val="en-GB" w:eastAsia="en-US"/>
              </w:rPr>
              <w:t xml:space="preserve"> </w:t>
            </w:r>
            <w:r>
              <w:rPr>
                <w:b/>
                <w:spacing w:val="-2"/>
                <w:lang w:val="en-GB" w:eastAsia="en-US"/>
              </w:rPr>
              <w:t>(mmHg)</w:t>
            </w:r>
            <w:r>
              <w:rPr>
                <w:b/>
                <w:spacing w:val="-2"/>
                <w:vertAlign w:val="superscript"/>
                <w:lang w:val="en-GB" w:eastAsia="en-US"/>
              </w:rPr>
              <w:t>2</w:t>
            </w:r>
          </w:p>
        </w:tc>
      </w:tr>
      <w:tr w:rsidR="003B31DC" w14:paraId="00BAFFC2" w14:textId="77777777">
        <w:trPr>
          <w:trHeight w:val="251"/>
        </w:trPr>
        <w:tc>
          <w:tcPr>
            <w:tcW w:w="2942" w:type="dxa"/>
          </w:tcPr>
          <w:p w14:paraId="21161F58" w14:textId="77777777" w:rsidR="003B31DC" w:rsidRDefault="00913CBE">
            <w:pPr>
              <w:tabs>
                <w:tab w:val="left" w:pos="9071"/>
              </w:tabs>
              <w:rPr>
                <w:lang w:val="en-GB" w:eastAsia="en-US"/>
              </w:rPr>
            </w:pPr>
            <w:proofErr w:type="spellStart"/>
            <w:r>
              <w:t>Pradinis</w:t>
            </w:r>
            <w:proofErr w:type="spellEnd"/>
            <w:r>
              <w:t xml:space="preserve"> (</w:t>
            </w:r>
            <w:proofErr w:type="spellStart"/>
            <w:r>
              <w:t>vidurkis</w:t>
            </w:r>
            <w:proofErr w:type="spellEnd"/>
            <w:r>
              <w:t>)</w:t>
            </w:r>
          </w:p>
        </w:tc>
        <w:tc>
          <w:tcPr>
            <w:tcW w:w="1701" w:type="dxa"/>
          </w:tcPr>
          <w:p w14:paraId="68BD3F8B" w14:textId="77777777" w:rsidR="003B31DC" w:rsidRDefault="00913CBE">
            <w:pPr>
              <w:tabs>
                <w:tab w:val="left" w:pos="9071"/>
              </w:tabs>
              <w:jc w:val="center"/>
              <w:rPr>
                <w:lang w:val="en-GB" w:eastAsia="en-US"/>
              </w:rPr>
            </w:pPr>
            <w:r>
              <w:rPr>
                <w:spacing w:val="-2"/>
                <w:lang w:val="en-GB" w:eastAsia="en-US"/>
              </w:rPr>
              <w:t>128,8</w:t>
            </w:r>
          </w:p>
        </w:tc>
        <w:tc>
          <w:tcPr>
            <w:tcW w:w="2126" w:type="dxa"/>
          </w:tcPr>
          <w:p w14:paraId="3F3BA9C3" w14:textId="77777777" w:rsidR="003B31DC" w:rsidRDefault="00913CBE">
            <w:pPr>
              <w:tabs>
                <w:tab w:val="left" w:pos="9071"/>
              </w:tabs>
              <w:ind w:right="6"/>
              <w:jc w:val="center"/>
              <w:rPr>
                <w:lang w:val="en-GB" w:eastAsia="en-US"/>
              </w:rPr>
            </w:pPr>
            <w:r>
              <w:rPr>
                <w:spacing w:val="-2"/>
                <w:lang w:val="en-GB" w:eastAsia="en-US"/>
              </w:rPr>
              <w:t>128,7</w:t>
            </w:r>
          </w:p>
        </w:tc>
        <w:tc>
          <w:tcPr>
            <w:tcW w:w="2126" w:type="dxa"/>
          </w:tcPr>
          <w:p w14:paraId="6EEC77C0" w14:textId="77777777" w:rsidR="003B31DC" w:rsidRDefault="00913CBE">
            <w:pPr>
              <w:tabs>
                <w:tab w:val="left" w:pos="9071"/>
              </w:tabs>
              <w:jc w:val="center"/>
              <w:rPr>
                <w:lang w:val="en-GB" w:eastAsia="en-US"/>
              </w:rPr>
            </w:pPr>
            <w:r>
              <w:rPr>
                <w:spacing w:val="-2"/>
                <w:lang w:val="en-GB" w:eastAsia="en-US"/>
              </w:rPr>
              <w:t>129,3</w:t>
            </w:r>
          </w:p>
        </w:tc>
      </w:tr>
      <w:tr w:rsidR="003B31DC" w14:paraId="187C2DF1" w14:textId="77777777">
        <w:trPr>
          <w:trHeight w:val="253"/>
        </w:trPr>
        <w:tc>
          <w:tcPr>
            <w:tcW w:w="2942" w:type="dxa"/>
          </w:tcPr>
          <w:p w14:paraId="20F26475" w14:textId="77777777" w:rsidR="003B31DC" w:rsidRDefault="00913CBE">
            <w:pPr>
              <w:tabs>
                <w:tab w:val="left" w:pos="9071"/>
              </w:tabs>
              <w:ind w:right="680"/>
              <w:rPr>
                <w:lang w:val="en-GB" w:eastAsia="en-US"/>
              </w:rPr>
            </w:pPr>
            <w:proofErr w:type="spellStart"/>
            <w:r>
              <w:t>Pokytis</w:t>
            </w:r>
            <w:proofErr w:type="spellEnd"/>
            <w:r>
              <w:t xml:space="preserve">, </w:t>
            </w:r>
            <w:proofErr w:type="spellStart"/>
            <w:r>
              <w:t>palyginti</w:t>
            </w:r>
            <w:proofErr w:type="spellEnd"/>
            <w:r>
              <w:t xml:space="preserve"> </w:t>
            </w:r>
            <w:proofErr w:type="spellStart"/>
            <w:r>
              <w:t>su</w:t>
            </w:r>
            <w:proofErr w:type="spellEnd"/>
            <w:r>
              <w:t xml:space="preserve"> pradiniu</w:t>
            </w:r>
            <w:r>
              <w:rPr>
                <w:vertAlign w:val="superscript"/>
              </w:rPr>
              <w:t>1</w:t>
            </w:r>
          </w:p>
        </w:tc>
        <w:tc>
          <w:tcPr>
            <w:tcW w:w="1701" w:type="dxa"/>
          </w:tcPr>
          <w:p w14:paraId="0E04B214" w14:textId="77777777" w:rsidR="003B31DC" w:rsidRDefault="00913CBE">
            <w:pPr>
              <w:tabs>
                <w:tab w:val="left" w:pos="9071"/>
              </w:tabs>
              <w:ind w:right="7"/>
              <w:jc w:val="center"/>
              <w:rPr>
                <w:lang w:val="en-GB" w:eastAsia="en-US"/>
              </w:rPr>
            </w:pPr>
            <w:r>
              <w:rPr>
                <w:spacing w:val="-4"/>
                <w:lang w:val="en-GB" w:eastAsia="en-US"/>
              </w:rPr>
              <w:t>-</w:t>
            </w:r>
            <w:r>
              <w:rPr>
                <w:spacing w:val="-5"/>
                <w:lang w:val="en-GB" w:eastAsia="en-US"/>
              </w:rPr>
              <w:t>1.4</w:t>
            </w:r>
          </w:p>
        </w:tc>
        <w:tc>
          <w:tcPr>
            <w:tcW w:w="2126" w:type="dxa"/>
          </w:tcPr>
          <w:p w14:paraId="65305283" w14:textId="77777777" w:rsidR="003B31DC" w:rsidRDefault="00913CBE">
            <w:pPr>
              <w:tabs>
                <w:tab w:val="left" w:pos="9071"/>
              </w:tabs>
              <w:ind w:right="13"/>
              <w:jc w:val="center"/>
              <w:rPr>
                <w:lang w:val="en-GB" w:eastAsia="en-US"/>
              </w:rPr>
            </w:pPr>
            <w:r>
              <w:rPr>
                <w:spacing w:val="-4"/>
                <w:lang w:val="en-GB" w:eastAsia="en-US"/>
              </w:rPr>
              <w:t>-</w:t>
            </w:r>
            <w:r>
              <w:rPr>
                <w:spacing w:val="-5"/>
                <w:lang w:val="en-GB" w:eastAsia="en-US"/>
              </w:rPr>
              <w:t>4,1</w:t>
            </w:r>
          </w:p>
        </w:tc>
        <w:tc>
          <w:tcPr>
            <w:tcW w:w="2126" w:type="dxa"/>
          </w:tcPr>
          <w:p w14:paraId="09DA585A" w14:textId="77777777" w:rsidR="003B31DC" w:rsidRDefault="00913CBE">
            <w:pPr>
              <w:tabs>
                <w:tab w:val="left" w:pos="9071"/>
              </w:tabs>
              <w:ind w:right="8"/>
              <w:jc w:val="center"/>
              <w:rPr>
                <w:lang w:val="en-GB" w:eastAsia="en-US"/>
              </w:rPr>
            </w:pPr>
            <w:r>
              <w:rPr>
                <w:spacing w:val="-4"/>
                <w:lang w:val="en-GB" w:eastAsia="en-US"/>
              </w:rPr>
              <w:t>-</w:t>
            </w:r>
            <w:r>
              <w:rPr>
                <w:spacing w:val="-5"/>
                <w:lang w:val="en-GB" w:eastAsia="en-US"/>
              </w:rPr>
              <w:t>3,5</w:t>
            </w:r>
          </w:p>
        </w:tc>
      </w:tr>
      <w:tr w:rsidR="003B31DC" w14:paraId="6B4EE095" w14:textId="77777777">
        <w:trPr>
          <w:trHeight w:val="506"/>
        </w:trPr>
        <w:tc>
          <w:tcPr>
            <w:tcW w:w="2942" w:type="dxa"/>
          </w:tcPr>
          <w:p w14:paraId="6EFB47B2" w14:textId="77777777" w:rsidR="003B31DC" w:rsidRPr="00A02B90" w:rsidRDefault="00913CBE">
            <w:pPr>
              <w:tabs>
                <w:tab w:val="left" w:pos="9071"/>
              </w:tabs>
              <w:rPr>
                <w:lang w:val="fr-FR"/>
              </w:rPr>
            </w:pPr>
            <w:r w:rsidRPr="00A02B90">
              <w:rPr>
                <w:lang w:val="fr-FR"/>
              </w:rPr>
              <w:t>Skirtumas, palyginti su placebu</w:t>
            </w:r>
            <w:r w:rsidRPr="00A02B90">
              <w:rPr>
                <w:vertAlign w:val="superscript"/>
                <w:lang w:val="fr-FR"/>
              </w:rPr>
              <w:t>1</w:t>
            </w:r>
          </w:p>
          <w:p w14:paraId="38FA6D01" w14:textId="77777777" w:rsidR="003B31DC" w:rsidRPr="00A02B90" w:rsidRDefault="00913CBE">
            <w:pPr>
              <w:tabs>
                <w:tab w:val="left" w:pos="9071"/>
              </w:tabs>
              <w:rPr>
                <w:lang w:val="fr-FR" w:eastAsia="en-US"/>
              </w:rPr>
            </w:pPr>
            <w:r w:rsidRPr="00A02B90">
              <w:rPr>
                <w:lang w:val="fr-FR" w:eastAsia="en-US"/>
              </w:rPr>
              <w:t>(97,5 % PI)</w:t>
            </w:r>
          </w:p>
        </w:tc>
        <w:tc>
          <w:tcPr>
            <w:tcW w:w="1701" w:type="dxa"/>
          </w:tcPr>
          <w:p w14:paraId="7A348438" w14:textId="77777777" w:rsidR="003B31DC" w:rsidRPr="00A02B90" w:rsidRDefault="003B31DC">
            <w:pPr>
              <w:tabs>
                <w:tab w:val="left" w:pos="9071"/>
              </w:tabs>
              <w:rPr>
                <w:lang w:val="fr-FR" w:eastAsia="en-US"/>
              </w:rPr>
            </w:pPr>
          </w:p>
        </w:tc>
        <w:tc>
          <w:tcPr>
            <w:tcW w:w="2126" w:type="dxa"/>
          </w:tcPr>
          <w:p w14:paraId="4BC155C6" w14:textId="77777777" w:rsidR="003B31DC" w:rsidRDefault="00913CBE">
            <w:pPr>
              <w:tabs>
                <w:tab w:val="left" w:pos="9071"/>
              </w:tabs>
              <w:ind w:right="12"/>
              <w:jc w:val="center"/>
              <w:rPr>
                <w:lang w:val="en-GB" w:eastAsia="en-US"/>
              </w:rPr>
            </w:pPr>
            <w:r>
              <w:rPr>
                <w:lang w:val="en-GB" w:eastAsia="en-US"/>
              </w:rPr>
              <w:t>-2,7</w:t>
            </w:r>
            <w:r>
              <w:rPr>
                <w:spacing w:val="-5"/>
                <w:lang w:val="en-GB" w:eastAsia="en-US"/>
              </w:rPr>
              <w:t xml:space="preserve"> </w:t>
            </w:r>
            <w:r>
              <w:rPr>
                <w:lang w:val="en-GB" w:eastAsia="en-US"/>
              </w:rPr>
              <w:t>(-4,6,</w:t>
            </w:r>
            <w:r>
              <w:rPr>
                <w:spacing w:val="-2"/>
                <w:lang w:val="en-GB" w:eastAsia="en-US"/>
              </w:rPr>
              <w:t xml:space="preserve"> </w:t>
            </w:r>
            <w:r>
              <w:rPr>
                <w:lang w:val="en-GB" w:eastAsia="en-US"/>
              </w:rPr>
              <w:t>-</w:t>
            </w:r>
            <w:r>
              <w:rPr>
                <w:spacing w:val="-4"/>
                <w:lang w:val="en-GB" w:eastAsia="en-US"/>
              </w:rPr>
              <w:t>0,8)</w:t>
            </w:r>
          </w:p>
        </w:tc>
        <w:tc>
          <w:tcPr>
            <w:tcW w:w="2126" w:type="dxa"/>
          </w:tcPr>
          <w:p w14:paraId="53046977" w14:textId="77777777" w:rsidR="003B31DC" w:rsidRDefault="00913CBE">
            <w:pPr>
              <w:tabs>
                <w:tab w:val="left" w:pos="9071"/>
              </w:tabs>
              <w:ind w:right="6"/>
              <w:jc w:val="center"/>
              <w:rPr>
                <w:lang w:val="en-GB" w:eastAsia="en-US"/>
              </w:rPr>
            </w:pPr>
            <w:r>
              <w:rPr>
                <w:lang w:val="en-GB" w:eastAsia="en-US"/>
              </w:rPr>
              <w:t>-2,1</w:t>
            </w:r>
            <w:r>
              <w:rPr>
                <w:spacing w:val="-5"/>
                <w:lang w:val="en-GB" w:eastAsia="en-US"/>
              </w:rPr>
              <w:t xml:space="preserve"> </w:t>
            </w:r>
            <w:r>
              <w:rPr>
                <w:lang w:val="en-GB" w:eastAsia="en-US"/>
              </w:rPr>
              <w:t>(-4,0,</w:t>
            </w:r>
            <w:r>
              <w:rPr>
                <w:spacing w:val="-2"/>
                <w:lang w:val="en-GB" w:eastAsia="en-US"/>
              </w:rPr>
              <w:t xml:space="preserve"> </w:t>
            </w:r>
            <w:r>
              <w:rPr>
                <w:lang w:val="en-GB" w:eastAsia="en-US"/>
              </w:rPr>
              <w:t>-</w:t>
            </w:r>
            <w:r>
              <w:rPr>
                <w:spacing w:val="-4"/>
                <w:lang w:val="en-GB" w:eastAsia="en-US"/>
              </w:rPr>
              <w:t>0,2)</w:t>
            </w:r>
          </w:p>
        </w:tc>
      </w:tr>
    </w:tbl>
    <w:p w14:paraId="4C0A929D" w14:textId="77777777" w:rsidR="003B31DC" w:rsidRDefault="003B31DC">
      <w:pPr>
        <w:widowControl w:val="0"/>
        <w:autoSpaceDE w:val="0"/>
        <w:autoSpaceDN w:val="0"/>
        <w:adjustRightInd w:val="0"/>
        <w:rPr>
          <w:rFonts w:eastAsia="TimesNewRoman"/>
          <w:sz w:val="22"/>
          <w:szCs w:val="22"/>
          <w:lang w:eastAsia="en-US"/>
        </w:rPr>
      </w:pP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1701"/>
        <w:gridCol w:w="2126"/>
        <w:gridCol w:w="2126"/>
      </w:tblGrid>
      <w:tr w:rsidR="003B31DC" w14:paraId="4E06A1AF" w14:textId="77777777">
        <w:trPr>
          <w:trHeight w:val="253"/>
        </w:trPr>
        <w:tc>
          <w:tcPr>
            <w:tcW w:w="8895" w:type="dxa"/>
            <w:gridSpan w:val="4"/>
          </w:tcPr>
          <w:p w14:paraId="4CA76CD2" w14:textId="60050653" w:rsidR="003B31DC" w:rsidRDefault="00913CBE">
            <w:pPr>
              <w:tabs>
                <w:tab w:val="left" w:pos="9071"/>
              </w:tabs>
              <w:jc w:val="center"/>
              <w:rPr>
                <w:lang w:val="en-GB" w:eastAsia="en-US"/>
              </w:rPr>
            </w:pPr>
            <w:proofErr w:type="spellStart"/>
            <w:r>
              <w:rPr>
                <w:b/>
                <w:lang w:val="en-GB" w:eastAsia="en-US"/>
              </w:rPr>
              <w:t>Gydymo</w:t>
            </w:r>
            <w:proofErr w:type="spellEnd"/>
            <w:r>
              <w:rPr>
                <w:b/>
                <w:lang w:val="en-GB" w:eastAsia="en-US"/>
              </w:rPr>
              <w:t xml:space="preserve"> </w:t>
            </w:r>
            <w:proofErr w:type="spellStart"/>
            <w:r>
              <w:rPr>
                <w:b/>
                <w:lang w:val="en-GB" w:eastAsia="en-US"/>
              </w:rPr>
              <w:t>pioglitazonu</w:t>
            </w:r>
            <w:proofErr w:type="spellEnd"/>
            <w:r>
              <w:rPr>
                <w:b/>
                <w:lang w:val="en-GB" w:eastAsia="en-US"/>
              </w:rPr>
              <w:t xml:space="preserve"> + </w:t>
            </w:r>
            <w:proofErr w:type="spellStart"/>
            <w:r>
              <w:rPr>
                <w:b/>
                <w:lang w:val="en-GB" w:eastAsia="en-US"/>
              </w:rPr>
              <w:t>metformin</w:t>
            </w:r>
            <w:r w:rsidR="0069232C">
              <w:rPr>
                <w:b/>
                <w:lang w:val="en-GB" w:eastAsia="en-US"/>
              </w:rPr>
              <w:t>u</w:t>
            </w:r>
            <w:proofErr w:type="spellEnd"/>
            <w:r>
              <w:rPr>
                <w:b/>
                <w:lang w:val="en-GB" w:eastAsia="en-US"/>
              </w:rPr>
              <w:t xml:space="preserve"> </w:t>
            </w:r>
            <w:proofErr w:type="spellStart"/>
            <w:r>
              <w:rPr>
                <w:b/>
                <w:lang w:val="en-GB" w:eastAsia="en-US"/>
              </w:rPr>
              <w:t>papildymas</w:t>
            </w:r>
            <w:r>
              <w:rPr>
                <w:spacing w:val="-2"/>
                <w:vertAlign w:val="superscript"/>
                <w:lang w:val="en-GB" w:eastAsia="en-US"/>
              </w:rPr>
              <w:t>b</w:t>
            </w:r>
            <w:proofErr w:type="spellEnd"/>
          </w:p>
        </w:tc>
      </w:tr>
      <w:tr w:rsidR="003B31DC" w14:paraId="257EF1B1" w14:textId="77777777">
        <w:trPr>
          <w:trHeight w:val="254"/>
        </w:trPr>
        <w:tc>
          <w:tcPr>
            <w:tcW w:w="2942" w:type="dxa"/>
            <w:vMerge w:val="restart"/>
          </w:tcPr>
          <w:p w14:paraId="6F7597E7" w14:textId="77777777" w:rsidR="003B31DC" w:rsidRDefault="003B31DC">
            <w:pPr>
              <w:tabs>
                <w:tab w:val="left" w:pos="9071"/>
              </w:tabs>
              <w:rPr>
                <w:lang w:val="en-GB" w:eastAsia="en-US"/>
              </w:rPr>
            </w:pPr>
          </w:p>
        </w:tc>
        <w:tc>
          <w:tcPr>
            <w:tcW w:w="1701" w:type="dxa"/>
            <w:vMerge w:val="restart"/>
          </w:tcPr>
          <w:p w14:paraId="0D517740" w14:textId="77777777" w:rsidR="003B31DC" w:rsidRDefault="00913CBE">
            <w:pPr>
              <w:tabs>
                <w:tab w:val="left" w:pos="9071"/>
              </w:tabs>
              <w:rPr>
                <w:b/>
                <w:lang w:val="en-GB" w:eastAsia="en-US"/>
              </w:rPr>
            </w:pPr>
            <w:proofErr w:type="spellStart"/>
            <w:r>
              <w:rPr>
                <w:b/>
                <w:spacing w:val="-2"/>
                <w:lang w:val="en-GB" w:eastAsia="en-US"/>
              </w:rPr>
              <w:t>Placebas</w:t>
            </w:r>
            <w:proofErr w:type="spellEnd"/>
          </w:p>
        </w:tc>
        <w:tc>
          <w:tcPr>
            <w:tcW w:w="4252" w:type="dxa"/>
            <w:gridSpan w:val="2"/>
          </w:tcPr>
          <w:p w14:paraId="09588F52" w14:textId="77777777" w:rsidR="003B31DC" w:rsidRDefault="00913CBE">
            <w:pPr>
              <w:tabs>
                <w:tab w:val="left" w:pos="9071"/>
              </w:tabs>
              <w:jc w:val="center"/>
              <w:rPr>
                <w:b/>
                <w:lang w:val="en-GB" w:eastAsia="en-US"/>
              </w:rPr>
            </w:pPr>
            <w:proofErr w:type="spellStart"/>
            <w:r>
              <w:rPr>
                <w:b/>
                <w:spacing w:val="-2"/>
                <w:lang w:val="en-GB" w:eastAsia="en-US"/>
              </w:rPr>
              <w:t>Empagliflozinas</w:t>
            </w:r>
            <w:proofErr w:type="spellEnd"/>
          </w:p>
        </w:tc>
      </w:tr>
      <w:tr w:rsidR="003B31DC" w14:paraId="3E214B2E" w14:textId="77777777">
        <w:trPr>
          <w:trHeight w:val="251"/>
        </w:trPr>
        <w:tc>
          <w:tcPr>
            <w:tcW w:w="2942" w:type="dxa"/>
            <w:vMerge/>
            <w:tcBorders>
              <w:top w:val="nil"/>
            </w:tcBorders>
          </w:tcPr>
          <w:p w14:paraId="120ACFEC" w14:textId="77777777" w:rsidR="003B31DC" w:rsidRDefault="003B31DC">
            <w:pPr>
              <w:tabs>
                <w:tab w:val="left" w:pos="9071"/>
              </w:tabs>
              <w:rPr>
                <w:sz w:val="24"/>
                <w:lang w:val="en-GB" w:eastAsia="sl-SI"/>
              </w:rPr>
            </w:pPr>
          </w:p>
        </w:tc>
        <w:tc>
          <w:tcPr>
            <w:tcW w:w="1701" w:type="dxa"/>
            <w:vMerge/>
            <w:tcBorders>
              <w:top w:val="nil"/>
            </w:tcBorders>
          </w:tcPr>
          <w:p w14:paraId="43D74230" w14:textId="77777777" w:rsidR="003B31DC" w:rsidRDefault="003B31DC">
            <w:pPr>
              <w:tabs>
                <w:tab w:val="left" w:pos="9071"/>
              </w:tabs>
              <w:rPr>
                <w:sz w:val="24"/>
                <w:lang w:val="en-GB" w:eastAsia="sl-SI"/>
              </w:rPr>
            </w:pPr>
          </w:p>
        </w:tc>
        <w:tc>
          <w:tcPr>
            <w:tcW w:w="2126" w:type="dxa"/>
          </w:tcPr>
          <w:p w14:paraId="341300C8" w14:textId="77777777" w:rsidR="003B31DC" w:rsidRDefault="00913CBE">
            <w:pPr>
              <w:tabs>
                <w:tab w:val="left" w:pos="9071"/>
              </w:tabs>
              <w:ind w:right="12"/>
              <w:jc w:val="center"/>
              <w:rPr>
                <w:b/>
                <w:lang w:val="en-GB" w:eastAsia="en-US"/>
              </w:rPr>
            </w:pPr>
            <w:r>
              <w:rPr>
                <w:b/>
                <w:lang w:val="en-GB" w:eastAsia="en-US"/>
              </w:rPr>
              <w:t>10 mg</w:t>
            </w:r>
          </w:p>
        </w:tc>
        <w:tc>
          <w:tcPr>
            <w:tcW w:w="2126" w:type="dxa"/>
          </w:tcPr>
          <w:p w14:paraId="5811CE39" w14:textId="77777777" w:rsidR="003B31DC" w:rsidRDefault="00913CBE">
            <w:pPr>
              <w:tabs>
                <w:tab w:val="left" w:pos="9071"/>
              </w:tabs>
              <w:ind w:right="7"/>
              <w:jc w:val="center"/>
              <w:rPr>
                <w:b/>
                <w:lang w:val="en-GB" w:eastAsia="en-US"/>
              </w:rPr>
            </w:pPr>
            <w:r>
              <w:rPr>
                <w:b/>
                <w:lang w:val="en-GB" w:eastAsia="en-US"/>
              </w:rPr>
              <w:t>25 mg</w:t>
            </w:r>
          </w:p>
        </w:tc>
      </w:tr>
      <w:tr w:rsidR="003B31DC" w14:paraId="68F3FDD7" w14:textId="77777777">
        <w:trPr>
          <w:trHeight w:val="253"/>
        </w:trPr>
        <w:tc>
          <w:tcPr>
            <w:tcW w:w="2942" w:type="dxa"/>
          </w:tcPr>
          <w:p w14:paraId="1E4E01D3" w14:textId="77777777" w:rsidR="003B31DC" w:rsidRDefault="00913CBE">
            <w:pPr>
              <w:tabs>
                <w:tab w:val="left" w:pos="9071"/>
              </w:tabs>
              <w:rPr>
                <w:lang w:val="en-GB" w:eastAsia="en-US"/>
              </w:rPr>
            </w:pPr>
            <w:r>
              <w:rPr>
                <w:spacing w:val="-10"/>
                <w:lang w:val="en-GB" w:eastAsia="en-US"/>
              </w:rPr>
              <w:t>N</w:t>
            </w:r>
          </w:p>
        </w:tc>
        <w:tc>
          <w:tcPr>
            <w:tcW w:w="1701" w:type="dxa"/>
          </w:tcPr>
          <w:p w14:paraId="31A8B486" w14:textId="77777777" w:rsidR="003B31DC" w:rsidRDefault="00913CBE">
            <w:pPr>
              <w:tabs>
                <w:tab w:val="left" w:pos="9071"/>
              </w:tabs>
              <w:ind w:right="7"/>
              <w:jc w:val="center"/>
              <w:rPr>
                <w:lang w:val="en-GB" w:eastAsia="en-US"/>
              </w:rPr>
            </w:pPr>
            <w:r>
              <w:rPr>
                <w:spacing w:val="-5"/>
                <w:lang w:val="en-GB" w:eastAsia="en-US"/>
              </w:rPr>
              <w:t>124</w:t>
            </w:r>
          </w:p>
        </w:tc>
        <w:tc>
          <w:tcPr>
            <w:tcW w:w="2126" w:type="dxa"/>
          </w:tcPr>
          <w:p w14:paraId="30224D5A" w14:textId="77777777" w:rsidR="003B31DC" w:rsidRDefault="00913CBE">
            <w:pPr>
              <w:tabs>
                <w:tab w:val="left" w:pos="9071"/>
              </w:tabs>
              <w:ind w:right="18"/>
              <w:jc w:val="center"/>
              <w:rPr>
                <w:lang w:val="en-GB" w:eastAsia="en-US"/>
              </w:rPr>
            </w:pPr>
            <w:r>
              <w:rPr>
                <w:spacing w:val="-5"/>
                <w:lang w:val="en-GB" w:eastAsia="en-US"/>
              </w:rPr>
              <w:t>125</w:t>
            </w:r>
          </w:p>
        </w:tc>
        <w:tc>
          <w:tcPr>
            <w:tcW w:w="2126" w:type="dxa"/>
          </w:tcPr>
          <w:p w14:paraId="2EFE32EA" w14:textId="77777777" w:rsidR="003B31DC" w:rsidRDefault="00913CBE">
            <w:pPr>
              <w:tabs>
                <w:tab w:val="left" w:pos="9071"/>
              </w:tabs>
              <w:ind w:right="12"/>
              <w:jc w:val="center"/>
              <w:rPr>
                <w:lang w:val="en-GB" w:eastAsia="en-US"/>
              </w:rPr>
            </w:pPr>
            <w:r>
              <w:rPr>
                <w:spacing w:val="-5"/>
                <w:lang w:val="en-GB" w:eastAsia="en-US"/>
              </w:rPr>
              <w:t>127</w:t>
            </w:r>
          </w:p>
        </w:tc>
      </w:tr>
      <w:tr w:rsidR="003B31DC" w14:paraId="7D5323D1" w14:textId="77777777">
        <w:trPr>
          <w:trHeight w:val="251"/>
        </w:trPr>
        <w:tc>
          <w:tcPr>
            <w:tcW w:w="8895" w:type="dxa"/>
            <w:gridSpan w:val="4"/>
          </w:tcPr>
          <w:p w14:paraId="735E2234" w14:textId="77777777" w:rsidR="003B31DC" w:rsidRDefault="00913CBE">
            <w:pPr>
              <w:tabs>
                <w:tab w:val="left" w:pos="9071"/>
              </w:tabs>
              <w:rPr>
                <w:b/>
                <w:lang w:val="en-GB" w:eastAsia="en-US"/>
              </w:rPr>
            </w:pPr>
            <w:r>
              <w:rPr>
                <w:b/>
                <w:lang w:val="en-GB" w:eastAsia="en-US"/>
              </w:rPr>
              <w:t xml:space="preserve">HbA1c </w:t>
            </w:r>
            <w:proofErr w:type="spellStart"/>
            <w:r>
              <w:rPr>
                <w:b/>
                <w:lang w:val="en-GB" w:eastAsia="en-US"/>
              </w:rPr>
              <w:t>kiekis</w:t>
            </w:r>
            <w:proofErr w:type="spellEnd"/>
            <w:r>
              <w:rPr>
                <w:b/>
                <w:spacing w:val="-5"/>
                <w:lang w:val="en-GB" w:eastAsia="en-US"/>
              </w:rPr>
              <w:t xml:space="preserve"> (%)</w:t>
            </w:r>
          </w:p>
        </w:tc>
      </w:tr>
      <w:tr w:rsidR="003B31DC" w14:paraId="70EFC383" w14:textId="77777777">
        <w:trPr>
          <w:trHeight w:val="253"/>
        </w:trPr>
        <w:tc>
          <w:tcPr>
            <w:tcW w:w="2942" w:type="dxa"/>
          </w:tcPr>
          <w:p w14:paraId="7991FDBC" w14:textId="77777777" w:rsidR="003B31DC" w:rsidRDefault="00913CBE">
            <w:pPr>
              <w:tabs>
                <w:tab w:val="left" w:pos="9071"/>
              </w:tabs>
              <w:rPr>
                <w:lang w:val="en-GB" w:eastAsia="en-US"/>
              </w:rPr>
            </w:pPr>
            <w:proofErr w:type="spellStart"/>
            <w:r>
              <w:t>Pradinis</w:t>
            </w:r>
            <w:proofErr w:type="spellEnd"/>
            <w:r>
              <w:t xml:space="preserve"> (</w:t>
            </w:r>
            <w:proofErr w:type="spellStart"/>
            <w:r>
              <w:t>vidurkis</w:t>
            </w:r>
            <w:proofErr w:type="spellEnd"/>
            <w:r>
              <w:t>)</w:t>
            </w:r>
          </w:p>
        </w:tc>
        <w:tc>
          <w:tcPr>
            <w:tcW w:w="1701" w:type="dxa"/>
          </w:tcPr>
          <w:p w14:paraId="70C01C64" w14:textId="77777777" w:rsidR="003B31DC" w:rsidRDefault="00913CBE">
            <w:pPr>
              <w:tabs>
                <w:tab w:val="left" w:pos="9071"/>
              </w:tabs>
              <w:ind w:right="4"/>
              <w:jc w:val="center"/>
              <w:rPr>
                <w:lang w:val="en-GB" w:eastAsia="en-US"/>
              </w:rPr>
            </w:pPr>
            <w:r>
              <w:rPr>
                <w:spacing w:val="-4"/>
                <w:lang w:val="en-GB" w:eastAsia="en-US"/>
              </w:rPr>
              <w:t>8.15</w:t>
            </w:r>
          </w:p>
        </w:tc>
        <w:tc>
          <w:tcPr>
            <w:tcW w:w="2126" w:type="dxa"/>
          </w:tcPr>
          <w:p w14:paraId="150E155A" w14:textId="77777777" w:rsidR="003B31DC" w:rsidRDefault="00913CBE">
            <w:pPr>
              <w:tabs>
                <w:tab w:val="left" w:pos="9071"/>
              </w:tabs>
              <w:ind w:right="16"/>
              <w:jc w:val="center"/>
              <w:rPr>
                <w:lang w:val="en-GB" w:eastAsia="en-US"/>
              </w:rPr>
            </w:pPr>
            <w:r>
              <w:rPr>
                <w:spacing w:val="-4"/>
                <w:lang w:val="en-GB" w:eastAsia="en-US"/>
              </w:rPr>
              <w:t>8.07</w:t>
            </w:r>
          </w:p>
        </w:tc>
        <w:tc>
          <w:tcPr>
            <w:tcW w:w="2126" w:type="dxa"/>
          </w:tcPr>
          <w:p w14:paraId="5855DC42" w14:textId="77777777" w:rsidR="003B31DC" w:rsidRDefault="00913CBE">
            <w:pPr>
              <w:tabs>
                <w:tab w:val="left" w:pos="9071"/>
              </w:tabs>
              <w:ind w:right="10"/>
              <w:jc w:val="center"/>
              <w:rPr>
                <w:lang w:val="en-GB" w:eastAsia="en-US"/>
              </w:rPr>
            </w:pPr>
            <w:r>
              <w:rPr>
                <w:spacing w:val="-4"/>
                <w:lang w:val="en-GB" w:eastAsia="en-US"/>
              </w:rPr>
              <w:t>8.10</w:t>
            </w:r>
          </w:p>
        </w:tc>
      </w:tr>
      <w:tr w:rsidR="003B31DC" w14:paraId="6D4F9CAD" w14:textId="77777777">
        <w:trPr>
          <w:trHeight w:val="254"/>
        </w:trPr>
        <w:tc>
          <w:tcPr>
            <w:tcW w:w="2942" w:type="dxa"/>
          </w:tcPr>
          <w:p w14:paraId="392C7C3D" w14:textId="77777777" w:rsidR="003B31DC" w:rsidRDefault="00913CBE">
            <w:pPr>
              <w:tabs>
                <w:tab w:val="left" w:pos="9071"/>
              </w:tabs>
              <w:ind w:right="680"/>
              <w:rPr>
                <w:lang w:val="en-GB" w:eastAsia="en-US"/>
              </w:rPr>
            </w:pPr>
            <w:proofErr w:type="spellStart"/>
            <w:r>
              <w:t>Pokytis</w:t>
            </w:r>
            <w:proofErr w:type="spellEnd"/>
            <w:r>
              <w:t xml:space="preserve">, </w:t>
            </w:r>
            <w:proofErr w:type="spellStart"/>
            <w:r>
              <w:t>palyginti</w:t>
            </w:r>
            <w:proofErr w:type="spellEnd"/>
            <w:r>
              <w:t xml:space="preserve"> </w:t>
            </w:r>
            <w:proofErr w:type="spellStart"/>
            <w:r>
              <w:t>su</w:t>
            </w:r>
            <w:proofErr w:type="spellEnd"/>
            <w:r>
              <w:t xml:space="preserve"> pradiniu</w:t>
            </w:r>
            <w:r>
              <w:rPr>
                <w:vertAlign w:val="superscript"/>
              </w:rPr>
              <w:t>1</w:t>
            </w:r>
          </w:p>
        </w:tc>
        <w:tc>
          <w:tcPr>
            <w:tcW w:w="1701" w:type="dxa"/>
          </w:tcPr>
          <w:p w14:paraId="7AA70F8A" w14:textId="77777777" w:rsidR="003B31DC" w:rsidRDefault="00913CBE">
            <w:pPr>
              <w:tabs>
                <w:tab w:val="left" w:pos="9071"/>
              </w:tabs>
              <w:ind w:right="12"/>
              <w:jc w:val="center"/>
              <w:rPr>
                <w:lang w:val="en-GB" w:eastAsia="en-US"/>
              </w:rPr>
            </w:pPr>
            <w:r>
              <w:rPr>
                <w:spacing w:val="-4"/>
                <w:lang w:val="en-GB" w:eastAsia="en-US"/>
              </w:rPr>
              <w:t>-0.11</w:t>
            </w:r>
          </w:p>
        </w:tc>
        <w:tc>
          <w:tcPr>
            <w:tcW w:w="2126" w:type="dxa"/>
          </w:tcPr>
          <w:p w14:paraId="760C2A19" w14:textId="77777777" w:rsidR="003B31DC" w:rsidRDefault="00913CBE">
            <w:pPr>
              <w:tabs>
                <w:tab w:val="left" w:pos="9071"/>
              </w:tabs>
              <w:ind w:right="18"/>
              <w:jc w:val="center"/>
              <w:rPr>
                <w:lang w:val="en-GB" w:eastAsia="en-US"/>
              </w:rPr>
            </w:pPr>
            <w:r>
              <w:rPr>
                <w:spacing w:val="-4"/>
                <w:lang w:val="en-GB" w:eastAsia="en-US"/>
              </w:rPr>
              <w:t>-0.55</w:t>
            </w:r>
          </w:p>
        </w:tc>
        <w:tc>
          <w:tcPr>
            <w:tcW w:w="2126" w:type="dxa"/>
          </w:tcPr>
          <w:p w14:paraId="4BB802C8" w14:textId="77777777" w:rsidR="003B31DC" w:rsidRDefault="00913CBE">
            <w:pPr>
              <w:tabs>
                <w:tab w:val="left" w:pos="9071"/>
              </w:tabs>
              <w:ind w:right="12"/>
              <w:jc w:val="center"/>
              <w:rPr>
                <w:lang w:val="en-GB" w:eastAsia="en-US"/>
              </w:rPr>
            </w:pPr>
            <w:r>
              <w:rPr>
                <w:spacing w:val="-4"/>
                <w:lang w:val="en-GB" w:eastAsia="en-US"/>
              </w:rPr>
              <w:t>-0.70</w:t>
            </w:r>
          </w:p>
        </w:tc>
      </w:tr>
      <w:tr w:rsidR="003B31DC" w14:paraId="137DC0C0" w14:textId="77777777">
        <w:trPr>
          <w:trHeight w:val="505"/>
        </w:trPr>
        <w:tc>
          <w:tcPr>
            <w:tcW w:w="2942" w:type="dxa"/>
          </w:tcPr>
          <w:p w14:paraId="223A99E0" w14:textId="77777777" w:rsidR="003B31DC" w:rsidRPr="00A02B90" w:rsidRDefault="00913CBE">
            <w:pPr>
              <w:tabs>
                <w:tab w:val="left" w:pos="9071"/>
              </w:tabs>
              <w:rPr>
                <w:lang w:val="fr-FR"/>
              </w:rPr>
            </w:pPr>
            <w:r w:rsidRPr="00A02B90">
              <w:rPr>
                <w:lang w:val="fr-FR"/>
              </w:rPr>
              <w:t>Skirtumas, palyginti su placebu</w:t>
            </w:r>
            <w:r w:rsidRPr="00A02B90">
              <w:rPr>
                <w:vertAlign w:val="superscript"/>
                <w:lang w:val="fr-FR"/>
              </w:rPr>
              <w:t>1</w:t>
            </w:r>
          </w:p>
          <w:p w14:paraId="3D2DF81F" w14:textId="77777777" w:rsidR="003B31DC" w:rsidRPr="00A02B90" w:rsidRDefault="00913CBE">
            <w:pPr>
              <w:tabs>
                <w:tab w:val="left" w:pos="9071"/>
              </w:tabs>
              <w:rPr>
                <w:lang w:val="fr-FR" w:eastAsia="en-US"/>
              </w:rPr>
            </w:pPr>
            <w:r w:rsidRPr="00A02B90">
              <w:rPr>
                <w:lang w:val="fr-FR" w:eastAsia="en-US"/>
              </w:rPr>
              <w:t>(97,5 % PI)</w:t>
            </w:r>
          </w:p>
        </w:tc>
        <w:tc>
          <w:tcPr>
            <w:tcW w:w="1701" w:type="dxa"/>
          </w:tcPr>
          <w:p w14:paraId="27949D9F" w14:textId="77777777" w:rsidR="003B31DC" w:rsidRPr="00A02B90" w:rsidRDefault="003B31DC">
            <w:pPr>
              <w:tabs>
                <w:tab w:val="left" w:pos="9071"/>
              </w:tabs>
              <w:rPr>
                <w:lang w:val="fr-FR" w:eastAsia="en-US"/>
              </w:rPr>
            </w:pPr>
          </w:p>
        </w:tc>
        <w:tc>
          <w:tcPr>
            <w:tcW w:w="2126" w:type="dxa"/>
          </w:tcPr>
          <w:p w14:paraId="0B6FA6DF" w14:textId="77777777" w:rsidR="003B31DC" w:rsidRDefault="00913CBE">
            <w:pPr>
              <w:tabs>
                <w:tab w:val="left" w:pos="9071"/>
              </w:tabs>
              <w:ind w:right="17"/>
              <w:jc w:val="center"/>
              <w:rPr>
                <w:lang w:val="en-GB" w:eastAsia="en-US"/>
              </w:rPr>
            </w:pPr>
            <w:r>
              <w:rPr>
                <w:lang w:val="en-GB" w:eastAsia="en-US"/>
              </w:rPr>
              <w:t>-0.45*</w:t>
            </w:r>
            <w:r>
              <w:rPr>
                <w:spacing w:val="-5"/>
                <w:lang w:val="en-GB" w:eastAsia="en-US"/>
              </w:rPr>
              <w:t xml:space="preserve"> </w:t>
            </w:r>
            <w:r>
              <w:rPr>
                <w:lang w:val="en-GB" w:eastAsia="en-US"/>
              </w:rPr>
              <w:t>(-0.69,</w:t>
            </w:r>
            <w:r>
              <w:rPr>
                <w:spacing w:val="-2"/>
                <w:lang w:val="en-GB" w:eastAsia="en-US"/>
              </w:rPr>
              <w:t xml:space="preserve"> </w:t>
            </w:r>
            <w:r>
              <w:rPr>
                <w:lang w:val="en-GB" w:eastAsia="en-US"/>
              </w:rPr>
              <w:t>-</w:t>
            </w:r>
            <w:r>
              <w:rPr>
                <w:spacing w:val="-2"/>
                <w:lang w:val="en-GB" w:eastAsia="en-US"/>
              </w:rPr>
              <w:t>0.21)</w:t>
            </w:r>
          </w:p>
        </w:tc>
        <w:tc>
          <w:tcPr>
            <w:tcW w:w="2126" w:type="dxa"/>
          </w:tcPr>
          <w:p w14:paraId="55615EC6" w14:textId="77777777" w:rsidR="003B31DC" w:rsidRDefault="00913CBE">
            <w:pPr>
              <w:tabs>
                <w:tab w:val="left" w:pos="9071"/>
              </w:tabs>
              <w:ind w:right="11"/>
              <w:jc w:val="center"/>
              <w:rPr>
                <w:lang w:val="en-GB" w:eastAsia="en-US"/>
              </w:rPr>
            </w:pPr>
            <w:r>
              <w:rPr>
                <w:lang w:val="en-GB" w:eastAsia="en-US"/>
              </w:rPr>
              <w:t>-0.60*</w:t>
            </w:r>
            <w:r>
              <w:rPr>
                <w:spacing w:val="-5"/>
                <w:lang w:val="en-GB" w:eastAsia="en-US"/>
              </w:rPr>
              <w:t xml:space="preserve"> </w:t>
            </w:r>
            <w:r>
              <w:rPr>
                <w:lang w:val="en-GB" w:eastAsia="en-US"/>
              </w:rPr>
              <w:t>(-0.83,</w:t>
            </w:r>
            <w:r>
              <w:rPr>
                <w:spacing w:val="-2"/>
                <w:lang w:val="en-GB" w:eastAsia="en-US"/>
              </w:rPr>
              <w:t xml:space="preserve"> </w:t>
            </w:r>
            <w:r>
              <w:rPr>
                <w:lang w:val="en-GB" w:eastAsia="en-US"/>
              </w:rPr>
              <w:t>-</w:t>
            </w:r>
            <w:r>
              <w:rPr>
                <w:spacing w:val="-2"/>
                <w:lang w:val="en-GB" w:eastAsia="en-US"/>
              </w:rPr>
              <w:t>0.36)</w:t>
            </w:r>
          </w:p>
        </w:tc>
      </w:tr>
      <w:tr w:rsidR="003B31DC" w14:paraId="2797D430" w14:textId="77777777">
        <w:trPr>
          <w:trHeight w:val="251"/>
        </w:trPr>
        <w:tc>
          <w:tcPr>
            <w:tcW w:w="2942" w:type="dxa"/>
          </w:tcPr>
          <w:p w14:paraId="5A585207" w14:textId="77777777" w:rsidR="003B31DC" w:rsidRDefault="00913CBE">
            <w:pPr>
              <w:tabs>
                <w:tab w:val="left" w:pos="9071"/>
              </w:tabs>
              <w:rPr>
                <w:lang w:val="en-GB" w:eastAsia="en-US"/>
              </w:rPr>
            </w:pPr>
            <w:r>
              <w:rPr>
                <w:spacing w:val="-10"/>
                <w:lang w:val="en-GB" w:eastAsia="en-US"/>
              </w:rPr>
              <w:t>N</w:t>
            </w:r>
          </w:p>
        </w:tc>
        <w:tc>
          <w:tcPr>
            <w:tcW w:w="1701" w:type="dxa"/>
          </w:tcPr>
          <w:p w14:paraId="094FACF0" w14:textId="77777777" w:rsidR="003B31DC" w:rsidRDefault="00913CBE">
            <w:pPr>
              <w:tabs>
                <w:tab w:val="left" w:pos="9071"/>
              </w:tabs>
              <w:ind w:right="7"/>
              <w:jc w:val="center"/>
              <w:rPr>
                <w:lang w:val="en-GB" w:eastAsia="en-US"/>
              </w:rPr>
            </w:pPr>
            <w:r>
              <w:rPr>
                <w:spacing w:val="-5"/>
                <w:lang w:val="en-GB" w:eastAsia="en-US"/>
              </w:rPr>
              <w:t>118</w:t>
            </w:r>
          </w:p>
        </w:tc>
        <w:tc>
          <w:tcPr>
            <w:tcW w:w="2126" w:type="dxa"/>
          </w:tcPr>
          <w:p w14:paraId="50AA3739" w14:textId="77777777" w:rsidR="003B31DC" w:rsidRDefault="00913CBE">
            <w:pPr>
              <w:tabs>
                <w:tab w:val="left" w:pos="9071"/>
              </w:tabs>
              <w:ind w:right="18"/>
              <w:jc w:val="center"/>
              <w:rPr>
                <w:lang w:val="en-GB" w:eastAsia="en-US"/>
              </w:rPr>
            </w:pPr>
            <w:r>
              <w:rPr>
                <w:spacing w:val="-5"/>
                <w:lang w:val="en-GB" w:eastAsia="en-US"/>
              </w:rPr>
              <w:t>116</w:t>
            </w:r>
          </w:p>
        </w:tc>
        <w:tc>
          <w:tcPr>
            <w:tcW w:w="2126" w:type="dxa"/>
          </w:tcPr>
          <w:p w14:paraId="2D155CDA" w14:textId="77777777" w:rsidR="003B31DC" w:rsidRDefault="00913CBE">
            <w:pPr>
              <w:tabs>
                <w:tab w:val="left" w:pos="9071"/>
              </w:tabs>
              <w:ind w:right="12"/>
              <w:jc w:val="center"/>
              <w:rPr>
                <w:lang w:val="en-GB" w:eastAsia="en-US"/>
              </w:rPr>
            </w:pPr>
            <w:r>
              <w:rPr>
                <w:spacing w:val="-5"/>
                <w:lang w:val="en-GB" w:eastAsia="en-US"/>
              </w:rPr>
              <w:t>123</w:t>
            </w:r>
          </w:p>
        </w:tc>
      </w:tr>
      <w:tr w:rsidR="003B31DC" w14:paraId="555C1782" w14:textId="77777777">
        <w:trPr>
          <w:trHeight w:val="757"/>
        </w:trPr>
        <w:tc>
          <w:tcPr>
            <w:tcW w:w="2942" w:type="dxa"/>
          </w:tcPr>
          <w:p w14:paraId="06B409BC" w14:textId="77777777" w:rsidR="003B31DC" w:rsidRPr="00A02B90" w:rsidRDefault="00913CBE">
            <w:pPr>
              <w:tabs>
                <w:tab w:val="left" w:pos="9071"/>
              </w:tabs>
              <w:rPr>
                <w:b/>
                <w:lang w:val="lt-LT" w:eastAsia="en-US"/>
              </w:rPr>
            </w:pPr>
            <w:r w:rsidRPr="00A02B90">
              <w:rPr>
                <w:b/>
                <w:lang w:val="lt-LT" w:eastAsia="en-US"/>
              </w:rPr>
              <w:t>Pacientai (%), kurių HbA1c kiekis tapo &lt; 7 % ir kurių pradinis HbA1c kiekis buvo ≥ 7 %</w:t>
            </w:r>
            <w:r w:rsidRPr="00A02B90">
              <w:rPr>
                <w:b/>
                <w:vertAlign w:val="superscript"/>
                <w:lang w:val="lt-LT" w:eastAsia="en-US"/>
              </w:rPr>
              <w:t>2</w:t>
            </w:r>
          </w:p>
        </w:tc>
        <w:tc>
          <w:tcPr>
            <w:tcW w:w="1701" w:type="dxa"/>
          </w:tcPr>
          <w:p w14:paraId="43E63209" w14:textId="77777777" w:rsidR="003B31DC" w:rsidRDefault="00913CBE">
            <w:pPr>
              <w:tabs>
                <w:tab w:val="left" w:pos="9071"/>
              </w:tabs>
              <w:ind w:right="9"/>
              <w:jc w:val="center"/>
              <w:rPr>
                <w:lang w:val="en-GB" w:eastAsia="en-US"/>
              </w:rPr>
            </w:pPr>
            <w:r>
              <w:rPr>
                <w:spacing w:val="-5"/>
                <w:lang w:val="en-GB" w:eastAsia="en-US"/>
              </w:rPr>
              <w:t>8.5</w:t>
            </w:r>
          </w:p>
        </w:tc>
        <w:tc>
          <w:tcPr>
            <w:tcW w:w="2126" w:type="dxa"/>
          </w:tcPr>
          <w:p w14:paraId="711A5AB5" w14:textId="77777777" w:rsidR="003B31DC" w:rsidRDefault="00913CBE">
            <w:pPr>
              <w:tabs>
                <w:tab w:val="left" w:pos="9071"/>
              </w:tabs>
              <w:ind w:right="16"/>
              <w:jc w:val="center"/>
              <w:rPr>
                <w:lang w:val="en-GB" w:eastAsia="en-US"/>
              </w:rPr>
            </w:pPr>
            <w:r>
              <w:rPr>
                <w:spacing w:val="-4"/>
                <w:lang w:val="en-GB" w:eastAsia="en-US"/>
              </w:rPr>
              <w:t>22.4</w:t>
            </w:r>
          </w:p>
        </w:tc>
        <w:tc>
          <w:tcPr>
            <w:tcW w:w="2126" w:type="dxa"/>
          </w:tcPr>
          <w:p w14:paraId="1B16D0FC" w14:textId="77777777" w:rsidR="003B31DC" w:rsidRDefault="00913CBE">
            <w:pPr>
              <w:tabs>
                <w:tab w:val="left" w:pos="9071"/>
              </w:tabs>
              <w:ind w:right="10"/>
              <w:jc w:val="center"/>
              <w:rPr>
                <w:lang w:val="en-GB" w:eastAsia="en-US"/>
              </w:rPr>
            </w:pPr>
            <w:r>
              <w:rPr>
                <w:spacing w:val="-4"/>
                <w:lang w:val="en-GB" w:eastAsia="en-US"/>
              </w:rPr>
              <w:t>28.5</w:t>
            </w:r>
          </w:p>
        </w:tc>
      </w:tr>
      <w:tr w:rsidR="003B31DC" w14:paraId="7CAC5CF9" w14:textId="77777777">
        <w:trPr>
          <w:trHeight w:val="254"/>
        </w:trPr>
        <w:tc>
          <w:tcPr>
            <w:tcW w:w="2942" w:type="dxa"/>
          </w:tcPr>
          <w:p w14:paraId="48FEA666" w14:textId="77777777" w:rsidR="003B31DC" w:rsidRDefault="00913CBE">
            <w:pPr>
              <w:tabs>
                <w:tab w:val="left" w:pos="9071"/>
              </w:tabs>
              <w:rPr>
                <w:lang w:val="en-GB" w:eastAsia="en-US"/>
              </w:rPr>
            </w:pPr>
            <w:r>
              <w:rPr>
                <w:spacing w:val="-10"/>
                <w:lang w:val="en-GB" w:eastAsia="en-US"/>
              </w:rPr>
              <w:lastRenderedPageBreak/>
              <w:t>N</w:t>
            </w:r>
          </w:p>
        </w:tc>
        <w:tc>
          <w:tcPr>
            <w:tcW w:w="1701" w:type="dxa"/>
          </w:tcPr>
          <w:p w14:paraId="6C427E87" w14:textId="77777777" w:rsidR="003B31DC" w:rsidRDefault="00913CBE">
            <w:pPr>
              <w:tabs>
                <w:tab w:val="left" w:pos="9071"/>
              </w:tabs>
              <w:ind w:right="7"/>
              <w:jc w:val="center"/>
              <w:rPr>
                <w:lang w:val="en-GB" w:eastAsia="en-US"/>
              </w:rPr>
            </w:pPr>
            <w:r>
              <w:rPr>
                <w:spacing w:val="-5"/>
                <w:lang w:val="en-GB" w:eastAsia="en-US"/>
              </w:rPr>
              <w:t>124</w:t>
            </w:r>
          </w:p>
        </w:tc>
        <w:tc>
          <w:tcPr>
            <w:tcW w:w="2126" w:type="dxa"/>
          </w:tcPr>
          <w:p w14:paraId="4DFCFB53" w14:textId="77777777" w:rsidR="003B31DC" w:rsidRDefault="00913CBE">
            <w:pPr>
              <w:tabs>
                <w:tab w:val="left" w:pos="9071"/>
              </w:tabs>
              <w:ind w:right="18"/>
              <w:jc w:val="center"/>
              <w:rPr>
                <w:lang w:val="en-GB" w:eastAsia="en-US"/>
              </w:rPr>
            </w:pPr>
            <w:r>
              <w:rPr>
                <w:spacing w:val="-5"/>
                <w:lang w:val="en-GB" w:eastAsia="en-US"/>
              </w:rPr>
              <w:t>125</w:t>
            </w:r>
          </w:p>
        </w:tc>
        <w:tc>
          <w:tcPr>
            <w:tcW w:w="2126" w:type="dxa"/>
          </w:tcPr>
          <w:p w14:paraId="7D4289C6" w14:textId="77777777" w:rsidR="003B31DC" w:rsidRDefault="00913CBE">
            <w:pPr>
              <w:tabs>
                <w:tab w:val="left" w:pos="9071"/>
              </w:tabs>
              <w:ind w:right="12"/>
              <w:jc w:val="center"/>
              <w:rPr>
                <w:lang w:val="en-GB" w:eastAsia="en-US"/>
              </w:rPr>
            </w:pPr>
            <w:r>
              <w:rPr>
                <w:spacing w:val="-5"/>
                <w:lang w:val="en-GB" w:eastAsia="en-US"/>
              </w:rPr>
              <w:t>127</w:t>
            </w:r>
          </w:p>
        </w:tc>
      </w:tr>
      <w:tr w:rsidR="003B31DC" w14:paraId="3B25F5CC" w14:textId="77777777">
        <w:trPr>
          <w:trHeight w:val="253"/>
        </w:trPr>
        <w:tc>
          <w:tcPr>
            <w:tcW w:w="8895" w:type="dxa"/>
            <w:gridSpan w:val="4"/>
          </w:tcPr>
          <w:p w14:paraId="7B77B9F5" w14:textId="77777777" w:rsidR="003B31DC" w:rsidRDefault="00913CBE">
            <w:pPr>
              <w:tabs>
                <w:tab w:val="left" w:pos="9071"/>
              </w:tabs>
              <w:rPr>
                <w:b/>
                <w:lang w:val="en-GB" w:eastAsia="en-US"/>
              </w:rPr>
            </w:pPr>
            <w:proofErr w:type="spellStart"/>
            <w:r>
              <w:rPr>
                <w:b/>
                <w:lang w:val="en-GB" w:eastAsia="en-US"/>
              </w:rPr>
              <w:t>Kūno</w:t>
            </w:r>
            <w:proofErr w:type="spellEnd"/>
            <w:r>
              <w:rPr>
                <w:b/>
                <w:lang w:val="en-GB" w:eastAsia="en-US"/>
              </w:rPr>
              <w:t xml:space="preserve"> </w:t>
            </w:r>
            <w:proofErr w:type="spellStart"/>
            <w:r>
              <w:rPr>
                <w:b/>
                <w:lang w:val="en-GB" w:eastAsia="en-US"/>
              </w:rPr>
              <w:t>svoris</w:t>
            </w:r>
            <w:proofErr w:type="spellEnd"/>
            <w:r>
              <w:rPr>
                <w:b/>
                <w:spacing w:val="-5"/>
                <w:lang w:val="en-GB" w:eastAsia="en-US"/>
              </w:rPr>
              <w:t xml:space="preserve"> </w:t>
            </w:r>
            <w:r>
              <w:rPr>
                <w:b/>
                <w:spacing w:val="-4"/>
                <w:lang w:val="en-GB" w:eastAsia="en-US"/>
              </w:rPr>
              <w:t>(kg)</w:t>
            </w:r>
          </w:p>
        </w:tc>
      </w:tr>
      <w:tr w:rsidR="003B31DC" w14:paraId="33B6D977" w14:textId="77777777">
        <w:trPr>
          <w:trHeight w:val="251"/>
        </w:trPr>
        <w:tc>
          <w:tcPr>
            <w:tcW w:w="2942" w:type="dxa"/>
          </w:tcPr>
          <w:p w14:paraId="3A536E73" w14:textId="77777777" w:rsidR="003B31DC" w:rsidRDefault="00913CBE">
            <w:pPr>
              <w:tabs>
                <w:tab w:val="left" w:pos="9071"/>
              </w:tabs>
              <w:rPr>
                <w:lang w:val="en-GB" w:eastAsia="en-US"/>
              </w:rPr>
            </w:pPr>
            <w:proofErr w:type="spellStart"/>
            <w:r>
              <w:t>Pradinis</w:t>
            </w:r>
            <w:proofErr w:type="spellEnd"/>
            <w:r>
              <w:t xml:space="preserve"> (</w:t>
            </w:r>
            <w:proofErr w:type="spellStart"/>
            <w:r>
              <w:t>vidurkis</w:t>
            </w:r>
            <w:proofErr w:type="spellEnd"/>
            <w:r>
              <w:t>)</w:t>
            </w:r>
          </w:p>
        </w:tc>
        <w:tc>
          <w:tcPr>
            <w:tcW w:w="1701" w:type="dxa"/>
          </w:tcPr>
          <w:p w14:paraId="2DC0F55D" w14:textId="77777777" w:rsidR="003B31DC" w:rsidRDefault="00913CBE">
            <w:pPr>
              <w:tabs>
                <w:tab w:val="left" w:pos="9071"/>
              </w:tabs>
              <w:ind w:right="4"/>
              <w:jc w:val="center"/>
              <w:rPr>
                <w:lang w:val="en-GB" w:eastAsia="en-US"/>
              </w:rPr>
            </w:pPr>
            <w:r>
              <w:rPr>
                <w:spacing w:val="-2"/>
                <w:lang w:val="en-GB" w:eastAsia="en-US"/>
              </w:rPr>
              <w:t>79.45</w:t>
            </w:r>
          </w:p>
        </w:tc>
        <w:tc>
          <w:tcPr>
            <w:tcW w:w="2126" w:type="dxa"/>
          </w:tcPr>
          <w:p w14:paraId="5E91C47B" w14:textId="77777777" w:rsidR="003B31DC" w:rsidRDefault="00913CBE">
            <w:pPr>
              <w:tabs>
                <w:tab w:val="left" w:pos="9071"/>
              </w:tabs>
              <w:ind w:right="16"/>
              <w:jc w:val="center"/>
              <w:rPr>
                <w:lang w:val="en-GB" w:eastAsia="en-US"/>
              </w:rPr>
            </w:pPr>
            <w:r>
              <w:rPr>
                <w:spacing w:val="-2"/>
                <w:lang w:val="en-GB" w:eastAsia="en-US"/>
              </w:rPr>
              <w:t>79.44</w:t>
            </w:r>
          </w:p>
        </w:tc>
        <w:tc>
          <w:tcPr>
            <w:tcW w:w="2126" w:type="dxa"/>
          </w:tcPr>
          <w:p w14:paraId="192B7867" w14:textId="77777777" w:rsidR="003B31DC" w:rsidRDefault="00913CBE">
            <w:pPr>
              <w:tabs>
                <w:tab w:val="left" w:pos="9071"/>
              </w:tabs>
              <w:ind w:right="10"/>
              <w:jc w:val="center"/>
              <w:rPr>
                <w:lang w:val="en-GB" w:eastAsia="en-US"/>
              </w:rPr>
            </w:pPr>
            <w:r>
              <w:rPr>
                <w:spacing w:val="-2"/>
                <w:lang w:val="en-GB" w:eastAsia="en-US"/>
              </w:rPr>
              <w:t>80.98</w:t>
            </w:r>
          </w:p>
        </w:tc>
      </w:tr>
      <w:tr w:rsidR="003B31DC" w14:paraId="7E67DFD6" w14:textId="77777777">
        <w:trPr>
          <w:trHeight w:val="254"/>
        </w:trPr>
        <w:tc>
          <w:tcPr>
            <w:tcW w:w="2942" w:type="dxa"/>
          </w:tcPr>
          <w:p w14:paraId="08C1801A" w14:textId="77777777" w:rsidR="003B31DC" w:rsidRDefault="00913CBE">
            <w:pPr>
              <w:tabs>
                <w:tab w:val="left" w:pos="9071"/>
              </w:tabs>
              <w:ind w:right="680"/>
              <w:rPr>
                <w:lang w:val="en-GB" w:eastAsia="en-US"/>
              </w:rPr>
            </w:pPr>
            <w:proofErr w:type="spellStart"/>
            <w:r>
              <w:t>Pokytis</w:t>
            </w:r>
            <w:proofErr w:type="spellEnd"/>
            <w:r>
              <w:t xml:space="preserve">, </w:t>
            </w:r>
            <w:proofErr w:type="spellStart"/>
            <w:r>
              <w:t>palyginti</w:t>
            </w:r>
            <w:proofErr w:type="spellEnd"/>
            <w:r>
              <w:t xml:space="preserve"> </w:t>
            </w:r>
            <w:proofErr w:type="spellStart"/>
            <w:r>
              <w:t>su</w:t>
            </w:r>
            <w:proofErr w:type="spellEnd"/>
            <w:r>
              <w:t xml:space="preserve"> pradiniu</w:t>
            </w:r>
            <w:r>
              <w:rPr>
                <w:vertAlign w:val="superscript"/>
              </w:rPr>
              <w:t>1</w:t>
            </w:r>
          </w:p>
        </w:tc>
        <w:tc>
          <w:tcPr>
            <w:tcW w:w="1701" w:type="dxa"/>
          </w:tcPr>
          <w:p w14:paraId="025C1F12" w14:textId="77777777" w:rsidR="003B31DC" w:rsidRDefault="00913CBE">
            <w:pPr>
              <w:tabs>
                <w:tab w:val="left" w:pos="9071"/>
              </w:tabs>
              <w:ind w:right="4"/>
              <w:jc w:val="center"/>
              <w:rPr>
                <w:lang w:val="en-GB" w:eastAsia="en-US"/>
              </w:rPr>
            </w:pPr>
            <w:r>
              <w:rPr>
                <w:spacing w:val="-4"/>
                <w:lang w:val="en-GB" w:eastAsia="en-US"/>
              </w:rPr>
              <w:t>0.40</w:t>
            </w:r>
          </w:p>
        </w:tc>
        <w:tc>
          <w:tcPr>
            <w:tcW w:w="2126" w:type="dxa"/>
          </w:tcPr>
          <w:p w14:paraId="23209CCE" w14:textId="77777777" w:rsidR="003B31DC" w:rsidRDefault="00913CBE">
            <w:pPr>
              <w:tabs>
                <w:tab w:val="left" w:pos="9071"/>
              </w:tabs>
              <w:ind w:right="18"/>
              <w:jc w:val="center"/>
              <w:rPr>
                <w:lang w:val="en-GB" w:eastAsia="en-US"/>
              </w:rPr>
            </w:pPr>
            <w:r>
              <w:rPr>
                <w:spacing w:val="-4"/>
                <w:lang w:val="en-GB" w:eastAsia="en-US"/>
              </w:rPr>
              <w:t>-1.74</w:t>
            </w:r>
          </w:p>
        </w:tc>
        <w:tc>
          <w:tcPr>
            <w:tcW w:w="2126" w:type="dxa"/>
          </w:tcPr>
          <w:p w14:paraId="352C4535" w14:textId="77777777" w:rsidR="003B31DC" w:rsidRDefault="00913CBE">
            <w:pPr>
              <w:tabs>
                <w:tab w:val="left" w:pos="9071"/>
              </w:tabs>
              <w:ind w:right="12"/>
              <w:jc w:val="center"/>
              <w:rPr>
                <w:lang w:val="en-GB" w:eastAsia="en-US"/>
              </w:rPr>
            </w:pPr>
            <w:r>
              <w:rPr>
                <w:spacing w:val="-4"/>
                <w:lang w:val="en-GB" w:eastAsia="en-US"/>
              </w:rPr>
              <w:t>-1.59</w:t>
            </w:r>
          </w:p>
        </w:tc>
      </w:tr>
      <w:tr w:rsidR="003B31DC" w14:paraId="6BB6B24E" w14:textId="77777777">
        <w:trPr>
          <w:trHeight w:val="505"/>
        </w:trPr>
        <w:tc>
          <w:tcPr>
            <w:tcW w:w="2942" w:type="dxa"/>
          </w:tcPr>
          <w:p w14:paraId="72030FEC" w14:textId="77777777" w:rsidR="003B31DC" w:rsidRDefault="00913CBE">
            <w:pPr>
              <w:tabs>
                <w:tab w:val="left" w:pos="9071"/>
              </w:tabs>
              <w:rPr>
                <w:lang w:val="en-GB" w:eastAsia="en-US"/>
              </w:rPr>
            </w:pPr>
            <w:proofErr w:type="spellStart"/>
            <w:r>
              <w:t>Skirtumas</w:t>
            </w:r>
            <w:proofErr w:type="spellEnd"/>
            <w:r>
              <w:t xml:space="preserve">, </w:t>
            </w:r>
            <w:proofErr w:type="spellStart"/>
            <w:r>
              <w:t>palyginti</w:t>
            </w:r>
            <w:proofErr w:type="spellEnd"/>
            <w:r>
              <w:t xml:space="preserve"> </w:t>
            </w:r>
            <w:proofErr w:type="spellStart"/>
            <w:r>
              <w:t>su</w:t>
            </w:r>
            <w:proofErr w:type="spellEnd"/>
            <w:r>
              <w:t xml:space="preserve"> placebu</w:t>
            </w:r>
            <w:r>
              <w:rPr>
                <w:vertAlign w:val="superscript"/>
              </w:rPr>
              <w:t>1</w:t>
            </w:r>
          </w:p>
        </w:tc>
        <w:tc>
          <w:tcPr>
            <w:tcW w:w="1701" w:type="dxa"/>
          </w:tcPr>
          <w:p w14:paraId="7A86C23F" w14:textId="77777777" w:rsidR="003B31DC" w:rsidRDefault="003B31DC">
            <w:pPr>
              <w:tabs>
                <w:tab w:val="left" w:pos="9071"/>
              </w:tabs>
              <w:rPr>
                <w:lang w:val="en-GB" w:eastAsia="en-US"/>
              </w:rPr>
            </w:pPr>
          </w:p>
        </w:tc>
        <w:tc>
          <w:tcPr>
            <w:tcW w:w="2126" w:type="dxa"/>
          </w:tcPr>
          <w:p w14:paraId="1ED6F249" w14:textId="77777777" w:rsidR="003B31DC" w:rsidRDefault="00913CBE">
            <w:pPr>
              <w:tabs>
                <w:tab w:val="left" w:pos="9071"/>
              </w:tabs>
              <w:ind w:right="17"/>
              <w:jc w:val="center"/>
              <w:rPr>
                <w:lang w:val="en-GB" w:eastAsia="en-US"/>
              </w:rPr>
            </w:pPr>
            <w:r>
              <w:rPr>
                <w:lang w:val="en-GB" w:eastAsia="en-US"/>
              </w:rPr>
              <w:t>-2.14*</w:t>
            </w:r>
            <w:r>
              <w:rPr>
                <w:spacing w:val="-5"/>
                <w:lang w:val="en-GB" w:eastAsia="en-US"/>
              </w:rPr>
              <w:t xml:space="preserve"> </w:t>
            </w:r>
            <w:r>
              <w:rPr>
                <w:lang w:val="en-GB" w:eastAsia="en-US"/>
              </w:rPr>
              <w:t>(-2.93,</w:t>
            </w:r>
            <w:r>
              <w:rPr>
                <w:spacing w:val="-2"/>
                <w:lang w:val="en-GB" w:eastAsia="en-US"/>
              </w:rPr>
              <w:t xml:space="preserve"> </w:t>
            </w:r>
            <w:r>
              <w:rPr>
                <w:lang w:val="en-GB" w:eastAsia="en-US"/>
              </w:rPr>
              <w:t>-</w:t>
            </w:r>
            <w:r>
              <w:rPr>
                <w:spacing w:val="-2"/>
                <w:lang w:val="en-GB" w:eastAsia="en-US"/>
              </w:rPr>
              <w:t>1.35)</w:t>
            </w:r>
          </w:p>
        </w:tc>
        <w:tc>
          <w:tcPr>
            <w:tcW w:w="2126" w:type="dxa"/>
          </w:tcPr>
          <w:p w14:paraId="371996B0" w14:textId="77777777" w:rsidR="003B31DC" w:rsidRDefault="00913CBE">
            <w:pPr>
              <w:tabs>
                <w:tab w:val="left" w:pos="9071"/>
              </w:tabs>
              <w:ind w:right="11"/>
              <w:jc w:val="center"/>
              <w:rPr>
                <w:lang w:val="en-GB" w:eastAsia="en-US"/>
              </w:rPr>
            </w:pPr>
            <w:r>
              <w:rPr>
                <w:lang w:val="en-GB" w:eastAsia="en-US"/>
              </w:rPr>
              <w:t>-2.00*</w:t>
            </w:r>
            <w:r>
              <w:rPr>
                <w:spacing w:val="-5"/>
                <w:lang w:val="en-GB" w:eastAsia="en-US"/>
              </w:rPr>
              <w:t xml:space="preserve"> </w:t>
            </w:r>
            <w:r>
              <w:rPr>
                <w:lang w:val="en-GB" w:eastAsia="en-US"/>
              </w:rPr>
              <w:t>(-2.78,</w:t>
            </w:r>
            <w:r>
              <w:rPr>
                <w:spacing w:val="-2"/>
                <w:lang w:val="en-GB" w:eastAsia="en-US"/>
              </w:rPr>
              <w:t xml:space="preserve"> </w:t>
            </w:r>
            <w:r>
              <w:rPr>
                <w:lang w:val="en-GB" w:eastAsia="en-US"/>
              </w:rPr>
              <w:t>-</w:t>
            </w:r>
            <w:r>
              <w:rPr>
                <w:spacing w:val="-2"/>
                <w:lang w:val="en-GB" w:eastAsia="en-US"/>
              </w:rPr>
              <w:t>1.21)</w:t>
            </w:r>
          </w:p>
        </w:tc>
      </w:tr>
      <w:tr w:rsidR="003B31DC" w14:paraId="12DF7845" w14:textId="77777777">
        <w:trPr>
          <w:trHeight w:val="251"/>
        </w:trPr>
        <w:tc>
          <w:tcPr>
            <w:tcW w:w="2942" w:type="dxa"/>
          </w:tcPr>
          <w:p w14:paraId="5AE34867" w14:textId="77777777" w:rsidR="003B31DC" w:rsidRDefault="00913CBE">
            <w:pPr>
              <w:tabs>
                <w:tab w:val="left" w:pos="9071"/>
              </w:tabs>
              <w:rPr>
                <w:lang w:val="en-GB" w:eastAsia="en-US"/>
              </w:rPr>
            </w:pPr>
            <w:r>
              <w:rPr>
                <w:spacing w:val="-10"/>
                <w:lang w:val="en-GB" w:eastAsia="en-US"/>
              </w:rPr>
              <w:t>N</w:t>
            </w:r>
          </w:p>
        </w:tc>
        <w:tc>
          <w:tcPr>
            <w:tcW w:w="1701" w:type="dxa"/>
          </w:tcPr>
          <w:p w14:paraId="5C5D912D" w14:textId="77777777" w:rsidR="003B31DC" w:rsidRDefault="00913CBE">
            <w:pPr>
              <w:tabs>
                <w:tab w:val="left" w:pos="9071"/>
              </w:tabs>
              <w:ind w:right="7"/>
              <w:jc w:val="center"/>
              <w:rPr>
                <w:lang w:val="en-GB" w:eastAsia="en-US"/>
              </w:rPr>
            </w:pPr>
            <w:r>
              <w:rPr>
                <w:spacing w:val="-5"/>
                <w:lang w:val="en-GB" w:eastAsia="en-US"/>
              </w:rPr>
              <w:t>124</w:t>
            </w:r>
          </w:p>
        </w:tc>
        <w:tc>
          <w:tcPr>
            <w:tcW w:w="2126" w:type="dxa"/>
          </w:tcPr>
          <w:p w14:paraId="0C974B8F" w14:textId="77777777" w:rsidR="003B31DC" w:rsidRDefault="00913CBE">
            <w:pPr>
              <w:tabs>
                <w:tab w:val="left" w:pos="9071"/>
              </w:tabs>
              <w:ind w:right="18"/>
              <w:jc w:val="center"/>
              <w:rPr>
                <w:lang w:val="en-GB" w:eastAsia="en-US"/>
              </w:rPr>
            </w:pPr>
            <w:r>
              <w:rPr>
                <w:spacing w:val="-5"/>
                <w:lang w:val="en-GB" w:eastAsia="en-US"/>
              </w:rPr>
              <w:t>125</w:t>
            </w:r>
          </w:p>
        </w:tc>
        <w:tc>
          <w:tcPr>
            <w:tcW w:w="2126" w:type="dxa"/>
          </w:tcPr>
          <w:p w14:paraId="233A691E" w14:textId="77777777" w:rsidR="003B31DC" w:rsidRDefault="00913CBE">
            <w:pPr>
              <w:tabs>
                <w:tab w:val="left" w:pos="9071"/>
              </w:tabs>
              <w:ind w:right="12"/>
              <w:jc w:val="center"/>
              <w:rPr>
                <w:lang w:val="en-GB" w:eastAsia="en-US"/>
              </w:rPr>
            </w:pPr>
            <w:r>
              <w:rPr>
                <w:spacing w:val="-5"/>
                <w:lang w:val="en-GB" w:eastAsia="en-US"/>
              </w:rPr>
              <w:t>127</w:t>
            </w:r>
          </w:p>
        </w:tc>
      </w:tr>
      <w:tr w:rsidR="003B31DC" w14:paraId="36119D40" w14:textId="77777777">
        <w:trPr>
          <w:trHeight w:val="253"/>
        </w:trPr>
        <w:tc>
          <w:tcPr>
            <w:tcW w:w="8895" w:type="dxa"/>
            <w:gridSpan w:val="4"/>
          </w:tcPr>
          <w:p w14:paraId="2215B6C6" w14:textId="77777777" w:rsidR="003B31DC" w:rsidRDefault="00913CBE">
            <w:pPr>
              <w:tabs>
                <w:tab w:val="left" w:pos="9071"/>
              </w:tabs>
              <w:rPr>
                <w:lang w:val="en-GB" w:eastAsia="en-US"/>
              </w:rPr>
            </w:pPr>
            <w:r>
              <w:rPr>
                <w:b/>
                <w:lang w:val="en-GB" w:eastAsia="en-US"/>
              </w:rPr>
              <w:t>SBP</w:t>
            </w:r>
            <w:r>
              <w:rPr>
                <w:b/>
                <w:spacing w:val="-12"/>
                <w:lang w:val="en-GB" w:eastAsia="en-US"/>
              </w:rPr>
              <w:t xml:space="preserve"> </w:t>
            </w:r>
            <w:r>
              <w:rPr>
                <w:b/>
                <w:lang w:val="en-GB" w:eastAsia="en-US"/>
              </w:rPr>
              <w:t>(mmHg)</w:t>
            </w:r>
            <w:r>
              <w:rPr>
                <w:vertAlign w:val="superscript"/>
                <w:lang w:val="en-GB" w:eastAsia="en-US"/>
              </w:rPr>
              <w:t>2,</w:t>
            </w:r>
            <w:r>
              <w:rPr>
                <w:spacing w:val="-20"/>
                <w:lang w:val="en-GB" w:eastAsia="en-US"/>
              </w:rPr>
              <w:t xml:space="preserve"> </w:t>
            </w:r>
            <w:r>
              <w:rPr>
                <w:spacing w:val="-10"/>
                <w:vertAlign w:val="superscript"/>
                <w:lang w:val="en-GB" w:eastAsia="en-US"/>
              </w:rPr>
              <w:t>3</w:t>
            </w:r>
          </w:p>
        </w:tc>
      </w:tr>
      <w:tr w:rsidR="003B31DC" w14:paraId="1A1A8187" w14:textId="77777777">
        <w:trPr>
          <w:trHeight w:val="251"/>
        </w:trPr>
        <w:tc>
          <w:tcPr>
            <w:tcW w:w="2942" w:type="dxa"/>
          </w:tcPr>
          <w:p w14:paraId="5CCA797D" w14:textId="77777777" w:rsidR="003B31DC" w:rsidRDefault="00913CBE">
            <w:pPr>
              <w:tabs>
                <w:tab w:val="left" w:pos="9071"/>
              </w:tabs>
              <w:rPr>
                <w:lang w:val="en-GB" w:eastAsia="en-US"/>
              </w:rPr>
            </w:pPr>
            <w:proofErr w:type="spellStart"/>
            <w:r>
              <w:t>Pradinis</w:t>
            </w:r>
            <w:proofErr w:type="spellEnd"/>
            <w:r>
              <w:t xml:space="preserve"> (</w:t>
            </w:r>
            <w:proofErr w:type="spellStart"/>
            <w:r>
              <w:t>vidurkis</w:t>
            </w:r>
            <w:proofErr w:type="spellEnd"/>
            <w:r>
              <w:t>)</w:t>
            </w:r>
          </w:p>
        </w:tc>
        <w:tc>
          <w:tcPr>
            <w:tcW w:w="1701" w:type="dxa"/>
          </w:tcPr>
          <w:p w14:paraId="5EA3970F" w14:textId="77777777" w:rsidR="003B31DC" w:rsidRDefault="00913CBE">
            <w:pPr>
              <w:tabs>
                <w:tab w:val="left" w:pos="9071"/>
              </w:tabs>
              <w:ind w:right="4"/>
              <w:jc w:val="center"/>
              <w:rPr>
                <w:lang w:val="en-GB" w:eastAsia="en-US"/>
              </w:rPr>
            </w:pPr>
            <w:r>
              <w:rPr>
                <w:spacing w:val="-2"/>
                <w:lang w:val="en-GB" w:eastAsia="en-US"/>
              </w:rPr>
              <w:t>125.5</w:t>
            </w:r>
          </w:p>
        </w:tc>
        <w:tc>
          <w:tcPr>
            <w:tcW w:w="2126" w:type="dxa"/>
          </w:tcPr>
          <w:p w14:paraId="44E714CF" w14:textId="77777777" w:rsidR="003B31DC" w:rsidRDefault="00913CBE">
            <w:pPr>
              <w:tabs>
                <w:tab w:val="left" w:pos="9071"/>
              </w:tabs>
              <w:ind w:right="16"/>
              <w:jc w:val="center"/>
              <w:rPr>
                <w:lang w:val="en-GB" w:eastAsia="en-US"/>
              </w:rPr>
            </w:pPr>
            <w:r>
              <w:rPr>
                <w:spacing w:val="-2"/>
                <w:lang w:val="en-GB" w:eastAsia="en-US"/>
              </w:rPr>
              <w:t>126.3</w:t>
            </w:r>
          </w:p>
        </w:tc>
        <w:tc>
          <w:tcPr>
            <w:tcW w:w="2126" w:type="dxa"/>
          </w:tcPr>
          <w:p w14:paraId="7016146D" w14:textId="77777777" w:rsidR="003B31DC" w:rsidRDefault="00913CBE">
            <w:pPr>
              <w:tabs>
                <w:tab w:val="left" w:pos="9071"/>
              </w:tabs>
              <w:ind w:right="10"/>
              <w:jc w:val="center"/>
              <w:rPr>
                <w:lang w:val="en-GB" w:eastAsia="en-US"/>
              </w:rPr>
            </w:pPr>
            <w:r>
              <w:rPr>
                <w:spacing w:val="-2"/>
                <w:lang w:val="en-GB" w:eastAsia="en-US"/>
              </w:rPr>
              <w:t>126.3</w:t>
            </w:r>
          </w:p>
        </w:tc>
      </w:tr>
      <w:tr w:rsidR="003B31DC" w14:paraId="0C790D7A" w14:textId="77777777">
        <w:trPr>
          <w:trHeight w:val="253"/>
        </w:trPr>
        <w:tc>
          <w:tcPr>
            <w:tcW w:w="2942" w:type="dxa"/>
          </w:tcPr>
          <w:p w14:paraId="05E7C920" w14:textId="77777777" w:rsidR="003B31DC" w:rsidRDefault="00913CBE">
            <w:pPr>
              <w:tabs>
                <w:tab w:val="left" w:pos="9071"/>
              </w:tabs>
              <w:ind w:right="680"/>
              <w:rPr>
                <w:lang w:val="en-GB" w:eastAsia="en-US"/>
              </w:rPr>
            </w:pPr>
            <w:proofErr w:type="spellStart"/>
            <w:r>
              <w:t>Pokytis</w:t>
            </w:r>
            <w:proofErr w:type="spellEnd"/>
            <w:r>
              <w:t xml:space="preserve">, </w:t>
            </w:r>
            <w:proofErr w:type="spellStart"/>
            <w:r>
              <w:t>palyginti</w:t>
            </w:r>
            <w:proofErr w:type="spellEnd"/>
            <w:r>
              <w:t xml:space="preserve"> </w:t>
            </w:r>
            <w:proofErr w:type="spellStart"/>
            <w:r>
              <w:t>su</w:t>
            </w:r>
            <w:proofErr w:type="spellEnd"/>
            <w:r>
              <w:t xml:space="preserve"> pradiniu</w:t>
            </w:r>
            <w:r>
              <w:rPr>
                <w:vertAlign w:val="superscript"/>
              </w:rPr>
              <w:t>1</w:t>
            </w:r>
          </w:p>
        </w:tc>
        <w:tc>
          <w:tcPr>
            <w:tcW w:w="1701" w:type="dxa"/>
          </w:tcPr>
          <w:p w14:paraId="281B8321" w14:textId="77777777" w:rsidR="003B31DC" w:rsidRDefault="00913CBE">
            <w:pPr>
              <w:tabs>
                <w:tab w:val="left" w:pos="9071"/>
              </w:tabs>
              <w:ind w:right="9"/>
              <w:jc w:val="center"/>
              <w:rPr>
                <w:lang w:val="en-GB" w:eastAsia="en-US"/>
              </w:rPr>
            </w:pPr>
            <w:r>
              <w:rPr>
                <w:spacing w:val="-5"/>
                <w:lang w:val="en-GB" w:eastAsia="en-US"/>
              </w:rPr>
              <w:t>0.8</w:t>
            </w:r>
          </w:p>
        </w:tc>
        <w:tc>
          <w:tcPr>
            <w:tcW w:w="2126" w:type="dxa"/>
          </w:tcPr>
          <w:p w14:paraId="42824CCC" w14:textId="77777777" w:rsidR="003B31DC" w:rsidRDefault="00913CBE">
            <w:pPr>
              <w:tabs>
                <w:tab w:val="left" w:pos="9071"/>
              </w:tabs>
              <w:ind w:right="18"/>
              <w:jc w:val="center"/>
              <w:rPr>
                <w:lang w:val="en-GB" w:eastAsia="en-US"/>
              </w:rPr>
            </w:pPr>
            <w:r>
              <w:rPr>
                <w:spacing w:val="-4"/>
                <w:lang w:val="en-GB" w:eastAsia="en-US"/>
              </w:rPr>
              <w:t>-</w:t>
            </w:r>
            <w:r>
              <w:rPr>
                <w:spacing w:val="-5"/>
                <w:lang w:val="en-GB" w:eastAsia="en-US"/>
              </w:rPr>
              <w:t>3.5</w:t>
            </w:r>
          </w:p>
        </w:tc>
        <w:tc>
          <w:tcPr>
            <w:tcW w:w="2126" w:type="dxa"/>
          </w:tcPr>
          <w:p w14:paraId="1BC916B6" w14:textId="77777777" w:rsidR="003B31DC" w:rsidRDefault="00913CBE">
            <w:pPr>
              <w:tabs>
                <w:tab w:val="left" w:pos="9071"/>
              </w:tabs>
              <w:ind w:right="12"/>
              <w:jc w:val="center"/>
              <w:rPr>
                <w:lang w:val="en-GB" w:eastAsia="en-US"/>
              </w:rPr>
            </w:pPr>
            <w:r>
              <w:rPr>
                <w:spacing w:val="-4"/>
                <w:lang w:val="en-GB" w:eastAsia="en-US"/>
              </w:rPr>
              <w:t>-</w:t>
            </w:r>
            <w:r>
              <w:rPr>
                <w:spacing w:val="-5"/>
                <w:lang w:val="en-GB" w:eastAsia="en-US"/>
              </w:rPr>
              <w:t>3.3</w:t>
            </w:r>
          </w:p>
        </w:tc>
      </w:tr>
      <w:tr w:rsidR="003B31DC" w14:paraId="35211D68" w14:textId="77777777">
        <w:trPr>
          <w:trHeight w:val="506"/>
        </w:trPr>
        <w:tc>
          <w:tcPr>
            <w:tcW w:w="2942" w:type="dxa"/>
          </w:tcPr>
          <w:p w14:paraId="1B06AE21" w14:textId="77777777" w:rsidR="003B31DC" w:rsidRDefault="00913CBE">
            <w:pPr>
              <w:tabs>
                <w:tab w:val="left" w:pos="9071"/>
              </w:tabs>
              <w:rPr>
                <w:lang w:val="en-GB" w:eastAsia="en-US"/>
              </w:rPr>
            </w:pPr>
            <w:proofErr w:type="spellStart"/>
            <w:r>
              <w:t>Skirtumas</w:t>
            </w:r>
            <w:proofErr w:type="spellEnd"/>
            <w:r>
              <w:t xml:space="preserve">, </w:t>
            </w:r>
            <w:proofErr w:type="spellStart"/>
            <w:r>
              <w:t>palyginti</w:t>
            </w:r>
            <w:proofErr w:type="spellEnd"/>
            <w:r>
              <w:t xml:space="preserve"> </w:t>
            </w:r>
            <w:proofErr w:type="spellStart"/>
            <w:r>
              <w:t>su</w:t>
            </w:r>
            <w:proofErr w:type="spellEnd"/>
            <w:r>
              <w:t xml:space="preserve"> placebu</w:t>
            </w:r>
            <w:r>
              <w:rPr>
                <w:vertAlign w:val="superscript"/>
              </w:rPr>
              <w:t>1</w:t>
            </w:r>
          </w:p>
        </w:tc>
        <w:tc>
          <w:tcPr>
            <w:tcW w:w="1701" w:type="dxa"/>
          </w:tcPr>
          <w:p w14:paraId="6A52F34A" w14:textId="77777777" w:rsidR="003B31DC" w:rsidRDefault="003B31DC">
            <w:pPr>
              <w:tabs>
                <w:tab w:val="left" w:pos="9071"/>
              </w:tabs>
              <w:rPr>
                <w:lang w:val="en-GB" w:eastAsia="en-US"/>
              </w:rPr>
            </w:pPr>
          </w:p>
        </w:tc>
        <w:tc>
          <w:tcPr>
            <w:tcW w:w="2126" w:type="dxa"/>
          </w:tcPr>
          <w:p w14:paraId="0B4C4CC8" w14:textId="77777777" w:rsidR="003B31DC" w:rsidRDefault="00913CBE">
            <w:pPr>
              <w:tabs>
                <w:tab w:val="left" w:pos="9071"/>
              </w:tabs>
              <w:ind w:right="17"/>
              <w:jc w:val="center"/>
              <w:rPr>
                <w:lang w:val="en-GB" w:eastAsia="en-US"/>
              </w:rPr>
            </w:pPr>
            <w:r>
              <w:rPr>
                <w:lang w:val="en-GB" w:eastAsia="en-US"/>
              </w:rPr>
              <w:t>-4.2**</w:t>
            </w:r>
            <w:r>
              <w:rPr>
                <w:spacing w:val="-5"/>
                <w:lang w:val="en-GB" w:eastAsia="en-US"/>
              </w:rPr>
              <w:t xml:space="preserve"> </w:t>
            </w:r>
            <w:r>
              <w:rPr>
                <w:lang w:val="en-GB" w:eastAsia="en-US"/>
              </w:rPr>
              <w:t>(-6.94,</w:t>
            </w:r>
            <w:r>
              <w:rPr>
                <w:spacing w:val="-2"/>
                <w:lang w:val="en-GB" w:eastAsia="en-US"/>
              </w:rPr>
              <w:t xml:space="preserve"> </w:t>
            </w:r>
            <w:r>
              <w:rPr>
                <w:lang w:val="en-GB" w:eastAsia="en-US"/>
              </w:rPr>
              <w:t>-</w:t>
            </w:r>
            <w:r>
              <w:rPr>
                <w:spacing w:val="-2"/>
                <w:lang w:val="en-GB" w:eastAsia="en-US"/>
              </w:rPr>
              <w:t>1.53)</w:t>
            </w:r>
          </w:p>
        </w:tc>
        <w:tc>
          <w:tcPr>
            <w:tcW w:w="2126" w:type="dxa"/>
          </w:tcPr>
          <w:p w14:paraId="092A418B" w14:textId="77777777" w:rsidR="003B31DC" w:rsidRDefault="00913CBE">
            <w:pPr>
              <w:tabs>
                <w:tab w:val="left" w:pos="9071"/>
              </w:tabs>
              <w:ind w:right="11"/>
              <w:jc w:val="center"/>
              <w:rPr>
                <w:lang w:val="en-GB" w:eastAsia="en-US"/>
              </w:rPr>
            </w:pPr>
            <w:r>
              <w:rPr>
                <w:lang w:val="en-GB" w:eastAsia="en-US"/>
              </w:rPr>
              <w:t>-4.1**</w:t>
            </w:r>
            <w:r>
              <w:rPr>
                <w:spacing w:val="-5"/>
                <w:lang w:val="en-GB" w:eastAsia="en-US"/>
              </w:rPr>
              <w:t xml:space="preserve"> </w:t>
            </w:r>
            <w:r>
              <w:rPr>
                <w:lang w:val="en-GB" w:eastAsia="en-US"/>
              </w:rPr>
              <w:t>(-6.76,</w:t>
            </w:r>
            <w:r>
              <w:rPr>
                <w:spacing w:val="-2"/>
                <w:lang w:val="en-GB" w:eastAsia="en-US"/>
              </w:rPr>
              <w:t xml:space="preserve"> </w:t>
            </w:r>
            <w:r>
              <w:rPr>
                <w:lang w:val="en-GB" w:eastAsia="en-US"/>
              </w:rPr>
              <w:t>-</w:t>
            </w:r>
            <w:r>
              <w:rPr>
                <w:spacing w:val="-2"/>
                <w:lang w:val="en-GB" w:eastAsia="en-US"/>
              </w:rPr>
              <w:t>1.37)</w:t>
            </w:r>
          </w:p>
        </w:tc>
      </w:tr>
    </w:tbl>
    <w:p w14:paraId="5271E331"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vertAlign w:val="superscript"/>
          <w:lang w:eastAsia="en-US"/>
        </w:rPr>
        <w:t>a</w:t>
      </w:r>
      <w:r>
        <w:rPr>
          <w:rFonts w:eastAsia="TimesNewRoman"/>
          <w:sz w:val="20"/>
          <w:szCs w:val="20"/>
          <w:lang w:eastAsia="en-US"/>
        </w:rPr>
        <w:t xml:space="preserve"> Visas analizės rinkinys (</w:t>
      </w:r>
      <w:proofErr w:type="spellStart"/>
      <w:r>
        <w:rPr>
          <w:rFonts w:eastAsia="TimesNewRoman"/>
          <w:sz w:val="20"/>
          <w:szCs w:val="20"/>
          <w:lang w:eastAsia="en-US"/>
        </w:rPr>
        <w:t>angl.FAS</w:t>
      </w:r>
      <w:proofErr w:type="spellEnd"/>
      <w:r>
        <w:rPr>
          <w:rFonts w:eastAsia="TimesNewRoman"/>
          <w:sz w:val="20"/>
          <w:szCs w:val="20"/>
          <w:lang w:eastAsia="en-US"/>
        </w:rPr>
        <w:t xml:space="preserve">), naudojant paskutinių stebėjimų perkeltus (angl. LOCF) duomenis prieš skiriant gelbstintįjį </w:t>
      </w:r>
      <w:proofErr w:type="spellStart"/>
      <w:r>
        <w:rPr>
          <w:rFonts w:eastAsia="TimesNewRoman"/>
          <w:sz w:val="20"/>
          <w:szCs w:val="20"/>
          <w:lang w:eastAsia="en-US"/>
        </w:rPr>
        <w:t>glikemijos</w:t>
      </w:r>
      <w:proofErr w:type="spellEnd"/>
      <w:r>
        <w:rPr>
          <w:rFonts w:eastAsia="TimesNewRoman"/>
          <w:sz w:val="20"/>
          <w:szCs w:val="20"/>
          <w:lang w:eastAsia="en-US"/>
        </w:rPr>
        <w:t xml:space="preserve"> gydymą</w:t>
      </w:r>
    </w:p>
    <w:p w14:paraId="7625A26B"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vertAlign w:val="superscript"/>
          <w:lang w:eastAsia="en-US"/>
        </w:rPr>
        <w:t>b</w:t>
      </w:r>
      <w:r>
        <w:rPr>
          <w:rFonts w:eastAsia="TimesNewRoman"/>
          <w:sz w:val="20"/>
          <w:szCs w:val="20"/>
          <w:lang w:eastAsia="en-US"/>
        </w:rPr>
        <w:t xml:space="preserve"> Pacientų, kuriems buvo taikomas papildomas foninis gydymas </w:t>
      </w:r>
      <w:proofErr w:type="spellStart"/>
      <w:r>
        <w:rPr>
          <w:rFonts w:eastAsia="TimesNewRoman"/>
          <w:sz w:val="20"/>
          <w:szCs w:val="20"/>
          <w:lang w:eastAsia="en-US"/>
        </w:rPr>
        <w:t>metforminu</w:t>
      </w:r>
      <w:proofErr w:type="spellEnd"/>
      <w:r>
        <w:rPr>
          <w:rFonts w:eastAsia="TimesNewRoman"/>
          <w:sz w:val="20"/>
          <w:szCs w:val="20"/>
          <w:lang w:eastAsia="en-US"/>
        </w:rPr>
        <w:t>, pogrupio analizė (FAS, LOCF)</w:t>
      </w:r>
    </w:p>
    <w:p w14:paraId="1CD4D7FD"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vertAlign w:val="superscript"/>
          <w:lang w:eastAsia="en-US"/>
        </w:rPr>
        <w:t>1</w:t>
      </w:r>
      <w:r>
        <w:rPr>
          <w:rFonts w:eastAsia="TimesNewRoman"/>
          <w:sz w:val="20"/>
          <w:szCs w:val="20"/>
          <w:lang w:eastAsia="en-US"/>
        </w:rPr>
        <w:t xml:space="preserve"> Vidurkis, koreguotas pagal pradinę reikšmę</w:t>
      </w:r>
    </w:p>
    <w:p w14:paraId="2C6EB4CA"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vertAlign w:val="superscript"/>
          <w:lang w:eastAsia="en-US"/>
        </w:rPr>
        <w:t>2</w:t>
      </w:r>
      <w:r>
        <w:rPr>
          <w:rFonts w:eastAsia="TimesNewRoman"/>
          <w:sz w:val="20"/>
          <w:szCs w:val="20"/>
          <w:lang w:eastAsia="en-US"/>
        </w:rPr>
        <w:t xml:space="preserve"> Nevertintas statistinis reikšmingumas kaip nuoseklaus patvirtinamojo tyrimo procedūros dalis</w:t>
      </w:r>
    </w:p>
    <w:p w14:paraId="2E1A85D9"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vertAlign w:val="superscript"/>
          <w:lang w:eastAsia="en-US"/>
        </w:rPr>
        <w:t>3</w:t>
      </w:r>
      <w:r>
        <w:rPr>
          <w:rFonts w:eastAsia="TimesNewRoman"/>
          <w:sz w:val="20"/>
          <w:szCs w:val="20"/>
          <w:lang w:eastAsia="en-US"/>
        </w:rPr>
        <w:t xml:space="preserve"> LOCF reikšmės, gautos paskyrus gelbstintįjį </w:t>
      </w:r>
      <w:proofErr w:type="spellStart"/>
      <w:r>
        <w:rPr>
          <w:rFonts w:eastAsia="TimesNewRoman"/>
          <w:sz w:val="20"/>
          <w:szCs w:val="20"/>
          <w:lang w:eastAsia="en-US"/>
        </w:rPr>
        <w:t>antihipertenzinį</w:t>
      </w:r>
      <w:proofErr w:type="spellEnd"/>
      <w:r>
        <w:rPr>
          <w:rFonts w:eastAsia="TimesNewRoman"/>
          <w:sz w:val="20"/>
          <w:szCs w:val="20"/>
          <w:lang w:eastAsia="en-US"/>
        </w:rPr>
        <w:t xml:space="preserve"> gydymą, buvo cenzūruotos</w:t>
      </w:r>
    </w:p>
    <w:p w14:paraId="4A8D8EDA"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lang w:eastAsia="en-US"/>
        </w:rPr>
        <w:t>* p reikšmė &lt; 0,0001</w:t>
      </w:r>
    </w:p>
    <w:p w14:paraId="33AE23CD"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lang w:eastAsia="en-US"/>
        </w:rPr>
        <w:t>**p reikšmė &lt; 0,01</w:t>
      </w:r>
    </w:p>
    <w:p w14:paraId="3AA04AD0" w14:textId="77777777" w:rsidR="003B31DC" w:rsidRDefault="003B31DC">
      <w:pPr>
        <w:widowControl w:val="0"/>
        <w:autoSpaceDE w:val="0"/>
        <w:autoSpaceDN w:val="0"/>
        <w:adjustRightInd w:val="0"/>
        <w:rPr>
          <w:rFonts w:eastAsia="TimesNewRoman"/>
          <w:sz w:val="22"/>
          <w:szCs w:val="22"/>
          <w:lang w:eastAsia="en-US"/>
        </w:rPr>
      </w:pPr>
    </w:p>
    <w:p w14:paraId="3262D126" w14:textId="3BD07764" w:rsidR="003B31DC" w:rsidRDefault="00913CBE">
      <w:pPr>
        <w:widowControl w:val="0"/>
        <w:autoSpaceDE w:val="0"/>
        <w:autoSpaceDN w:val="0"/>
        <w:adjustRightInd w:val="0"/>
        <w:rPr>
          <w:rFonts w:eastAsia="TimesNewRoman"/>
          <w:i/>
          <w:iCs/>
          <w:sz w:val="22"/>
          <w:szCs w:val="22"/>
          <w:u w:val="single"/>
          <w:lang w:eastAsia="en-US"/>
        </w:rPr>
      </w:pPr>
      <w:proofErr w:type="spellStart"/>
      <w:r>
        <w:rPr>
          <w:rFonts w:eastAsia="TimesNewRoman"/>
          <w:i/>
          <w:iCs/>
          <w:sz w:val="22"/>
          <w:szCs w:val="22"/>
          <w:u w:val="single"/>
          <w:lang w:eastAsia="en-US"/>
        </w:rPr>
        <w:t>Empagliflozinas</w:t>
      </w:r>
      <w:proofErr w:type="spellEnd"/>
      <w:r>
        <w:rPr>
          <w:rFonts w:eastAsia="TimesNewRoman"/>
          <w:i/>
          <w:iCs/>
          <w:sz w:val="22"/>
          <w:szCs w:val="22"/>
          <w:u w:val="single"/>
          <w:lang w:eastAsia="en-US"/>
        </w:rPr>
        <w:t xml:space="preserve"> derin</w:t>
      </w:r>
      <w:r w:rsidR="00F626BF">
        <w:rPr>
          <w:rFonts w:eastAsia="TimesNewRoman"/>
          <w:i/>
          <w:iCs/>
          <w:sz w:val="22"/>
          <w:szCs w:val="22"/>
          <w:u w:val="single"/>
          <w:lang w:eastAsia="en-US"/>
        </w:rPr>
        <w:t>yje</w:t>
      </w:r>
      <w:r>
        <w:rPr>
          <w:rFonts w:eastAsia="TimesNewRoman"/>
          <w:i/>
          <w:iCs/>
          <w:sz w:val="22"/>
          <w:szCs w:val="22"/>
          <w:u w:val="single"/>
          <w:lang w:eastAsia="en-US"/>
        </w:rPr>
        <w:t xml:space="preserve"> su </w:t>
      </w:r>
      <w:proofErr w:type="spellStart"/>
      <w:r>
        <w:rPr>
          <w:rFonts w:eastAsia="TimesNewRoman"/>
          <w:i/>
          <w:iCs/>
          <w:sz w:val="22"/>
          <w:szCs w:val="22"/>
          <w:u w:val="single"/>
          <w:lang w:eastAsia="en-US"/>
        </w:rPr>
        <w:t>metforminu</w:t>
      </w:r>
      <w:proofErr w:type="spellEnd"/>
      <w:r>
        <w:rPr>
          <w:rFonts w:eastAsia="TimesNewRoman"/>
          <w:i/>
          <w:iCs/>
          <w:sz w:val="22"/>
          <w:szCs w:val="22"/>
          <w:u w:val="single"/>
          <w:lang w:eastAsia="en-US"/>
        </w:rPr>
        <w:t xml:space="preserve"> </w:t>
      </w:r>
      <w:r w:rsidR="00F626BF">
        <w:rPr>
          <w:rFonts w:eastAsia="TimesNewRoman"/>
          <w:i/>
          <w:iCs/>
          <w:sz w:val="22"/>
          <w:szCs w:val="22"/>
          <w:u w:val="single"/>
          <w:lang w:eastAsia="en-US"/>
        </w:rPr>
        <w:t>anksčiau</w:t>
      </w:r>
      <w:r w:rsidR="00EE1865">
        <w:rPr>
          <w:rFonts w:eastAsia="TimesNewRoman"/>
          <w:i/>
          <w:iCs/>
          <w:sz w:val="22"/>
          <w:szCs w:val="22"/>
          <w:u w:val="single"/>
          <w:lang w:eastAsia="en-US"/>
        </w:rPr>
        <w:t xml:space="preserve"> </w:t>
      </w:r>
      <w:r>
        <w:rPr>
          <w:rFonts w:eastAsia="TimesNewRoman"/>
          <w:i/>
          <w:iCs/>
          <w:sz w:val="22"/>
          <w:szCs w:val="22"/>
          <w:u w:val="single"/>
          <w:lang w:eastAsia="en-US"/>
        </w:rPr>
        <w:t>vaistiniais preparatais negydytiems pacientams</w:t>
      </w:r>
    </w:p>
    <w:p w14:paraId="13FE7281" w14:textId="77777777" w:rsidR="003B31DC" w:rsidRDefault="003B31DC">
      <w:pPr>
        <w:widowControl w:val="0"/>
        <w:autoSpaceDE w:val="0"/>
        <w:autoSpaceDN w:val="0"/>
        <w:adjustRightInd w:val="0"/>
        <w:rPr>
          <w:rFonts w:eastAsia="TimesNewRoman"/>
          <w:sz w:val="22"/>
          <w:szCs w:val="22"/>
          <w:lang w:eastAsia="en-US"/>
        </w:rPr>
      </w:pPr>
    </w:p>
    <w:p w14:paraId="237B6E38" w14:textId="47811DFB" w:rsidR="003B31DC" w:rsidRDefault="00913CBE">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Buvo atliktas </w:t>
      </w:r>
      <w:proofErr w:type="spellStart"/>
      <w:r>
        <w:rPr>
          <w:rFonts w:eastAsia="TimesNewRoman"/>
          <w:sz w:val="22"/>
          <w:szCs w:val="22"/>
          <w:lang w:eastAsia="en-US"/>
        </w:rPr>
        <w:t>faktorialaus</w:t>
      </w:r>
      <w:proofErr w:type="spellEnd"/>
      <w:r>
        <w:rPr>
          <w:rFonts w:eastAsia="TimesNewRoman"/>
          <w:sz w:val="22"/>
          <w:szCs w:val="22"/>
          <w:lang w:eastAsia="en-US"/>
        </w:rPr>
        <w:t xml:space="preserve"> modelio 24 savaičių trukmės tyrimas, siekiant įvertinti </w:t>
      </w:r>
      <w:proofErr w:type="spellStart"/>
      <w:r>
        <w:rPr>
          <w:rFonts w:eastAsia="TimesNewRoman"/>
          <w:sz w:val="22"/>
          <w:szCs w:val="22"/>
          <w:lang w:eastAsia="en-US"/>
        </w:rPr>
        <w:t>empagliflozino</w:t>
      </w:r>
      <w:proofErr w:type="spellEnd"/>
      <w:r>
        <w:rPr>
          <w:rFonts w:eastAsia="TimesNewRoman"/>
          <w:sz w:val="22"/>
          <w:szCs w:val="22"/>
          <w:lang w:eastAsia="en-US"/>
        </w:rPr>
        <w:t xml:space="preserve"> veiksmingumą ir saugumą vaistiniais preparatais negydytiems pacientams. Gydymas </w:t>
      </w:r>
      <w:proofErr w:type="spellStart"/>
      <w:r>
        <w:rPr>
          <w:rFonts w:eastAsia="TimesNewRoman"/>
          <w:sz w:val="22"/>
          <w:szCs w:val="22"/>
          <w:lang w:eastAsia="en-US"/>
        </w:rPr>
        <w:t>empagliflozinu</w:t>
      </w:r>
      <w:proofErr w:type="spellEnd"/>
      <w:r>
        <w:rPr>
          <w:rFonts w:eastAsia="TimesNewRoman"/>
          <w:sz w:val="22"/>
          <w:szCs w:val="22"/>
          <w:lang w:eastAsia="en-US"/>
        </w:rPr>
        <w:t xml:space="preserve"> kartu su </w:t>
      </w:r>
      <w:proofErr w:type="spellStart"/>
      <w:r>
        <w:rPr>
          <w:rFonts w:eastAsia="TimesNewRoman"/>
          <w:sz w:val="22"/>
          <w:szCs w:val="22"/>
          <w:lang w:eastAsia="en-US"/>
        </w:rPr>
        <w:t>metforminu</w:t>
      </w:r>
      <w:proofErr w:type="spellEnd"/>
      <w:r>
        <w:rPr>
          <w:rFonts w:eastAsia="TimesNewRoman"/>
          <w:sz w:val="22"/>
          <w:szCs w:val="22"/>
          <w:lang w:eastAsia="en-US"/>
        </w:rPr>
        <w:t xml:space="preserve"> (5 mg ir 500 mg; 5 mg ir 1 000 mg; 12,5 mg ir 500 mg bei 12,5 mg ir 1 000 mg vartojant du kartus per parą) </w:t>
      </w:r>
      <w:r w:rsidR="009F7073">
        <w:rPr>
          <w:rFonts w:eastAsia="TimesNewRoman"/>
          <w:sz w:val="22"/>
          <w:szCs w:val="22"/>
          <w:lang w:eastAsia="en-US"/>
        </w:rPr>
        <w:t xml:space="preserve">užtikrino </w:t>
      </w:r>
      <w:r>
        <w:rPr>
          <w:rFonts w:eastAsia="TimesNewRoman"/>
          <w:sz w:val="22"/>
          <w:szCs w:val="22"/>
          <w:lang w:eastAsia="en-US"/>
        </w:rPr>
        <w:t xml:space="preserve">statistiškai reikšmingą HbA1c pagerėjimą (4 lentelė) ir lėmė didesnį gliukozės kiekį kraujo plazmoje nevalgius (lyginant su atskirais komponentais) ir kūno svorio sumažėjimą (lyginant su </w:t>
      </w:r>
      <w:proofErr w:type="spellStart"/>
      <w:r>
        <w:rPr>
          <w:rFonts w:eastAsia="TimesNewRoman"/>
          <w:sz w:val="22"/>
          <w:szCs w:val="22"/>
          <w:lang w:eastAsia="en-US"/>
        </w:rPr>
        <w:t>metforminu</w:t>
      </w:r>
      <w:proofErr w:type="spellEnd"/>
      <w:r>
        <w:rPr>
          <w:rFonts w:eastAsia="TimesNewRoman"/>
          <w:sz w:val="22"/>
          <w:szCs w:val="22"/>
          <w:lang w:eastAsia="en-US"/>
        </w:rPr>
        <w:t>).</w:t>
      </w:r>
    </w:p>
    <w:p w14:paraId="51402C64" w14:textId="77777777" w:rsidR="003B31DC" w:rsidRDefault="003B31DC">
      <w:pPr>
        <w:widowControl w:val="0"/>
        <w:autoSpaceDE w:val="0"/>
        <w:autoSpaceDN w:val="0"/>
        <w:adjustRightInd w:val="0"/>
        <w:rPr>
          <w:rFonts w:eastAsia="TimesNewRoman"/>
          <w:sz w:val="22"/>
          <w:szCs w:val="22"/>
          <w:lang w:eastAsia="en-US"/>
        </w:rPr>
      </w:pPr>
    </w:p>
    <w:p w14:paraId="25F3CE33" w14:textId="3F67FA2E" w:rsidR="003B31DC" w:rsidRPr="00A02B90" w:rsidRDefault="00913CBE">
      <w:pPr>
        <w:numPr>
          <w:ilvl w:val="12"/>
          <w:numId w:val="0"/>
        </w:numPr>
        <w:tabs>
          <w:tab w:val="left" w:pos="8505"/>
          <w:tab w:val="left" w:pos="9071"/>
        </w:tabs>
        <w:ind w:left="851" w:right="-2" w:hanging="851"/>
        <w:rPr>
          <w:sz w:val="22"/>
          <w:szCs w:val="22"/>
          <w:lang w:val="fr-FR" w:eastAsia="sl-SI"/>
        </w:rPr>
      </w:pPr>
      <w:r w:rsidRPr="00A02B90">
        <w:rPr>
          <w:sz w:val="22"/>
          <w:szCs w:val="22"/>
          <w:lang w:val="fr-FR" w:eastAsia="sl-SI"/>
        </w:rPr>
        <w:t>Table</w:t>
      </w:r>
      <w:r w:rsidRPr="00A02B90">
        <w:rPr>
          <w:spacing w:val="-3"/>
          <w:sz w:val="22"/>
          <w:szCs w:val="22"/>
          <w:lang w:val="fr-FR" w:eastAsia="sl-SI"/>
        </w:rPr>
        <w:t xml:space="preserve"> </w:t>
      </w:r>
      <w:r w:rsidRPr="00A02B90">
        <w:rPr>
          <w:sz w:val="22"/>
          <w:szCs w:val="22"/>
          <w:lang w:val="fr-FR" w:eastAsia="sl-SI"/>
        </w:rPr>
        <w:t>4:</w:t>
      </w:r>
      <w:r w:rsidRPr="00A02B90">
        <w:rPr>
          <w:spacing w:val="40"/>
          <w:sz w:val="22"/>
          <w:szCs w:val="22"/>
          <w:lang w:val="fr-FR" w:eastAsia="sl-SI"/>
        </w:rPr>
        <w:t xml:space="preserve"> </w:t>
      </w:r>
      <w:r w:rsidR="00D8730A" w:rsidRPr="00FA2F7A">
        <w:rPr>
          <w:sz w:val="22"/>
          <w:szCs w:val="22"/>
        </w:rPr>
        <w:t xml:space="preserve">24 savaičių efektyvumo rezultatų apibendrinimas, lyginant </w:t>
      </w:r>
      <w:proofErr w:type="spellStart"/>
      <w:r w:rsidR="00D8730A" w:rsidRPr="00FA2F7A">
        <w:rPr>
          <w:sz w:val="22"/>
          <w:szCs w:val="22"/>
        </w:rPr>
        <w:t>empagliflozino</w:t>
      </w:r>
      <w:proofErr w:type="spellEnd"/>
      <w:r w:rsidR="00D8730A" w:rsidRPr="00FA2F7A">
        <w:rPr>
          <w:sz w:val="22"/>
          <w:szCs w:val="22"/>
        </w:rPr>
        <w:t xml:space="preserve"> ir </w:t>
      </w:r>
      <w:proofErr w:type="spellStart"/>
      <w:r w:rsidR="00D8730A" w:rsidRPr="00FA2F7A">
        <w:rPr>
          <w:sz w:val="22"/>
          <w:szCs w:val="22"/>
        </w:rPr>
        <w:t>metformino</w:t>
      </w:r>
      <w:proofErr w:type="spellEnd"/>
      <w:r w:rsidR="00D8730A" w:rsidRPr="00FA2F7A">
        <w:rPr>
          <w:sz w:val="22"/>
          <w:szCs w:val="22"/>
        </w:rPr>
        <w:t xml:space="preserve"> derinį</w:t>
      </w:r>
      <w:r w:rsidR="004B36CB">
        <w:rPr>
          <w:sz w:val="22"/>
          <w:szCs w:val="22"/>
        </w:rPr>
        <w:t xml:space="preserve"> </w:t>
      </w:r>
      <w:r w:rsidRPr="00D8730A">
        <w:rPr>
          <w:sz w:val="22"/>
          <w:szCs w:val="22"/>
          <w:lang w:val="fr-FR" w:eastAsia="sl-SI"/>
        </w:rPr>
        <w:t>su atskirais</w:t>
      </w:r>
      <w:r w:rsidR="004B36CB">
        <w:rPr>
          <w:sz w:val="22"/>
          <w:szCs w:val="22"/>
          <w:lang w:val="fr-FR" w:eastAsia="sl-SI"/>
        </w:rPr>
        <w:t xml:space="preserve"> jo</w:t>
      </w:r>
      <w:r w:rsidRPr="00A02B90">
        <w:rPr>
          <w:sz w:val="22"/>
          <w:szCs w:val="22"/>
          <w:lang w:val="fr-FR" w:eastAsia="sl-SI"/>
        </w:rPr>
        <w:t xml:space="preserve"> komponentais</w:t>
      </w:r>
      <w:r w:rsidRPr="00A02B90">
        <w:rPr>
          <w:sz w:val="22"/>
          <w:szCs w:val="22"/>
          <w:vertAlign w:val="superscript"/>
          <w:lang w:val="fr-FR" w:eastAsia="sl-SI"/>
        </w:rPr>
        <w:t>a</w:t>
      </w: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132"/>
        <w:gridCol w:w="1134"/>
        <w:gridCol w:w="707"/>
        <w:gridCol w:w="1134"/>
        <w:gridCol w:w="1132"/>
        <w:gridCol w:w="707"/>
        <w:gridCol w:w="851"/>
        <w:gridCol w:w="849"/>
      </w:tblGrid>
      <w:tr w:rsidR="003B31DC" w14:paraId="557E20A4" w14:textId="77777777">
        <w:trPr>
          <w:trHeight w:val="254"/>
        </w:trPr>
        <w:tc>
          <w:tcPr>
            <w:tcW w:w="1526" w:type="dxa"/>
          </w:tcPr>
          <w:p w14:paraId="153A3426" w14:textId="77777777" w:rsidR="003B31DC" w:rsidRPr="00A02B90" w:rsidRDefault="003B31DC">
            <w:pPr>
              <w:tabs>
                <w:tab w:val="left" w:pos="9071"/>
              </w:tabs>
              <w:rPr>
                <w:lang w:val="fr-FR" w:eastAsia="en-US"/>
              </w:rPr>
            </w:pPr>
          </w:p>
        </w:tc>
        <w:tc>
          <w:tcPr>
            <w:tcW w:w="2973" w:type="dxa"/>
            <w:gridSpan w:val="3"/>
          </w:tcPr>
          <w:p w14:paraId="74EF636D" w14:textId="77777777" w:rsidR="003B31DC" w:rsidRDefault="00913CBE">
            <w:pPr>
              <w:tabs>
                <w:tab w:val="left" w:pos="9071"/>
              </w:tabs>
              <w:rPr>
                <w:lang w:val="en-GB" w:eastAsia="en-US"/>
              </w:rPr>
            </w:pPr>
            <w:proofErr w:type="spellStart"/>
            <w:r>
              <w:rPr>
                <w:lang w:val="en-GB" w:eastAsia="en-US"/>
              </w:rPr>
              <w:t>Empagliflozinas</w:t>
            </w:r>
            <w:proofErr w:type="spellEnd"/>
            <w:r>
              <w:rPr>
                <w:spacing w:val="-8"/>
                <w:lang w:val="en-GB" w:eastAsia="en-US"/>
              </w:rPr>
              <w:t xml:space="preserve"> </w:t>
            </w:r>
            <w:r>
              <w:rPr>
                <w:lang w:val="en-GB" w:eastAsia="en-US"/>
              </w:rPr>
              <w:t>10</w:t>
            </w:r>
            <w:r>
              <w:rPr>
                <w:spacing w:val="-7"/>
                <w:lang w:val="en-GB" w:eastAsia="en-US"/>
              </w:rPr>
              <w:t> </w:t>
            </w:r>
            <w:proofErr w:type="spellStart"/>
            <w:r>
              <w:rPr>
                <w:spacing w:val="-7"/>
                <w:lang w:val="en-GB" w:eastAsia="en-US"/>
              </w:rPr>
              <w:t>mg</w:t>
            </w:r>
            <w:r>
              <w:rPr>
                <w:spacing w:val="-5"/>
                <w:vertAlign w:val="superscript"/>
                <w:lang w:val="en-GB" w:eastAsia="en-US"/>
              </w:rPr>
              <w:t>b</w:t>
            </w:r>
            <w:proofErr w:type="spellEnd"/>
          </w:p>
        </w:tc>
        <w:tc>
          <w:tcPr>
            <w:tcW w:w="2973" w:type="dxa"/>
            <w:gridSpan w:val="3"/>
          </w:tcPr>
          <w:p w14:paraId="1EC653B2" w14:textId="77777777" w:rsidR="003B31DC" w:rsidRDefault="00913CBE">
            <w:pPr>
              <w:tabs>
                <w:tab w:val="left" w:pos="9071"/>
              </w:tabs>
              <w:rPr>
                <w:lang w:val="en-GB" w:eastAsia="en-US"/>
              </w:rPr>
            </w:pPr>
            <w:proofErr w:type="spellStart"/>
            <w:r>
              <w:rPr>
                <w:lang w:val="en-GB" w:eastAsia="en-US"/>
              </w:rPr>
              <w:t>Empagliflozinas</w:t>
            </w:r>
            <w:proofErr w:type="spellEnd"/>
            <w:r>
              <w:rPr>
                <w:spacing w:val="-8"/>
                <w:lang w:val="en-GB" w:eastAsia="en-US"/>
              </w:rPr>
              <w:t xml:space="preserve"> </w:t>
            </w:r>
            <w:r>
              <w:rPr>
                <w:lang w:val="en-GB" w:eastAsia="en-US"/>
              </w:rPr>
              <w:t>25</w:t>
            </w:r>
            <w:r>
              <w:rPr>
                <w:spacing w:val="-7"/>
                <w:lang w:val="en-GB" w:eastAsia="en-US"/>
              </w:rPr>
              <w:t> </w:t>
            </w:r>
            <w:proofErr w:type="spellStart"/>
            <w:r>
              <w:rPr>
                <w:spacing w:val="-7"/>
                <w:lang w:val="en-GB" w:eastAsia="en-US"/>
              </w:rPr>
              <w:t>mg</w:t>
            </w:r>
            <w:r>
              <w:rPr>
                <w:spacing w:val="-5"/>
                <w:vertAlign w:val="superscript"/>
                <w:lang w:val="en-GB" w:eastAsia="en-US"/>
              </w:rPr>
              <w:t>b</w:t>
            </w:r>
            <w:proofErr w:type="spellEnd"/>
          </w:p>
        </w:tc>
        <w:tc>
          <w:tcPr>
            <w:tcW w:w="1700" w:type="dxa"/>
            <w:gridSpan w:val="2"/>
          </w:tcPr>
          <w:p w14:paraId="39859A52" w14:textId="77777777" w:rsidR="003B31DC" w:rsidRDefault="00913CBE">
            <w:pPr>
              <w:tabs>
                <w:tab w:val="left" w:pos="9071"/>
              </w:tabs>
              <w:rPr>
                <w:lang w:val="en-GB" w:eastAsia="en-US"/>
              </w:rPr>
            </w:pPr>
            <w:proofErr w:type="spellStart"/>
            <w:r>
              <w:rPr>
                <w:spacing w:val="-2"/>
                <w:lang w:val="en-GB" w:eastAsia="en-US"/>
              </w:rPr>
              <w:t>Metforminas</w:t>
            </w:r>
            <w:r>
              <w:rPr>
                <w:spacing w:val="-2"/>
                <w:vertAlign w:val="superscript"/>
                <w:lang w:val="en-GB" w:eastAsia="en-US"/>
              </w:rPr>
              <w:t>c</w:t>
            </w:r>
            <w:proofErr w:type="spellEnd"/>
          </w:p>
        </w:tc>
      </w:tr>
      <w:tr w:rsidR="003B31DC" w14:paraId="0C70C123" w14:textId="77777777">
        <w:trPr>
          <w:trHeight w:val="505"/>
        </w:trPr>
        <w:tc>
          <w:tcPr>
            <w:tcW w:w="1526" w:type="dxa"/>
          </w:tcPr>
          <w:p w14:paraId="62B72026" w14:textId="77777777" w:rsidR="003B31DC" w:rsidRDefault="003B31DC">
            <w:pPr>
              <w:tabs>
                <w:tab w:val="left" w:pos="9071"/>
              </w:tabs>
              <w:rPr>
                <w:lang w:val="en-GB" w:eastAsia="en-US"/>
              </w:rPr>
            </w:pPr>
          </w:p>
        </w:tc>
        <w:tc>
          <w:tcPr>
            <w:tcW w:w="1132" w:type="dxa"/>
          </w:tcPr>
          <w:p w14:paraId="26593337" w14:textId="77777777" w:rsidR="003B31DC" w:rsidRDefault="00913CBE">
            <w:pPr>
              <w:tabs>
                <w:tab w:val="left" w:pos="9071"/>
              </w:tabs>
              <w:rPr>
                <w:lang w:val="en-GB" w:eastAsia="en-US"/>
              </w:rPr>
            </w:pPr>
            <w:r>
              <w:rPr>
                <w:lang w:val="en-GB" w:eastAsia="en-US"/>
              </w:rPr>
              <w:t xml:space="preserve">+ </w:t>
            </w:r>
            <w:r>
              <w:rPr>
                <w:spacing w:val="-5"/>
                <w:lang w:val="en-GB" w:eastAsia="en-US"/>
              </w:rPr>
              <w:t>Met</w:t>
            </w:r>
          </w:p>
          <w:p w14:paraId="470E7D8D" w14:textId="77777777" w:rsidR="003B31DC" w:rsidRDefault="00913CBE">
            <w:pPr>
              <w:tabs>
                <w:tab w:val="left" w:pos="9071"/>
              </w:tabs>
              <w:rPr>
                <w:lang w:val="en-GB" w:eastAsia="en-US"/>
              </w:rPr>
            </w:pPr>
            <w:r>
              <w:rPr>
                <w:lang w:val="en-GB" w:eastAsia="en-US"/>
              </w:rPr>
              <w:t>1 000 </w:t>
            </w:r>
            <w:proofErr w:type="spellStart"/>
            <w:r>
              <w:rPr>
                <w:lang w:val="en-GB" w:eastAsia="en-US"/>
              </w:rPr>
              <w:t>mg</w:t>
            </w:r>
            <w:r>
              <w:rPr>
                <w:spacing w:val="-5"/>
                <w:vertAlign w:val="superscript"/>
                <w:lang w:val="en-GB" w:eastAsia="en-US"/>
              </w:rPr>
              <w:t>c</w:t>
            </w:r>
            <w:proofErr w:type="spellEnd"/>
          </w:p>
        </w:tc>
        <w:tc>
          <w:tcPr>
            <w:tcW w:w="1134" w:type="dxa"/>
          </w:tcPr>
          <w:p w14:paraId="11F36962" w14:textId="77777777" w:rsidR="003B31DC" w:rsidRDefault="00913CBE">
            <w:pPr>
              <w:tabs>
                <w:tab w:val="left" w:pos="9071"/>
              </w:tabs>
              <w:rPr>
                <w:lang w:val="en-GB" w:eastAsia="en-US"/>
              </w:rPr>
            </w:pPr>
            <w:r>
              <w:rPr>
                <w:lang w:val="en-GB" w:eastAsia="en-US"/>
              </w:rPr>
              <w:t xml:space="preserve">+ </w:t>
            </w:r>
            <w:r>
              <w:rPr>
                <w:spacing w:val="-5"/>
                <w:lang w:val="en-GB" w:eastAsia="en-US"/>
              </w:rPr>
              <w:t>Met</w:t>
            </w:r>
          </w:p>
          <w:p w14:paraId="421EA24D" w14:textId="77777777" w:rsidR="003B31DC" w:rsidRDefault="00913CBE">
            <w:pPr>
              <w:tabs>
                <w:tab w:val="left" w:pos="9071"/>
              </w:tabs>
              <w:rPr>
                <w:lang w:val="en-GB" w:eastAsia="en-US"/>
              </w:rPr>
            </w:pPr>
            <w:r>
              <w:rPr>
                <w:lang w:val="en-GB" w:eastAsia="en-US"/>
              </w:rPr>
              <w:t>2 000 </w:t>
            </w:r>
            <w:proofErr w:type="spellStart"/>
            <w:r>
              <w:rPr>
                <w:lang w:val="en-GB" w:eastAsia="en-US"/>
              </w:rPr>
              <w:t>mg</w:t>
            </w:r>
            <w:r>
              <w:rPr>
                <w:spacing w:val="-5"/>
                <w:vertAlign w:val="superscript"/>
                <w:lang w:val="en-GB" w:eastAsia="en-US"/>
              </w:rPr>
              <w:t>c</w:t>
            </w:r>
            <w:proofErr w:type="spellEnd"/>
          </w:p>
        </w:tc>
        <w:tc>
          <w:tcPr>
            <w:tcW w:w="707" w:type="dxa"/>
          </w:tcPr>
          <w:p w14:paraId="2C454BAD" w14:textId="77777777" w:rsidR="003B31DC" w:rsidRDefault="00913CBE">
            <w:pPr>
              <w:tabs>
                <w:tab w:val="left" w:pos="9071"/>
              </w:tabs>
              <w:rPr>
                <w:lang w:val="en-GB" w:eastAsia="en-US"/>
              </w:rPr>
            </w:pPr>
            <w:r>
              <w:rPr>
                <w:spacing w:val="-5"/>
                <w:lang w:val="en-GB" w:eastAsia="en-US"/>
              </w:rPr>
              <w:t>Be</w:t>
            </w:r>
          </w:p>
          <w:p w14:paraId="7974EE4E" w14:textId="77777777" w:rsidR="003B31DC" w:rsidRDefault="00913CBE">
            <w:pPr>
              <w:tabs>
                <w:tab w:val="left" w:pos="9071"/>
              </w:tabs>
              <w:rPr>
                <w:lang w:val="en-GB" w:eastAsia="en-US"/>
              </w:rPr>
            </w:pPr>
            <w:r>
              <w:rPr>
                <w:spacing w:val="-5"/>
                <w:lang w:val="en-GB" w:eastAsia="en-US"/>
              </w:rPr>
              <w:t>Met</w:t>
            </w:r>
          </w:p>
        </w:tc>
        <w:tc>
          <w:tcPr>
            <w:tcW w:w="1134" w:type="dxa"/>
          </w:tcPr>
          <w:p w14:paraId="15E72AF6" w14:textId="77777777" w:rsidR="003B31DC" w:rsidRDefault="00913CBE">
            <w:pPr>
              <w:tabs>
                <w:tab w:val="left" w:pos="9071"/>
              </w:tabs>
              <w:rPr>
                <w:lang w:val="en-GB" w:eastAsia="en-US"/>
              </w:rPr>
            </w:pPr>
            <w:r>
              <w:rPr>
                <w:lang w:val="en-GB" w:eastAsia="en-US"/>
              </w:rPr>
              <w:t xml:space="preserve">+ </w:t>
            </w:r>
            <w:r>
              <w:rPr>
                <w:spacing w:val="-5"/>
                <w:lang w:val="en-GB" w:eastAsia="en-US"/>
              </w:rPr>
              <w:t>Met</w:t>
            </w:r>
          </w:p>
          <w:p w14:paraId="6067E653" w14:textId="77777777" w:rsidR="003B31DC" w:rsidRDefault="00913CBE">
            <w:pPr>
              <w:tabs>
                <w:tab w:val="left" w:pos="9071"/>
              </w:tabs>
              <w:rPr>
                <w:lang w:val="en-GB" w:eastAsia="en-US"/>
              </w:rPr>
            </w:pPr>
            <w:r>
              <w:rPr>
                <w:lang w:val="en-GB" w:eastAsia="en-US"/>
              </w:rPr>
              <w:t>1 000 </w:t>
            </w:r>
            <w:proofErr w:type="spellStart"/>
            <w:r>
              <w:rPr>
                <w:lang w:val="en-GB" w:eastAsia="en-US"/>
              </w:rPr>
              <w:t>mg</w:t>
            </w:r>
            <w:r>
              <w:rPr>
                <w:spacing w:val="-5"/>
                <w:vertAlign w:val="superscript"/>
                <w:lang w:val="en-GB" w:eastAsia="en-US"/>
              </w:rPr>
              <w:t>c</w:t>
            </w:r>
            <w:proofErr w:type="spellEnd"/>
          </w:p>
        </w:tc>
        <w:tc>
          <w:tcPr>
            <w:tcW w:w="1132" w:type="dxa"/>
          </w:tcPr>
          <w:p w14:paraId="0CFBD885" w14:textId="77777777" w:rsidR="003B31DC" w:rsidRDefault="00913CBE">
            <w:pPr>
              <w:tabs>
                <w:tab w:val="left" w:pos="9071"/>
              </w:tabs>
              <w:rPr>
                <w:lang w:val="en-GB" w:eastAsia="en-US"/>
              </w:rPr>
            </w:pPr>
            <w:r>
              <w:rPr>
                <w:lang w:val="en-GB" w:eastAsia="en-US"/>
              </w:rPr>
              <w:t xml:space="preserve">+ </w:t>
            </w:r>
            <w:r>
              <w:rPr>
                <w:spacing w:val="-5"/>
                <w:lang w:val="en-GB" w:eastAsia="en-US"/>
              </w:rPr>
              <w:t>Met</w:t>
            </w:r>
          </w:p>
          <w:p w14:paraId="34AE1C0A" w14:textId="77777777" w:rsidR="003B31DC" w:rsidRDefault="00913CBE">
            <w:pPr>
              <w:tabs>
                <w:tab w:val="left" w:pos="9071"/>
              </w:tabs>
              <w:rPr>
                <w:lang w:val="en-GB" w:eastAsia="en-US"/>
              </w:rPr>
            </w:pPr>
            <w:r>
              <w:rPr>
                <w:lang w:val="en-GB" w:eastAsia="en-US"/>
              </w:rPr>
              <w:t>2 000 </w:t>
            </w:r>
            <w:proofErr w:type="spellStart"/>
            <w:r>
              <w:rPr>
                <w:lang w:val="en-GB" w:eastAsia="en-US"/>
              </w:rPr>
              <w:t>mg</w:t>
            </w:r>
            <w:r>
              <w:rPr>
                <w:spacing w:val="-5"/>
                <w:vertAlign w:val="superscript"/>
                <w:lang w:val="en-GB" w:eastAsia="en-US"/>
              </w:rPr>
              <w:t>c</w:t>
            </w:r>
            <w:proofErr w:type="spellEnd"/>
          </w:p>
        </w:tc>
        <w:tc>
          <w:tcPr>
            <w:tcW w:w="707" w:type="dxa"/>
          </w:tcPr>
          <w:p w14:paraId="16768E8B" w14:textId="77777777" w:rsidR="003B31DC" w:rsidRDefault="00913CBE">
            <w:pPr>
              <w:tabs>
                <w:tab w:val="left" w:pos="9071"/>
              </w:tabs>
              <w:rPr>
                <w:lang w:val="en-GB" w:eastAsia="en-US"/>
              </w:rPr>
            </w:pPr>
            <w:r>
              <w:rPr>
                <w:spacing w:val="-5"/>
                <w:lang w:val="en-GB" w:eastAsia="en-US"/>
              </w:rPr>
              <w:t>Be</w:t>
            </w:r>
          </w:p>
          <w:p w14:paraId="5D4714FB" w14:textId="77777777" w:rsidR="003B31DC" w:rsidRDefault="00913CBE">
            <w:pPr>
              <w:tabs>
                <w:tab w:val="left" w:pos="9071"/>
              </w:tabs>
              <w:rPr>
                <w:lang w:val="en-GB" w:eastAsia="en-US"/>
              </w:rPr>
            </w:pPr>
            <w:r>
              <w:rPr>
                <w:spacing w:val="-5"/>
                <w:lang w:val="en-GB" w:eastAsia="en-US"/>
              </w:rPr>
              <w:t>Met</w:t>
            </w:r>
          </w:p>
        </w:tc>
        <w:tc>
          <w:tcPr>
            <w:tcW w:w="851" w:type="dxa"/>
          </w:tcPr>
          <w:p w14:paraId="0AFCBAA7" w14:textId="77777777" w:rsidR="003B31DC" w:rsidRDefault="00913CBE">
            <w:pPr>
              <w:tabs>
                <w:tab w:val="left" w:pos="9071"/>
              </w:tabs>
              <w:rPr>
                <w:lang w:val="en-GB" w:eastAsia="en-US"/>
              </w:rPr>
            </w:pPr>
            <w:r>
              <w:rPr>
                <w:spacing w:val="-4"/>
                <w:lang w:val="en-GB" w:eastAsia="en-US"/>
              </w:rPr>
              <w:t>1 000 </w:t>
            </w:r>
            <w:r>
              <w:rPr>
                <w:spacing w:val="-5"/>
                <w:lang w:val="en-GB" w:eastAsia="en-US"/>
              </w:rPr>
              <w:t>mg</w:t>
            </w:r>
          </w:p>
        </w:tc>
        <w:tc>
          <w:tcPr>
            <w:tcW w:w="849" w:type="dxa"/>
          </w:tcPr>
          <w:p w14:paraId="1C914780" w14:textId="77777777" w:rsidR="003B31DC" w:rsidRDefault="00913CBE">
            <w:pPr>
              <w:tabs>
                <w:tab w:val="left" w:pos="9071"/>
              </w:tabs>
              <w:rPr>
                <w:lang w:val="en-GB" w:eastAsia="en-US"/>
              </w:rPr>
            </w:pPr>
            <w:r>
              <w:rPr>
                <w:spacing w:val="-4"/>
                <w:lang w:val="en-GB" w:eastAsia="en-US"/>
              </w:rPr>
              <w:t>2 000 </w:t>
            </w:r>
            <w:r>
              <w:rPr>
                <w:spacing w:val="-5"/>
                <w:lang w:val="en-GB" w:eastAsia="en-US"/>
              </w:rPr>
              <w:t>mg</w:t>
            </w:r>
          </w:p>
        </w:tc>
      </w:tr>
      <w:tr w:rsidR="003B31DC" w14:paraId="06701208" w14:textId="77777777">
        <w:trPr>
          <w:trHeight w:val="251"/>
        </w:trPr>
        <w:tc>
          <w:tcPr>
            <w:tcW w:w="1526" w:type="dxa"/>
          </w:tcPr>
          <w:p w14:paraId="5CAE01B4" w14:textId="77777777" w:rsidR="003B31DC" w:rsidRDefault="00913CBE">
            <w:pPr>
              <w:tabs>
                <w:tab w:val="left" w:pos="9071"/>
              </w:tabs>
              <w:rPr>
                <w:lang w:val="en-GB" w:eastAsia="en-US"/>
              </w:rPr>
            </w:pPr>
            <w:r>
              <w:rPr>
                <w:spacing w:val="-10"/>
                <w:lang w:val="en-GB" w:eastAsia="en-US"/>
              </w:rPr>
              <w:t>N</w:t>
            </w:r>
          </w:p>
        </w:tc>
        <w:tc>
          <w:tcPr>
            <w:tcW w:w="1132" w:type="dxa"/>
          </w:tcPr>
          <w:p w14:paraId="1A8433C1" w14:textId="77777777" w:rsidR="003B31DC" w:rsidRDefault="00913CBE">
            <w:pPr>
              <w:tabs>
                <w:tab w:val="left" w:pos="9071"/>
              </w:tabs>
              <w:ind w:right="11"/>
              <w:jc w:val="center"/>
              <w:rPr>
                <w:lang w:val="en-GB" w:eastAsia="en-US"/>
              </w:rPr>
            </w:pPr>
            <w:r>
              <w:rPr>
                <w:spacing w:val="-5"/>
                <w:lang w:val="en-GB" w:eastAsia="en-US"/>
              </w:rPr>
              <w:t>161</w:t>
            </w:r>
          </w:p>
        </w:tc>
        <w:tc>
          <w:tcPr>
            <w:tcW w:w="1134" w:type="dxa"/>
          </w:tcPr>
          <w:p w14:paraId="5CC23307" w14:textId="77777777" w:rsidR="003B31DC" w:rsidRDefault="00913CBE">
            <w:pPr>
              <w:tabs>
                <w:tab w:val="left" w:pos="9071"/>
              </w:tabs>
              <w:ind w:right="7"/>
              <w:jc w:val="center"/>
              <w:rPr>
                <w:lang w:val="en-GB" w:eastAsia="en-US"/>
              </w:rPr>
            </w:pPr>
            <w:r>
              <w:rPr>
                <w:spacing w:val="-5"/>
                <w:lang w:val="en-GB" w:eastAsia="en-US"/>
              </w:rPr>
              <w:t>167</w:t>
            </w:r>
          </w:p>
        </w:tc>
        <w:tc>
          <w:tcPr>
            <w:tcW w:w="707" w:type="dxa"/>
          </w:tcPr>
          <w:p w14:paraId="212C6B10" w14:textId="77777777" w:rsidR="003B31DC" w:rsidRDefault="00913CBE">
            <w:pPr>
              <w:tabs>
                <w:tab w:val="left" w:pos="9071"/>
              </w:tabs>
              <w:ind w:right="8"/>
              <w:jc w:val="center"/>
              <w:rPr>
                <w:lang w:val="en-GB" w:eastAsia="en-US"/>
              </w:rPr>
            </w:pPr>
            <w:r>
              <w:rPr>
                <w:spacing w:val="-5"/>
                <w:lang w:val="en-GB" w:eastAsia="en-US"/>
              </w:rPr>
              <w:t>169</w:t>
            </w:r>
          </w:p>
        </w:tc>
        <w:tc>
          <w:tcPr>
            <w:tcW w:w="1134" w:type="dxa"/>
          </w:tcPr>
          <w:p w14:paraId="4013FE48" w14:textId="77777777" w:rsidR="003B31DC" w:rsidRDefault="00913CBE">
            <w:pPr>
              <w:tabs>
                <w:tab w:val="left" w:pos="9071"/>
              </w:tabs>
              <w:ind w:right="2"/>
              <w:jc w:val="center"/>
              <w:rPr>
                <w:lang w:val="en-GB" w:eastAsia="en-US"/>
              </w:rPr>
            </w:pPr>
            <w:r>
              <w:rPr>
                <w:spacing w:val="-5"/>
                <w:lang w:val="en-GB" w:eastAsia="en-US"/>
              </w:rPr>
              <w:t>165</w:t>
            </w:r>
          </w:p>
        </w:tc>
        <w:tc>
          <w:tcPr>
            <w:tcW w:w="1132" w:type="dxa"/>
          </w:tcPr>
          <w:p w14:paraId="5A0EF635" w14:textId="77777777" w:rsidR="003B31DC" w:rsidRDefault="00913CBE">
            <w:pPr>
              <w:tabs>
                <w:tab w:val="left" w:pos="9071"/>
              </w:tabs>
              <w:ind w:right="3"/>
              <w:jc w:val="center"/>
              <w:rPr>
                <w:lang w:val="en-GB" w:eastAsia="en-US"/>
              </w:rPr>
            </w:pPr>
            <w:r>
              <w:rPr>
                <w:spacing w:val="-5"/>
                <w:lang w:val="en-GB" w:eastAsia="en-US"/>
              </w:rPr>
              <w:t>169</w:t>
            </w:r>
          </w:p>
        </w:tc>
        <w:tc>
          <w:tcPr>
            <w:tcW w:w="707" w:type="dxa"/>
          </w:tcPr>
          <w:p w14:paraId="0B08383B" w14:textId="77777777" w:rsidR="003B31DC" w:rsidRDefault="00913CBE">
            <w:pPr>
              <w:tabs>
                <w:tab w:val="left" w:pos="9071"/>
              </w:tabs>
              <w:ind w:right="2"/>
              <w:jc w:val="center"/>
              <w:rPr>
                <w:lang w:val="en-GB" w:eastAsia="en-US"/>
              </w:rPr>
            </w:pPr>
            <w:r>
              <w:rPr>
                <w:spacing w:val="-5"/>
                <w:lang w:val="en-GB" w:eastAsia="en-US"/>
              </w:rPr>
              <w:t>163</w:t>
            </w:r>
          </w:p>
        </w:tc>
        <w:tc>
          <w:tcPr>
            <w:tcW w:w="851" w:type="dxa"/>
          </w:tcPr>
          <w:p w14:paraId="5561F544" w14:textId="77777777" w:rsidR="003B31DC" w:rsidRDefault="00913CBE">
            <w:pPr>
              <w:tabs>
                <w:tab w:val="left" w:pos="9071"/>
              </w:tabs>
              <w:ind w:right="2"/>
              <w:jc w:val="center"/>
              <w:rPr>
                <w:lang w:val="en-GB" w:eastAsia="en-US"/>
              </w:rPr>
            </w:pPr>
            <w:r>
              <w:rPr>
                <w:spacing w:val="-5"/>
                <w:lang w:val="en-GB" w:eastAsia="en-US"/>
              </w:rPr>
              <w:t>167</w:t>
            </w:r>
          </w:p>
        </w:tc>
        <w:tc>
          <w:tcPr>
            <w:tcW w:w="849" w:type="dxa"/>
          </w:tcPr>
          <w:p w14:paraId="2A0B16A2" w14:textId="77777777" w:rsidR="003B31DC" w:rsidRDefault="00913CBE">
            <w:pPr>
              <w:tabs>
                <w:tab w:val="left" w:pos="9071"/>
              </w:tabs>
              <w:ind w:right="2"/>
              <w:jc w:val="center"/>
              <w:rPr>
                <w:lang w:val="en-GB" w:eastAsia="en-US"/>
              </w:rPr>
            </w:pPr>
            <w:r>
              <w:rPr>
                <w:spacing w:val="-5"/>
                <w:lang w:val="en-GB" w:eastAsia="en-US"/>
              </w:rPr>
              <w:t>162</w:t>
            </w:r>
          </w:p>
        </w:tc>
      </w:tr>
      <w:tr w:rsidR="003B31DC" w14:paraId="39186B53" w14:textId="77777777">
        <w:trPr>
          <w:trHeight w:val="254"/>
        </w:trPr>
        <w:tc>
          <w:tcPr>
            <w:tcW w:w="9172" w:type="dxa"/>
            <w:gridSpan w:val="9"/>
          </w:tcPr>
          <w:p w14:paraId="147073D5" w14:textId="77777777" w:rsidR="003B31DC" w:rsidRDefault="00913CBE">
            <w:pPr>
              <w:tabs>
                <w:tab w:val="left" w:pos="9071"/>
              </w:tabs>
              <w:rPr>
                <w:b/>
                <w:lang w:val="en-GB" w:eastAsia="en-US"/>
              </w:rPr>
            </w:pPr>
            <w:r>
              <w:rPr>
                <w:b/>
                <w:lang w:val="en-GB" w:eastAsia="en-US"/>
              </w:rPr>
              <w:t>HbA1c</w:t>
            </w:r>
            <w:r>
              <w:rPr>
                <w:b/>
                <w:spacing w:val="-5"/>
                <w:lang w:val="en-GB" w:eastAsia="en-US"/>
              </w:rPr>
              <w:t xml:space="preserve"> (%)</w:t>
            </w:r>
          </w:p>
        </w:tc>
      </w:tr>
      <w:tr w:rsidR="003B31DC" w14:paraId="496158C2" w14:textId="77777777">
        <w:trPr>
          <w:trHeight w:val="505"/>
        </w:trPr>
        <w:tc>
          <w:tcPr>
            <w:tcW w:w="1526" w:type="dxa"/>
          </w:tcPr>
          <w:p w14:paraId="78DA2AC9" w14:textId="77777777" w:rsidR="003B31DC" w:rsidRDefault="00913CBE">
            <w:pPr>
              <w:tabs>
                <w:tab w:val="left" w:pos="9071"/>
              </w:tabs>
              <w:rPr>
                <w:lang w:val="en-GB" w:eastAsia="en-US"/>
              </w:rPr>
            </w:pPr>
            <w:proofErr w:type="spellStart"/>
            <w:r>
              <w:rPr>
                <w:spacing w:val="-2"/>
                <w:lang w:val="en-GB" w:eastAsia="en-US"/>
              </w:rPr>
              <w:t>Pradinis</w:t>
            </w:r>
            <w:proofErr w:type="spellEnd"/>
          </w:p>
          <w:p w14:paraId="64A866D7" w14:textId="77777777" w:rsidR="003B31DC" w:rsidRDefault="00913CBE">
            <w:pPr>
              <w:tabs>
                <w:tab w:val="left" w:pos="9071"/>
              </w:tabs>
              <w:rPr>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132" w:type="dxa"/>
          </w:tcPr>
          <w:p w14:paraId="2B7E2FD5" w14:textId="77777777" w:rsidR="003B31DC" w:rsidRDefault="00913CBE">
            <w:pPr>
              <w:tabs>
                <w:tab w:val="left" w:pos="9071"/>
              </w:tabs>
              <w:ind w:right="9"/>
              <w:jc w:val="center"/>
              <w:rPr>
                <w:lang w:val="en-GB" w:eastAsia="en-US"/>
              </w:rPr>
            </w:pPr>
            <w:r>
              <w:rPr>
                <w:spacing w:val="-4"/>
                <w:lang w:val="en-GB" w:eastAsia="en-US"/>
              </w:rPr>
              <w:t>8,68</w:t>
            </w:r>
          </w:p>
        </w:tc>
        <w:tc>
          <w:tcPr>
            <w:tcW w:w="1134" w:type="dxa"/>
          </w:tcPr>
          <w:p w14:paraId="22FDBD2C" w14:textId="77777777" w:rsidR="003B31DC" w:rsidRDefault="00913CBE">
            <w:pPr>
              <w:tabs>
                <w:tab w:val="left" w:pos="9071"/>
              </w:tabs>
              <w:ind w:right="4"/>
              <w:jc w:val="center"/>
              <w:rPr>
                <w:lang w:val="en-GB" w:eastAsia="en-US"/>
              </w:rPr>
            </w:pPr>
            <w:r>
              <w:rPr>
                <w:spacing w:val="-4"/>
                <w:lang w:val="en-GB" w:eastAsia="en-US"/>
              </w:rPr>
              <w:t>8,65</w:t>
            </w:r>
          </w:p>
        </w:tc>
        <w:tc>
          <w:tcPr>
            <w:tcW w:w="707" w:type="dxa"/>
          </w:tcPr>
          <w:p w14:paraId="7B4EFCB3" w14:textId="77777777" w:rsidR="003B31DC" w:rsidRDefault="00913CBE">
            <w:pPr>
              <w:tabs>
                <w:tab w:val="left" w:pos="9071"/>
              </w:tabs>
              <w:ind w:right="6"/>
              <w:jc w:val="center"/>
              <w:rPr>
                <w:lang w:val="en-GB" w:eastAsia="en-US"/>
              </w:rPr>
            </w:pPr>
            <w:r>
              <w:rPr>
                <w:spacing w:val="-4"/>
                <w:lang w:val="en-GB" w:eastAsia="en-US"/>
              </w:rPr>
              <w:t>8,62</w:t>
            </w:r>
          </w:p>
        </w:tc>
        <w:tc>
          <w:tcPr>
            <w:tcW w:w="1134" w:type="dxa"/>
          </w:tcPr>
          <w:p w14:paraId="20415651" w14:textId="77777777" w:rsidR="003B31DC" w:rsidRDefault="00913CBE">
            <w:pPr>
              <w:tabs>
                <w:tab w:val="left" w:pos="9071"/>
              </w:tabs>
              <w:jc w:val="center"/>
              <w:rPr>
                <w:lang w:val="en-GB" w:eastAsia="en-US"/>
              </w:rPr>
            </w:pPr>
            <w:r>
              <w:rPr>
                <w:spacing w:val="-4"/>
                <w:lang w:val="en-GB" w:eastAsia="en-US"/>
              </w:rPr>
              <w:t>8,84</w:t>
            </w:r>
          </w:p>
        </w:tc>
        <w:tc>
          <w:tcPr>
            <w:tcW w:w="1132" w:type="dxa"/>
          </w:tcPr>
          <w:p w14:paraId="05991B80" w14:textId="77777777" w:rsidR="003B31DC" w:rsidRDefault="00913CBE">
            <w:pPr>
              <w:tabs>
                <w:tab w:val="left" w:pos="9071"/>
              </w:tabs>
              <w:jc w:val="center"/>
              <w:rPr>
                <w:lang w:val="en-GB" w:eastAsia="en-US"/>
              </w:rPr>
            </w:pPr>
            <w:r>
              <w:rPr>
                <w:spacing w:val="-4"/>
                <w:lang w:val="en-GB" w:eastAsia="en-US"/>
              </w:rPr>
              <w:t>8,66</w:t>
            </w:r>
          </w:p>
        </w:tc>
        <w:tc>
          <w:tcPr>
            <w:tcW w:w="707" w:type="dxa"/>
          </w:tcPr>
          <w:p w14:paraId="5DC0A835" w14:textId="77777777" w:rsidR="003B31DC" w:rsidRDefault="00913CBE">
            <w:pPr>
              <w:tabs>
                <w:tab w:val="left" w:pos="9071"/>
              </w:tabs>
              <w:jc w:val="center"/>
              <w:rPr>
                <w:lang w:val="en-GB" w:eastAsia="en-US"/>
              </w:rPr>
            </w:pPr>
            <w:r>
              <w:rPr>
                <w:spacing w:val="-4"/>
                <w:lang w:val="en-GB" w:eastAsia="en-US"/>
              </w:rPr>
              <w:t>8,86</w:t>
            </w:r>
          </w:p>
        </w:tc>
        <w:tc>
          <w:tcPr>
            <w:tcW w:w="851" w:type="dxa"/>
          </w:tcPr>
          <w:p w14:paraId="4301E7A0" w14:textId="77777777" w:rsidR="003B31DC" w:rsidRDefault="00913CBE">
            <w:pPr>
              <w:tabs>
                <w:tab w:val="left" w:pos="9071"/>
              </w:tabs>
              <w:jc w:val="center"/>
              <w:rPr>
                <w:lang w:val="en-GB" w:eastAsia="en-US"/>
              </w:rPr>
            </w:pPr>
            <w:r>
              <w:rPr>
                <w:spacing w:val="-4"/>
                <w:lang w:val="en-GB" w:eastAsia="en-US"/>
              </w:rPr>
              <w:t>8,69</w:t>
            </w:r>
          </w:p>
        </w:tc>
        <w:tc>
          <w:tcPr>
            <w:tcW w:w="849" w:type="dxa"/>
          </w:tcPr>
          <w:p w14:paraId="3B1FADF5" w14:textId="77777777" w:rsidR="003B31DC" w:rsidRDefault="00913CBE">
            <w:pPr>
              <w:tabs>
                <w:tab w:val="left" w:pos="9071"/>
              </w:tabs>
              <w:jc w:val="center"/>
              <w:rPr>
                <w:lang w:val="en-GB" w:eastAsia="en-US"/>
              </w:rPr>
            </w:pPr>
            <w:r>
              <w:rPr>
                <w:spacing w:val="-4"/>
                <w:lang w:val="en-GB" w:eastAsia="en-US"/>
              </w:rPr>
              <w:t>8,55</w:t>
            </w:r>
          </w:p>
        </w:tc>
      </w:tr>
      <w:tr w:rsidR="003B31DC" w14:paraId="31A73B4F" w14:textId="77777777">
        <w:trPr>
          <w:trHeight w:val="505"/>
        </w:trPr>
        <w:tc>
          <w:tcPr>
            <w:tcW w:w="1526" w:type="dxa"/>
          </w:tcPr>
          <w:p w14:paraId="3696F2A1"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57E6D065" w14:textId="77777777" w:rsidR="003B31DC" w:rsidRDefault="00913CBE">
            <w:pPr>
              <w:tabs>
                <w:tab w:val="left" w:pos="9071"/>
              </w:tabs>
              <w:rPr>
                <w:lang w:val="en-GB" w:eastAsia="en-US"/>
              </w:rPr>
            </w:pPr>
            <w:r>
              <w:rPr>
                <w:spacing w:val="-2"/>
                <w:lang w:val="en-GB" w:eastAsia="en-US"/>
              </w:rPr>
              <w:t>pradinio</w:t>
            </w:r>
            <w:r>
              <w:rPr>
                <w:spacing w:val="-2"/>
                <w:vertAlign w:val="superscript"/>
                <w:lang w:val="en-GB" w:eastAsia="en-US"/>
              </w:rPr>
              <w:t>1</w:t>
            </w:r>
          </w:p>
        </w:tc>
        <w:tc>
          <w:tcPr>
            <w:tcW w:w="1132" w:type="dxa"/>
          </w:tcPr>
          <w:p w14:paraId="4CD59E96" w14:textId="77777777" w:rsidR="003B31DC" w:rsidRDefault="00913CBE">
            <w:pPr>
              <w:tabs>
                <w:tab w:val="left" w:pos="9071"/>
              </w:tabs>
              <w:ind w:right="16"/>
              <w:jc w:val="center"/>
              <w:rPr>
                <w:lang w:val="en-GB" w:eastAsia="en-US"/>
              </w:rPr>
            </w:pPr>
            <w:r>
              <w:rPr>
                <w:spacing w:val="-4"/>
                <w:lang w:val="en-GB" w:eastAsia="en-US"/>
              </w:rPr>
              <w:t>-1,98</w:t>
            </w:r>
          </w:p>
        </w:tc>
        <w:tc>
          <w:tcPr>
            <w:tcW w:w="1134" w:type="dxa"/>
          </w:tcPr>
          <w:p w14:paraId="3A31CFE9" w14:textId="77777777" w:rsidR="003B31DC" w:rsidRDefault="00913CBE">
            <w:pPr>
              <w:tabs>
                <w:tab w:val="left" w:pos="9071"/>
              </w:tabs>
              <w:ind w:right="11"/>
              <w:jc w:val="center"/>
              <w:rPr>
                <w:lang w:val="en-GB" w:eastAsia="en-US"/>
              </w:rPr>
            </w:pPr>
            <w:r>
              <w:rPr>
                <w:spacing w:val="-4"/>
                <w:lang w:val="en-GB" w:eastAsia="en-US"/>
              </w:rPr>
              <w:t>-2,07</w:t>
            </w:r>
          </w:p>
        </w:tc>
        <w:tc>
          <w:tcPr>
            <w:tcW w:w="707" w:type="dxa"/>
          </w:tcPr>
          <w:p w14:paraId="2401FB4F" w14:textId="77777777" w:rsidR="003B31DC" w:rsidRDefault="00913CBE">
            <w:pPr>
              <w:tabs>
                <w:tab w:val="left" w:pos="9071"/>
              </w:tabs>
              <w:ind w:right="8"/>
              <w:jc w:val="center"/>
              <w:rPr>
                <w:lang w:val="en-GB" w:eastAsia="en-US"/>
              </w:rPr>
            </w:pPr>
            <w:r>
              <w:rPr>
                <w:spacing w:val="-4"/>
                <w:lang w:val="en-GB" w:eastAsia="en-US"/>
              </w:rPr>
              <w:t>-1,35</w:t>
            </w:r>
          </w:p>
        </w:tc>
        <w:tc>
          <w:tcPr>
            <w:tcW w:w="1134" w:type="dxa"/>
          </w:tcPr>
          <w:p w14:paraId="7B12BB1F" w14:textId="77777777" w:rsidR="003B31DC" w:rsidRDefault="00913CBE">
            <w:pPr>
              <w:tabs>
                <w:tab w:val="left" w:pos="9071"/>
              </w:tabs>
              <w:ind w:right="7"/>
              <w:jc w:val="center"/>
              <w:rPr>
                <w:lang w:val="en-GB" w:eastAsia="en-US"/>
              </w:rPr>
            </w:pPr>
            <w:r>
              <w:rPr>
                <w:spacing w:val="-4"/>
                <w:lang w:val="en-GB" w:eastAsia="en-US"/>
              </w:rPr>
              <w:t>-1,93</w:t>
            </w:r>
          </w:p>
        </w:tc>
        <w:tc>
          <w:tcPr>
            <w:tcW w:w="1132" w:type="dxa"/>
          </w:tcPr>
          <w:p w14:paraId="18A181A9" w14:textId="77777777" w:rsidR="003B31DC" w:rsidRDefault="00913CBE">
            <w:pPr>
              <w:tabs>
                <w:tab w:val="left" w:pos="9071"/>
              </w:tabs>
              <w:ind w:right="8"/>
              <w:jc w:val="center"/>
              <w:rPr>
                <w:lang w:val="en-GB" w:eastAsia="en-US"/>
              </w:rPr>
            </w:pPr>
            <w:r>
              <w:rPr>
                <w:spacing w:val="-4"/>
                <w:lang w:val="en-GB" w:eastAsia="en-US"/>
              </w:rPr>
              <w:t>-2,08</w:t>
            </w:r>
          </w:p>
        </w:tc>
        <w:tc>
          <w:tcPr>
            <w:tcW w:w="707" w:type="dxa"/>
          </w:tcPr>
          <w:p w14:paraId="06F7EB5E" w14:textId="77777777" w:rsidR="003B31DC" w:rsidRDefault="00913CBE">
            <w:pPr>
              <w:tabs>
                <w:tab w:val="left" w:pos="9071"/>
              </w:tabs>
              <w:ind w:right="2"/>
              <w:jc w:val="center"/>
              <w:rPr>
                <w:lang w:val="en-GB" w:eastAsia="en-US"/>
              </w:rPr>
            </w:pPr>
            <w:r>
              <w:rPr>
                <w:spacing w:val="-4"/>
                <w:lang w:val="en-GB" w:eastAsia="en-US"/>
              </w:rPr>
              <w:t>-1,36</w:t>
            </w:r>
          </w:p>
        </w:tc>
        <w:tc>
          <w:tcPr>
            <w:tcW w:w="851" w:type="dxa"/>
          </w:tcPr>
          <w:p w14:paraId="700D26C0" w14:textId="77777777" w:rsidR="003B31DC" w:rsidRDefault="00913CBE">
            <w:pPr>
              <w:tabs>
                <w:tab w:val="left" w:pos="9071"/>
              </w:tabs>
              <w:ind w:right="2"/>
              <w:jc w:val="center"/>
              <w:rPr>
                <w:lang w:val="en-GB" w:eastAsia="en-US"/>
              </w:rPr>
            </w:pPr>
            <w:r>
              <w:rPr>
                <w:spacing w:val="-4"/>
                <w:lang w:val="en-GB" w:eastAsia="en-US"/>
              </w:rPr>
              <w:t>-1,18</w:t>
            </w:r>
          </w:p>
        </w:tc>
        <w:tc>
          <w:tcPr>
            <w:tcW w:w="849" w:type="dxa"/>
          </w:tcPr>
          <w:p w14:paraId="43947708" w14:textId="77777777" w:rsidR="003B31DC" w:rsidRDefault="00913CBE">
            <w:pPr>
              <w:tabs>
                <w:tab w:val="left" w:pos="9071"/>
              </w:tabs>
              <w:ind w:right="7"/>
              <w:jc w:val="center"/>
              <w:rPr>
                <w:lang w:val="en-GB" w:eastAsia="en-US"/>
              </w:rPr>
            </w:pPr>
            <w:r>
              <w:rPr>
                <w:spacing w:val="-4"/>
                <w:lang w:val="en-GB" w:eastAsia="en-US"/>
              </w:rPr>
              <w:t>-1,75</w:t>
            </w:r>
          </w:p>
        </w:tc>
      </w:tr>
      <w:tr w:rsidR="003B31DC" w14:paraId="0168D878" w14:textId="77777777">
        <w:trPr>
          <w:trHeight w:val="782"/>
        </w:trPr>
        <w:tc>
          <w:tcPr>
            <w:tcW w:w="1526" w:type="dxa"/>
          </w:tcPr>
          <w:p w14:paraId="779B1186" w14:textId="77777777" w:rsidR="003B31DC" w:rsidRDefault="00913CBE">
            <w:pPr>
              <w:tabs>
                <w:tab w:val="left" w:pos="9071"/>
              </w:tabs>
              <w:ind w:right="28"/>
              <w:rPr>
                <w:lang w:val="en-GB" w:eastAsia="en-US"/>
              </w:rPr>
            </w:pPr>
            <w:proofErr w:type="spellStart"/>
            <w:r>
              <w:rPr>
                <w:spacing w:val="-2"/>
                <w:lang w:val="en-GB" w:eastAsia="en-US"/>
              </w:rPr>
              <w:t>Palyginti</w:t>
            </w:r>
            <w:proofErr w:type="spellEnd"/>
            <w:r>
              <w:rPr>
                <w:spacing w:val="-2"/>
                <w:lang w:val="en-GB" w:eastAsia="en-US"/>
              </w:rPr>
              <w:t xml:space="preserve"> </w:t>
            </w:r>
            <w:proofErr w:type="spellStart"/>
            <w:r>
              <w:rPr>
                <w:spacing w:val="-2"/>
                <w:lang w:val="en-GB" w:eastAsia="en-US"/>
              </w:rPr>
              <w:t>su</w:t>
            </w:r>
            <w:proofErr w:type="spellEnd"/>
            <w:r>
              <w:rPr>
                <w:lang w:val="en-GB" w:eastAsia="en-US"/>
              </w:rPr>
              <w:t xml:space="preserve"> </w:t>
            </w:r>
            <w:proofErr w:type="spellStart"/>
            <w:r>
              <w:rPr>
                <w:lang w:val="en-GB" w:eastAsia="en-US"/>
              </w:rPr>
              <w:t>empa</w:t>
            </w:r>
            <w:proofErr w:type="spellEnd"/>
            <w:r>
              <w:rPr>
                <w:lang w:val="en-GB" w:eastAsia="en-US"/>
              </w:rPr>
              <w:t xml:space="preserve"> (95 % PI)</w:t>
            </w:r>
            <w:r>
              <w:rPr>
                <w:vertAlign w:val="superscript"/>
                <w:lang w:val="en-GB" w:eastAsia="en-US"/>
              </w:rPr>
              <w:t>1</w:t>
            </w:r>
          </w:p>
        </w:tc>
        <w:tc>
          <w:tcPr>
            <w:tcW w:w="1132" w:type="dxa"/>
          </w:tcPr>
          <w:p w14:paraId="12FC3AFE" w14:textId="77777777" w:rsidR="003B31DC" w:rsidRDefault="00913CBE">
            <w:pPr>
              <w:tabs>
                <w:tab w:val="left" w:pos="9071"/>
              </w:tabs>
              <w:ind w:right="260" w:firstLine="2"/>
              <w:rPr>
                <w:lang w:val="en-GB" w:eastAsia="en-US"/>
              </w:rPr>
            </w:pPr>
            <w:r>
              <w:rPr>
                <w:spacing w:val="-2"/>
                <w:lang w:val="en-GB" w:eastAsia="en-US"/>
              </w:rPr>
              <w:t>-0,63* (-0,86,</w:t>
            </w:r>
          </w:p>
          <w:p w14:paraId="716FD8BE" w14:textId="77777777" w:rsidR="003B31DC" w:rsidRDefault="00913CBE">
            <w:pPr>
              <w:tabs>
                <w:tab w:val="left" w:pos="9071"/>
              </w:tabs>
              <w:rPr>
                <w:lang w:val="en-GB" w:eastAsia="en-US"/>
              </w:rPr>
            </w:pPr>
            <w:r>
              <w:rPr>
                <w:spacing w:val="-4"/>
                <w:lang w:val="en-GB" w:eastAsia="en-US"/>
              </w:rPr>
              <w:t>-</w:t>
            </w:r>
            <w:r>
              <w:rPr>
                <w:spacing w:val="-2"/>
                <w:lang w:val="en-GB" w:eastAsia="en-US"/>
              </w:rPr>
              <w:t>0,40)</w:t>
            </w:r>
          </w:p>
        </w:tc>
        <w:tc>
          <w:tcPr>
            <w:tcW w:w="1134" w:type="dxa"/>
          </w:tcPr>
          <w:p w14:paraId="6ADAF33F" w14:textId="77777777" w:rsidR="003B31DC" w:rsidRDefault="00913CBE">
            <w:pPr>
              <w:tabs>
                <w:tab w:val="left" w:pos="9071"/>
              </w:tabs>
              <w:ind w:right="261" w:firstLine="2"/>
              <w:rPr>
                <w:lang w:val="en-GB" w:eastAsia="en-US"/>
              </w:rPr>
            </w:pPr>
            <w:r>
              <w:rPr>
                <w:spacing w:val="-2"/>
                <w:lang w:val="en-GB" w:eastAsia="en-US"/>
              </w:rPr>
              <w:t>-0,72* (-0,96,</w:t>
            </w:r>
          </w:p>
          <w:p w14:paraId="6CB2AC66" w14:textId="77777777" w:rsidR="003B31DC" w:rsidRDefault="00913CBE">
            <w:pPr>
              <w:tabs>
                <w:tab w:val="left" w:pos="9071"/>
              </w:tabs>
              <w:rPr>
                <w:lang w:val="en-GB" w:eastAsia="en-US"/>
              </w:rPr>
            </w:pPr>
            <w:r>
              <w:rPr>
                <w:spacing w:val="-4"/>
                <w:lang w:val="en-GB" w:eastAsia="en-US"/>
              </w:rPr>
              <w:t>-</w:t>
            </w:r>
            <w:r>
              <w:rPr>
                <w:spacing w:val="-2"/>
                <w:lang w:val="en-GB" w:eastAsia="en-US"/>
              </w:rPr>
              <w:t>0,49)</w:t>
            </w:r>
          </w:p>
        </w:tc>
        <w:tc>
          <w:tcPr>
            <w:tcW w:w="707" w:type="dxa"/>
          </w:tcPr>
          <w:p w14:paraId="1D8CB048" w14:textId="77777777" w:rsidR="003B31DC" w:rsidRDefault="003B31DC">
            <w:pPr>
              <w:tabs>
                <w:tab w:val="left" w:pos="9071"/>
              </w:tabs>
              <w:rPr>
                <w:lang w:val="en-GB" w:eastAsia="en-US"/>
              </w:rPr>
            </w:pPr>
          </w:p>
        </w:tc>
        <w:tc>
          <w:tcPr>
            <w:tcW w:w="1134" w:type="dxa"/>
          </w:tcPr>
          <w:p w14:paraId="39536AEF" w14:textId="77777777" w:rsidR="003B31DC" w:rsidRDefault="00913CBE">
            <w:pPr>
              <w:tabs>
                <w:tab w:val="left" w:pos="9071"/>
              </w:tabs>
              <w:ind w:right="259" w:firstLine="2"/>
              <w:rPr>
                <w:lang w:val="en-GB" w:eastAsia="en-US"/>
              </w:rPr>
            </w:pPr>
            <w:r>
              <w:rPr>
                <w:spacing w:val="-2"/>
                <w:lang w:val="en-GB" w:eastAsia="en-US"/>
              </w:rPr>
              <w:t>-0,57* (-0,81,</w:t>
            </w:r>
          </w:p>
          <w:p w14:paraId="503A362E" w14:textId="77777777" w:rsidR="003B31DC" w:rsidRDefault="00913CBE">
            <w:pPr>
              <w:tabs>
                <w:tab w:val="left" w:pos="9071"/>
              </w:tabs>
              <w:rPr>
                <w:lang w:val="en-GB" w:eastAsia="en-US"/>
              </w:rPr>
            </w:pPr>
            <w:r>
              <w:rPr>
                <w:spacing w:val="-4"/>
                <w:lang w:val="en-GB" w:eastAsia="en-US"/>
              </w:rPr>
              <w:t>-</w:t>
            </w:r>
            <w:r>
              <w:rPr>
                <w:spacing w:val="-2"/>
                <w:lang w:val="en-GB" w:eastAsia="en-US"/>
              </w:rPr>
              <w:t>0,34)</w:t>
            </w:r>
          </w:p>
        </w:tc>
        <w:tc>
          <w:tcPr>
            <w:tcW w:w="1132" w:type="dxa"/>
          </w:tcPr>
          <w:p w14:paraId="643D5701" w14:textId="77777777" w:rsidR="003B31DC" w:rsidRDefault="00913CBE">
            <w:pPr>
              <w:tabs>
                <w:tab w:val="left" w:pos="9071"/>
              </w:tabs>
              <w:ind w:right="256" w:firstLine="2"/>
              <w:rPr>
                <w:lang w:val="en-GB" w:eastAsia="en-US"/>
              </w:rPr>
            </w:pPr>
            <w:r>
              <w:rPr>
                <w:spacing w:val="-2"/>
                <w:lang w:val="en-GB" w:eastAsia="en-US"/>
              </w:rPr>
              <w:t>-0,72* (-0,95,</w:t>
            </w:r>
          </w:p>
          <w:p w14:paraId="203FA878" w14:textId="77777777" w:rsidR="003B31DC" w:rsidRDefault="00913CBE">
            <w:pPr>
              <w:tabs>
                <w:tab w:val="left" w:pos="9071"/>
              </w:tabs>
              <w:rPr>
                <w:lang w:val="en-GB" w:eastAsia="en-US"/>
              </w:rPr>
            </w:pPr>
            <w:r>
              <w:rPr>
                <w:spacing w:val="-4"/>
                <w:lang w:val="en-GB" w:eastAsia="en-US"/>
              </w:rPr>
              <w:t>-</w:t>
            </w:r>
            <w:r>
              <w:rPr>
                <w:spacing w:val="-2"/>
                <w:lang w:val="en-GB" w:eastAsia="en-US"/>
              </w:rPr>
              <w:t>0,48)</w:t>
            </w:r>
          </w:p>
        </w:tc>
        <w:tc>
          <w:tcPr>
            <w:tcW w:w="707" w:type="dxa"/>
          </w:tcPr>
          <w:p w14:paraId="452EB4AC" w14:textId="77777777" w:rsidR="003B31DC" w:rsidRDefault="003B31DC">
            <w:pPr>
              <w:tabs>
                <w:tab w:val="left" w:pos="9071"/>
              </w:tabs>
              <w:rPr>
                <w:lang w:val="en-GB" w:eastAsia="en-US"/>
              </w:rPr>
            </w:pPr>
          </w:p>
        </w:tc>
        <w:tc>
          <w:tcPr>
            <w:tcW w:w="851" w:type="dxa"/>
          </w:tcPr>
          <w:p w14:paraId="2BD6035A" w14:textId="77777777" w:rsidR="003B31DC" w:rsidRDefault="003B31DC">
            <w:pPr>
              <w:tabs>
                <w:tab w:val="left" w:pos="9071"/>
              </w:tabs>
              <w:rPr>
                <w:lang w:val="en-GB" w:eastAsia="en-US"/>
              </w:rPr>
            </w:pPr>
          </w:p>
        </w:tc>
        <w:tc>
          <w:tcPr>
            <w:tcW w:w="849" w:type="dxa"/>
          </w:tcPr>
          <w:p w14:paraId="4C4B5781" w14:textId="77777777" w:rsidR="003B31DC" w:rsidRDefault="003B31DC">
            <w:pPr>
              <w:tabs>
                <w:tab w:val="left" w:pos="9071"/>
              </w:tabs>
              <w:rPr>
                <w:lang w:val="en-GB" w:eastAsia="en-US"/>
              </w:rPr>
            </w:pPr>
          </w:p>
        </w:tc>
      </w:tr>
      <w:tr w:rsidR="003B31DC" w14:paraId="734CEB13" w14:textId="77777777">
        <w:trPr>
          <w:trHeight w:val="782"/>
        </w:trPr>
        <w:tc>
          <w:tcPr>
            <w:tcW w:w="1526" w:type="dxa"/>
          </w:tcPr>
          <w:p w14:paraId="2E451696" w14:textId="77777777" w:rsidR="003B31DC" w:rsidRDefault="00913CBE">
            <w:pPr>
              <w:tabs>
                <w:tab w:val="left" w:pos="9071"/>
              </w:tabs>
              <w:rPr>
                <w:lang w:val="en-GB" w:eastAsia="en-US"/>
              </w:rPr>
            </w:pPr>
            <w:proofErr w:type="spellStart"/>
            <w:r>
              <w:rPr>
                <w:spacing w:val="-2"/>
                <w:lang w:val="en-GB" w:eastAsia="en-US"/>
              </w:rPr>
              <w:t>Palyginti</w:t>
            </w:r>
            <w:proofErr w:type="spellEnd"/>
            <w:r>
              <w:rPr>
                <w:spacing w:val="-2"/>
                <w:lang w:val="en-GB" w:eastAsia="en-US"/>
              </w:rPr>
              <w:t xml:space="preserve"> </w:t>
            </w:r>
            <w:proofErr w:type="spellStart"/>
            <w:r>
              <w:rPr>
                <w:spacing w:val="-2"/>
                <w:lang w:val="en-GB" w:eastAsia="en-US"/>
              </w:rPr>
              <w:t>su</w:t>
            </w:r>
            <w:proofErr w:type="spellEnd"/>
            <w:r>
              <w:rPr>
                <w:spacing w:val="-14"/>
                <w:lang w:val="en-GB" w:eastAsia="en-US"/>
              </w:rPr>
              <w:t xml:space="preserve"> </w:t>
            </w:r>
            <w:r>
              <w:rPr>
                <w:lang w:val="en-GB" w:eastAsia="en-US"/>
              </w:rPr>
              <w:t>met</w:t>
            </w:r>
            <w:r>
              <w:rPr>
                <w:spacing w:val="-14"/>
                <w:lang w:val="en-GB" w:eastAsia="en-US"/>
              </w:rPr>
              <w:t xml:space="preserve"> </w:t>
            </w:r>
            <w:r>
              <w:rPr>
                <w:lang w:val="en-GB" w:eastAsia="en-US"/>
              </w:rPr>
              <w:t xml:space="preserve">(95 % </w:t>
            </w:r>
            <w:r>
              <w:rPr>
                <w:spacing w:val="-4"/>
                <w:lang w:val="en-GB" w:eastAsia="en-US"/>
              </w:rPr>
              <w:t>PI)</w:t>
            </w:r>
            <w:r>
              <w:rPr>
                <w:spacing w:val="-4"/>
                <w:vertAlign w:val="superscript"/>
                <w:lang w:val="en-GB" w:eastAsia="en-US"/>
              </w:rPr>
              <w:t>1</w:t>
            </w:r>
          </w:p>
        </w:tc>
        <w:tc>
          <w:tcPr>
            <w:tcW w:w="1132" w:type="dxa"/>
          </w:tcPr>
          <w:p w14:paraId="2B804BAA" w14:textId="77777777" w:rsidR="003B31DC" w:rsidRDefault="00913CBE">
            <w:pPr>
              <w:tabs>
                <w:tab w:val="left" w:pos="9071"/>
              </w:tabs>
              <w:ind w:right="260" w:firstLine="2"/>
              <w:rPr>
                <w:lang w:val="en-GB" w:eastAsia="en-US"/>
              </w:rPr>
            </w:pPr>
            <w:r>
              <w:rPr>
                <w:spacing w:val="-2"/>
                <w:lang w:val="en-GB" w:eastAsia="en-US"/>
              </w:rPr>
              <w:t>-0,79* (-1,03,</w:t>
            </w:r>
          </w:p>
          <w:p w14:paraId="73E38F8F" w14:textId="77777777" w:rsidR="003B31DC" w:rsidRDefault="00913CBE">
            <w:pPr>
              <w:tabs>
                <w:tab w:val="left" w:pos="9071"/>
              </w:tabs>
              <w:rPr>
                <w:lang w:val="en-GB" w:eastAsia="en-US"/>
              </w:rPr>
            </w:pPr>
            <w:r>
              <w:rPr>
                <w:spacing w:val="-4"/>
                <w:lang w:val="en-GB" w:eastAsia="en-US"/>
              </w:rPr>
              <w:t>-</w:t>
            </w:r>
            <w:r>
              <w:rPr>
                <w:spacing w:val="-2"/>
                <w:lang w:val="en-GB" w:eastAsia="en-US"/>
              </w:rPr>
              <w:t>0,56)</w:t>
            </w:r>
          </w:p>
        </w:tc>
        <w:tc>
          <w:tcPr>
            <w:tcW w:w="1134" w:type="dxa"/>
          </w:tcPr>
          <w:p w14:paraId="7C075E7D" w14:textId="77777777" w:rsidR="003B31DC" w:rsidRDefault="00913CBE">
            <w:pPr>
              <w:tabs>
                <w:tab w:val="left" w:pos="9071"/>
              </w:tabs>
              <w:ind w:right="261" w:firstLine="2"/>
              <w:rPr>
                <w:lang w:val="en-GB" w:eastAsia="en-US"/>
              </w:rPr>
            </w:pPr>
            <w:r>
              <w:rPr>
                <w:spacing w:val="-2"/>
                <w:lang w:val="en-GB" w:eastAsia="en-US"/>
              </w:rPr>
              <w:t>-0,33* (-0,56,</w:t>
            </w:r>
          </w:p>
          <w:p w14:paraId="41C0DB78" w14:textId="77777777" w:rsidR="003B31DC" w:rsidRDefault="00913CBE">
            <w:pPr>
              <w:tabs>
                <w:tab w:val="left" w:pos="9071"/>
              </w:tabs>
              <w:rPr>
                <w:lang w:val="en-GB" w:eastAsia="en-US"/>
              </w:rPr>
            </w:pPr>
            <w:r>
              <w:rPr>
                <w:spacing w:val="-4"/>
                <w:lang w:val="en-GB" w:eastAsia="en-US"/>
              </w:rPr>
              <w:t>-</w:t>
            </w:r>
            <w:r>
              <w:rPr>
                <w:spacing w:val="-2"/>
                <w:lang w:val="en-GB" w:eastAsia="en-US"/>
              </w:rPr>
              <w:t>0,09)</w:t>
            </w:r>
          </w:p>
        </w:tc>
        <w:tc>
          <w:tcPr>
            <w:tcW w:w="707" w:type="dxa"/>
          </w:tcPr>
          <w:p w14:paraId="1EB06064" w14:textId="77777777" w:rsidR="003B31DC" w:rsidRDefault="003B31DC">
            <w:pPr>
              <w:tabs>
                <w:tab w:val="left" w:pos="9071"/>
              </w:tabs>
              <w:rPr>
                <w:lang w:val="en-GB" w:eastAsia="en-US"/>
              </w:rPr>
            </w:pPr>
          </w:p>
        </w:tc>
        <w:tc>
          <w:tcPr>
            <w:tcW w:w="1134" w:type="dxa"/>
          </w:tcPr>
          <w:p w14:paraId="6F6E8EFA" w14:textId="77777777" w:rsidR="003B31DC" w:rsidRDefault="00913CBE">
            <w:pPr>
              <w:tabs>
                <w:tab w:val="left" w:pos="9071"/>
              </w:tabs>
              <w:ind w:right="266" w:hanging="24"/>
              <w:rPr>
                <w:lang w:val="en-GB" w:eastAsia="en-US"/>
              </w:rPr>
            </w:pPr>
            <w:r>
              <w:rPr>
                <w:spacing w:val="-2"/>
                <w:lang w:val="en-GB" w:eastAsia="en-US"/>
              </w:rPr>
              <w:t>-0,75* (-</w:t>
            </w:r>
            <w:r>
              <w:rPr>
                <w:spacing w:val="-4"/>
                <w:lang w:val="en-GB" w:eastAsia="en-US"/>
              </w:rPr>
              <w:t>0,98</w:t>
            </w:r>
          </w:p>
          <w:p w14:paraId="7F7004ED" w14:textId="77777777" w:rsidR="003B31DC" w:rsidRDefault="00913CBE">
            <w:pPr>
              <w:tabs>
                <w:tab w:val="left" w:pos="9071"/>
              </w:tabs>
              <w:rPr>
                <w:lang w:val="en-GB" w:eastAsia="en-US"/>
              </w:rPr>
            </w:pPr>
            <w:r>
              <w:rPr>
                <w:spacing w:val="-4"/>
                <w:lang w:val="en-GB" w:eastAsia="en-US"/>
              </w:rPr>
              <w:t>-</w:t>
            </w:r>
            <w:r>
              <w:rPr>
                <w:spacing w:val="-2"/>
                <w:lang w:val="en-GB" w:eastAsia="en-US"/>
              </w:rPr>
              <w:t>0,51)</w:t>
            </w:r>
          </w:p>
        </w:tc>
        <w:tc>
          <w:tcPr>
            <w:tcW w:w="1132" w:type="dxa"/>
          </w:tcPr>
          <w:p w14:paraId="0779FEE6" w14:textId="77777777" w:rsidR="003B31DC" w:rsidRDefault="00913CBE">
            <w:pPr>
              <w:tabs>
                <w:tab w:val="left" w:pos="9071"/>
              </w:tabs>
              <w:ind w:right="256" w:firstLine="2"/>
              <w:rPr>
                <w:lang w:val="en-GB" w:eastAsia="en-US"/>
              </w:rPr>
            </w:pPr>
            <w:r>
              <w:rPr>
                <w:spacing w:val="-2"/>
                <w:lang w:val="en-GB" w:eastAsia="en-US"/>
              </w:rPr>
              <w:t>-0,33* (-0,56,</w:t>
            </w:r>
          </w:p>
          <w:p w14:paraId="6E346856" w14:textId="77777777" w:rsidR="003B31DC" w:rsidRDefault="00913CBE">
            <w:pPr>
              <w:tabs>
                <w:tab w:val="left" w:pos="9071"/>
              </w:tabs>
              <w:rPr>
                <w:lang w:val="en-GB" w:eastAsia="en-US"/>
              </w:rPr>
            </w:pPr>
            <w:r>
              <w:rPr>
                <w:spacing w:val="-4"/>
                <w:lang w:val="en-GB" w:eastAsia="en-US"/>
              </w:rPr>
              <w:t>-</w:t>
            </w:r>
            <w:r>
              <w:rPr>
                <w:spacing w:val="-2"/>
                <w:lang w:val="en-GB" w:eastAsia="en-US"/>
              </w:rPr>
              <w:t>0,10)</w:t>
            </w:r>
          </w:p>
        </w:tc>
        <w:tc>
          <w:tcPr>
            <w:tcW w:w="707" w:type="dxa"/>
          </w:tcPr>
          <w:p w14:paraId="6B93A094" w14:textId="77777777" w:rsidR="003B31DC" w:rsidRDefault="003B31DC">
            <w:pPr>
              <w:tabs>
                <w:tab w:val="left" w:pos="9071"/>
              </w:tabs>
              <w:rPr>
                <w:lang w:val="en-GB" w:eastAsia="en-US"/>
              </w:rPr>
            </w:pPr>
          </w:p>
        </w:tc>
        <w:tc>
          <w:tcPr>
            <w:tcW w:w="851" w:type="dxa"/>
          </w:tcPr>
          <w:p w14:paraId="198438FE" w14:textId="77777777" w:rsidR="003B31DC" w:rsidRDefault="003B31DC">
            <w:pPr>
              <w:tabs>
                <w:tab w:val="left" w:pos="9071"/>
              </w:tabs>
              <w:rPr>
                <w:lang w:val="en-GB" w:eastAsia="en-US"/>
              </w:rPr>
            </w:pPr>
          </w:p>
        </w:tc>
        <w:tc>
          <w:tcPr>
            <w:tcW w:w="849" w:type="dxa"/>
          </w:tcPr>
          <w:p w14:paraId="008B190E" w14:textId="77777777" w:rsidR="003B31DC" w:rsidRDefault="003B31DC">
            <w:pPr>
              <w:tabs>
                <w:tab w:val="left" w:pos="9071"/>
              </w:tabs>
              <w:rPr>
                <w:lang w:val="en-GB" w:eastAsia="en-US"/>
              </w:rPr>
            </w:pPr>
          </w:p>
        </w:tc>
      </w:tr>
    </w:tbl>
    <w:p w14:paraId="68E3328F" w14:textId="77777777" w:rsidR="003B31DC" w:rsidRDefault="00913CBE">
      <w:pPr>
        <w:widowControl w:val="0"/>
        <w:autoSpaceDE w:val="0"/>
        <w:autoSpaceDN w:val="0"/>
        <w:adjustRightInd w:val="0"/>
        <w:rPr>
          <w:rFonts w:eastAsia="TimesNewRoman"/>
          <w:sz w:val="20"/>
          <w:szCs w:val="20"/>
          <w:lang w:eastAsia="en-US"/>
        </w:rPr>
      </w:pPr>
      <w:proofErr w:type="spellStart"/>
      <w:r>
        <w:rPr>
          <w:rFonts w:eastAsia="TimesNewRoman"/>
          <w:sz w:val="20"/>
          <w:szCs w:val="20"/>
          <w:lang w:eastAsia="en-US"/>
        </w:rPr>
        <w:t>Met</w:t>
      </w:r>
      <w:proofErr w:type="spellEnd"/>
      <w:r>
        <w:rPr>
          <w:rFonts w:eastAsia="TimesNewRoman"/>
          <w:sz w:val="20"/>
          <w:szCs w:val="20"/>
          <w:lang w:eastAsia="en-US"/>
        </w:rPr>
        <w:t xml:space="preserve"> = </w:t>
      </w:r>
      <w:proofErr w:type="spellStart"/>
      <w:r>
        <w:rPr>
          <w:rFonts w:eastAsia="TimesNewRoman"/>
          <w:sz w:val="20"/>
          <w:szCs w:val="20"/>
          <w:lang w:eastAsia="en-US"/>
        </w:rPr>
        <w:t>metforminas</w:t>
      </w:r>
      <w:proofErr w:type="spellEnd"/>
      <w:r>
        <w:rPr>
          <w:rFonts w:eastAsia="TimesNewRoman"/>
          <w:sz w:val="20"/>
          <w:szCs w:val="20"/>
          <w:lang w:eastAsia="en-US"/>
        </w:rPr>
        <w:t xml:space="preserve">; </w:t>
      </w:r>
      <w:proofErr w:type="spellStart"/>
      <w:r>
        <w:rPr>
          <w:rFonts w:eastAsia="TimesNewRoman"/>
          <w:sz w:val="20"/>
          <w:szCs w:val="20"/>
          <w:lang w:eastAsia="en-US"/>
        </w:rPr>
        <w:t>empa</w:t>
      </w:r>
      <w:proofErr w:type="spellEnd"/>
      <w:r>
        <w:rPr>
          <w:rFonts w:eastAsia="TimesNewRoman"/>
          <w:sz w:val="20"/>
          <w:szCs w:val="20"/>
          <w:lang w:eastAsia="en-US"/>
        </w:rPr>
        <w:t xml:space="preserve"> = </w:t>
      </w:r>
      <w:proofErr w:type="spellStart"/>
      <w:r>
        <w:rPr>
          <w:rFonts w:eastAsia="TimesNewRoman"/>
          <w:sz w:val="20"/>
          <w:szCs w:val="20"/>
          <w:lang w:eastAsia="en-US"/>
        </w:rPr>
        <w:t>empagliflozinas</w:t>
      </w:r>
      <w:proofErr w:type="spellEnd"/>
    </w:p>
    <w:p w14:paraId="6F178AA9"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vertAlign w:val="superscript"/>
          <w:lang w:eastAsia="en-US"/>
        </w:rPr>
        <w:t>1</w:t>
      </w:r>
      <w:r>
        <w:rPr>
          <w:rFonts w:eastAsia="TimesNewRoman"/>
          <w:sz w:val="20"/>
          <w:szCs w:val="20"/>
          <w:lang w:eastAsia="en-US"/>
        </w:rPr>
        <w:t xml:space="preserve"> Vidurkis, koreguotas pagal pradinę vertę</w:t>
      </w:r>
    </w:p>
    <w:p w14:paraId="752F791E"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vertAlign w:val="superscript"/>
          <w:lang w:eastAsia="en-US"/>
        </w:rPr>
        <w:t>a</w:t>
      </w:r>
      <w:r>
        <w:rPr>
          <w:rFonts w:eastAsia="TimesNewRoman"/>
          <w:sz w:val="20"/>
          <w:szCs w:val="20"/>
          <w:lang w:eastAsia="en-US"/>
        </w:rPr>
        <w:t xml:space="preserve"> Analizės buvo atliktos visos analizės rinkiniu (FAS), naudojant stebėtų atvejų (OC) metodą.</w:t>
      </w:r>
    </w:p>
    <w:p w14:paraId="39465A53"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vertAlign w:val="superscript"/>
          <w:lang w:eastAsia="en-US"/>
        </w:rPr>
        <w:t>b</w:t>
      </w:r>
      <w:r>
        <w:rPr>
          <w:rFonts w:eastAsia="TimesNewRoman"/>
          <w:sz w:val="20"/>
          <w:szCs w:val="20"/>
          <w:lang w:eastAsia="en-US"/>
        </w:rPr>
        <w:t xml:space="preserve"> Vartojant padalinus į dvi vienodas dozes per parą, kai vartojamas kartu su </w:t>
      </w:r>
      <w:proofErr w:type="spellStart"/>
      <w:r>
        <w:rPr>
          <w:rFonts w:eastAsia="TimesNewRoman"/>
          <w:sz w:val="20"/>
          <w:szCs w:val="20"/>
          <w:lang w:eastAsia="en-US"/>
        </w:rPr>
        <w:t>metforminu</w:t>
      </w:r>
      <w:proofErr w:type="spellEnd"/>
    </w:p>
    <w:p w14:paraId="5B0407AE"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lang w:eastAsia="en-US"/>
        </w:rPr>
        <w:t>c Vartojant padalinus į dvi vienodas dozes per parą</w:t>
      </w:r>
    </w:p>
    <w:p w14:paraId="44A77CC5" w14:textId="77777777" w:rsidR="003B31DC" w:rsidRDefault="00913CBE">
      <w:pPr>
        <w:widowControl w:val="0"/>
        <w:autoSpaceDE w:val="0"/>
        <w:autoSpaceDN w:val="0"/>
        <w:adjustRightInd w:val="0"/>
        <w:rPr>
          <w:rFonts w:eastAsia="TimesNewRoman"/>
          <w:sz w:val="20"/>
          <w:szCs w:val="20"/>
          <w:lang w:eastAsia="en-US"/>
        </w:rPr>
      </w:pPr>
      <w:r>
        <w:rPr>
          <w:rFonts w:eastAsia="TimesNewRoman"/>
          <w:sz w:val="20"/>
          <w:szCs w:val="20"/>
          <w:lang w:eastAsia="en-US"/>
        </w:rPr>
        <w:t>*HbA1c p ≤ 0,0062</w:t>
      </w:r>
    </w:p>
    <w:p w14:paraId="686A743F" w14:textId="77777777" w:rsidR="003B31DC" w:rsidRDefault="003B31DC">
      <w:pPr>
        <w:widowControl w:val="0"/>
        <w:autoSpaceDE w:val="0"/>
        <w:autoSpaceDN w:val="0"/>
        <w:adjustRightInd w:val="0"/>
        <w:rPr>
          <w:rFonts w:eastAsia="TimesNewRoman"/>
          <w:sz w:val="22"/>
          <w:szCs w:val="22"/>
          <w:lang w:eastAsia="en-US"/>
        </w:rPr>
      </w:pPr>
    </w:p>
    <w:p w14:paraId="56FA7731" w14:textId="12F581F1" w:rsidR="003B31DC" w:rsidRDefault="00913CBE">
      <w:pPr>
        <w:widowControl w:val="0"/>
        <w:autoSpaceDE w:val="0"/>
        <w:autoSpaceDN w:val="0"/>
        <w:adjustRightInd w:val="0"/>
        <w:rPr>
          <w:rFonts w:eastAsia="TimesNewRoman"/>
          <w:i/>
          <w:iCs/>
          <w:sz w:val="22"/>
          <w:szCs w:val="22"/>
          <w:u w:val="single"/>
          <w:lang w:eastAsia="en-US"/>
        </w:rPr>
      </w:pPr>
      <w:proofErr w:type="spellStart"/>
      <w:r>
        <w:rPr>
          <w:rFonts w:eastAsia="TimesNewRoman"/>
          <w:i/>
          <w:iCs/>
          <w:sz w:val="22"/>
          <w:szCs w:val="22"/>
          <w:u w:val="single"/>
          <w:lang w:eastAsia="en-US"/>
        </w:rPr>
        <w:t>Empagliflozino</w:t>
      </w:r>
      <w:proofErr w:type="spellEnd"/>
      <w:r>
        <w:rPr>
          <w:rFonts w:eastAsia="TimesNewRoman"/>
          <w:i/>
          <w:iCs/>
          <w:sz w:val="22"/>
          <w:szCs w:val="22"/>
          <w:u w:val="single"/>
          <w:lang w:eastAsia="en-US"/>
        </w:rPr>
        <w:t xml:space="preserve"> skyrimas pacientams, kurių </w:t>
      </w:r>
      <w:proofErr w:type="spellStart"/>
      <w:r>
        <w:rPr>
          <w:rFonts w:eastAsia="TimesNewRoman"/>
          <w:i/>
          <w:iCs/>
          <w:sz w:val="22"/>
          <w:szCs w:val="22"/>
          <w:u w:val="single"/>
          <w:lang w:eastAsia="en-US"/>
        </w:rPr>
        <w:t>glikemija</w:t>
      </w:r>
      <w:proofErr w:type="spellEnd"/>
      <w:r>
        <w:rPr>
          <w:rFonts w:eastAsia="TimesNewRoman"/>
          <w:i/>
          <w:iCs/>
          <w:sz w:val="22"/>
          <w:szCs w:val="22"/>
          <w:u w:val="single"/>
          <w:lang w:eastAsia="en-US"/>
        </w:rPr>
        <w:t xml:space="preserve"> nepakankamai </w:t>
      </w:r>
      <w:r w:rsidR="009E0EF4">
        <w:rPr>
          <w:rFonts w:eastAsia="TimesNewRoman"/>
          <w:i/>
          <w:iCs/>
          <w:sz w:val="22"/>
          <w:szCs w:val="22"/>
          <w:u w:val="single"/>
          <w:lang w:eastAsia="en-US"/>
        </w:rPr>
        <w:t>sureguliuota</w:t>
      </w:r>
      <w:r>
        <w:rPr>
          <w:rFonts w:eastAsia="TimesNewRoman"/>
          <w:i/>
          <w:iCs/>
          <w:sz w:val="22"/>
          <w:szCs w:val="22"/>
          <w:u w:val="single"/>
          <w:lang w:eastAsia="en-US"/>
        </w:rPr>
        <w:t xml:space="preserve"> </w:t>
      </w:r>
      <w:proofErr w:type="spellStart"/>
      <w:r>
        <w:rPr>
          <w:rFonts w:eastAsia="TimesNewRoman"/>
          <w:i/>
          <w:iCs/>
          <w:sz w:val="22"/>
          <w:szCs w:val="22"/>
          <w:u w:val="single"/>
          <w:lang w:eastAsia="en-US"/>
        </w:rPr>
        <w:t>metforminu</w:t>
      </w:r>
      <w:proofErr w:type="spellEnd"/>
      <w:r>
        <w:rPr>
          <w:rFonts w:eastAsia="TimesNewRoman"/>
          <w:i/>
          <w:iCs/>
          <w:sz w:val="22"/>
          <w:szCs w:val="22"/>
          <w:u w:val="single"/>
          <w:lang w:eastAsia="en-US"/>
        </w:rPr>
        <w:t xml:space="preserve"> ir </w:t>
      </w:r>
      <w:proofErr w:type="spellStart"/>
      <w:r>
        <w:rPr>
          <w:rFonts w:eastAsia="TimesNewRoman"/>
          <w:i/>
          <w:iCs/>
          <w:sz w:val="22"/>
          <w:szCs w:val="22"/>
          <w:u w:val="single"/>
          <w:lang w:eastAsia="en-US"/>
        </w:rPr>
        <w:t>linagliptinu</w:t>
      </w:r>
      <w:proofErr w:type="spellEnd"/>
    </w:p>
    <w:p w14:paraId="61BB78A0" w14:textId="77777777" w:rsidR="003B31DC" w:rsidRDefault="003B31DC">
      <w:pPr>
        <w:widowControl w:val="0"/>
        <w:autoSpaceDE w:val="0"/>
        <w:autoSpaceDN w:val="0"/>
        <w:adjustRightInd w:val="0"/>
        <w:rPr>
          <w:rFonts w:eastAsia="TimesNewRoman"/>
          <w:sz w:val="22"/>
          <w:szCs w:val="22"/>
          <w:lang w:eastAsia="en-US"/>
        </w:rPr>
      </w:pPr>
    </w:p>
    <w:p w14:paraId="700F8C8E" w14:textId="6F86BC1C" w:rsidR="003B31DC" w:rsidRDefault="00913CBE">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Pacientams, kurių </w:t>
      </w:r>
      <w:proofErr w:type="spellStart"/>
      <w:r>
        <w:rPr>
          <w:rFonts w:eastAsia="TimesNewRoman"/>
          <w:sz w:val="22"/>
          <w:szCs w:val="22"/>
          <w:lang w:eastAsia="en-US"/>
        </w:rPr>
        <w:t>glikemija</w:t>
      </w:r>
      <w:proofErr w:type="spellEnd"/>
      <w:r>
        <w:rPr>
          <w:rFonts w:eastAsia="TimesNewRoman"/>
          <w:sz w:val="22"/>
          <w:szCs w:val="22"/>
          <w:lang w:eastAsia="en-US"/>
        </w:rPr>
        <w:t xml:space="preserve"> buvo nepakankamai </w:t>
      </w:r>
      <w:r w:rsidR="009E0EF4">
        <w:rPr>
          <w:rFonts w:eastAsia="TimesNewRoman"/>
          <w:sz w:val="22"/>
          <w:szCs w:val="22"/>
          <w:lang w:eastAsia="en-US"/>
        </w:rPr>
        <w:t>sureguliuota</w:t>
      </w:r>
      <w:r>
        <w:rPr>
          <w:rFonts w:eastAsia="TimesNewRoman"/>
          <w:sz w:val="22"/>
          <w:szCs w:val="22"/>
          <w:lang w:eastAsia="en-US"/>
        </w:rPr>
        <w:t xml:space="preserve"> </w:t>
      </w:r>
      <w:proofErr w:type="spellStart"/>
      <w:r>
        <w:rPr>
          <w:rFonts w:eastAsia="TimesNewRoman"/>
          <w:sz w:val="22"/>
          <w:szCs w:val="22"/>
          <w:lang w:eastAsia="en-US"/>
        </w:rPr>
        <w:t>metforminu</w:t>
      </w:r>
      <w:proofErr w:type="spellEnd"/>
      <w:r>
        <w:rPr>
          <w:rFonts w:eastAsia="TimesNewRoman"/>
          <w:sz w:val="22"/>
          <w:szCs w:val="22"/>
          <w:lang w:eastAsia="en-US"/>
        </w:rPr>
        <w:t xml:space="preserve"> ir 5 mg </w:t>
      </w:r>
      <w:proofErr w:type="spellStart"/>
      <w:r>
        <w:rPr>
          <w:rFonts w:eastAsia="TimesNewRoman"/>
          <w:sz w:val="22"/>
          <w:szCs w:val="22"/>
          <w:lang w:eastAsia="en-US"/>
        </w:rPr>
        <w:t>linagliptino</w:t>
      </w:r>
      <w:proofErr w:type="spellEnd"/>
      <w:r>
        <w:rPr>
          <w:rFonts w:eastAsia="TimesNewRoman"/>
          <w:sz w:val="22"/>
          <w:szCs w:val="22"/>
          <w:lang w:eastAsia="en-US"/>
        </w:rPr>
        <w:t xml:space="preserve">, gydymą papildžius 10 mg ar 25 mg </w:t>
      </w:r>
      <w:proofErr w:type="spellStart"/>
      <w:r>
        <w:rPr>
          <w:rFonts w:eastAsia="TimesNewRoman"/>
          <w:sz w:val="22"/>
          <w:szCs w:val="22"/>
          <w:lang w:eastAsia="en-US"/>
        </w:rPr>
        <w:t>empagliflozino</w:t>
      </w:r>
      <w:proofErr w:type="spellEnd"/>
      <w:r>
        <w:rPr>
          <w:rFonts w:eastAsia="TimesNewRoman"/>
          <w:sz w:val="22"/>
          <w:szCs w:val="22"/>
          <w:lang w:eastAsia="en-US"/>
        </w:rPr>
        <w:t xml:space="preserve"> statistiškai reikšmingai (p &lt; 0,0001) sumažėjo HbA1c ir kūno svoris lyginant su placebu (5 lentelė). Be to, kliniškai reikšmingai sumažėjo gliukozės kiekis kraujo plazmoje nevalgius bei </w:t>
      </w:r>
      <w:proofErr w:type="spellStart"/>
      <w:r>
        <w:rPr>
          <w:rFonts w:eastAsia="TimesNewRoman"/>
          <w:sz w:val="22"/>
          <w:szCs w:val="22"/>
          <w:lang w:eastAsia="en-US"/>
        </w:rPr>
        <w:t>sistolinis</w:t>
      </w:r>
      <w:proofErr w:type="spellEnd"/>
      <w:r>
        <w:rPr>
          <w:rFonts w:eastAsia="TimesNewRoman"/>
          <w:sz w:val="22"/>
          <w:szCs w:val="22"/>
          <w:lang w:eastAsia="en-US"/>
        </w:rPr>
        <w:t xml:space="preserve"> ir </w:t>
      </w:r>
      <w:proofErr w:type="spellStart"/>
      <w:r>
        <w:rPr>
          <w:rFonts w:eastAsia="TimesNewRoman"/>
          <w:sz w:val="22"/>
          <w:szCs w:val="22"/>
          <w:lang w:eastAsia="en-US"/>
        </w:rPr>
        <w:t>diastolinis</w:t>
      </w:r>
      <w:proofErr w:type="spellEnd"/>
      <w:r>
        <w:rPr>
          <w:rFonts w:eastAsia="TimesNewRoman"/>
          <w:sz w:val="22"/>
          <w:szCs w:val="22"/>
          <w:lang w:eastAsia="en-US"/>
        </w:rPr>
        <w:t xml:space="preserve"> kraujospūdis lyginant su placebu.</w:t>
      </w:r>
    </w:p>
    <w:p w14:paraId="1F901C26" w14:textId="77777777" w:rsidR="003B31DC" w:rsidRDefault="003B31DC">
      <w:pPr>
        <w:widowControl w:val="0"/>
        <w:autoSpaceDE w:val="0"/>
        <w:autoSpaceDN w:val="0"/>
        <w:adjustRightInd w:val="0"/>
        <w:rPr>
          <w:rFonts w:eastAsia="TimesNewRoman"/>
          <w:sz w:val="22"/>
          <w:szCs w:val="22"/>
          <w:lang w:eastAsia="en-US"/>
        </w:rPr>
      </w:pPr>
    </w:p>
    <w:p w14:paraId="76949B51" w14:textId="4AFD1EF7" w:rsidR="003B31DC" w:rsidRPr="00217E1C" w:rsidRDefault="00913CBE">
      <w:pPr>
        <w:widowControl w:val="0"/>
        <w:autoSpaceDE w:val="0"/>
        <w:autoSpaceDN w:val="0"/>
        <w:adjustRightInd w:val="0"/>
        <w:ind w:left="1440" w:hanging="1440"/>
        <w:rPr>
          <w:sz w:val="22"/>
          <w:szCs w:val="22"/>
        </w:rPr>
      </w:pPr>
      <w:r>
        <w:rPr>
          <w:rFonts w:eastAsia="TimesNewRoman"/>
          <w:sz w:val="22"/>
          <w:szCs w:val="22"/>
          <w:lang w:eastAsia="en-US"/>
        </w:rPr>
        <w:t>5 lentelė:</w:t>
      </w:r>
      <w:r>
        <w:rPr>
          <w:rFonts w:eastAsia="TimesNewRoman"/>
          <w:sz w:val="22"/>
          <w:szCs w:val="22"/>
          <w:lang w:eastAsia="en-US"/>
        </w:rPr>
        <w:tab/>
      </w:r>
      <w:r w:rsidR="00217E1C" w:rsidRPr="00FA2F7A">
        <w:rPr>
          <w:sz w:val="22"/>
          <w:szCs w:val="22"/>
        </w:rPr>
        <w:t xml:space="preserve"> 24 savaičių trukmės placebu kontroliuojamo tyrimo efektyvumo rezultatų suvestinė pacientams, kurių </w:t>
      </w:r>
      <w:proofErr w:type="spellStart"/>
      <w:r w:rsidR="00217E1C" w:rsidRPr="00FA2F7A">
        <w:rPr>
          <w:sz w:val="22"/>
          <w:szCs w:val="22"/>
        </w:rPr>
        <w:t>glikemijos</w:t>
      </w:r>
      <w:proofErr w:type="spellEnd"/>
      <w:r w:rsidR="00217E1C" w:rsidRPr="00FA2F7A">
        <w:rPr>
          <w:sz w:val="22"/>
          <w:szCs w:val="22"/>
        </w:rPr>
        <w:t xml:space="preserve"> kontrolė buvo nepakankama vartojant </w:t>
      </w:r>
      <w:proofErr w:type="spellStart"/>
      <w:r w:rsidR="00217E1C" w:rsidRPr="00FA2F7A">
        <w:rPr>
          <w:sz w:val="22"/>
          <w:szCs w:val="22"/>
        </w:rPr>
        <w:t>metforminą</w:t>
      </w:r>
      <w:proofErr w:type="spellEnd"/>
      <w:r w:rsidR="00217E1C" w:rsidRPr="00FA2F7A">
        <w:rPr>
          <w:sz w:val="22"/>
          <w:szCs w:val="22"/>
        </w:rPr>
        <w:t xml:space="preserve"> ir 5 mg </w:t>
      </w:r>
      <w:proofErr w:type="spellStart"/>
      <w:r w:rsidR="00217E1C" w:rsidRPr="00FA2F7A">
        <w:rPr>
          <w:sz w:val="22"/>
          <w:szCs w:val="22"/>
        </w:rPr>
        <w:t>linagliptiną</w:t>
      </w:r>
      <w:proofErr w:type="spellEnd"/>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1418"/>
        <w:gridCol w:w="2268"/>
        <w:gridCol w:w="2266"/>
      </w:tblGrid>
      <w:tr w:rsidR="003B31DC" w14:paraId="255033C2" w14:textId="77777777">
        <w:trPr>
          <w:trHeight w:val="254"/>
        </w:trPr>
        <w:tc>
          <w:tcPr>
            <w:tcW w:w="8894" w:type="dxa"/>
            <w:gridSpan w:val="4"/>
          </w:tcPr>
          <w:p w14:paraId="3E177780" w14:textId="77777777" w:rsidR="003B31DC" w:rsidRPr="00FA2F7A" w:rsidRDefault="00913CBE">
            <w:pPr>
              <w:tabs>
                <w:tab w:val="left" w:pos="9071"/>
              </w:tabs>
              <w:jc w:val="center"/>
              <w:rPr>
                <w:b/>
                <w:lang w:val="pt-PT"/>
              </w:rPr>
            </w:pPr>
            <w:r w:rsidRPr="00FA2F7A">
              <w:rPr>
                <w:b/>
                <w:lang w:val="pt-PT"/>
              </w:rPr>
              <w:t>Metformino ir 5 mg linagliptino papildymas</w:t>
            </w:r>
          </w:p>
        </w:tc>
      </w:tr>
      <w:tr w:rsidR="003B31DC" w14:paraId="3DA44CF9" w14:textId="77777777">
        <w:trPr>
          <w:trHeight w:val="251"/>
        </w:trPr>
        <w:tc>
          <w:tcPr>
            <w:tcW w:w="2942" w:type="dxa"/>
          </w:tcPr>
          <w:p w14:paraId="10DE4D2E" w14:textId="77777777" w:rsidR="003B31DC" w:rsidRPr="00FA2F7A" w:rsidRDefault="003B31DC">
            <w:pPr>
              <w:tabs>
                <w:tab w:val="left" w:pos="9071"/>
              </w:tabs>
              <w:rPr>
                <w:lang w:val="pt-PT"/>
              </w:rPr>
            </w:pPr>
          </w:p>
        </w:tc>
        <w:tc>
          <w:tcPr>
            <w:tcW w:w="1418" w:type="dxa"/>
          </w:tcPr>
          <w:p w14:paraId="3B439DED" w14:textId="77777777" w:rsidR="003B31DC" w:rsidRDefault="00913CBE">
            <w:pPr>
              <w:tabs>
                <w:tab w:val="left" w:pos="9071"/>
              </w:tabs>
              <w:ind w:right="2"/>
              <w:jc w:val="center"/>
              <w:rPr>
                <w:b/>
                <w:lang w:val="en-GB" w:eastAsia="en-US"/>
              </w:rPr>
            </w:pPr>
            <w:r>
              <w:rPr>
                <w:b/>
                <w:spacing w:val="-2"/>
                <w:lang w:val="en-GB" w:eastAsia="en-US"/>
              </w:rPr>
              <w:t>Placebas</w:t>
            </w:r>
            <w:r>
              <w:rPr>
                <w:b/>
                <w:spacing w:val="-2"/>
                <w:vertAlign w:val="superscript"/>
                <w:lang w:val="en-GB" w:eastAsia="en-US"/>
              </w:rPr>
              <w:t>5</w:t>
            </w:r>
          </w:p>
        </w:tc>
        <w:tc>
          <w:tcPr>
            <w:tcW w:w="4534" w:type="dxa"/>
            <w:gridSpan w:val="2"/>
          </w:tcPr>
          <w:p w14:paraId="2C0E5A20" w14:textId="77777777" w:rsidR="003B31DC" w:rsidRDefault="00913CBE">
            <w:pPr>
              <w:tabs>
                <w:tab w:val="left" w:pos="9071"/>
              </w:tabs>
              <w:jc w:val="center"/>
              <w:rPr>
                <w:b/>
                <w:lang w:val="en-GB" w:eastAsia="en-US"/>
              </w:rPr>
            </w:pPr>
            <w:r>
              <w:rPr>
                <w:b/>
                <w:spacing w:val="-2"/>
                <w:lang w:val="en-GB" w:eastAsia="en-US"/>
              </w:rPr>
              <w:t>Empagliflozinas</w:t>
            </w:r>
            <w:r>
              <w:rPr>
                <w:b/>
                <w:spacing w:val="-2"/>
                <w:vertAlign w:val="superscript"/>
                <w:lang w:val="en-GB" w:eastAsia="en-US"/>
              </w:rPr>
              <w:t>6</w:t>
            </w:r>
          </w:p>
        </w:tc>
      </w:tr>
      <w:tr w:rsidR="003B31DC" w14:paraId="30B1BB46" w14:textId="77777777">
        <w:trPr>
          <w:trHeight w:val="253"/>
        </w:trPr>
        <w:tc>
          <w:tcPr>
            <w:tcW w:w="2942" w:type="dxa"/>
          </w:tcPr>
          <w:p w14:paraId="6329D402" w14:textId="77777777" w:rsidR="003B31DC" w:rsidRDefault="003B31DC">
            <w:pPr>
              <w:tabs>
                <w:tab w:val="left" w:pos="9071"/>
              </w:tabs>
              <w:rPr>
                <w:lang w:val="en-GB" w:eastAsia="en-US"/>
              </w:rPr>
            </w:pPr>
          </w:p>
        </w:tc>
        <w:tc>
          <w:tcPr>
            <w:tcW w:w="1418" w:type="dxa"/>
          </w:tcPr>
          <w:p w14:paraId="56B72B9D" w14:textId="77777777" w:rsidR="003B31DC" w:rsidRDefault="003B31DC">
            <w:pPr>
              <w:tabs>
                <w:tab w:val="left" w:pos="9071"/>
              </w:tabs>
              <w:rPr>
                <w:lang w:val="en-GB" w:eastAsia="en-US"/>
              </w:rPr>
            </w:pPr>
          </w:p>
        </w:tc>
        <w:tc>
          <w:tcPr>
            <w:tcW w:w="2268" w:type="dxa"/>
          </w:tcPr>
          <w:p w14:paraId="4C110C89" w14:textId="77777777" w:rsidR="003B31DC" w:rsidRDefault="00913CBE">
            <w:pPr>
              <w:tabs>
                <w:tab w:val="left" w:pos="9071"/>
              </w:tabs>
              <w:ind w:right="2"/>
              <w:jc w:val="center"/>
              <w:rPr>
                <w:b/>
                <w:lang w:val="en-GB" w:eastAsia="en-US"/>
              </w:rPr>
            </w:pPr>
            <w:r>
              <w:rPr>
                <w:b/>
                <w:lang w:val="en-GB" w:eastAsia="en-US"/>
              </w:rPr>
              <w:t>10 mg</w:t>
            </w:r>
          </w:p>
        </w:tc>
        <w:tc>
          <w:tcPr>
            <w:tcW w:w="2266" w:type="dxa"/>
          </w:tcPr>
          <w:p w14:paraId="451AD031" w14:textId="77777777" w:rsidR="003B31DC" w:rsidRDefault="00913CBE">
            <w:pPr>
              <w:tabs>
                <w:tab w:val="left" w:pos="9071"/>
              </w:tabs>
              <w:ind w:right="2"/>
              <w:jc w:val="center"/>
              <w:rPr>
                <w:b/>
                <w:lang w:val="en-GB" w:eastAsia="en-US"/>
              </w:rPr>
            </w:pPr>
            <w:r>
              <w:rPr>
                <w:b/>
                <w:lang w:val="en-GB" w:eastAsia="en-US"/>
              </w:rPr>
              <w:t>25 mg</w:t>
            </w:r>
          </w:p>
        </w:tc>
      </w:tr>
      <w:tr w:rsidR="003B31DC" w14:paraId="33A472C9" w14:textId="77777777">
        <w:trPr>
          <w:trHeight w:val="254"/>
        </w:trPr>
        <w:tc>
          <w:tcPr>
            <w:tcW w:w="2942" w:type="dxa"/>
          </w:tcPr>
          <w:p w14:paraId="2D6A2D3E" w14:textId="77777777" w:rsidR="003B31DC" w:rsidRDefault="00913CBE">
            <w:pPr>
              <w:tabs>
                <w:tab w:val="left" w:pos="9071"/>
              </w:tabs>
              <w:rPr>
                <w:lang w:val="en-GB" w:eastAsia="en-US"/>
              </w:rPr>
            </w:pPr>
            <w:r>
              <w:rPr>
                <w:spacing w:val="-10"/>
                <w:lang w:val="en-GB" w:eastAsia="en-US"/>
              </w:rPr>
              <w:t>N</w:t>
            </w:r>
          </w:p>
        </w:tc>
        <w:tc>
          <w:tcPr>
            <w:tcW w:w="1418" w:type="dxa"/>
          </w:tcPr>
          <w:p w14:paraId="5D5681EE" w14:textId="77777777" w:rsidR="003B31DC" w:rsidRDefault="00913CBE">
            <w:pPr>
              <w:tabs>
                <w:tab w:val="left" w:pos="9071"/>
              </w:tabs>
              <w:ind w:right="2"/>
              <w:jc w:val="center"/>
              <w:rPr>
                <w:lang w:val="en-GB" w:eastAsia="en-US"/>
              </w:rPr>
            </w:pPr>
            <w:r>
              <w:rPr>
                <w:spacing w:val="-5"/>
                <w:lang w:val="en-GB" w:eastAsia="en-US"/>
              </w:rPr>
              <w:t>106</w:t>
            </w:r>
          </w:p>
        </w:tc>
        <w:tc>
          <w:tcPr>
            <w:tcW w:w="2268" w:type="dxa"/>
          </w:tcPr>
          <w:p w14:paraId="5AC38291" w14:textId="77777777" w:rsidR="003B31DC" w:rsidRDefault="00913CBE">
            <w:pPr>
              <w:tabs>
                <w:tab w:val="left" w:pos="9071"/>
              </w:tabs>
              <w:ind w:right="3"/>
              <w:jc w:val="center"/>
              <w:rPr>
                <w:lang w:val="en-GB" w:eastAsia="en-US"/>
              </w:rPr>
            </w:pPr>
            <w:r>
              <w:rPr>
                <w:spacing w:val="-5"/>
                <w:lang w:val="en-GB" w:eastAsia="en-US"/>
              </w:rPr>
              <w:t>109</w:t>
            </w:r>
          </w:p>
        </w:tc>
        <w:tc>
          <w:tcPr>
            <w:tcW w:w="2266" w:type="dxa"/>
          </w:tcPr>
          <w:p w14:paraId="1974DF3A" w14:textId="77777777" w:rsidR="003B31DC" w:rsidRDefault="00913CBE">
            <w:pPr>
              <w:tabs>
                <w:tab w:val="left" w:pos="9071"/>
              </w:tabs>
              <w:ind w:right="3"/>
              <w:jc w:val="center"/>
              <w:rPr>
                <w:lang w:val="en-GB" w:eastAsia="en-US"/>
              </w:rPr>
            </w:pPr>
            <w:r>
              <w:rPr>
                <w:spacing w:val="-5"/>
                <w:lang w:val="en-GB" w:eastAsia="en-US"/>
              </w:rPr>
              <w:t>110</w:t>
            </w:r>
          </w:p>
        </w:tc>
      </w:tr>
      <w:tr w:rsidR="003B31DC" w14:paraId="5D124165" w14:textId="77777777">
        <w:trPr>
          <w:trHeight w:val="251"/>
        </w:trPr>
        <w:tc>
          <w:tcPr>
            <w:tcW w:w="8894" w:type="dxa"/>
            <w:gridSpan w:val="4"/>
          </w:tcPr>
          <w:p w14:paraId="46D46422" w14:textId="77777777" w:rsidR="003B31DC" w:rsidRDefault="00913CBE">
            <w:pPr>
              <w:tabs>
                <w:tab w:val="left" w:pos="9071"/>
              </w:tabs>
              <w:rPr>
                <w:b/>
                <w:lang w:val="en-GB" w:eastAsia="en-US"/>
              </w:rPr>
            </w:pPr>
            <w:r>
              <w:rPr>
                <w:b/>
                <w:lang w:val="en-GB" w:eastAsia="en-US"/>
              </w:rPr>
              <w:t>HbA1c</w:t>
            </w:r>
            <w:r>
              <w:rPr>
                <w:b/>
                <w:spacing w:val="-7"/>
                <w:lang w:val="en-GB" w:eastAsia="en-US"/>
              </w:rPr>
              <w:t xml:space="preserve"> </w:t>
            </w:r>
            <w:r>
              <w:rPr>
                <w:b/>
                <w:spacing w:val="-4"/>
                <w:lang w:val="en-GB" w:eastAsia="en-US"/>
              </w:rPr>
              <w:t>(%)</w:t>
            </w:r>
            <w:r>
              <w:rPr>
                <w:b/>
                <w:spacing w:val="-4"/>
                <w:vertAlign w:val="superscript"/>
                <w:lang w:val="en-GB" w:eastAsia="en-US"/>
              </w:rPr>
              <w:t>3</w:t>
            </w:r>
          </w:p>
        </w:tc>
      </w:tr>
      <w:tr w:rsidR="003B31DC" w14:paraId="59E8A925" w14:textId="77777777">
        <w:trPr>
          <w:trHeight w:val="254"/>
        </w:trPr>
        <w:tc>
          <w:tcPr>
            <w:tcW w:w="2942" w:type="dxa"/>
          </w:tcPr>
          <w:p w14:paraId="20639FC0" w14:textId="77777777" w:rsidR="003B31DC" w:rsidRDefault="00913CBE">
            <w:pPr>
              <w:tabs>
                <w:tab w:val="left" w:pos="9071"/>
              </w:tabs>
              <w:rPr>
                <w:lang w:val="en-GB" w:eastAsia="en-US"/>
              </w:rPr>
            </w:pPr>
            <w:proofErr w:type="spellStart"/>
            <w:r>
              <w:rPr>
                <w:spacing w:val="-2"/>
                <w:lang w:val="en-GB" w:eastAsia="en-US"/>
              </w:rPr>
              <w:t>Pradinis</w:t>
            </w:r>
            <w:proofErr w:type="spellEnd"/>
          </w:p>
          <w:p w14:paraId="28F45D59" w14:textId="77777777" w:rsidR="003B31DC" w:rsidRDefault="00913CBE">
            <w:pPr>
              <w:tabs>
                <w:tab w:val="left" w:pos="9071"/>
              </w:tabs>
              <w:rPr>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418" w:type="dxa"/>
          </w:tcPr>
          <w:p w14:paraId="41ADD595" w14:textId="77777777" w:rsidR="003B31DC" w:rsidRDefault="00913CBE">
            <w:pPr>
              <w:tabs>
                <w:tab w:val="left" w:pos="9071"/>
              </w:tabs>
              <w:jc w:val="center"/>
              <w:rPr>
                <w:lang w:val="en-GB" w:eastAsia="en-US"/>
              </w:rPr>
            </w:pPr>
            <w:r>
              <w:rPr>
                <w:spacing w:val="-4"/>
                <w:lang w:val="en-GB" w:eastAsia="en-US"/>
              </w:rPr>
              <w:t>7,96</w:t>
            </w:r>
          </w:p>
        </w:tc>
        <w:tc>
          <w:tcPr>
            <w:tcW w:w="2268" w:type="dxa"/>
          </w:tcPr>
          <w:p w14:paraId="44E77C16" w14:textId="77777777" w:rsidR="003B31DC" w:rsidRDefault="00913CBE">
            <w:pPr>
              <w:tabs>
                <w:tab w:val="left" w:pos="9071"/>
              </w:tabs>
              <w:jc w:val="center"/>
              <w:rPr>
                <w:lang w:val="en-GB" w:eastAsia="en-US"/>
              </w:rPr>
            </w:pPr>
            <w:r>
              <w:rPr>
                <w:spacing w:val="-4"/>
                <w:lang w:val="en-GB" w:eastAsia="en-US"/>
              </w:rPr>
              <w:t>7,97</w:t>
            </w:r>
          </w:p>
        </w:tc>
        <w:tc>
          <w:tcPr>
            <w:tcW w:w="2266" w:type="dxa"/>
          </w:tcPr>
          <w:p w14:paraId="7F90325A" w14:textId="77777777" w:rsidR="003B31DC" w:rsidRDefault="00913CBE">
            <w:pPr>
              <w:tabs>
                <w:tab w:val="left" w:pos="9071"/>
              </w:tabs>
              <w:jc w:val="center"/>
              <w:rPr>
                <w:lang w:val="en-GB" w:eastAsia="en-US"/>
              </w:rPr>
            </w:pPr>
            <w:r>
              <w:rPr>
                <w:spacing w:val="-4"/>
                <w:lang w:val="en-GB" w:eastAsia="en-US"/>
              </w:rPr>
              <w:t>7,97</w:t>
            </w:r>
          </w:p>
        </w:tc>
      </w:tr>
      <w:tr w:rsidR="003B31DC" w14:paraId="2D791340" w14:textId="77777777">
        <w:trPr>
          <w:trHeight w:val="251"/>
        </w:trPr>
        <w:tc>
          <w:tcPr>
            <w:tcW w:w="2942" w:type="dxa"/>
          </w:tcPr>
          <w:p w14:paraId="4DADD36C"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2094AE0D" w14:textId="77777777" w:rsidR="003B31DC" w:rsidRDefault="00913CBE">
            <w:pPr>
              <w:tabs>
                <w:tab w:val="left" w:pos="9071"/>
              </w:tabs>
              <w:ind w:right="680"/>
              <w:rPr>
                <w:lang w:val="en-GB" w:eastAsia="en-US"/>
              </w:rPr>
            </w:pPr>
            <w:r>
              <w:rPr>
                <w:spacing w:val="-2"/>
                <w:lang w:val="en-GB" w:eastAsia="en-US"/>
              </w:rPr>
              <w:t>pradinio</w:t>
            </w:r>
            <w:r>
              <w:rPr>
                <w:spacing w:val="-2"/>
                <w:vertAlign w:val="superscript"/>
                <w:lang w:val="en-GB" w:eastAsia="en-US"/>
              </w:rPr>
              <w:t>1</w:t>
            </w:r>
          </w:p>
        </w:tc>
        <w:tc>
          <w:tcPr>
            <w:tcW w:w="1418" w:type="dxa"/>
          </w:tcPr>
          <w:p w14:paraId="02E5FE12" w14:textId="77777777" w:rsidR="003B31DC" w:rsidRDefault="00913CBE">
            <w:pPr>
              <w:tabs>
                <w:tab w:val="left" w:pos="9071"/>
              </w:tabs>
              <w:jc w:val="center"/>
              <w:rPr>
                <w:lang w:val="en-GB" w:eastAsia="en-US"/>
              </w:rPr>
            </w:pPr>
            <w:r>
              <w:rPr>
                <w:spacing w:val="-4"/>
                <w:lang w:val="en-GB" w:eastAsia="en-US"/>
              </w:rPr>
              <w:t>0,14</w:t>
            </w:r>
          </w:p>
        </w:tc>
        <w:tc>
          <w:tcPr>
            <w:tcW w:w="2268" w:type="dxa"/>
          </w:tcPr>
          <w:p w14:paraId="4C50A7BE" w14:textId="77777777" w:rsidR="003B31DC" w:rsidRDefault="00913CBE">
            <w:pPr>
              <w:tabs>
                <w:tab w:val="left" w:pos="9071"/>
              </w:tabs>
              <w:ind w:right="8"/>
              <w:jc w:val="center"/>
              <w:rPr>
                <w:lang w:val="en-GB" w:eastAsia="en-US"/>
              </w:rPr>
            </w:pPr>
            <w:r>
              <w:rPr>
                <w:spacing w:val="-4"/>
                <w:lang w:val="en-GB" w:eastAsia="en-US"/>
              </w:rPr>
              <w:t>-0,65</w:t>
            </w:r>
          </w:p>
        </w:tc>
        <w:tc>
          <w:tcPr>
            <w:tcW w:w="2266" w:type="dxa"/>
          </w:tcPr>
          <w:p w14:paraId="4D400E80" w14:textId="77777777" w:rsidR="003B31DC" w:rsidRDefault="00913CBE">
            <w:pPr>
              <w:tabs>
                <w:tab w:val="left" w:pos="9071"/>
              </w:tabs>
              <w:ind w:right="7"/>
              <w:jc w:val="center"/>
              <w:rPr>
                <w:lang w:val="en-GB" w:eastAsia="en-US"/>
              </w:rPr>
            </w:pPr>
            <w:r>
              <w:rPr>
                <w:spacing w:val="-4"/>
                <w:lang w:val="en-GB" w:eastAsia="en-US"/>
              </w:rPr>
              <w:t>-0,56</w:t>
            </w:r>
          </w:p>
        </w:tc>
      </w:tr>
      <w:tr w:rsidR="003B31DC" w14:paraId="43C84165" w14:textId="77777777">
        <w:trPr>
          <w:trHeight w:val="505"/>
        </w:trPr>
        <w:tc>
          <w:tcPr>
            <w:tcW w:w="2942" w:type="dxa"/>
          </w:tcPr>
          <w:p w14:paraId="18E4546C" w14:textId="77777777" w:rsidR="003B31DC" w:rsidRDefault="00913CBE">
            <w:pPr>
              <w:tabs>
                <w:tab w:val="left" w:pos="9071"/>
              </w:tabs>
              <w:ind w:right="176"/>
              <w:rPr>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418" w:type="dxa"/>
          </w:tcPr>
          <w:p w14:paraId="0A87625E" w14:textId="77777777" w:rsidR="003B31DC" w:rsidRDefault="003B31DC">
            <w:pPr>
              <w:tabs>
                <w:tab w:val="left" w:pos="9071"/>
              </w:tabs>
              <w:rPr>
                <w:lang w:val="en-GB" w:eastAsia="en-US"/>
              </w:rPr>
            </w:pPr>
          </w:p>
        </w:tc>
        <w:tc>
          <w:tcPr>
            <w:tcW w:w="2268" w:type="dxa"/>
          </w:tcPr>
          <w:p w14:paraId="06D56D4B" w14:textId="77777777" w:rsidR="003B31DC" w:rsidRDefault="00913CBE">
            <w:pPr>
              <w:tabs>
                <w:tab w:val="left" w:pos="9071"/>
              </w:tabs>
              <w:ind w:right="6"/>
              <w:jc w:val="center"/>
              <w:rPr>
                <w:lang w:val="en-GB" w:eastAsia="en-US"/>
              </w:rPr>
            </w:pPr>
            <w:r>
              <w:rPr>
                <w:lang w:val="en-GB" w:eastAsia="en-US"/>
              </w:rPr>
              <w:t>-0,79*</w:t>
            </w:r>
            <w:r>
              <w:rPr>
                <w:spacing w:val="-5"/>
                <w:lang w:val="en-GB" w:eastAsia="en-US"/>
              </w:rPr>
              <w:t xml:space="preserve"> </w:t>
            </w:r>
            <w:r>
              <w:rPr>
                <w:lang w:val="en-GB" w:eastAsia="en-US"/>
              </w:rPr>
              <w:t>(-1,02,</w:t>
            </w:r>
            <w:r>
              <w:rPr>
                <w:spacing w:val="-2"/>
                <w:lang w:val="en-GB" w:eastAsia="en-US"/>
              </w:rPr>
              <w:t xml:space="preserve"> </w:t>
            </w:r>
            <w:r>
              <w:rPr>
                <w:lang w:val="en-GB" w:eastAsia="en-US"/>
              </w:rPr>
              <w:t>-</w:t>
            </w:r>
            <w:r>
              <w:rPr>
                <w:spacing w:val="-2"/>
                <w:lang w:val="en-GB" w:eastAsia="en-US"/>
              </w:rPr>
              <w:t>0,55)</w:t>
            </w:r>
          </w:p>
        </w:tc>
        <w:tc>
          <w:tcPr>
            <w:tcW w:w="2266" w:type="dxa"/>
          </w:tcPr>
          <w:p w14:paraId="44CE921D" w14:textId="77777777" w:rsidR="003B31DC" w:rsidRDefault="00913CBE">
            <w:pPr>
              <w:tabs>
                <w:tab w:val="left" w:pos="9071"/>
              </w:tabs>
              <w:ind w:right="6"/>
              <w:jc w:val="center"/>
              <w:rPr>
                <w:lang w:val="en-GB" w:eastAsia="en-US"/>
              </w:rPr>
            </w:pPr>
            <w:r>
              <w:rPr>
                <w:lang w:val="en-GB" w:eastAsia="en-US"/>
              </w:rPr>
              <w:t>-0,70*</w:t>
            </w:r>
            <w:r>
              <w:rPr>
                <w:spacing w:val="-5"/>
                <w:lang w:val="en-GB" w:eastAsia="en-US"/>
              </w:rPr>
              <w:t xml:space="preserve"> </w:t>
            </w:r>
            <w:r>
              <w:rPr>
                <w:lang w:val="en-GB" w:eastAsia="en-US"/>
              </w:rPr>
              <w:t>(-0,93,</w:t>
            </w:r>
            <w:r>
              <w:rPr>
                <w:spacing w:val="-2"/>
                <w:lang w:val="en-GB" w:eastAsia="en-US"/>
              </w:rPr>
              <w:t xml:space="preserve"> </w:t>
            </w:r>
            <w:r>
              <w:rPr>
                <w:lang w:val="en-GB" w:eastAsia="en-US"/>
              </w:rPr>
              <w:t>-</w:t>
            </w:r>
            <w:r>
              <w:rPr>
                <w:spacing w:val="-2"/>
                <w:lang w:val="en-GB" w:eastAsia="en-US"/>
              </w:rPr>
              <w:t>0,46)</w:t>
            </w:r>
          </w:p>
        </w:tc>
      </w:tr>
      <w:tr w:rsidR="003B31DC" w14:paraId="0615DC9D" w14:textId="77777777">
        <w:trPr>
          <w:trHeight w:val="254"/>
        </w:trPr>
        <w:tc>
          <w:tcPr>
            <w:tcW w:w="2942" w:type="dxa"/>
          </w:tcPr>
          <w:p w14:paraId="748197E1" w14:textId="77777777" w:rsidR="003B31DC" w:rsidRDefault="00913CBE">
            <w:pPr>
              <w:tabs>
                <w:tab w:val="left" w:pos="9071"/>
              </w:tabs>
              <w:rPr>
                <w:lang w:val="en-GB" w:eastAsia="en-US"/>
              </w:rPr>
            </w:pPr>
            <w:r>
              <w:rPr>
                <w:spacing w:val="-10"/>
                <w:lang w:val="en-GB" w:eastAsia="en-US"/>
              </w:rPr>
              <w:t>N</w:t>
            </w:r>
          </w:p>
        </w:tc>
        <w:tc>
          <w:tcPr>
            <w:tcW w:w="1418" w:type="dxa"/>
          </w:tcPr>
          <w:p w14:paraId="2AAC8AED" w14:textId="77777777" w:rsidR="003B31DC" w:rsidRDefault="00913CBE">
            <w:pPr>
              <w:tabs>
                <w:tab w:val="left" w:pos="9071"/>
              </w:tabs>
              <w:ind w:right="2"/>
              <w:jc w:val="center"/>
              <w:rPr>
                <w:lang w:val="en-GB" w:eastAsia="en-US"/>
              </w:rPr>
            </w:pPr>
            <w:r>
              <w:rPr>
                <w:spacing w:val="-5"/>
                <w:lang w:val="en-GB" w:eastAsia="en-US"/>
              </w:rPr>
              <w:t>100</w:t>
            </w:r>
          </w:p>
        </w:tc>
        <w:tc>
          <w:tcPr>
            <w:tcW w:w="2268" w:type="dxa"/>
          </w:tcPr>
          <w:p w14:paraId="385A6710" w14:textId="77777777" w:rsidR="003B31DC" w:rsidRDefault="00913CBE">
            <w:pPr>
              <w:tabs>
                <w:tab w:val="left" w:pos="9071"/>
              </w:tabs>
              <w:ind w:right="3"/>
              <w:jc w:val="center"/>
              <w:rPr>
                <w:lang w:val="en-GB" w:eastAsia="en-US"/>
              </w:rPr>
            </w:pPr>
            <w:r>
              <w:rPr>
                <w:spacing w:val="-5"/>
                <w:lang w:val="en-GB" w:eastAsia="en-US"/>
              </w:rPr>
              <w:t>100</w:t>
            </w:r>
          </w:p>
        </w:tc>
        <w:tc>
          <w:tcPr>
            <w:tcW w:w="2266" w:type="dxa"/>
          </w:tcPr>
          <w:p w14:paraId="7F3096CB" w14:textId="77777777" w:rsidR="003B31DC" w:rsidRDefault="00913CBE">
            <w:pPr>
              <w:tabs>
                <w:tab w:val="left" w:pos="9071"/>
              </w:tabs>
              <w:ind w:right="3"/>
              <w:jc w:val="center"/>
              <w:rPr>
                <w:lang w:val="en-GB" w:eastAsia="en-US"/>
              </w:rPr>
            </w:pPr>
            <w:r>
              <w:rPr>
                <w:spacing w:val="-5"/>
                <w:lang w:val="en-GB" w:eastAsia="en-US"/>
              </w:rPr>
              <w:t>107</w:t>
            </w:r>
          </w:p>
        </w:tc>
      </w:tr>
      <w:tr w:rsidR="003B31DC" w14:paraId="7D245123" w14:textId="77777777">
        <w:trPr>
          <w:trHeight w:val="757"/>
        </w:trPr>
        <w:tc>
          <w:tcPr>
            <w:tcW w:w="2942" w:type="dxa"/>
          </w:tcPr>
          <w:p w14:paraId="0FBD380C" w14:textId="77777777" w:rsidR="003B31DC" w:rsidRPr="00A02B90" w:rsidRDefault="00913CBE">
            <w:pPr>
              <w:tabs>
                <w:tab w:val="left" w:pos="9071"/>
              </w:tabs>
              <w:rPr>
                <w:b/>
                <w:lang w:val="lt-LT" w:eastAsia="en-US"/>
              </w:rPr>
            </w:pPr>
            <w:r w:rsidRPr="00A02B90">
              <w:rPr>
                <w:b/>
                <w:lang w:val="lt-LT" w:eastAsia="en-US"/>
              </w:rPr>
              <w:t>Pacientai (%), kurių HbA1c kiekis tapo &lt; 7 % ir kurių pradinis HbA1c kiekis buvo ≥ 7 %2</w:t>
            </w:r>
          </w:p>
        </w:tc>
        <w:tc>
          <w:tcPr>
            <w:tcW w:w="1418" w:type="dxa"/>
          </w:tcPr>
          <w:p w14:paraId="691BE2FF" w14:textId="77777777" w:rsidR="003B31DC" w:rsidRDefault="00913CBE">
            <w:pPr>
              <w:tabs>
                <w:tab w:val="left" w:pos="9071"/>
              </w:tabs>
              <w:jc w:val="center"/>
              <w:rPr>
                <w:lang w:val="en-GB" w:eastAsia="en-US"/>
              </w:rPr>
            </w:pPr>
            <w:r>
              <w:rPr>
                <w:spacing w:val="-4"/>
                <w:lang w:val="en-GB" w:eastAsia="en-US"/>
              </w:rPr>
              <w:t>17,0</w:t>
            </w:r>
          </w:p>
        </w:tc>
        <w:tc>
          <w:tcPr>
            <w:tcW w:w="2268" w:type="dxa"/>
          </w:tcPr>
          <w:p w14:paraId="6DE04B24" w14:textId="77777777" w:rsidR="003B31DC" w:rsidRDefault="00913CBE">
            <w:pPr>
              <w:tabs>
                <w:tab w:val="left" w:pos="9071"/>
              </w:tabs>
              <w:jc w:val="center"/>
              <w:rPr>
                <w:lang w:val="en-GB" w:eastAsia="en-US"/>
              </w:rPr>
            </w:pPr>
            <w:r>
              <w:rPr>
                <w:spacing w:val="-4"/>
                <w:lang w:val="en-GB" w:eastAsia="en-US"/>
              </w:rPr>
              <w:t>37,0</w:t>
            </w:r>
          </w:p>
        </w:tc>
        <w:tc>
          <w:tcPr>
            <w:tcW w:w="2266" w:type="dxa"/>
          </w:tcPr>
          <w:p w14:paraId="50AFA39B" w14:textId="77777777" w:rsidR="003B31DC" w:rsidRDefault="00913CBE">
            <w:pPr>
              <w:tabs>
                <w:tab w:val="left" w:pos="9071"/>
              </w:tabs>
              <w:jc w:val="center"/>
              <w:rPr>
                <w:lang w:val="en-GB" w:eastAsia="en-US"/>
              </w:rPr>
            </w:pPr>
            <w:r>
              <w:rPr>
                <w:spacing w:val="-4"/>
                <w:lang w:val="en-GB" w:eastAsia="en-US"/>
              </w:rPr>
              <w:t>32,7</w:t>
            </w:r>
          </w:p>
        </w:tc>
      </w:tr>
      <w:tr w:rsidR="003B31DC" w14:paraId="2DCD61FF" w14:textId="77777777">
        <w:trPr>
          <w:trHeight w:val="253"/>
        </w:trPr>
        <w:tc>
          <w:tcPr>
            <w:tcW w:w="2942" w:type="dxa"/>
          </w:tcPr>
          <w:p w14:paraId="7549B821" w14:textId="77777777" w:rsidR="003B31DC" w:rsidRDefault="00913CBE">
            <w:pPr>
              <w:tabs>
                <w:tab w:val="left" w:pos="9071"/>
              </w:tabs>
              <w:rPr>
                <w:lang w:val="en-GB" w:eastAsia="en-US"/>
              </w:rPr>
            </w:pPr>
            <w:r>
              <w:rPr>
                <w:spacing w:val="-10"/>
                <w:lang w:val="en-GB" w:eastAsia="en-US"/>
              </w:rPr>
              <w:t>N</w:t>
            </w:r>
          </w:p>
        </w:tc>
        <w:tc>
          <w:tcPr>
            <w:tcW w:w="1418" w:type="dxa"/>
          </w:tcPr>
          <w:p w14:paraId="2829B31D" w14:textId="77777777" w:rsidR="003B31DC" w:rsidRDefault="00913CBE">
            <w:pPr>
              <w:tabs>
                <w:tab w:val="left" w:pos="9071"/>
              </w:tabs>
              <w:ind w:right="2"/>
              <w:jc w:val="center"/>
              <w:rPr>
                <w:lang w:val="en-GB" w:eastAsia="en-US"/>
              </w:rPr>
            </w:pPr>
            <w:r>
              <w:rPr>
                <w:spacing w:val="-5"/>
                <w:lang w:val="en-GB" w:eastAsia="en-US"/>
              </w:rPr>
              <w:t>106</w:t>
            </w:r>
          </w:p>
        </w:tc>
        <w:tc>
          <w:tcPr>
            <w:tcW w:w="2268" w:type="dxa"/>
          </w:tcPr>
          <w:p w14:paraId="62C93361" w14:textId="77777777" w:rsidR="003B31DC" w:rsidRDefault="00913CBE">
            <w:pPr>
              <w:tabs>
                <w:tab w:val="left" w:pos="9071"/>
              </w:tabs>
              <w:ind w:right="3"/>
              <w:jc w:val="center"/>
              <w:rPr>
                <w:lang w:val="en-GB" w:eastAsia="en-US"/>
              </w:rPr>
            </w:pPr>
            <w:r>
              <w:rPr>
                <w:spacing w:val="-5"/>
                <w:lang w:val="en-GB" w:eastAsia="en-US"/>
              </w:rPr>
              <w:t>109</w:t>
            </w:r>
          </w:p>
        </w:tc>
        <w:tc>
          <w:tcPr>
            <w:tcW w:w="2266" w:type="dxa"/>
          </w:tcPr>
          <w:p w14:paraId="5BC4F3E4" w14:textId="77777777" w:rsidR="003B31DC" w:rsidRDefault="00913CBE">
            <w:pPr>
              <w:tabs>
                <w:tab w:val="left" w:pos="9071"/>
              </w:tabs>
              <w:ind w:right="3"/>
              <w:jc w:val="center"/>
              <w:rPr>
                <w:lang w:val="en-GB" w:eastAsia="en-US"/>
              </w:rPr>
            </w:pPr>
            <w:r>
              <w:rPr>
                <w:spacing w:val="-5"/>
                <w:lang w:val="en-GB" w:eastAsia="en-US"/>
              </w:rPr>
              <w:t>110</w:t>
            </w:r>
          </w:p>
        </w:tc>
      </w:tr>
      <w:tr w:rsidR="003B31DC" w14:paraId="066E788F" w14:textId="77777777">
        <w:trPr>
          <w:trHeight w:val="251"/>
        </w:trPr>
        <w:tc>
          <w:tcPr>
            <w:tcW w:w="8894" w:type="dxa"/>
            <w:gridSpan w:val="4"/>
          </w:tcPr>
          <w:p w14:paraId="3B354A41" w14:textId="77777777" w:rsidR="003B31DC" w:rsidRDefault="00913CBE">
            <w:pPr>
              <w:tabs>
                <w:tab w:val="left" w:pos="9071"/>
              </w:tabs>
              <w:rPr>
                <w:b/>
                <w:lang w:val="en-GB" w:eastAsia="en-US"/>
              </w:rPr>
            </w:pPr>
            <w:proofErr w:type="spellStart"/>
            <w:r>
              <w:rPr>
                <w:b/>
                <w:lang w:val="en-GB" w:eastAsia="en-US"/>
              </w:rPr>
              <w:t>Kūno</w:t>
            </w:r>
            <w:proofErr w:type="spellEnd"/>
            <w:r>
              <w:rPr>
                <w:b/>
                <w:lang w:val="en-GB" w:eastAsia="en-US"/>
              </w:rPr>
              <w:t xml:space="preserve"> </w:t>
            </w:r>
            <w:proofErr w:type="spellStart"/>
            <w:r>
              <w:rPr>
                <w:b/>
                <w:lang w:val="en-GB" w:eastAsia="en-US"/>
              </w:rPr>
              <w:t>svoris</w:t>
            </w:r>
            <w:proofErr w:type="spellEnd"/>
            <w:r>
              <w:rPr>
                <w:b/>
                <w:spacing w:val="-5"/>
                <w:lang w:val="en-GB" w:eastAsia="en-US"/>
              </w:rPr>
              <w:t xml:space="preserve"> </w:t>
            </w:r>
            <w:r>
              <w:rPr>
                <w:b/>
                <w:spacing w:val="-4"/>
                <w:lang w:val="en-GB" w:eastAsia="en-US"/>
              </w:rPr>
              <w:t>(kg)</w:t>
            </w:r>
            <w:r>
              <w:rPr>
                <w:b/>
                <w:spacing w:val="-4"/>
                <w:vertAlign w:val="superscript"/>
                <w:lang w:val="en-GB" w:eastAsia="en-US"/>
              </w:rPr>
              <w:t>3</w:t>
            </w:r>
          </w:p>
        </w:tc>
      </w:tr>
      <w:tr w:rsidR="003B31DC" w14:paraId="539622B8" w14:textId="77777777">
        <w:trPr>
          <w:trHeight w:val="254"/>
        </w:trPr>
        <w:tc>
          <w:tcPr>
            <w:tcW w:w="2942" w:type="dxa"/>
          </w:tcPr>
          <w:p w14:paraId="5713AA5D" w14:textId="77777777" w:rsidR="003B31DC" w:rsidRDefault="00913CBE">
            <w:pPr>
              <w:tabs>
                <w:tab w:val="left" w:pos="9071"/>
              </w:tabs>
              <w:rPr>
                <w:lang w:val="en-GB" w:eastAsia="en-US"/>
              </w:rPr>
            </w:pPr>
            <w:proofErr w:type="spellStart"/>
            <w:r>
              <w:rPr>
                <w:spacing w:val="-2"/>
                <w:lang w:val="en-GB" w:eastAsia="en-US"/>
              </w:rPr>
              <w:t>Pradinis</w:t>
            </w:r>
            <w:proofErr w:type="spellEnd"/>
          </w:p>
          <w:p w14:paraId="287B9644" w14:textId="77777777" w:rsidR="003B31DC" w:rsidRDefault="00913CBE">
            <w:pPr>
              <w:tabs>
                <w:tab w:val="left" w:pos="9071"/>
              </w:tabs>
              <w:rPr>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418" w:type="dxa"/>
          </w:tcPr>
          <w:p w14:paraId="2840786F" w14:textId="77777777" w:rsidR="003B31DC" w:rsidRDefault="00913CBE">
            <w:pPr>
              <w:tabs>
                <w:tab w:val="left" w:pos="9071"/>
              </w:tabs>
              <w:jc w:val="center"/>
              <w:rPr>
                <w:lang w:val="en-GB" w:eastAsia="en-US"/>
              </w:rPr>
            </w:pPr>
            <w:r>
              <w:rPr>
                <w:spacing w:val="-4"/>
                <w:lang w:val="en-GB" w:eastAsia="en-US"/>
              </w:rPr>
              <w:t>82,3</w:t>
            </w:r>
          </w:p>
        </w:tc>
        <w:tc>
          <w:tcPr>
            <w:tcW w:w="2268" w:type="dxa"/>
          </w:tcPr>
          <w:p w14:paraId="4C5909F9" w14:textId="77777777" w:rsidR="003B31DC" w:rsidRDefault="00913CBE">
            <w:pPr>
              <w:tabs>
                <w:tab w:val="left" w:pos="9071"/>
              </w:tabs>
              <w:jc w:val="center"/>
              <w:rPr>
                <w:lang w:val="en-GB" w:eastAsia="en-US"/>
              </w:rPr>
            </w:pPr>
            <w:r>
              <w:rPr>
                <w:spacing w:val="-4"/>
                <w:lang w:val="en-GB" w:eastAsia="en-US"/>
              </w:rPr>
              <w:t>88,4</w:t>
            </w:r>
          </w:p>
        </w:tc>
        <w:tc>
          <w:tcPr>
            <w:tcW w:w="2266" w:type="dxa"/>
          </w:tcPr>
          <w:p w14:paraId="0EE07285" w14:textId="77777777" w:rsidR="003B31DC" w:rsidRDefault="00913CBE">
            <w:pPr>
              <w:tabs>
                <w:tab w:val="left" w:pos="9071"/>
              </w:tabs>
              <w:jc w:val="center"/>
              <w:rPr>
                <w:lang w:val="en-GB" w:eastAsia="en-US"/>
              </w:rPr>
            </w:pPr>
            <w:r>
              <w:rPr>
                <w:spacing w:val="-4"/>
                <w:lang w:val="en-GB" w:eastAsia="en-US"/>
              </w:rPr>
              <w:t>84,4</w:t>
            </w:r>
          </w:p>
        </w:tc>
      </w:tr>
      <w:tr w:rsidR="003B31DC" w14:paraId="4253CE55" w14:textId="77777777">
        <w:trPr>
          <w:trHeight w:val="253"/>
        </w:trPr>
        <w:tc>
          <w:tcPr>
            <w:tcW w:w="2942" w:type="dxa"/>
          </w:tcPr>
          <w:p w14:paraId="41BED4D8"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50F840CE" w14:textId="77777777" w:rsidR="003B31DC" w:rsidRDefault="00913CBE">
            <w:pPr>
              <w:tabs>
                <w:tab w:val="left" w:pos="9071"/>
              </w:tabs>
              <w:ind w:right="680"/>
              <w:rPr>
                <w:lang w:val="en-GB" w:eastAsia="en-US"/>
              </w:rPr>
            </w:pPr>
            <w:r>
              <w:rPr>
                <w:spacing w:val="-2"/>
                <w:lang w:val="en-GB" w:eastAsia="en-US"/>
              </w:rPr>
              <w:t>pradinio</w:t>
            </w:r>
            <w:r>
              <w:rPr>
                <w:spacing w:val="-2"/>
                <w:vertAlign w:val="superscript"/>
                <w:lang w:val="en-GB" w:eastAsia="en-US"/>
              </w:rPr>
              <w:t>1</w:t>
            </w:r>
          </w:p>
        </w:tc>
        <w:tc>
          <w:tcPr>
            <w:tcW w:w="1418" w:type="dxa"/>
          </w:tcPr>
          <w:p w14:paraId="5EDAEC9C" w14:textId="77777777" w:rsidR="003B31DC" w:rsidRDefault="00913CBE">
            <w:pPr>
              <w:tabs>
                <w:tab w:val="left" w:pos="9071"/>
              </w:tabs>
              <w:ind w:right="7"/>
              <w:jc w:val="center"/>
              <w:rPr>
                <w:lang w:val="en-GB" w:eastAsia="en-US"/>
              </w:rPr>
            </w:pPr>
            <w:r>
              <w:rPr>
                <w:spacing w:val="-4"/>
                <w:lang w:val="en-GB" w:eastAsia="en-US"/>
              </w:rPr>
              <w:t>-</w:t>
            </w:r>
            <w:r>
              <w:rPr>
                <w:spacing w:val="-5"/>
                <w:lang w:val="en-GB" w:eastAsia="en-US"/>
              </w:rPr>
              <w:t>0,3</w:t>
            </w:r>
          </w:p>
        </w:tc>
        <w:tc>
          <w:tcPr>
            <w:tcW w:w="2268" w:type="dxa"/>
          </w:tcPr>
          <w:p w14:paraId="0FB40B58" w14:textId="77777777" w:rsidR="003B31DC" w:rsidRDefault="00913CBE">
            <w:pPr>
              <w:tabs>
                <w:tab w:val="left" w:pos="9071"/>
              </w:tabs>
              <w:ind w:right="8"/>
              <w:jc w:val="center"/>
              <w:rPr>
                <w:lang w:val="en-GB" w:eastAsia="en-US"/>
              </w:rPr>
            </w:pPr>
            <w:r>
              <w:rPr>
                <w:spacing w:val="-4"/>
                <w:lang w:val="en-GB" w:eastAsia="en-US"/>
              </w:rPr>
              <w:t>-</w:t>
            </w:r>
            <w:r>
              <w:rPr>
                <w:spacing w:val="-5"/>
                <w:lang w:val="en-GB" w:eastAsia="en-US"/>
              </w:rPr>
              <w:t>3,1</w:t>
            </w:r>
          </w:p>
        </w:tc>
        <w:tc>
          <w:tcPr>
            <w:tcW w:w="2266" w:type="dxa"/>
          </w:tcPr>
          <w:p w14:paraId="0923ED50" w14:textId="77777777" w:rsidR="003B31DC" w:rsidRDefault="00913CBE">
            <w:pPr>
              <w:tabs>
                <w:tab w:val="left" w:pos="9071"/>
              </w:tabs>
              <w:ind w:right="7"/>
              <w:jc w:val="center"/>
              <w:rPr>
                <w:lang w:val="en-GB" w:eastAsia="en-US"/>
              </w:rPr>
            </w:pPr>
            <w:r>
              <w:rPr>
                <w:spacing w:val="-4"/>
                <w:lang w:val="en-GB" w:eastAsia="en-US"/>
              </w:rPr>
              <w:t>-</w:t>
            </w:r>
            <w:r>
              <w:rPr>
                <w:spacing w:val="-5"/>
                <w:lang w:val="en-GB" w:eastAsia="en-US"/>
              </w:rPr>
              <w:t>2,5</w:t>
            </w:r>
          </w:p>
        </w:tc>
      </w:tr>
      <w:tr w:rsidR="003B31DC" w14:paraId="6C4B9BD9" w14:textId="77777777">
        <w:trPr>
          <w:trHeight w:val="506"/>
        </w:trPr>
        <w:tc>
          <w:tcPr>
            <w:tcW w:w="2942" w:type="dxa"/>
          </w:tcPr>
          <w:p w14:paraId="241F7C88" w14:textId="77777777" w:rsidR="003B31DC" w:rsidRDefault="00913CBE">
            <w:pPr>
              <w:tabs>
                <w:tab w:val="left" w:pos="9071"/>
              </w:tabs>
              <w:rPr>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418" w:type="dxa"/>
          </w:tcPr>
          <w:p w14:paraId="66F9253A" w14:textId="77777777" w:rsidR="003B31DC" w:rsidRDefault="003B31DC">
            <w:pPr>
              <w:tabs>
                <w:tab w:val="left" w:pos="9071"/>
              </w:tabs>
              <w:rPr>
                <w:lang w:val="en-GB" w:eastAsia="en-US"/>
              </w:rPr>
            </w:pPr>
          </w:p>
        </w:tc>
        <w:tc>
          <w:tcPr>
            <w:tcW w:w="2268" w:type="dxa"/>
          </w:tcPr>
          <w:p w14:paraId="7F160845" w14:textId="77777777" w:rsidR="003B31DC" w:rsidRDefault="00913CBE">
            <w:pPr>
              <w:tabs>
                <w:tab w:val="left" w:pos="9071"/>
              </w:tabs>
              <w:ind w:right="6"/>
              <w:jc w:val="center"/>
              <w:rPr>
                <w:lang w:val="en-GB" w:eastAsia="en-US"/>
              </w:rPr>
            </w:pPr>
            <w:r>
              <w:rPr>
                <w:lang w:val="en-GB" w:eastAsia="en-US"/>
              </w:rPr>
              <w:t>-2,8*</w:t>
            </w:r>
            <w:r>
              <w:rPr>
                <w:spacing w:val="-5"/>
                <w:lang w:val="en-GB" w:eastAsia="en-US"/>
              </w:rPr>
              <w:t xml:space="preserve"> </w:t>
            </w:r>
            <w:r>
              <w:rPr>
                <w:lang w:val="en-GB" w:eastAsia="en-US"/>
              </w:rPr>
              <w:t>(-3,5,</w:t>
            </w:r>
            <w:r>
              <w:rPr>
                <w:spacing w:val="-2"/>
                <w:lang w:val="en-GB" w:eastAsia="en-US"/>
              </w:rPr>
              <w:t xml:space="preserve"> </w:t>
            </w:r>
            <w:r>
              <w:rPr>
                <w:lang w:val="en-GB" w:eastAsia="en-US"/>
              </w:rPr>
              <w:t>-</w:t>
            </w:r>
            <w:r>
              <w:rPr>
                <w:spacing w:val="-4"/>
                <w:lang w:val="en-GB" w:eastAsia="en-US"/>
              </w:rPr>
              <w:t>2,1)</w:t>
            </w:r>
          </w:p>
        </w:tc>
        <w:tc>
          <w:tcPr>
            <w:tcW w:w="2266" w:type="dxa"/>
          </w:tcPr>
          <w:p w14:paraId="0B4835FB" w14:textId="77777777" w:rsidR="003B31DC" w:rsidRDefault="00913CBE">
            <w:pPr>
              <w:tabs>
                <w:tab w:val="left" w:pos="9071"/>
              </w:tabs>
              <w:ind w:right="6"/>
              <w:jc w:val="center"/>
              <w:rPr>
                <w:lang w:val="en-GB" w:eastAsia="en-US"/>
              </w:rPr>
            </w:pPr>
            <w:r>
              <w:rPr>
                <w:lang w:val="en-GB" w:eastAsia="en-US"/>
              </w:rPr>
              <w:t>-2,2*</w:t>
            </w:r>
            <w:r>
              <w:rPr>
                <w:spacing w:val="-5"/>
                <w:lang w:val="en-GB" w:eastAsia="en-US"/>
              </w:rPr>
              <w:t xml:space="preserve"> </w:t>
            </w:r>
            <w:r>
              <w:rPr>
                <w:lang w:val="en-GB" w:eastAsia="en-US"/>
              </w:rPr>
              <w:t>(-2,9,</w:t>
            </w:r>
            <w:r>
              <w:rPr>
                <w:spacing w:val="-2"/>
                <w:lang w:val="en-GB" w:eastAsia="en-US"/>
              </w:rPr>
              <w:t xml:space="preserve"> </w:t>
            </w:r>
            <w:r>
              <w:rPr>
                <w:lang w:val="en-GB" w:eastAsia="en-US"/>
              </w:rPr>
              <w:t>-</w:t>
            </w:r>
            <w:r>
              <w:rPr>
                <w:spacing w:val="-4"/>
                <w:lang w:val="en-GB" w:eastAsia="en-US"/>
              </w:rPr>
              <w:t>1,5)</w:t>
            </w:r>
          </w:p>
        </w:tc>
      </w:tr>
      <w:tr w:rsidR="003B31DC" w14:paraId="05141626" w14:textId="77777777">
        <w:trPr>
          <w:trHeight w:val="251"/>
        </w:trPr>
        <w:tc>
          <w:tcPr>
            <w:tcW w:w="2942" w:type="dxa"/>
          </w:tcPr>
          <w:p w14:paraId="2BA6C07B" w14:textId="77777777" w:rsidR="003B31DC" w:rsidRDefault="00913CBE">
            <w:pPr>
              <w:tabs>
                <w:tab w:val="left" w:pos="9071"/>
              </w:tabs>
              <w:rPr>
                <w:lang w:val="en-GB" w:eastAsia="en-US"/>
              </w:rPr>
            </w:pPr>
            <w:r>
              <w:rPr>
                <w:spacing w:val="-10"/>
                <w:lang w:val="en-GB" w:eastAsia="en-US"/>
              </w:rPr>
              <w:t>N</w:t>
            </w:r>
          </w:p>
        </w:tc>
        <w:tc>
          <w:tcPr>
            <w:tcW w:w="1418" w:type="dxa"/>
          </w:tcPr>
          <w:p w14:paraId="3732F0D9" w14:textId="77777777" w:rsidR="003B31DC" w:rsidRDefault="00913CBE">
            <w:pPr>
              <w:tabs>
                <w:tab w:val="left" w:pos="9071"/>
              </w:tabs>
              <w:ind w:right="2"/>
              <w:jc w:val="center"/>
              <w:rPr>
                <w:lang w:val="en-GB" w:eastAsia="en-US"/>
              </w:rPr>
            </w:pPr>
            <w:r>
              <w:rPr>
                <w:spacing w:val="-5"/>
                <w:lang w:val="en-GB" w:eastAsia="en-US"/>
              </w:rPr>
              <w:t>106</w:t>
            </w:r>
          </w:p>
        </w:tc>
        <w:tc>
          <w:tcPr>
            <w:tcW w:w="2268" w:type="dxa"/>
          </w:tcPr>
          <w:p w14:paraId="384E7738" w14:textId="77777777" w:rsidR="003B31DC" w:rsidRDefault="00913CBE">
            <w:pPr>
              <w:tabs>
                <w:tab w:val="left" w:pos="9071"/>
              </w:tabs>
              <w:ind w:right="3"/>
              <w:jc w:val="center"/>
              <w:rPr>
                <w:lang w:val="en-GB" w:eastAsia="en-US"/>
              </w:rPr>
            </w:pPr>
            <w:r>
              <w:rPr>
                <w:spacing w:val="-5"/>
                <w:lang w:val="en-GB" w:eastAsia="en-US"/>
              </w:rPr>
              <w:t>109</w:t>
            </w:r>
          </w:p>
        </w:tc>
        <w:tc>
          <w:tcPr>
            <w:tcW w:w="2266" w:type="dxa"/>
          </w:tcPr>
          <w:p w14:paraId="354076A3" w14:textId="77777777" w:rsidR="003B31DC" w:rsidRDefault="00913CBE">
            <w:pPr>
              <w:tabs>
                <w:tab w:val="left" w:pos="9071"/>
              </w:tabs>
              <w:ind w:right="3"/>
              <w:jc w:val="center"/>
              <w:rPr>
                <w:lang w:val="en-GB" w:eastAsia="en-US"/>
              </w:rPr>
            </w:pPr>
            <w:r>
              <w:rPr>
                <w:spacing w:val="-5"/>
                <w:lang w:val="en-GB" w:eastAsia="en-US"/>
              </w:rPr>
              <w:t>110</w:t>
            </w:r>
          </w:p>
        </w:tc>
      </w:tr>
      <w:tr w:rsidR="003B31DC" w14:paraId="64B6AA9F" w14:textId="77777777">
        <w:trPr>
          <w:trHeight w:val="253"/>
        </w:trPr>
        <w:tc>
          <w:tcPr>
            <w:tcW w:w="8894" w:type="dxa"/>
            <w:gridSpan w:val="4"/>
          </w:tcPr>
          <w:p w14:paraId="6EA2557E" w14:textId="77777777" w:rsidR="003B31DC" w:rsidRDefault="00913CBE">
            <w:pPr>
              <w:tabs>
                <w:tab w:val="left" w:pos="9071"/>
              </w:tabs>
              <w:rPr>
                <w:b/>
                <w:lang w:val="en-GB" w:eastAsia="en-US"/>
              </w:rPr>
            </w:pPr>
            <w:r>
              <w:rPr>
                <w:b/>
                <w:lang w:val="en-GB" w:eastAsia="en-US"/>
              </w:rPr>
              <w:t>SKS</w:t>
            </w:r>
            <w:r>
              <w:rPr>
                <w:b/>
                <w:spacing w:val="-5"/>
                <w:lang w:val="en-GB" w:eastAsia="en-US"/>
              </w:rPr>
              <w:t xml:space="preserve"> </w:t>
            </w:r>
            <w:r>
              <w:rPr>
                <w:b/>
                <w:spacing w:val="-2"/>
                <w:lang w:val="en-GB" w:eastAsia="en-US"/>
              </w:rPr>
              <w:t>(mmHg)</w:t>
            </w:r>
            <w:r>
              <w:rPr>
                <w:b/>
                <w:spacing w:val="-2"/>
                <w:vertAlign w:val="superscript"/>
                <w:lang w:val="en-GB" w:eastAsia="en-US"/>
              </w:rPr>
              <w:t>4</w:t>
            </w:r>
          </w:p>
        </w:tc>
      </w:tr>
      <w:tr w:rsidR="003B31DC" w14:paraId="536DC646" w14:textId="77777777">
        <w:trPr>
          <w:trHeight w:val="251"/>
        </w:trPr>
        <w:tc>
          <w:tcPr>
            <w:tcW w:w="2942" w:type="dxa"/>
          </w:tcPr>
          <w:p w14:paraId="4EBC8CAC" w14:textId="77777777" w:rsidR="003B31DC" w:rsidRDefault="00913CBE">
            <w:pPr>
              <w:tabs>
                <w:tab w:val="left" w:pos="9071"/>
              </w:tabs>
              <w:rPr>
                <w:lang w:val="en-GB" w:eastAsia="en-US"/>
              </w:rPr>
            </w:pPr>
            <w:proofErr w:type="spellStart"/>
            <w:r>
              <w:rPr>
                <w:spacing w:val="-2"/>
                <w:lang w:val="en-GB" w:eastAsia="en-US"/>
              </w:rPr>
              <w:t>Pradinis</w:t>
            </w:r>
            <w:proofErr w:type="spellEnd"/>
          </w:p>
          <w:p w14:paraId="326D8671" w14:textId="77777777" w:rsidR="003B31DC" w:rsidRDefault="00913CBE">
            <w:pPr>
              <w:tabs>
                <w:tab w:val="left" w:pos="9071"/>
              </w:tabs>
              <w:rPr>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418" w:type="dxa"/>
          </w:tcPr>
          <w:p w14:paraId="2ECB5C5E" w14:textId="77777777" w:rsidR="003B31DC" w:rsidRDefault="00913CBE">
            <w:pPr>
              <w:tabs>
                <w:tab w:val="left" w:pos="9071"/>
              </w:tabs>
              <w:jc w:val="center"/>
              <w:rPr>
                <w:lang w:val="en-GB" w:eastAsia="en-US"/>
              </w:rPr>
            </w:pPr>
            <w:r>
              <w:rPr>
                <w:spacing w:val="-2"/>
                <w:lang w:val="en-GB" w:eastAsia="en-US"/>
              </w:rPr>
              <w:t>130,1</w:t>
            </w:r>
          </w:p>
        </w:tc>
        <w:tc>
          <w:tcPr>
            <w:tcW w:w="2268" w:type="dxa"/>
          </w:tcPr>
          <w:p w14:paraId="4AA34848" w14:textId="77777777" w:rsidR="003B31DC" w:rsidRDefault="00913CBE">
            <w:pPr>
              <w:tabs>
                <w:tab w:val="left" w:pos="9071"/>
              </w:tabs>
              <w:jc w:val="center"/>
              <w:rPr>
                <w:lang w:val="en-GB" w:eastAsia="en-US"/>
              </w:rPr>
            </w:pPr>
            <w:r>
              <w:rPr>
                <w:spacing w:val="-2"/>
                <w:lang w:val="en-GB" w:eastAsia="en-US"/>
              </w:rPr>
              <w:t>130,4</w:t>
            </w:r>
          </w:p>
        </w:tc>
        <w:tc>
          <w:tcPr>
            <w:tcW w:w="2266" w:type="dxa"/>
          </w:tcPr>
          <w:p w14:paraId="7518CC97" w14:textId="77777777" w:rsidR="003B31DC" w:rsidRDefault="00913CBE">
            <w:pPr>
              <w:tabs>
                <w:tab w:val="left" w:pos="9071"/>
              </w:tabs>
              <w:jc w:val="center"/>
              <w:rPr>
                <w:lang w:val="en-GB" w:eastAsia="en-US"/>
              </w:rPr>
            </w:pPr>
            <w:r>
              <w:rPr>
                <w:spacing w:val="-2"/>
                <w:lang w:val="en-GB" w:eastAsia="en-US"/>
              </w:rPr>
              <w:t>131,0</w:t>
            </w:r>
          </w:p>
        </w:tc>
      </w:tr>
      <w:tr w:rsidR="003B31DC" w14:paraId="5BB68785" w14:textId="77777777">
        <w:trPr>
          <w:trHeight w:val="253"/>
        </w:trPr>
        <w:tc>
          <w:tcPr>
            <w:tcW w:w="2942" w:type="dxa"/>
          </w:tcPr>
          <w:p w14:paraId="355C4A5D"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309DB0F2" w14:textId="77777777" w:rsidR="003B31DC" w:rsidRDefault="00913CBE">
            <w:pPr>
              <w:tabs>
                <w:tab w:val="left" w:pos="9071"/>
              </w:tabs>
              <w:ind w:right="680"/>
              <w:rPr>
                <w:lang w:val="en-GB" w:eastAsia="en-US"/>
              </w:rPr>
            </w:pPr>
            <w:r>
              <w:rPr>
                <w:spacing w:val="-2"/>
                <w:lang w:val="en-GB" w:eastAsia="en-US"/>
              </w:rPr>
              <w:t>pradinio</w:t>
            </w:r>
            <w:r>
              <w:rPr>
                <w:spacing w:val="-2"/>
                <w:vertAlign w:val="superscript"/>
                <w:lang w:val="en-GB" w:eastAsia="en-US"/>
              </w:rPr>
              <w:t>1</w:t>
            </w:r>
          </w:p>
        </w:tc>
        <w:tc>
          <w:tcPr>
            <w:tcW w:w="1418" w:type="dxa"/>
          </w:tcPr>
          <w:p w14:paraId="2C9A019E" w14:textId="77777777" w:rsidR="003B31DC" w:rsidRDefault="00913CBE">
            <w:pPr>
              <w:tabs>
                <w:tab w:val="left" w:pos="9071"/>
              </w:tabs>
              <w:ind w:right="7"/>
              <w:jc w:val="center"/>
              <w:rPr>
                <w:lang w:val="en-GB" w:eastAsia="en-US"/>
              </w:rPr>
            </w:pPr>
            <w:r>
              <w:rPr>
                <w:spacing w:val="-4"/>
                <w:lang w:val="en-GB" w:eastAsia="en-US"/>
              </w:rPr>
              <w:t>-</w:t>
            </w:r>
            <w:r>
              <w:rPr>
                <w:spacing w:val="-5"/>
                <w:lang w:val="en-GB" w:eastAsia="en-US"/>
              </w:rPr>
              <w:t>1,7</w:t>
            </w:r>
          </w:p>
        </w:tc>
        <w:tc>
          <w:tcPr>
            <w:tcW w:w="2268" w:type="dxa"/>
          </w:tcPr>
          <w:p w14:paraId="2B3CCBBD" w14:textId="77777777" w:rsidR="003B31DC" w:rsidRDefault="00913CBE">
            <w:pPr>
              <w:tabs>
                <w:tab w:val="left" w:pos="9071"/>
              </w:tabs>
              <w:ind w:right="8"/>
              <w:jc w:val="center"/>
              <w:rPr>
                <w:lang w:val="en-GB" w:eastAsia="en-US"/>
              </w:rPr>
            </w:pPr>
            <w:r>
              <w:rPr>
                <w:spacing w:val="-4"/>
                <w:lang w:val="en-GB" w:eastAsia="en-US"/>
              </w:rPr>
              <w:t>-</w:t>
            </w:r>
            <w:r>
              <w:rPr>
                <w:spacing w:val="-5"/>
                <w:lang w:val="en-GB" w:eastAsia="en-US"/>
              </w:rPr>
              <w:t>3,0</w:t>
            </w:r>
          </w:p>
        </w:tc>
        <w:tc>
          <w:tcPr>
            <w:tcW w:w="2266" w:type="dxa"/>
          </w:tcPr>
          <w:p w14:paraId="5660D41F" w14:textId="77777777" w:rsidR="003B31DC" w:rsidRDefault="00913CBE">
            <w:pPr>
              <w:tabs>
                <w:tab w:val="left" w:pos="9071"/>
              </w:tabs>
              <w:ind w:right="7"/>
              <w:jc w:val="center"/>
              <w:rPr>
                <w:lang w:val="en-GB" w:eastAsia="en-US"/>
              </w:rPr>
            </w:pPr>
            <w:r>
              <w:rPr>
                <w:spacing w:val="-4"/>
                <w:lang w:val="en-GB" w:eastAsia="en-US"/>
              </w:rPr>
              <w:t>-</w:t>
            </w:r>
            <w:r>
              <w:rPr>
                <w:spacing w:val="-5"/>
                <w:lang w:val="en-GB" w:eastAsia="en-US"/>
              </w:rPr>
              <w:t>4,3</w:t>
            </w:r>
          </w:p>
        </w:tc>
      </w:tr>
      <w:tr w:rsidR="003B31DC" w14:paraId="32D7D78E" w14:textId="77777777">
        <w:trPr>
          <w:trHeight w:val="506"/>
        </w:trPr>
        <w:tc>
          <w:tcPr>
            <w:tcW w:w="2942" w:type="dxa"/>
          </w:tcPr>
          <w:p w14:paraId="0479E67E" w14:textId="77777777" w:rsidR="003B31DC" w:rsidRDefault="00913CBE">
            <w:pPr>
              <w:tabs>
                <w:tab w:val="left" w:pos="9071"/>
              </w:tabs>
              <w:rPr>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418" w:type="dxa"/>
          </w:tcPr>
          <w:p w14:paraId="538C15D6" w14:textId="77777777" w:rsidR="003B31DC" w:rsidRDefault="003B31DC">
            <w:pPr>
              <w:tabs>
                <w:tab w:val="left" w:pos="9071"/>
              </w:tabs>
              <w:rPr>
                <w:lang w:val="en-GB" w:eastAsia="en-US"/>
              </w:rPr>
            </w:pPr>
          </w:p>
        </w:tc>
        <w:tc>
          <w:tcPr>
            <w:tcW w:w="2268" w:type="dxa"/>
          </w:tcPr>
          <w:p w14:paraId="402E9712" w14:textId="77777777" w:rsidR="003B31DC" w:rsidRDefault="00913CBE">
            <w:pPr>
              <w:tabs>
                <w:tab w:val="left" w:pos="9071"/>
              </w:tabs>
              <w:ind w:right="6"/>
              <w:jc w:val="center"/>
              <w:rPr>
                <w:lang w:val="en-GB" w:eastAsia="en-US"/>
              </w:rPr>
            </w:pPr>
            <w:r>
              <w:rPr>
                <w:lang w:val="en-GB" w:eastAsia="en-US"/>
              </w:rPr>
              <w:t>-1,3</w:t>
            </w:r>
            <w:r>
              <w:rPr>
                <w:spacing w:val="-3"/>
                <w:lang w:val="en-GB" w:eastAsia="en-US"/>
              </w:rPr>
              <w:t xml:space="preserve"> </w:t>
            </w:r>
            <w:r>
              <w:rPr>
                <w:lang w:val="en-GB" w:eastAsia="en-US"/>
              </w:rPr>
              <w:t>(-4,2,</w:t>
            </w:r>
            <w:r>
              <w:rPr>
                <w:spacing w:val="-2"/>
                <w:lang w:val="en-GB" w:eastAsia="en-US"/>
              </w:rPr>
              <w:t xml:space="preserve"> </w:t>
            </w:r>
            <w:r>
              <w:rPr>
                <w:spacing w:val="-4"/>
                <w:lang w:val="en-GB" w:eastAsia="en-US"/>
              </w:rPr>
              <w:t>1,7)</w:t>
            </w:r>
          </w:p>
        </w:tc>
        <w:tc>
          <w:tcPr>
            <w:tcW w:w="2266" w:type="dxa"/>
          </w:tcPr>
          <w:p w14:paraId="56666FB2" w14:textId="77777777" w:rsidR="003B31DC" w:rsidRDefault="00913CBE">
            <w:pPr>
              <w:tabs>
                <w:tab w:val="left" w:pos="9071"/>
              </w:tabs>
              <w:ind w:right="6"/>
              <w:jc w:val="center"/>
              <w:rPr>
                <w:lang w:val="en-GB" w:eastAsia="en-US"/>
              </w:rPr>
            </w:pPr>
            <w:r>
              <w:rPr>
                <w:lang w:val="en-GB" w:eastAsia="en-US"/>
              </w:rPr>
              <w:t>-2,6</w:t>
            </w:r>
            <w:r>
              <w:rPr>
                <w:spacing w:val="-3"/>
                <w:lang w:val="en-GB" w:eastAsia="en-US"/>
              </w:rPr>
              <w:t xml:space="preserve"> </w:t>
            </w:r>
            <w:r>
              <w:rPr>
                <w:lang w:val="en-GB" w:eastAsia="en-US"/>
              </w:rPr>
              <w:t>(-5,5,</w:t>
            </w:r>
            <w:r>
              <w:rPr>
                <w:spacing w:val="-2"/>
                <w:lang w:val="en-GB" w:eastAsia="en-US"/>
              </w:rPr>
              <w:t xml:space="preserve"> </w:t>
            </w:r>
            <w:r>
              <w:rPr>
                <w:spacing w:val="-4"/>
                <w:lang w:val="en-GB" w:eastAsia="en-US"/>
              </w:rPr>
              <w:t>0,4)</w:t>
            </w:r>
          </w:p>
        </w:tc>
      </w:tr>
    </w:tbl>
    <w:p w14:paraId="1D753EE6"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1</w:t>
      </w:r>
      <w:r>
        <w:rPr>
          <w:rFonts w:eastAsiaTheme="minorHAnsi"/>
          <w:color w:val="000000"/>
          <w:sz w:val="20"/>
          <w:szCs w:val="20"/>
          <w:lang w:eastAsia="en-US"/>
        </w:rPr>
        <w:t xml:space="preserve"> Vidurkis, koreguotas pagal pradinę vertę </w:t>
      </w:r>
    </w:p>
    <w:p w14:paraId="35FACF01"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2</w:t>
      </w:r>
      <w:r>
        <w:rPr>
          <w:rFonts w:eastAsiaTheme="minorHAnsi"/>
          <w:color w:val="000000"/>
          <w:sz w:val="20"/>
          <w:szCs w:val="20"/>
          <w:lang w:eastAsia="en-US"/>
        </w:rPr>
        <w:t xml:space="preserve"> Nevertintas statistinis reikšmingumas; tai nėra antrinių vertinamųjų baigčių nuoseklaus tikrinimo procedūros dalis.</w:t>
      </w:r>
    </w:p>
    <w:p w14:paraId="71E41DD8"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3</w:t>
      </w:r>
      <w:r>
        <w:rPr>
          <w:rFonts w:eastAsiaTheme="minorHAnsi"/>
          <w:color w:val="000000"/>
          <w:sz w:val="20"/>
          <w:szCs w:val="20"/>
          <w:lang w:eastAsia="en-US"/>
        </w:rPr>
        <w:t xml:space="preserve"> Į FAS (OC) MMRM modelį įtraukti pradinis HbA1c, pradinis </w:t>
      </w:r>
      <w:proofErr w:type="spellStart"/>
      <w:r>
        <w:rPr>
          <w:rFonts w:eastAsiaTheme="minorHAnsi"/>
          <w:color w:val="000000"/>
          <w:sz w:val="20"/>
          <w:szCs w:val="20"/>
          <w:lang w:eastAsia="en-US"/>
        </w:rPr>
        <w:t>aGFG</w:t>
      </w:r>
      <w:proofErr w:type="spellEnd"/>
      <w:r>
        <w:rPr>
          <w:rFonts w:eastAsiaTheme="minorHAnsi"/>
          <w:color w:val="000000"/>
          <w:sz w:val="20"/>
          <w:szCs w:val="20"/>
          <w:lang w:eastAsia="en-US"/>
        </w:rPr>
        <w:t xml:space="preserve"> (MDRD), geografinis regionas, vizitas, gydymas ir gydymo bei vizito sąveika. Įtrauktas pradinis svoris.</w:t>
      </w:r>
    </w:p>
    <w:p w14:paraId="5759E86B"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4</w:t>
      </w:r>
      <w:r>
        <w:rPr>
          <w:rFonts w:eastAsiaTheme="minorHAnsi"/>
          <w:color w:val="000000"/>
          <w:sz w:val="20"/>
          <w:szCs w:val="20"/>
          <w:lang w:eastAsia="en-US"/>
        </w:rPr>
        <w:t xml:space="preserve"> Į MMRM modelį įeina pradinis SKS ir pradinis HbA1c kaip tiesiniai kintamieji ir pradinis </w:t>
      </w:r>
      <w:proofErr w:type="spellStart"/>
      <w:r>
        <w:rPr>
          <w:rFonts w:eastAsiaTheme="minorHAnsi"/>
          <w:color w:val="000000"/>
          <w:sz w:val="20"/>
          <w:szCs w:val="20"/>
          <w:lang w:eastAsia="en-US"/>
        </w:rPr>
        <w:t>aGFG</w:t>
      </w:r>
      <w:proofErr w:type="spellEnd"/>
      <w:r>
        <w:rPr>
          <w:rFonts w:eastAsiaTheme="minorHAnsi"/>
          <w:color w:val="000000"/>
          <w:sz w:val="20"/>
          <w:szCs w:val="20"/>
          <w:lang w:eastAsia="en-US"/>
        </w:rPr>
        <w:t>, geografinis regionas, gydymas, vizitas ir vizito sąveika su gydymu kaip fiksuoti rezultatai.</w:t>
      </w:r>
    </w:p>
    <w:p w14:paraId="2F3641F0"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5</w:t>
      </w:r>
      <w:r>
        <w:rPr>
          <w:rFonts w:eastAsiaTheme="minorHAnsi"/>
          <w:color w:val="000000"/>
          <w:sz w:val="20"/>
          <w:szCs w:val="20"/>
          <w:lang w:eastAsia="en-US"/>
        </w:rPr>
        <w:t xml:space="preserve"> Pacientai, atsitiktiniu būdu paskirti į placebo grupę, vartojo placebą su 5 mg </w:t>
      </w:r>
      <w:proofErr w:type="spellStart"/>
      <w:r>
        <w:rPr>
          <w:rFonts w:eastAsiaTheme="minorHAnsi"/>
          <w:color w:val="000000"/>
          <w:sz w:val="20"/>
          <w:szCs w:val="20"/>
          <w:lang w:eastAsia="en-US"/>
        </w:rPr>
        <w:t>linagliptino</w:t>
      </w:r>
      <w:proofErr w:type="spellEnd"/>
      <w:r>
        <w:rPr>
          <w:rFonts w:eastAsiaTheme="minorHAnsi"/>
          <w:color w:val="000000"/>
          <w:sz w:val="20"/>
          <w:szCs w:val="20"/>
          <w:lang w:eastAsia="en-US"/>
        </w:rPr>
        <w:t xml:space="preserve"> ir gavo foninį gydymą </w:t>
      </w:r>
      <w:proofErr w:type="spellStart"/>
      <w:r>
        <w:rPr>
          <w:rFonts w:eastAsiaTheme="minorHAnsi"/>
          <w:color w:val="000000"/>
          <w:sz w:val="20"/>
          <w:szCs w:val="20"/>
          <w:lang w:eastAsia="en-US"/>
        </w:rPr>
        <w:t>metforminu</w:t>
      </w:r>
      <w:proofErr w:type="spellEnd"/>
      <w:r>
        <w:rPr>
          <w:rFonts w:eastAsiaTheme="minorHAnsi"/>
          <w:color w:val="000000"/>
          <w:sz w:val="20"/>
          <w:szCs w:val="20"/>
          <w:lang w:eastAsia="en-US"/>
        </w:rPr>
        <w:t>.</w:t>
      </w:r>
    </w:p>
    <w:p w14:paraId="4F8C71B3"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6</w:t>
      </w:r>
      <w:r>
        <w:rPr>
          <w:rFonts w:eastAsiaTheme="minorHAnsi"/>
          <w:color w:val="000000"/>
          <w:sz w:val="20"/>
          <w:szCs w:val="20"/>
          <w:lang w:eastAsia="en-US"/>
        </w:rPr>
        <w:t xml:space="preserve"> Pacientai, atsitiktiniu būdu paskirti į 10 mg ar 25 mg </w:t>
      </w:r>
      <w:proofErr w:type="spellStart"/>
      <w:r>
        <w:rPr>
          <w:rFonts w:eastAsiaTheme="minorHAnsi"/>
          <w:color w:val="000000"/>
          <w:sz w:val="20"/>
          <w:szCs w:val="20"/>
          <w:lang w:eastAsia="en-US"/>
        </w:rPr>
        <w:t>empagliflozino</w:t>
      </w:r>
      <w:proofErr w:type="spellEnd"/>
      <w:r>
        <w:rPr>
          <w:rFonts w:eastAsiaTheme="minorHAnsi"/>
          <w:color w:val="000000"/>
          <w:sz w:val="20"/>
          <w:szCs w:val="20"/>
          <w:lang w:eastAsia="en-US"/>
        </w:rPr>
        <w:t xml:space="preserve"> grupes, vartojo 10 mg ar 25 mg </w:t>
      </w:r>
      <w:proofErr w:type="spellStart"/>
      <w:r>
        <w:rPr>
          <w:rFonts w:eastAsiaTheme="minorHAnsi"/>
          <w:color w:val="000000"/>
          <w:sz w:val="20"/>
          <w:szCs w:val="20"/>
          <w:lang w:eastAsia="en-US"/>
        </w:rPr>
        <w:t>empagliflozino</w:t>
      </w:r>
      <w:proofErr w:type="spellEnd"/>
      <w:r>
        <w:rPr>
          <w:rFonts w:eastAsiaTheme="minorHAnsi"/>
          <w:color w:val="000000"/>
          <w:sz w:val="20"/>
          <w:szCs w:val="20"/>
          <w:lang w:eastAsia="en-US"/>
        </w:rPr>
        <w:t xml:space="preserve"> ir 5 mg </w:t>
      </w:r>
      <w:proofErr w:type="spellStart"/>
      <w:r>
        <w:rPr>
          <w:rFonts w:eastAsiaTheme="minorHAnsi"/>
          <w:color w:val="000000"/>
          <w:sz w:val="20"/>
          <w:szCs w:val="20"/>
          <w:lang w:eastAsia="en-US"/>
        </w:rPr>
        <w:t>linagliptino</w:t>
      </w:r>
      <w:proofErr w:type="spellEnd"/>
      <w:r>
        <w:rPr>
          <w:rFonts w:eastAsiaTheme="minorHAnsi"/>
          <w:color w:val="000000"/>
          <w:sz w:val="20"/>
          <w:szCs w:val="20"/>
          <w:lang w:eastAsia="en-US"/>
        </w:rPr>
        <w:t xml:space="preserve"> bei gavo foninį gydymą </w:t>
      </w:r>
      <w:proofErr w:type="spellStart"/>
      <w:r>
        <w:rPr>
          <w:rFonts w:eastAsiaTheme="minorHAnsi"/>
          <w:color w:val="000000"/>
          <w:sz w:val="20"/>
          <w:szCs w:val="20"/>
          <w:lang w:eastAsia="en-US"/>
        </w:rPr>
        <w:t>metforminu</w:t>
      </w:r>
      <w:proofErr w:type="spellEnd"/>
      <w:r>
        <w:rPr>
          <w:rFonts w:eastAsiaTheme="minorHAnsi"/>
          <w:color w:val="000000"/>
          <w:sz w:val="20"/>
          <w:szCs w:val="20"/>
          <w:lang w:eastAsia="en-US"/>
        </w:rPr>
        <w:t>.</w:t>
      </w:r>
    </w:p>
    <w:p w14:paraId="59F2ADE0" w14:textId="77777777" w:rsidR="003B31DC" w:rsidRDefault="00913CBE">
      <w:pPr>
        <w:widowControl w:val="0"/>
        <w:tabs>
          <w:tab w:val="left" w:pos="567"/>
        </w:tabs>
        <w:ind w:left="567" w:hanging="567"/>
        <w:outlineLvl w:val="2"/>
        <w:rPr>
          <w:bCs/>
          <w:kern w:val="28"/>
          <w:sz w:val="20"/>
          <w:szCs w:val="20"/>
          <w:lang w:eastAsia="en-US"/>
        </w:rPr>
      </w:pPr>
      <w:r>
        <w:rPr>
          <w:rFonts w:eastAsiaTheme="minorHAnsi"/>
          <w:color w:val="000000"/>
          <w:sz w:val="20"/>
          <w:szCs w:val="20"/>
          <w:lang w:eastAsia="en-US"/>
        </w:rPr>
        <w:t>* p vertė &lt; 0,0001</w:t>
      </w:r>
    </w:p>
    <w:p w14:paraId="4E056003" w14:textId="77777777" w:rsidR="003B31DC" w:rsidRDefault="003B31DC">
      <w:pPr>
        <w:widowControl w:val="0"/>
        <w:tabs>
          <w:tab w:val="left" w:pos="567"/>
        </w:tabs>
        <w:ind w:left="567" w:hanging="567"/>
        <w:outlineLvl w:val="2"/>
        <w:rPr>
          <w:b/>
          <w:kern w:val="28"/>
          <w:sz w:val="22"/>
          <w:szCs w:val="22"/>
          <w:lang w:eastAsia="en-US"/>
        </w:rPr>
      </w:pPr>
    </w:p>
    <w:p w14:paraId="3F4133AC" w14:textId="6B846293"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Iš anksto apibrėžtame pacientų pogrupyje, kur</w:t>
      </w:r>
      <w:r w:rsidR="00AE02DF">
        <w:rPr>
          <w:rFonts w:eastAsiaTheme="minorHAnsi"/>
          <w:color w:val="000000"/>
          <w:sz w:val="22"/>
          <w:szCs w:val="22"/>
          <w:lang w:eastAsia="en-US"/>
        </w:rPr>
        <w:t>ių</w:t>
      </w:r>
      <w:r>
        <w:rPr>
          <w:rFonts w:eastAsiaTheme="minorHAnsi"/>
          <w:color w:val="000000"/>
          <w:sz w:val="22"/>
          <w:szCs w:val="22"/>
          <w:lang w:eastAsia="en-US"/>
        </w:rPr>
        <w:t xml:space="preserve"> pradinis HbA1c buvo </w:t>
      </w:r>
      <w:r w:rsidR="00F057C1">
        <w:rPr>
          <w:rFonts w:eastAsiaTheme="minorHAnsi"/>
          <w:color w:val="000000"/>
          <w:sz w:val="22"/>
          <w:szCs w:val="22"/>
          <w:lang w:eastAsia="en-US"/>
        </w:rPr>
        <w:t>≥</w:t>
      </w:r>
      <w:r>
        <w:rPr>
          <w:rFonts w:eastAsiaTheme="minorHAnsi"/>
          <w:color w:val="000000"/>
          <w:sz w:val="22"/>
          <w:szCs w:val="22"/>
          <w:lang w:eastAsia="en-US"/>
        </w:rPr>
        <w:t xml:space="preserve"> 8,5 %, </w:t>
      </w:r>
      <w:r w:rsidR="005D574A">
        <w:rPr>
          <w:rFonts w:eastAsiaTheme="minorHAnsi"/>
          <w:color w:val="000000"/>
          <w:sz w:val="22"/>
          <w:szCs w:val="22"/>
          <w:lang w:eastAsia="en-US"/>
        </w:rPr>
        <w:t xml:space="preserve">po 24 savaičių nustatytas HbA1c sumažėjimas </w:t>
      </w:r>
      <w:r w:rsidR="00495A86">
        <w:rPr>
          <w:rFonts w:eastAsiaTheme="minorHAnsi"/>
          <w:color w:val="000000"/>
          <w:sz w:val="22"/>
          <w:szCs w:val="22"/>
          <w:lang w:eastAsia="en-US"/>
        </w:rPr>
        <w:t xml:space="preserve">nuo pradinio lygio buvo </w:t>
      </w:r>
      <w:r>
        <w:rPr>
          <w:rFonts w:eastAsiaTheme="minorHAnsi"/>
          <w:color w:val="000000"/>
          <w:sz w:val="22"/>
          <w:szCs w:val="22"/>
          <w:lang w:eastAsia="en-US"/>
        </w:rPr>
        <w:t xml:space="preserve">1,3 % </w:t>
      </w:r>
      <w:r w:rsidR="00B36532">
        <w:rPr>
          <w:rFonts w:eastAsiaTheme="minorHAnsi"/>
          <w:color w:val="000000"/>
          <w:sz w:val="22"/>
          <w:szCs w:val="22"/>
          <w:lang w:eastAsia="en-US"/>
        </w:rPr>
        <w:t xml:space="preserve">vartojant 10 mg arba 25 mg </w:t>
      </w:r>
      <w:proofErr w:type="spellStart"/>
      <w:r w:rsidR="00D44E31">
        <w:rPr>
          <w:rFonts w:eastAsiaTheme="minorHAnsi"/>
          <w:color w:val="000000"/>
          <w:sz w:val="22"/>
          <w:szCs w:val="22"/>
          <w:lang w:eastAsia="en-US"/>
        </w:rPr>
        <w:t>empagliflozino</w:t>
      </w:r>
      <w:proofErr w:type="spellEnd"/>
      <w:r w:rsidR="00D44E31">
        <w:rPr>
          <w:rFonts w:eastAsiaTheme="minorHAnsi"/>
          <w:color w:val="000000"/>
          <w:sz w:val="22"/>
          <w:szCs w:val="22"/>
          <w:lang w:eastAsia="en-US"/>
        </w:rPr>
        <w:t xml:space="preserve"> (p &lt; 0,0001), </w:t>
      </w:r>
      <w:r>
        <w:rPr>
          <w:rFonts w:eastAsiaTheme="minorHAnsi"/>
          <w:color w:val="000000"/>
          <w:sz w:val="22"/>
          <w:szCs w:val="22"/>
          <w:lang w:eastAsia="en-US"/>
        </w:rPr>
        <w:t>lyginant su placeb</w:t>
      </w:r>
      <w:r w:rsidR="00D44E31">
        <w:rPr>
          <w:rFonts w:eastAsiaTheme="minorHAnsi"/>
          <w:color w:val="000000"/>
          <w:sz w:val="22"/>
          <w:szCs w:val="22"/>
          <w:lang w:eastAsia="en-US"/>
        </w:rPr>
        <w:t>o grupe</w:t>
      </w:r>
      <w:r>
        <w:rPr>
          <w:rFonts w:eastAsiaTheme="minorHAnsi"/>
          <w:color w:val="000000"/>
          <w:sz w:val="22"/>
          <w:szCs w:val="22"/>
          <w:lang w:eastAsia="en-US"/>
        </w:rPr>
        <w:t>.</w:t>
      </w:r>
    </w:p>
    <w:p w14:paraId="43682C7E" w14:textId="77777777" w:rsidR="003B31DC" w:rsidRDefault="003B31DC">
      <w:pPr>
        <w:autoSpaceDE w:val="0"/>
        <w:autoSpaceDN w:val="0"/>
        <w:adjustRightInd w:val="0"/>
        <w:rPr>
          <w:rFonts w:eastAsiaTheme="minorHAnsi"/>
          <w:color w:val="000000"/>
          <w:sz w:val="22"/>
          <w:szCs w:val="22"/>
          <w:lang w:eastAsia="en-US"/>
        </w:rPr>
      </w:pPr>
    </w:p>
    <w:p w14:paraId="0E7FC3E7" w14:textId="77777777" w:rsidR="003B31DC" w:rsidRDefault="00913CBE">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lastRenderedPageBreak/>
        <w:t xml:space="preserve">Gydymo </w:t>
      </w:r>
      <w:proofErr w:type="spellStart"/>
      <w:r>
        <w:rPr>
          <w:rFonts w:eastAsiaTheme="minorHAnsi"/>
          <w:i/>
          <w:iCs/>
          <w:color w:val="000000"/>
          <w:sz w:val="22"/>
          <w:szCs w:val="22"/>
          <w:u w:val="single"/>
          <w:lang w:eastAsia="en-US"/>
        </w:rPr>
        <w:t>metforminu</w:t>
      </w:r>
      <w:proofErr w:type="spellEnd"/>
      <w:r>
        <w:rPr>
          <w:rFonts w:eastAsiaTheme="minorHAnsi"/>
          <w:i/>
          <w:iCs/>
          <w:color w:val="000000"/>
          <w:sz w:val="22"/>
          <w:szCs w:val="22"/>
          <w:u w:val="single"/>
          <w:lang w:eastAsia="en-US"/>
        </w:rPr>
        <w:t xml:space="preserve"> papildymas </w:t>
      </w:r>
      <w:proofErr w:type="spellStart"/>
      <w:r>
        <w:rPr>
          <w:rFonts w:eastAsiaTheme="minorHAnsi"/>
          <w:i/>
          <w:iCs/>
          <w:color w:val="000000"/>
          <w:sz w:val="22"/>
          <w:szCs w:val="22"/>
          <w:u w:val="single"/>
          <w:lang w:eastAsia="en-US"/>
        </w:rPr>
        <w:t>empagliflozinu</w:t>
      </w:r>
      <w:proofErr w:type="spellEnd"/>
      <w:r>
        <w:rPr>
          <w:rFonts w:eastAsiaTheme="minorHAnsi"/>
          <w:i/>
          <w:iCs/>
          <w:color w:val="000000"/>
          <w:sz w:val="22"/>
          <w:szCs w:val="22"/>
          <w:u w:val="single"/>
          <w:lang w:eastAsia="en-US"/>
        </w:rPr>
        <w:t xml:space="preserve">, palyginti su </w:t>
      </w:r>
      <w:proofErr w:type="spellStart"/>
      <w:r>
        <w:rPr>
          <w:rFonts w:eastAsiaTheme="minorHAnsi"/>
          <w:i/>
          <w:iCs/>
          <w:color w:val="000000"/>
          <w:sz w:val="22"/>
          <w:szCs w:val="22"/>
          <w:u w:val="single"/>
          <w:lang w:eastAsia="en-US"/>
        </w:rPr>
        <w:t>glimepiridu</w:t>
      </w:r>
      <w:proofErr w:type="spellEnd"/>
      <w:r>
        <w:rPr>
          <w:rFonts w:eastAsiaTheme="minorHAnsi"/>
          <w:i/>
          <w:iCs/>
          <w:color w:val="000000"/>
          <w:sz w:val="22"/>
          <w:szCs w:val="22"/>
          <w:u w:val="single"/>
          <w:lang w:eastAsia="en-US"/>
        </w:rPr>
        <w:t xml:space="preserve"> (24 mėnesių tyrimo duomenys)</w:t>
      </w:r>
    </w:p>
    <w:p w14:paraId="568B3E7F" w14:textId="77777777" w:rsidR="003B31DC" w:rsidRDefault="003B31DC">
      <w:pPr>
        <w:autoSpaceDE w:val="0"/>
        <w:autoSpaceDN w:val="0"/>
        <w:adjustRightInd w:val="0"/>
        <w:rPr>
          <w:rFonts w:eastAsiaTheme="minorHAnsi"/>
          <w:color w:val="000000"/>
          <w:sz w:val="22"/>
          <w:szCs w:val="22"/>
          <w:lang w:eastAsia="en-US"/>
        </w:rPr>
      </w:pPr>
    </w:p>
    <w:p w14:paraId="36E97637"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Tyrimo, kuriuo buvo lygintas 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dozės, palyginti su </w:t>
      </w:r>
      <w:proofErr w:type="spellStart"/>
      <w:r>
        <w:rPr>
          <w:rFonts w:eastAsiaTheme="minorHAnsi"/>
          <w:color w:val="000000"/>
          <w:sz w:val="22"/>
          <w:szCs w:val="22"/>
          <w:lang w:eastAsia="en-US"/>
        </w:rPr>
        <w:t>glimepiridu</w:t>
      </w:r>
      <w:proofErr w:type="spellEnd"/>
      <w:r>
        <w:rPr>
          <w:rFonts w:eastAsiaTheme="minorHAnsi"/>
          <w:color w:val="000000"/>
          <w:sz w:val="22"/>
          <w:szCs w:val="22"/>
          <w:lang w:eastAsia="en-US"/>
        </w:rPr>
        <w:t xml:space="preserve"> (mažesnė negu 4 mg paros dozė) veiksmingumas ir saugumas pacientams, kuriems gydymas vien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glikemiją</w:t>
      </w:r>
      <w:proofErr w:type="spellEnd"/>
      <w:r>
        <w:rPr>
          <w:rFonts w:eastAsiaTheme="minorHAnsi"/>
          <w:color w:val="000000"/>
          <w:sz w:val="22"/>
          <w:szCs w:val="22"/>
          <w:lang w:eastAsia="en-US"/>
        </w:rPr>
        <w:t xml:space="preserve"> kontroliavo nepakankamai, metu kasdien vartojamas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lėmė didesnį HbA1c kiekio sumažėjimą (6 lentelė) ir kliniškai reikšmingą gliukozės koncentracijos kraujo plazmoje nevalgius (GKKN) sumažėjimą. Kasdieninis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palyginti su </w:t>
      </w:r>
      <w:proofErr w:type="spellStart"/>
      <w:r>
        <w:rPr>
          <w:rFonts w:eastAsiaTheme="minorHAnsi"/>
          <w:color w:val="000000"/>
          <w:sz w:val="22"/>
          <w:szCs w:val="22"/>
          <w:lang w:eastAsia="en-US"/>
        </w:rPr>
        <w:t>glimepiridu</w:t>
      </w:r>
      <w:proofErr w:type="spellEnd"/>
      <w:r>
        <w:rPr>
          <w:rFonts w:eastAsiaTheme="minorHAnsi"/>
          <w:color w:val="000000"/>
          <w:sz w:val="22"/>
          <w:szCs w:val="22"/>
          <w:lang w:eastAsia="en-US"/>
        </w:rPr>
        <w:t xml:space="preserve">, vartojimas sąlygojo statistiškai reikšmingą kūno svorio, </w:t>
      </w:r>
      <w:proofErr w:type="spellStart"/>
      <w:r>
        <w:rPr>
          <w:rFonts w:eastAsiaTheme="minorHAnsi"/>
          <w:color w:val="000000"/>
          <w:sz w:val="22"/>
          <w:szCs w:val="22"/>
          <w:lang w:eastAsia="en-US"/>
        </w:rPr>
        <w:t>sistolinio</w:t>
      </w:r>
      <w:proofErr w:type="spellEnd"/>
      <w:r>
        <w:rPr>
          <w:rFonts w:eastAsiaTheme="minorHAnsi"/>
          <w:color w:val="000000"/>
          <w:sz w:val="22"/>
          <w:szCs w:val="22"/>
          <w:lang w:eastAsia="en-US"/>
        </w:rPr>
        <w:t xml:space="preserve"> bei </w:t>
      </w:r>
      <w:proofErr w:type="spellStart"/>
      <w:r>
        <w:rPr>
          <w:rFonts w:eastAsiaTheme="minorHAnsi"/>
          <w:color w:val="000000"/>
          <w:sz w:val="22"/>
          <w:szCs w:val="22"/>
          <w:lang w:eastAsia="en-US"/>
        </w:rPr>
        <w:t>diastolinio</w:t>
      </w:r>
      <w:proofErr w:type="spellEnd"/>
      <w:r>
        <w:rPr>
          <w:rFonts w:eastAsiaTheme="minorHAnsi"/>
          <w:color w:val="000000"/>
          <w:sz w:val="22"/>
          <w:szCs w:val="22"/>
          <w:lang w:eastAsia="en-US"/>
        </w:rPr>
        <w:t xml:space="preserve"> kraujospūdžių sumažėjimą ir statistiškai reikšmingai mažesnę pacientų dalį, kuriai atsirado hipoglikemijos reiškinių (2,5 % gydytų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xml:space="preserve"> ir 24,2 % gydytų </w:t>
      </w:r>
      <w:proofErr w:type="spellStart"/>
      <w:r>
        <w:rPr>
          <w:rFonts w:eastAsiaTheme="minorHAnsi"/>
          <w:color w:val="000000"/>
          <w:sz w:val="22"/>
          <w:szCs w:val="22"/>
          <w:lang w:eastAsia="en-US"/>
        </w:rPr>
        <w:t>glimepiridu</w:t>
      </w:r>
      <w:proofErr w:type="spellEnd"/>
      <w:r>
        <w:rPr>
          <w:rFonts w:eastAsiaTheme="minorHAnsi"/>
          <w:color w:val="000000"/>
          <w:sz w:val="22"/>
          <w:szCs w:val="22"/>
          <w:lang w:eastAsia="en-US"/>
        </w:rPr>
        <w:t>, p &lt; 0,0001).</w:t>
      </w:r>
    </w:p>
    <w:p w14:paraId="3568DAEC" w14:textId="77777777" w:rsidR="003B31DC" w:rsidRDefault="003B31DC">
      <w:pPr>
        <w:widowControl w:val="0"/>
        <w:tabs>
          <w:tab w:val="left" w:pos="567"/>
        </w:tabs>
        <w:ind w:left="567" w:hanging="567"/>
        <w:outlineLvl w:val="2"/>
        <w:rPr>
          <w:b/>
          <w:kern w:val="28"/>
          <w:sz w:val="22"/>
          <w:szCs w:val="22"/>
          <w:lang w:eastAsia="en-US"/>
        </w:rPr>
      </w:pPr>
    </w:p>
    <w:p w14:paraId="12A35964" w14:textId="6BB1B167" w:rsidR="003B31DC" w:rsidRPr="00A02B90" w:rsidRDefault="00913CBE">
      <w:pPr>
        <w:ind w:left="1118" w:right="11" w:hanging="1133"/>
        <w:rPr>
          <w:sz w:val="22"/>
          <w:szCs w:val="22"/>
          <w:lang w:eastAsia="sl-SI"/>
        </w:rPr>
      </w:pPr>
      <w:bookmarkStart w:id="3" w:name="_Hlk224208439"/>
      <w:r w:rsidRPr="00A02B90">
        <w:rPr>
          <w:sz w:val="22"/>
          <w:szCs w:val="22"/>
          <w:lang w:eastAsia="sl-SI"/>
        </w:rPr>
        <w:t>6 len</w:t>
      </w:r>
      <w:r>
        <w:rPr>
          <w:sz w:val="22"/>
          <w:szCs w:val="22"/>
          <w:lang w:eastAsia="sl-SI"/>
        </w:rPr>
        <w:t>telė</w:t>
      </w:r>
      <w:r w:rsidRPr="00A02B90">
        <w:rPr>
          <w:sz w:val="22"/>
          <w:szCs w:val="22"/>
          <w:lang w:eastAsia="sl-SI"/>
        </w:rPr>
        <w:t>:</w:t>
      </w:r>
      <w:r w:rsidRPr="00A02B90">
        <w:rPr>
          <w:sz w:val="22"/>
          <w:szCs w:val="22"/>
          <w:lang w:eastAsia="sl-SI"/>
        </w:rPr>
        <w:tab/>
      </w:r>
      <w:r w:rsidR="00147302" w:rsidRPr="00FA2F7A">
        <w:rPr>
          <w:sz w:val="22"/>
          <w:szCs w:val="22"/>
        </w:rPr>
        <w:t xml:space="preserve">104 savaičių trukmės aktyviai kontroliuojamo tyrimo rezultatai, kuriame </w:t>
      </w:r>
      <w:proofErr w:type="spellStart"/>
      <w:r w:rsidR="00147302" w:rsidRPr="00FA2F7A">
        <w:rPr>
          <w:sz w:val="22"/>
          <w:szCs w:val="22"/>
        </w:rPr>
        <w:t>empagliflozinas</w:t>
      </w:r>
      <w:proofErr w:type="spellEnd"/>
      <w:r w:rsidR="00147302" w:rsidRPr="00FA2F7A">
        <w:rPr>
          <w:sz w:val="22"/>
          <w:szCs w:val="22"/>
        </w:rPr>
        <w:t xml:space="preserve"> buvo lyginamas su </w:t>
      </w:r>
      <w:proofErr w:type="spellStart"/>
      <w:r w:rsidR="00147302" w:rsidRPr="00FA2F7A">
        <w:rPr>
          <w:sz w:val="22"/>
          <w:szCs w:val="22"/>
        </w:rPr>
        <w:t>glimepiridu</w:t>
      </w:r>
      <w:proofErr w:type="spellEnd"/>
      <w:r w:rsidR="00147302" w:rsidRPr="00FA2F7A">
        <w:rPr>
          <w:sz w:val="22"/>
          <w:szCs w:val="22"/>
        </w:rPr>
        <w:t xml:space="preserve"> (</w:t>
      </w:r>
      <w:proofErr w:type="spellStart"/>
      <w:r w:rsidR="00147302" w:rsidRPr="00FA2F7A">
        <w:rPr>
          <w:sz w:val="22"/>
          <w:szCs w:val="22"/>
        </w:rPr>
        <w:t>sulfonilkarbamido</w:t>
      </w:r>
      <w:proofErr w:type="spellEnd"/>
      <w:r w:rsidR="00147302" w:rsidRPr="00FA2F7A">
        <w:rPr>
          <w:sz w:val="22"/>
          <w:szCs w:val="22"/>
        </w:rPr>
        <w:t xml:space="preserve"> dariniu), skiriant juos kaip papildomą gydymą prie </w:t>
      </w:r>
      <w:proofErr w:type="spellStart"/>
      <w:r w:rsidR="00147302" w:rsidRPr="00FA2F7A">
        <w:rPr>
          <w:sz w:val="22"/>
          <w:szCs w:val="22"/>
        </w:rPr>
        <w:t>metformino</w:t>
      </w:r>
      <w:proofErr w:type="spellEnd"/>
    </w:p>
    <w:bookmarkEnd w:id="3"/>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2409"/>
        <w:gridCol w:w="2267"/>
      </w:tblGrid>
      <w:tr w:rsidR="003B31DC" w14:paraId="4361ED02" w14:textId="77777777">
        <w:trPr>
          <w:trHeight w:val="254"/>
        </w:trPr>
        <w:tc>
          <w:tcPr>
            <w:tcW w:w="4219" w:type="dxa"/>
          </w:tcPr>
          <w:p w14:paraId="1FA91A03" w14:textId="77777777" w:rsidR="003B31DC" w:rsidRPr="00A02B90" w:rsidRDefault="003B31DC">
            <w:pPr>
              <w:tabs>
                <w:tab w:val="left" w:pos="9071"/>
              </w:tabs>
              <w:rPr>
                <w:lang w:val="lt-LT" w:eastAsia="en-US"/>
              </w:rPr>
            </w:pPr>
          </w:p>
        </w:tc>
        <w:tc>
          <w:tcPr>
            <w:tcW w:w="2409" w:type="dxa"/>
          </w:tcPr>
          <w:p w14:paraId="35579FE9" w14:textId="77777777" w:rsidR="003B31DC" w:rsidRDefault="00913CBE">
            <w:pPr>
              <w:tabs>
                <w:tab w:val="left" w:pos="9071"/>
              </w:tabs>
              <w:ind w:right="3"/>
              <w:jc w:val="center"/>
              <w:rPr>
                <w:b/>
                <w:lang w:val="en-GB" w:eastAsia="en-US"/>
              </w:rPr>
            </w:pPr>
            <w:r>
              <w:rPr>
                <w:b/>
                <w:lang w:val="en-GB" w:eastAsia="en-US"/>
              </w:rPr>
              <w:t>25</w:t>
            </w:r>
            <w:r>
              <w:rPr>
                <w:b/>
                <w:spacing w:val="-8"/>
                <w:lang w:val="en-GB" w:eastAsia="en-US"/>
              </w:rPr>
              <w:t> mg</w:t>
            </w:r>
            <w:r>
              <w:rPr>
                <w:b/>
                <w:lang w:val="en-GB" w:eastAsia="en-US"/>
              </w:rPr>
              <w:t xml:space="preserve"> </w:t>
            </w:r>
            <w:proofErr w:type="spellStart"/>
            <w:r>
              <w:rPr>
                <w:b/>
                <w:lang w:val="en-GB" w:eastAsia="en-US"/>
              </w:rPr>
              <w:t>empagliflozin</w:t>
            </w:r>
            <w:r>
              <w:rPr>
                <w:b/>
                <w:spacing w:val="-8"/>
                <w:lang w:val="en-GB" w:eastAsia="en-US"/>
              </w:rPr>
              <w:t>o</w:t>
            </w:r>
            <w:proofErr w:type="spellEnd"/>
          </w:p>
        </w:tc>
        <w:tc>
          <w:tcPr>
            <w:tcW w:w="2267" w:type="dxa"/>
          </w:tcPr>
          <w:p w14:paraId="7D9E77AC" w14:textId="77777777" w:rsidR="003B31DC" w:rsidRDefault="00913CBE">
            <w:pPr>
              <w:tabs>
                <w:tab w:val="left" w:pos="9071"/>
              </w:tabs>
              <w:jc w:val="center"/>
              <w:rPr>
                <w:b/>
                <w:lang w:val="en-GB" w:eastAsia="en-US"/>
              </w:rPr>
            </w:pPr>
            <w:proofErr w:type="spellStart"/>
            <w:r>
              <w:rPr>
                <w:b/>
                <w:spacing w:val="-2"/>
                <w:lang w:val="en-GB" w:eastAsia="en-US"/>
              </w:rPr>
              <w:t>Glimepiridas</w:t>
            </w:r>
            <w:r>
              <w:rPr>
                <w:b/>
                <w:spacing w:val="-2"/>
                <w:vertAlign w:val="superscript"/>
                <w:lang w:val="en-GB" w:eastAsia="en-US"/>
              </w:rPr>
              <w:t>b</w:t>
            </w:r>
            <w:proofErr w:type="spellEnd"/>
          </w:p>
        </w:tc>
      </w:tr>
      <w:tr w:rsidR="003B31DC" w14:paraId="7DE99DBE" w14:textId="77777777">
        <w:trPr>
          <w:trHeight w:val="251"/>
        </w:trPr>
        <w:tc>
          <w:tcPr>
            <w:tcW w:w="4219" w:type="dxa"/>
          </w:tcPr>
          <w:p w14:paraId="1ECE3261" w14:textId="77777777" w:rsidR="003B31DC" w:rsidRDefault="00913CBE">
            <w:pPr>
              <w:tabs>
                <w:tab w:val="left" w:pos="9071"/>
              </w:tabs>
              <w:rPr>
                <w:lang w:val="en-GB" w:eastAsia="en-US"/>
              </w:rPr>
            </w:pPr>
            <w:r>
              <w:rPr>
                <w:spacing w:val="-10"/>
                <w:lang w:val="en-GB" w:eastAsia="en-US"/>
              </w:rPr>
              <w:t>N</w:t>
            </w:r>
          </w:p>
        </w:tc>
        <w:tc>
          <w:tcPr>
            <w:tcW w:w="2409" w:type="dxa"/>
          </w:tcPr>
          <w:p w14:paraId="676F861B" w14:textId="77777777" w:rsidR="003B31DC" w:rsidRDefault="00913CBE">
            <w:pPr>
              <w:tabs>
                <w:tab w:val="left" w:pos="9071"/>
              </w:tabs>
              <w:ind w:right="6"/>
              <w:jc w:val="center"/>
              <w:rPr>
                <w:lang w:val="en-GB" w:eastAsia="en-US"/>
              </w:rPr>
            </w:pPr>
            <w:r>
              <w:rPr>
                <w:spacing w:val="-5"/>
                <w:lang w:val="en-GB" w:eastAsia="en-US"/>
              </w:rPr>
              <w:t>765</w:t>
            </w:r>
          </w:p>
        </w:tc>
        <w:tc>
          <w:tcPr>
            <w:tcW w:w="2267" w:type="dxa"/>
          </w:tcPr>
          <w:p w14:paraId="3C78B5F7" w14:textId="77777777" w:rsidR="003B31DC" w:rsidRDefault="00913CBE">
            <w:pPr>
              <w:tabs>
                <w:tab w:val="left" w:pos="9071"/>
              </w:tabs>
              <w:ind w:right="3"/>
              <w:jc w:val="center"/>
              <w:rPr>
                <w:lang w:val="en-GB" w:eastAsia="en-US"/>
              </w:rPr>
            </w:pPr>
            <w:r>
              <w:rPr>
                <w:spacing w:val="-5"/>
                <w:lang w:val="en-GB" w:eastAsia="en-US"/>
              </w:rPr>
              <w:t>780</w:t>
            </w:r>
          </w:p>
        </w:tc>
      </w:tr>
      <w:tr w:rsidR="003B31DC" w14:paraId="183B4AC9" w14:textId="77777777">
        <w:trPr>
          <w:trHeight w:val="253"/>
        </w:trPr>
        <w:tc>
          <w:tcPr>
            <w:tcW w:w="8895" w:type="dxa"/>
            <w:gridSpan w:val="3"/>
          </w:tcPr>
          <w:p w14:paraId="06557A23" w14:textId="77777777" w:rsidR="003B31DC" w:rsidRDefault="00913CBE">
            <w:pPr>
              <w:tabs>
                <w:tab w:val="left" w:pos="9071"/>
              </w:tabs>
              <w:rPr>
                <w:b/>
                <w:lang w:val="en-GB" w:eastAsia="en-US"/>
              </w:rPr>
            </w:pPr>
            <w:r>
              <w:rPr>
                <w:b/>
                <w:lang w:val="en-GB" w:eastAsia="en-US"/>
              </w:rPr>
              <w:t>HbA1c</w:t>
            </w:r>
            <w:r>
              <w:rPr>
                <w:b/>
                <w:spacing w:val="-8"/>
                <w:lang w:val="en-GB" w:eastAsia="en-US"/>
              </w:rPr>
              <w:t xml:space="preserve"> </w:t>
            </w:r>
            <w:proofErr w:type="spellStart"/>
            <w:r>
              <w:rPr>
                <w:b/>
                <w:spacing w:val="-8"/>
                <w:lang w:val="en-GB" w:eastAsia="en-US"/>
              </w:rPr>
              <w:t>kiekis</w:t>
            </w:r>
            <w:proofErr w:type="spellEnd"/>
            <w:r>
              <w:rPr>
                <w:b/>
                <w:spacing w:val="-8"/>
                <w:lang w:val="en-GB" w:eastAsia="en-US"/>
              </w:rPr>
              <w:t xml:space="preserve"> </w:t>
            </w:r>
            <w:r>
              <w:rPr>
                <w:b/>
                <w:spacing w:val="-5"/>
                <w:lang w:val="en-GB" w:eastAsia="en-US"/>
              </w:rPr>
              <w:t>(%)</w:t>
            </w:r>
          </w:p>
        </w:tc>
      </w:tr>
      <w:tr w:rsidR="003B31DC" w14:paraId="7FC31222" w14:textId="77777777">
        <w:trPr>
          <w:trHeight w:val="254"/>
        </w:trPr>
        <w:tc>
          <w:tcPr>
            <w:tcW w:w="4219" w:type="dxa"/>
          </w:tcPr>
          <w:p w14:paraId="35B0D218" w14:textId="77777777" w:rsidR="003B31DC" w:rsidRDefault="00913CBE">
            <w:pPr>
              <w:tabs>
                <w:tab w:val="left" w:pos="9071"/>
              </w:tabs>
              <w:rPr>
                <w:lang w:val="en-GB" w:eastAsia="en-US"/>
              </w:rPr>
            </w:pPr>
            <w:proofErr w:type="spellStart"/>
            <w:r>
              <w:rPr>
                <w:spacing w:val="-2"/>
                <w:lang w:val="en-GB" w:eastAsia="en-US"/>
              </w:rPr>
              <w:t>Pradinis</w:t>
            </w:r>
            <w:proofErr w:type="spellEnd"/>
          </w:p>
          <w:p w14:paraId="5B78AAB9" w14:textId="77777777" w:rsidR="003B31DC" w:rsidRDefault="00913CBE">
            <w:pPr>
              <w:tabs>
                <w:tab w:val="left" w:pos="9071"/>
              </w:tabs>
              <w:rPr>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2409" w:type="dxa"/>
          </w:tcPr>
          <w:p w14:paraId="3F3A6A67" w14:textId="77777777" w:rsidR="003B31DC" w:rsidRDefault="00913CBE">
            <w:pPr>
              <w:tabs>
                <w:tab w:val="left" w:pos="9071"/>
              </w:tabs>
              <w:ind w:right="3"/>
              <w:jc w:val="center"/>
              <w:rPr>
                <w:lang w:val="en-GB" w:eastAsia="en-US"/>
              </w:rPr>
            </w:pPr>
            <w:r>
              <w:rPr>
                <w:spacing w:val="-4"/>
                <w:lang w:val="en-GB" w:eastAsia="en-US"/>
              </w:rPr>
              <w:t>7,92</w:t>
            </w:r>
          </w:p>
        </w:tc>
        <w:tc>
          <w:tcPr>
            <w:tcW w:w="2267" w:type="dxa"/>
          </w:tcPr>
          <w:p w14:paraId="3F10BA2C" w14:textId="77777777" w:rsidR="003B31DC" w:rsidRDefault="00913CBE">
            <w:pPr>
              <w:tabs>
                <w:tab w:val="left" w:pos="9071"/>
              </w:tabs>
              <w:jc w:val="center"/>
              <w:rPr>
                <w:lang w:val="en-GB" w:eastAsia="en-US"/>
              </w:rPr>
            </w:pPr>
            <w:r>
              <w:rPr>
                <w:spacing w:val="-4"/>
                <w:lang w:val="en-GB" w:eastAsia="en-US"/>
              </w:rPr>
              <w:t>7,92</w:t>
            </w:r>
          </w:p>
        </w:tc>
      </w:tr>
      <w:tr w:rsidR="003B31DC" w14:paraId="7DFE1891" w14:textId="77777777">
        <w:trPr>
          <w:trHeight w:val="251"/>
        </w:trPr>
        <w:tc>
          <w:tcPr>
            <w:tcW w:w="4219" w:type="dxa"/>
          </w:tcPr>
          <w:p w14:paraId="799B8E9F"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5FBB55BB" w14:textId="77777777" w:rsidR="003B31DC" w:rsidRDefault="00913CBE">
            <w:pPr>
              <w:tabs>
                <w:tab w:val="left" w:pos="9071"/>
              </w:tabs>
              <w:rPr>
                <w:lang w:val="en-GB" w:eastAsia="en-US"/>
              </w:rPr>
            </w:pPr>
            <w:r>
              <w:rPr>
                <w:spacing w:val="-2"/>
                <w:lang w:val="en-GB" w:eastAsia="en-US"/>
              </w:rPr>
              <w:t>pradinio</w:t>
            </w:r>
            <w:r>
              <w:rPr>
                <w:spacing w:val="-2"/>
                <w:vertAlign w:val="superscript"/>
                <w:lang w:val="en-GB" w:eastAsia="en-US"/>
              </w:rPr>
              <w:t>1</w:t>
            </w:r>
          </w:p>
        </w:tc>
        <w:tc>
          <w:tcPr>
            <w:tcW w:w="2409" w:type="dxa"/>
          </w:tcPr>
          <w:p w14:paraId="30D4DD65" w14:textId="77777777" w:rsidR="003B31DC" w:rsidRDefault="00913CBE">
            <w:pPr>
              <w:tabs>
                <w:tab w:val="left" w:pos="9071"/>
              </w:tabs>
              <w:ind w:right="11"/>
              <w:jc w:val="center"/>
              <w:rPr>
                <w:lang w:val="en-GB" w:eastAsia="en-US"/>
              </w:rPr>
            </w:pPr>
            <w:r>
              <w:rPr>
                <w:spacing w:val="-4"/>
                <w:lang w:val="en-GB" w:eastAsia="en-US"/>
              </w:rPr>
              <w:t>-0,66</w:t>
            </w:r>
          </w:p>
        </w:tc>
        <w:tc>
          <w:tcPr>
            <w:tcW w:w="2267" w:type="dxa"/>
          </w:tcPr>
          <w:p w14:paraId="713E4C32" w14:textId="77777777" w:rsidR="003B31DC" w:rsidRDefault="00913CBE">
            <w:pPr>
              <w:tabs>
                <w:tab w:val="left" w:pos="9071"/>
              </w:tabs>
              <w:ind w:right="3"/>
              <w:jc w:val="center"/>
              <w:rPr>
                <w:lang w:val="en-GB" w:eastAsia="en-US"/>
              </w:rPr>
            </w:pPr>
            <w:r>
              <w:rPr>
                <w:spacing w:val="-4"/>
                <w:lang w:val="en-GB" w:eastAsia="en-US"/>
              </w:rPr>
              <w:t>-0,55</w:t>
            </w:r>
          </w:p>
        </w:tc>
      </w:tr>
      <w:tr w:rsidR="003B31DC" w14:paraId="56A230AD" w14:textId="77777777">
        <w:trPr>
          <w:trHeight w:val="254"/>
        </w:trPr>
        <w:tc>
          <w:tcPr>
            <w:tcW w:w="4219" w:type="dxa"/>
          </w:tcPr>
          <w:p w14:paraId="18015D00" w14:textId="77777777" w:rsidR="003B31DC" w:rsidRDefault="00913CBE">
            <w:pPr>
              <w:tabs>
                <w:tab w:val="left" w:pos="9071"/>
              </w:tabs>
              <w:ind w:right="351"/>
              <w:rPr>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glimepiridinu</w:t>
            </w:r>
            <w:r>
              <w:rPr>
                <w:spacing w:val="-2"/>
                <w:vertAlign w:val="superscript"/>
                <w:lang w:val="en-GB" w:eastAsia="en-US"/>
              </w:rPr>
              <w:t>1</w:t>
            </w:r>
            <w:r>
              <w:rPr>
                <w:lang w:val="en-GB" w:eastAsia="en-US"/>
              </w:rPr>
              <w:t xml:space="preserve"> (95 % PI)</w:t>
            </w:r>
          </w:p>
        </w:tc>
        <w:tc>
          <w:tcPr>
            <w:tcW w:w="2409" w:type="dxa"/>
          </w:tcPr>
          <w:p w14:paraId="07599941" w14:textId="77777777" w:rsidR="003B31DC" w:rsidRDefault="00913CBE">
            <w:pPr>
              <w:tabs>
                <w:tab w:val="left" w:pos="9071"/>
              </w:tabs>
              <w:ind w:right="9"/>
              <w:jc w:val="center"/>
              <w:rPr>
                <w:lang w:val="en-GB" w:eastAsia="en-US"/>
              </w:rPr>
            </w:pPr>
            <w:r>
              <w:rPr>
                <w:lang w:val="en-GB" w:eastAsia="en-US"/>
              </w:rPr>
              <w:t>-0,11*</w:t>
            </w:r>
            <w:r>
              <w:rPr>
                <w:spacing w:val="-5"/>
                <w:lang w:val="en-GB" w:eastAsia="en-US"/>
              </w:rPr>
              <w:t xml:space="preserve"> </w:t>
            </w:r>
            <w:r>
              <w:rPr>
                <w:lang w:val="en-GB" w:eastAsia="en-US"/>
              </w:rPr>
              <w:t>(-0,20,</w:t>
            </w:r>
            <w:r>
              <w:rPr>
                <w:spacing w:val="-2"/>
                <w:lang w:val="en-GB" w:eastAsia="en-US"/>
              </w:rPr>
              <w:t xml:space="preserve"> </w:t>
            </w:r>
            <w:r>
              <w:rPr>
                <w:lang w:val="en-GB" w:eastAsia="en-US"/>
              </w:rPr>
              <w:t>-</w:t>
            </w:r>
            <w:r>
              <w:rPr>
                <w:spacing w:val="-2"/>
                <w:lang w:val="en-GB" w:eastAsia="en-US"/>
              </w:rPr>
              <w:t>0,01)</w:t>
            </w:r>
          </w:p>
        </w:tc>
        <w:tc>
          <w:tcPr>
            <w:tcW w:w="2267" w:type="dxa"/>
          </w:tcPr>
          <w:p w14:paraId="1358F456" w14:textId="77777777" w:rsidR="003B31DC" w:rsidRDefault="003B31DC">
            <w:pPr>
              <w:tabs>
                <w:tab w:val="left" w:pos="9071"/>
              </w:tabs>
              <w:rPr>
                <w:lang w:val="en-GB" w:eastAsia="en-US"/>
              </w:rPr>
            </w:pPr>
          </w:p>
        </w:tc>
      </w:tr>
      <w:tr w:rsidR="003B31DC" w14:paraId="1B358B79" w14:textId="77777777">
        <w:trPr>
          <w:trHeight w:val="251"/>
        </w:trPr>
        <w:tc>
          <w:tcPr>
            <w:tcW w:w="4219" w:type="dxa"/>
          </w:tcPr>
          <w:p w14:paraId="273247D9" w14:textId="77777777" w:rsidR="003B31DC" w:rsidRDefault="00913CBE">
            <w:pPr>
              <w:tabs>
                <w:tab w:val="left" w:pos="9071"/>
              </w:tabs>
              <w:rPr>
                <w:lang w:val="en-GB" w:eastAsia="en-US"/>
              </w:rPr>
            </w:pPr>
            <w:r>
              <w:rPr>
                <w:spacing w:val="-10"/>
                <w:lang w:val="en-GB" w:eastAsia="en-US"/>
              </w:rPr>
              <w:t>N</w:t>
            </w:r>
          </w:p>
        </w:tc>
        <w:tc>
          <w:tcPr>
            <w:tcW w:w="2409" w:type="dxa"/>
          </w:tcPr>
          <w:p w14:paraId="4EFB11FE" w14:textId="77777777" w:rsidR="003B31DC" w:rsidRDefault="00913CBE">
            <w:pPr>
              <w:tabs>
                <w:tab w:val="left" w:pos="9071"/>
              </w:tabs>
              <w:ind w:right="6"/>
              <w:jc w:val="center"/>
              <w:rPr>
                <w:lang w:val="en-GB" w:eastAsia="en-US"/>
              </w:rPr>
            </w:pPr>
            <w:r>
              <w:rPr>
                <w:spacing w:val="-5"/>
                <w:lang w:val="en-GB" w:eastAsia="en-US"/>
              </w:rPr>
              <w:t>690</w:t>
            </w:r>
          </w:p>
        </w:tc>
        <w:tc>
          <w:tcPr>
            <w:tcW w:w="2267" w:type="dxa"/>
          </w:tcPr>
          <w:p w14:paraId="10EE2607" w14:textId="77777777" w:rsidR="003B31DC" w:rsidRDefault="00913CBE">
            <w:pPr>
              <w:tabs>
                <w:tab w:val="left" w:pos="9071"/>
              </w:tabs>
              <w:ind w:right="3"/>
              <w:jc w:val="center"/>
              <w:rPr>
                <w:lang w:val="en-GB" w:eastAsia="en-US"/>
              </w:rPr>
            </w:pPr>
            <w:r>
              <w:rPr>
                <w:spacing w:val="-5"/>
                <w:lang w:val="en-GB" w:eastAsia="en-US"/>
              </w:rPr>
              <w:t>715</w:t>
            </w:r>
          </w:p>
        </w:tc>
      </w:tr>
      <w:tr w:rsidR="003B31DC" w14:paraId="3CF7891B" w14:textId="77777777">
        <w:trPr>
          <w:trHeight w:val="505"/>
        </w:trPr>
        <w:tc>
          <w:tcPr>
            <w:tcW w:w="4219" w:type="dxa"/>
          </w:tcPr>
          <w:p w14:paraId="70346BE2" w14:textId="77777777" w:rsidR="003B31DC" w:rsidRPr="00A02B90" w:rsidRDefault="00913CBE">
            <w:pPr>
              <w:tabs>
                <w:tab w:val="left" w:pos="9071"/>
              </w:tabs>
              <w:rPr>
                <w:b/>
                <w:lang w:val="lt-LT" w:eastAsia="en-US"/>
              </w:rPr>
            </w:pPr>
            <w:r w:rsidRPr="00A02B90">
              <w:rPr>
                <w:b/>
                <w:lang w:val="lt-LT" w:eastAsia="en-US"/>
              </w:rPr>
              <w:t>Pacientai (%), kurių HbA1c kiekis tapo &lt; 7 % ir kurių pradinis HbA1c kiekis buvo ≥ 7 %</w:t>
            </w:r>
            <w:r w:rsidRPr="00A02B90">
              <w:rPr>
                <w:b/>
                <w:vertAlign w:val="superscript"/>
                <w:lang w:val="lt-LT" w:eastAsia="en-US"/>
              </w:rPr>
              <w:t>2</w:t>
            </w:r>
          </w:p>
        </w:tc>
        <w:tc>
          <w:tcPr>
            <w:tcW w:w="2409" w:type="dxa"/>
          </w:tcPr>
          <w:p w14:paraId="261BAF85" w14:textId="77777777" w:rsidR="003B31DC" w:rsidRDefault="00913CBE">
            <w:pPr>
              <w:tabs>
                <w:tab w:val="left" w:pos="9071"/>
              </w:tabs>
              <w:ind w:right="3"/>
              <w:jc w:val="center"/>
              <w:rPr>
                <w:lang w:val="en-GB" w:eastAsia="en-US"/>
              </w:rPr>
            </w:pPr>
            <w:r>
              <w:rPr>
                <w:spacing w:val="-4"/>
                <w:lang w:val="en-GB" w:eastAsia="en-US"/>
              </w:rPr>
              <w:t>33,6</w:t>
            </w:r>
          </w:p>
        </w:tc>
        <w:tc>
          <w:tcPr>
            <w:tcW w:w="2267" w:type="dxa"/>
          </w:tcPr>
          <w:p w14:paraId="0F2942E2" w14:textId="77777777" w:rsidR="003B31DC" w:rsidRDefault="00913CBE">
            <w:pPr>
              <w:tabs>
                <w:tab w:val="left" w:pos="9071"/>
              </w:tabs>
              <w:jc w:val="center"/>
              <w:rPr>
                <w:lang w:val="en-GB" w:eastAsia="en-US"/>
              </w:rPr>
            </w:pPr>
            <w:r>
              <w:rPr>
                <w:spacing w:val="-4"/>
                <w:lang w:val="en-GB" w:eastAsia="en-US"/>
              </w:rPr>
              <w:t>30,9</w:t>
            </w:r>
          </w:p>
        </w:tc>
      </w:tr>
      <w:tr w:rsidR="003B31DC" w14:paraId="415A0B59" w14:textId="77777777">
        <w:trPr>
          <w:trHeight w:val="254"/>
        </w:trPr>
        <w:tc>
          <w:tcPr>
            <w:tcW w:w="4219" w:type="dxa"/>
          </w:tcPr>
          <w:p w14:paraId="7F53A2B4" w14:textId="77777777" w:rsidR="003B31DC" w:rsidRDefault="00913CBE">
            <w:pPr>
              <w:tabs>
                <w:tab w:val="left" w:pos="9071"/>
              </w:tabs>
              <w:rPr>
                <w:lang w:val="en-GB" w:eastAsia="en-US"/>
              </w:rPr>
            </w:pPr>
            <w:r>
              <w:rPr>
                <w:spacing w:val="-10"/>
                <w:lang w:val="en-GB" w:eastAsia="en-US"/>
              </w:rPr>
              <w:t>N</w:t>
            </w:r>
          </w:p>
        </w:tc>
        <w:tc>
          <w:tcPr>
            <w:tcW w:w="2409" w:type="dxa"/>
          </w:tcPr>
          <w:p w14:paraId="4695C1AF" w14:textId="77777777" w:rsidR="003B31DC" w:rsidRDefault="00913CBE">
            <w:pPr>
              <w:tabs>
                <w:tab w:val="left" w:pos="9071"/>
              </w:tabs>
              <w:ind w:right="6"/>
              <w:jc w:val="center"/>
              <w:rPr>
                <w:lang w:val="en-GB" w:eastAsia="en-US"/>
              </w:rPr>
            </w:pPr>
            <w:r>
              <w:rPr>
                <w:spacing w:val="-5"/>
                <w:lang w:val="en-GB" w:eastAsia="en-US"/>
              </w:rPr>
              <w:t>765</w:t>
            </w:r>
          </w:p>
        </w:tc>
        <w:tc>
          <w:tcPr>
            <w:tcW w:w="2267" w:type="dxa"/>
          </w:tcPr>
          <w:p w14:paraId="7A343ECC" w14:textId="77777777" w:rsidR="003B31DC" w:rsidRDefault="00913CBE">
            <w:pPr>
              <w:tabs>
                <w:tab w:val="left" w:pos="9071"/>
              </w:tabs>
              <w:ind w:right="3"/>
              <w:jc w:val="center"/>
              <w:rPr>
                <w:lang w:val="en-GB" w:eastAsia="en-US"/>
              </w:rPr>
            </w:pPr>
            <w:r>
              <w:rPr>
                <w:spacing w:val="-5"/>
                <w:lang w:val="en-GB" w:eastAsia="en-US"/>
              </w:rPr>
              <w:t>780</w:t>
            </w:r>
          </w:p>
        </w:tc>
      </w:tr>
      <w:tr w:rsidR="003B31DC" w14:paraId="57A4E458" w14:textId="77777777">
        <w:trPr>
          <w:trHeight w:val="251"/>
        </w:trPr>
        <w:tc>
          <w:tcPr>
            <w:tcW w:w="8895" w:type="dxa"/>
            <w:gridSpan w:val="3"/>
          </w:tcPr>
          <w:p w14:paraId="36723D42" w14:textId="77777777" w:rsidR="003B31DC" w:rsidRDefault="00913CBE">
            <w:pPr>
              <w:tabs>
                <w:tab w:val="left" w:pos="9071"/>
              </w:tabs>
              <w:rPr>
                <w:b/>
                <w:lang w:val="en-GB" w:eastAsia="en-US"/>
              </w:rPr>
            </w:pPr>
            <w:proofErr w:type="spellStart"/>
            <w:r>
              <w:rPr>
                <w:b/>
                <w:lang w:val="en-GB" w:eastAsia="en-US"/>
              </w:rPr>
              <w:t>Kūno</w:t>
            </w:r>
            <w:proofErr w:type="spellEnd"/>
            <w:r>
              <w:rPr>
                <w:b/>
                <w:lang w:val="en-GB" w:eastAsia="en-US"/>
              </w:rPr>
              <w:t xml:space="preserve"> </w:t>
            </w:r>
            <w:proofErr w:type="spellStart"/>
            <w:r>
              <w:rPr>
                <w:b/>
                <w:lang w:val="en-GB" w:eastAsia="en-US"/>
              </w:rPr>
              <w:t>svoris</w:t>
            </w:r>
            <w:proofErr w:type="spellEnd"/>
            <w:r>
              <w:rPr>
                <w:b/>
                <w:spacing w:val="-4"/>
                <w:lang w:val="en-GB" w:eastAsia="en-US"/>
              </w:rPr>
              <w:t xml:space="preserve"> (kg)</w:t>
            </w:r>
          </w:p>
        </w:tc>
      </w:tr>
      <w:tr w:rsidR="003B31DC" w14:paraId="38696087" w14:textId="77777777">
        <w:trPr>
          <w:trHeight w:val="254"/>
        </w:trPr>
        <w:tc>
          <w:tcPr>
            <w:tcW w:w="4219" w:type="dxa"/>
          </w:tcPr>
          <w:p w14:paraId="6BD8D5DD" w14:textId="77777777" w:rsidR="003B31DC" w:rsidRDefault="00913CBE">
            <w:pPr>
              <w:tabs>
                <w:tab w:val="left" w:pos="9071"/>
              </w:tabs>
              <w:rPr>
                <w:lang w:val="en-GB" w:eastAsia="en-US"/>
              </w:rPr>
            </w:pPr>
            <w:proofErr w:type="spellStart"/>
            <w:r>
              <w:rPr>
                <w:spacing w:val="-2"/>
                <w:lang w:val="en-GB" w:eastAsia="en-US"/>
              </w:rPr>
              <w:t>Pradinis</w:t>
            </w:r>
            <w:proofErr w:type="spellEnd"/>
          </w:p>
          <w:p w14:paraId="78916D94" w14:textId="77777777" w:rsidR="003B31DC" w:rsidRDefault="00913CBE">
            <w:pPr>
              <w:tabs>
                <w:tab w:val="left" w:pos="9071"/>
              </w:tabs>
              <w:rPr>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2409" w:type="dxa"/>
          </w:tcPr>
          <w:p w14:paraId="7E25AEFD" w14:textId="77777777" w:rsidR="003B31DC" w:rsidRDefault="00913CBE">
            <w:pPr>
              <w:tabs>
                <w:tab w:val="left" w:pos="9071"/>
              </w:tabs>
              <w:ind w:right="3"/>
              <w:jc w:val="center"/>
              <w:rPr>
                <w:lang w:val="en-GB" w:eastAsia="en-US"/>
              </w:rPr>
            </w:pPr>
            <w:r>
              <w:rPr>
                <w:spacing w:val="-2"/>
                <w:lang w:val="en-GB" w:eastAsia="en-US"/>
              </w:rPr>
              <w:t>82,52</w:t>
            </w:r>
          </w:p>
        </w:tc>
        <w:tc>
          <w:tcPr>
            <w:tcW w:w="2267" w:type="dxa"/>
          </w:tcPr>
          <w:p w14:paraId="06B7133B" w14:textId="77777777" w:rsidR="003B31DC" w:rsidRDefault="00913CBE">
            <w:pPr>
              <w:tabs>
                <w:tab w:val="left" w:pos="9071"/>
              </w:tabs>
              <w:jc w:val="center"/>
              <w:rPr>
                <w:lang w:val="en-GB" w:eastAsia="en-US"/>
              </w:rPr>
            </w:pPr>
            <w:r>
              <w:rPr>
                <w:spacing w:val="-2"/>
                <w:lang w:val="en-GB" w:eastAsia="en-US"/>
              </w:rPr>
              <w:t>83,03</w:t>
            </w:r>
          </w:p>
        </w:tc>
      </w:tr>
      <w:tr w:rsidR="003B31DC" w14:paraId="7F52E36A" w14:textId="77777777">
        <w:trPr>
          <w:trHeight w:val="253"/>
        </w:trPr>
        <w:tc>
          <w:tcPr>
            <w:tcW w:w="4219" w:type="dxa"/>
          </w:tcPr>
          <w:p w14:paraId="3DA8E752"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13BF0B2F" w14:textId="77777777" w:rsidR="003B31DC" w:rsidRDefault="00913CBE">
            <w:pPr>
              <w:tabs>
                <w:tab w:val="left" w:pos="9071"/>
              </w:tabs>
              <w:rPr>
                <w:lang w:val="en-GB" w:eastAsia="en-US"/>
              </w:rPr>
            </w:pPr>
            <w:r>
              <w:rPr>
                <w:spacing w:val="-2"/>
                <w:lang w:val="en-GB" w:eastAsia="en-US"/>
              </w:rPr>
              <w:t>pradinio</w:t>
            </w:r>
            <w:r>
              <w:rPr>
                <w:spacing w:val="-2"/>
                <w:vertAlign w:val="superscript"/>
                <w:lang w:val="en-GB" w:eastAsia="en-US"/>
              </w:rPr>
              <w:t>1</w:t>
            </w:r>
          </w:p>
        </w:tc>
        <w:tc>
          <w:tcPr>
            <w:tcW w:w="2409" w:type="dxa"/>
          </w:tcPr>
          <w:p w14:paraId="231CCE1C" w14:textId="77777777" w:rsidR="003B31DC" w:rsidRDefault="00913CBE">
            <w:pPr>
              <w:tabs>
                <w:tab w:val="left" w:pos="9071"/>
              </w:tabs>
              <w:ind w:right="11"/>
              <w:jc w:val="center"/>
              <w:rPr>
                <w:lang w:val="en-GB" w:eastAsia="en-US"/>
              </w:rPr>
            </w:pPr>
            <w:r>
              <w:rPr>
                <w:spacing w:val="-4"/>
                <w:lang w:val="en-GB" w:eastAsia="en-US"/>
              </w:rPr>
              <w:t>-3,12</w:t>
            </w:r>
          </w:p>
        </w:tc>
        <w:tc>
          <w:tcPr>
            <w:tcW w:w="2267" w:type="dxa"/>
          </w:tcPr>
          <w:p w14:paraId="231BDF51" w14:textId="77777777" w:rsidR="003B31DC" w:rsidRDefault="00913CBE">
            <w:pPr>
              <w:tabs>
                <w:tab w:val="left" w:pos="9071"/>
              </w:tabs>
              <w:jc w:val="center"/>
              <w:rPr>
                <w:lang w:val="en-GB" w:eastAsia="en-US"/>
              </w:rPr>
            </w:pPr>
            <w:r>
              <w:rPr>
                <w:spacing w:val="-4"/>
                <w:lang w:val="en-GB" w:eastAsia="en-US"/>
              </w:rPr>
              <w:t>1,34</w:t>
            </w:r>
          </w:p>
        </w:tc>
      </w:tr>
      <w:tr w:rsidR="003B31DC" w14:paraId="7915670A" w14:textId="77777777">
        <w:trPr>
          <w:trHeight w:val="251"/>
        </w:trPr>
        <w:tc>
          <w:tcPr>
            <w:tcW w:w="4219" w:type="dxa"/>
          </w:tcPr>
          <w:p w14:paraId="29EB542B" w14:textId="77777777" w:rsidR="003B31DC" w:rsidRDefault="00913CBE">
            <w:pPr>
              <w:tabs>
                <w:tab w:val="left" w:pos="9071"/>
              </w:tabs>
              <w:ind w:right="351"/>
              <w:rPr>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glimepiridinu</w:t>
            </w:r>
            <w:r>
              <w:rPr>
                <w:spacing w:val="-2"/>
                <w:vertAlign w:val="superscript"/>
                <w:lang w:val="en-GB" w:eastAsia="en-US"/>
              </w:rPr>
              <w:t>1</w:t>
            </w:r>
            <w:r>
              <w:rPr>
                <w:lang w:val="en-GB" w:eastAsia="en-US"/>
              </w:rPr>
              <w:t xml:space="preserve"> (95 % PI)</w:t>
            </w:r>
          </w:p>
        </w:tc>
        <w:tc>
          <w:tcPr>
            <w:tcW w:w="2409" w:type="dxa"/>
          </w:tcPr>
          <w:p w14:paraId="4408B66F" w14:textId="77777777" w:rsidR="003B31DC" w:rsidRDefault="00913CBE">
            <w:pPr>
              <w:tabs>
                <w:tab w:val="left" w:pos="9071"/>
              </w:tabs>
              <w:ind w:right="7"/>
              <w:jc w:val="center"/>
              <w:rPr>
                <w:lang w:val="en-GB" w:eastAsia="en-US"/>
              </w:rPr>
            </w:pPr>
            <w:r>
              <w:rPr>
                <w:lang w:val="en-GB" w:eastAsia="en-US"/>
              </w:rPr>
              <w:t>-4,46**</w:t>
            </w:r>
            <w:r>
              <w:rPr>
                <w:spacing w:val="-5"/>
                <w:lang w:val="en-GB" w:eastAsia="en-US"/>
              </w:rPr>
              <w:t xml:space="preserve"> </w:t>
            </w:r>
            <w:r>
              <w:rPr>
                <w:lang w:val="en-GB" w:eastAsia="en-US"/>
              </w:rPr>
              <w:t>(-4,87,</w:t>
            </w:r>
            <w:r>
              <w:rPr>
                <w:spacing w:val="-4"/>
                <w:lang w:val="en-GB" w:eastAsia="en-US"/>
              </w:rPr>
              <w:t xml:space="preserve"> </w:t>
            </w:r>
            <w:r>
              <w:rPr>
                <w:lang w:val="en-GB" w:eastAsia="en-US"/>
              </w:rPr>
              <w:t>-</w:t>
            </w:r>
            <w:r>
              <w:rPr>
                <w:spacing w:val="-2"/>
                <w:lang w:val="en-GB" w:eastAsia="en-US"/>
              </w:rPr>
              <w:t>4,05)</w:t>
            </w:r>
          </w:p>
        </w:tc>
        <w:tc>
          <w:tcPr>
            <w:tcW w:w="2267" w:type="dxa"/>
          </w:tcPr>
          <w:p w14:paraId="1D4B9EBC" w14:textId="77777777" w:rsidR="003B31DC" w:rsidRDefault="003B31DC">
            <w:pPr>
              <w:tabs>
                <w:tab w:val="left" w:pos="9071"/>
              </w:tabs>
              <w:rPr>
                <w:lang w:val="en-GB" w:eastAsia="en-US"/>
              </w:rPr>
            </w:pPr>
          </w:p>
        </w:tc>
      </w:tr>
      <w:tr w:rsidR="003B31DC" w14:paraId="11074AF7" w14:textId="77777777">
        <w:trPr>
          <w:trHeight w:val="254"/>
        </w:trPr>
        <w:tc>
          <w:tcPr>
            <w:tcW w:w="4219" w:type="dxa"/>
          </w:tcPr>
          <w:p w14:paraId="451ED52E" w14:textId="77777777" w:rsidR="003B31DC" w:rsidRDefault="00913CBE">
            <w:pPr>
              <w:tabs>
                <w:tab w:val="left" w:pos="9071"/>
              </w:tabs>
              <w:rPr>
                <w:lang w:val="en-GB" w:eastAsia="en-US"/>
              </w:rPr>
            </w:pPr>
            <w:r>
              <w:rPr>
                <w:spacing w:val="-10"/>
                <w:lang w:val="en-GB" w:eastAsia="en-US"/>
              </w:rPr>
              <w:t>N</w:t>
            </w:r>
          </w:p>
        </w:tc>
        <w:tc>
          <w:tcPr>
            <w:tcW w:w="2409" w:type="dxa"/>
          </w:tcPr>
          <w:p w14:paraId="4AE52AF0" w14:textId="77777777" w:rsidR="003B31DC" w:rsidRDefault="00913CBE">
            <w:pPr>
              <w:tabs>
                <w:tab w:val="left" w:pos="9071"/>
              </w:tabs>
              <w:ind w:right="6"/>
              <w:jc w:val="center"/>
              <w:rPr>
                <w:lang w:val="en-GB" w:eastAsia="en-US"/>
              </w:rPr>
            </w:pPr>
            <w:r>
              <w:rPr>
                <w:spacing w:val="-5"/>
                <w:lang w:val="en-GB" w:eastAsia="en-US"/>
              </w:rPr>
              <w:t>765</w:t>
            </w:r>
          </w:p>
        </w:tc>
        <w:tc>
          <w:tcPr>
            <w:tcW w:w="2267" w:type="dxa"/>
          </w:tcPr>
          <w:p w14:paraId="54AD223C" w14:textId="77777777" w:rsidR="003B31DC" w:rsidRDefault="00913CBE">
            <w:pPr>
              <w:tabs>
                <w:tab w:val="left" w:pos="9071"/>
              </w:tabs>
              <w:ind w:right="3"/>
              <w:jc w:val="center"/>
              <w:rPr>
                <w:lang w:val="en-GB" w:eastAsia="en-US"/>
              </w:rPr>
            </w:pPr>
            <w:r>
              <w:rPr>
                <w:spacing w:val="-5"/>
                <w:lang w:val="en-GB" w:eastAsia="en-US"/>
              </w:rPr>
              <w:t>780</w:t>
            </w:r>
          </w:p>
        </w:tc>
      </w:tr>
      <w:tr w:rsidR="003B31DC" w14:paraId="54B4ABE6" w14:textId="77777777">
        <w:trPr>
          <w:trHeight w:val="251"/>
        </w:trPr>
        <w:tc>
          <w:tcPr>
            <w:tcW w:w="8895" w:type="dxa"/>
            <w:gridSpan w:val="3"/>
          </w:tcPr>
          <w:p w14:paraId="5FD3A02C" w14:textId="77777777" w:rsidR="003B31DC" w:rsidRDefault="00913CBE">
            <w:pPr>
              <w:tabs>
                <w:tab w:val="left" w:pos="9071"/>
              </w:tabs>
              <w:rPr>
                <w:b/>
                <w:lang w:val="en-GB" w:eastAsia="en-US"/>
              </w:rPr>
            </w:pPr>
            <w:r>
              <w:rPr>
                <w:b/>
                <w:lang w:val="en-GB" w:eastAsia="en-US"/>
              </w:rPr>
              <w:t>SKS</w:t>
            </w:r>
            <w:r>
              <w:rPr>
                <w:b/>
                <w:spacing w:val="-5"/>
                <w:lang w:val="en-GB" w:eastAsia="en-US"/>
              </w:rPr>
              <w:t xml:space="preserve"> </w:t>
            </w:r>
            <w:r>
              <w:rPr>
                <w:b/>
                <w:spacing w:val="-2"/>
                <w:lang w:val="en-GB" w:eastAsia="en-US"/>
              </w:rPr>
              <w:t>(mmHg)</w:t>
            </w:r>
            <w:r>
              <w:rPr>
                <w:b/>
                <w:spacing w:val="-2"/>
                <w:vertAlign w:val="superscript"/>
                <w:lang w:val="en-GB" w:eastAsia="en-US"/>
              </w:rPr>
              <w:t>3</w:t>
            </w:r>
          </w:p>
        </w:tc>
      </w:tr>
      <w:tr w:rsidR="003B31DC" w14:paraId="7F0ADCC8" w14:textId="77777777">
        <w:trPr>
          <w:trHeight w:val="254"/>
        </w:trPr>
        <w:tc>
          <w:tcPr>
            <w:tcW w:w="4219" w:type="dxa"/>
          </w:tcPr>
          <w:p w14:paraId="32337052" w14:textId="77777777" w:rsidR="003B31DC" w:rsidRDefault="00913CBE">
            <w:pPr>
              <w:tabs>
                <w:tab w:val="left" w:pos="9071"/>
              </w:tabs>
              <w:rPr>
                <w:lang w:val="en-GB" w:eastAsia="en-US"/>
              </w:rPr>
            </w:pPr>
            <w:proofErr w:type="spellStart"/>
            <w:r>
              <w:rPr>
                <w:spacing w:val="-2"/>
                <w:lang w:val="en-GB" w:eastAsia="en-US"/>
              </w:rPr>
              <w:t>Pradinis</w:t>
            </w:r>
            <w:proofErr w:type="spellEnd"/>
          </w:p>
          <w:p w14:paraId="7A68C47D" w14:textId="77777777" w:rsidR="003B31DC" w:rsidRDefault="00913CBE">
            <w:pPr>
              <w:tabs>
                <w:tab w:val="left" w:pos="9071"/>
              </w:tabs>
              <w:rPr>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2409" w:type="dxa"/>
          </w:tcPr>
          <w:p w14:paraId="2046F349" w14:textId="77777777" w:rsidR="003B31DC" w:rsidRDefault="00913CBE">
            <w:pPr>
              <w:tabs>
                <w:tab w:val="left" w:pos="9071"/>
              </w:tabs>
              <w:ind w:right="3"/>
              <w:jc w:val="center"/>
              <w:rPr>
                <w:lang w:val="en-GB" w:eastAsia="en-US"/>
              </w:rPr>
            </w:pPr>
            <w:r>
              <w:rPr>
                <w:spacing w:val="-2"/>
                <w:lang w:val="en-GB" w:eastAsia="en-US"/>
              </w:rPr>
              <w:t>133,4</w:t>
            </w:r>
          </w:p>
        </w:tc>
        <w:tc>
          <w:tcPr>
            <w:tcW w:w="2267" w:type="dxa"/>
          </w:tcPr>
          <w:p w14:paraId="5CF0055E" w14:textId="77777777" w:rsidR="003B31DC" w:rsidRDefault="00913CBE">
            <w:pPr>
              <w:tabs>
                <w:tab w:val="left" w:pos="9071"/>
              </w:tabs>
              <w:jc w:val="center"/>
              <w:rPr>
                <w:lang w:val="en-GB" w:eastAsia="en-US"/>
              </w:rPr>
            </w:pPr>
            <w:r>
              <w:rPr>
                <w:spacing w:val="-2"/>
                <w:lang w:val="en-GB" w:eastAsia="en-US"/>
              </w:rPr>
              <w:t>133,5</w:t>
            </w:r>
          </w:p>
        </w:tc>
      </w:tr>
      <w:tr w:rsidR="003B31DC" w14:paraId="387FB1CC" w14:textId="77777777">
        <w:trPr>
          <w:trHeight w:val="251"/>
        </w:trPr>
        <w:tc>
          <w:tcPr>
            <w:tcW w:w="4219" w:type="dxa"/>
          </w:tcPr>
          <w:p w14:paraId="5EC4EB9A"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438F5208" w14:textId="77777777" w:rsidR="003B31DC" w:rsidRDefault="00913CBE">
            <w:pPr>
              <w:tabs>
                <w:tab w:val="left" w:pos="9071"/>
              </w:tabs>
              <w:rPr>
                <w:lang w:val="en-GB" w:eastAsia="en-US"/>
              </w:rPr>
            </w:pPr>
            <w:r>
              <w:rPr>
                <w:spacing w:val="-2"/>
                <w:lang w:val="en-GB" w:eastAsia="en-US"/>
              </w:rPr>
              <w:t>pradinio</w:t>
            </w:r>
            <w:r>
              <w:rPr>
                <w:spacing w:val="-2"/>
                <w:vertAlign w:val="superscript"/>
                <w:lang w:val="en-GB" w:eastAsia="en-US"/>
              </w:rPr>
              <w:t>1</w:t>
            </w:r>
          </w:p>
        </w:tc>
        <w:tc>
          <w:tcPr>
            <w:tcW w:w="2409" w:type="dxa"/>
          </w:tcPr>
          <w:p w14:paraId="6C4AC3A3" w14:textId="77777777" w:rsidR="003B31DC" w:rsidRDefault="00913CBE">
            <w:pPr>
              <w:tabs>
                <w:tab w:val="left" w:pos="9071"/>
              </w:tabs>
              <w:ind w:right="11"/>
              <w:jc w:val="center"/>
              <w:rPr>
                <w:lang w:val="en-GB" w:eastAsia="en-US"/>
              </w:rPr>
            </w:pPr>
            <w:r>
              <w:rPr>
                <w:spacing w:val="-4"/>
                <w:lang w:val="en-GB" w:eastAsia="en-US"/>
              </w:rPr>
              <w:t>-</w:t>
            </w:r>
            <w:r>
              <w:rPr>
                <w:spacing w:val="-5"/>
                <w:lang w:val="en-GB" w:eastAsia="en-US"/>
              </w:rPr>
              <w:t>3,1</w:t>
            </w:r>
          </w:p>
        </w:tc>
        <w:tc>
          <w:tcPr>
            <w:tcW w:w="2267" w:type="dxa"/>
          </w:tcPr>
          <w:p w14:paraId="0B40300A" w14:textId="77777777" w:rsidR="003B31DC" w:rsidRDefault="00913CBE">
            <w:pPr>
              <w:tabs>
                <w:tab w:val="left" w:pos="9071"/>
              </w:tabs>
              <w:jc w:val="center"/>
              <w:rPr>
                <w:lang w:val="en-GB" w:eastAsia="en-US"/>
              </w:rPr>
            </w:pPr>
            <w:r>
              <w:rPr>
                <w:spacing w:val="-5"/>
                <w:lang w:val="en-GB" w:eastAsia="en-US"/>
              </w:rPr>
              <w:t>2,5</w:t>
            </w:r>
          </w:p>
        </w:tc>
      </w:tr>
      <w:tr w:rsidR="003B31DC" w14:paraId="3FCDA0E1" w14:textId="77777777">
        <w:trPr>
          <w:trHeight w:val="253"/>
        </w:trPr>
        <w:tc>
          <w:tcPr>
            <w:tcW w:w="4219" w:type="dxa"/>
          </w:tcPr>
          <w:p w14:paraId="15D4A180" w14:textId="77777777" w:rsidR="003B31DC" w:rsidRDefault="00913CBE">
            <w:pPr>
              <w:tabs>
                <w:tab w:val="left" w:pos="9071"/>
              </w:tabs>
              <w:ind w:right="351"/>
              <w:rPr>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glimepiridinu</w:t>
            </w:r>
            <w:r>
              <w:rPr>
                <w:spacing w:val="-2"/>
                <w:vertAlign w:val="superscript"/>
                <w:lang w:val="en-GB" w:eastAsia="en-US"/>
              </w:rPr>
              <w:t>1</w:t>
            </w:r>
            <w:r>
              <w:rPr>
                <w:lang w:val="en-GB" w:eastAsia="en-US"/>
              </w:rPr>
              <w:t xml:space="preserve"> (95 % PI)</w:t>
            </w:r>
          </w:p>
        </w:tc>
        <w:tc>
          <w:tcPr>
            <w:tcW w:w="2409" w:type="dxa"/>
          </w:tcPr>
          <w:p w14:paraId="19445C6E" w14:textId="77777777" w:rsidR="003B31DC" w:rsidRDefault="00913CBE">
            <w:pPr>
              <w:tabs>
                <w:tab w:val="left" w:pos="9071"/>
              </w:tabs>
              <w:ind w:right="7"/>
              <w:jc w:val="center"/>
              <w:rPr>
                <w:lang w:val="en-GB" w:eastAsia="en-US"/>
              </w:rPr>
            </w:pPr>
            <w:r>
              <w:rPr>
                <w:lang w:val="en-GB" w:eastAsia="en-US"/>
              </w:rPr>
              <w:t>-5,6**</w:t>
            </w:r>
            <w:r>
              <w:rPr>
                <w:spacing w:val="-7"/>
                <w:lang w:val="en-GB" w:eastAsia="en-US"/>
              </w:rPr>
              <w:t xml:space="preserve"> </w:t>
            </w:r>
            <w:r>
              <w:rPr>
                <w:lang w:val="en-GB" w:eastAsia="en-US"/>
              </w:rPr>
              <w:t>(-7,</w:t>
            </w:r>
            <w:proofErr w:type="gramStart"/>
            <w:r>
              <w:rPr>
                <w:lang w:val="en-GB" w:eastAsia="en-US"/>
              </w:rPr>
              <w:t>0,-</w:t>
            </w:r>
            <w:proofErr w:type="gramEnd"/>
            <w:r>
              <w:rPr>
                <w:spacing w:val="-4"/>
                <w:lang w:val="en-GB" w:eastAsia="en-US"/>
              </w:rPr>
              <w:t>4,2)</w:t>
            </w:r>
          </w:p>
        </w:tc>
        <w:tc>
          <w:tcPr>
            <w:tcW w:w="2267" w:type="dxa"/>
          </w:tcPr>
          <w:p w14:paraId="6E9AB2E3" w14:textId="77777777" w:rsidR="003B31DC" w:rsidRDefault="003B31DC">
            <w:pPr>
              <w:tabs>
                <w:tab w:val="left" w:pos="9071"/>
              </w:tabs>
              <w:rPr>
                <w:lang w:val="en-GB" w:eastAsia="en-US"/>
              </w:rPr>
            </w:pPr>
          </w:p>
        </w:tc>
      </w:tr>
    </w:tbl>
    <w:p w14:paraId="4EA1BFAA" w14:textId="77777777" w:rsidR="003B31DC" w:rsidRDefault="00913CBE">
      <w:pPr>
        <w:widowControl w:val="0"/>
        <w:tabs>
          <w:tab w:val="left" w:pos="567"/>
        </w:tabs>
        <w:outlineLvl w:val="2"/>
        <w:rPr>
          <w:rFonts w:eastAsiaTheme="minorHAnsi"/>
          <w:color w:val="000000"/>
          <w:sz w:val="20"/>
          <w:szCs w:val="20"/>
          <w:lang w:eastAsia="en-US"/>
        </w:rPr>
      </w:pPr>
      <w:r>
        <w:rPr>
          <w:rFonts w:eastAsiaTheme="minorHAnsi"/>
          <w:color w:val="000000"/>
          <w:sz w:val="20"/>
          <w:szCs w:val="20"/>
          <w:vertAlign w:val="superscript"/>
          <w:lang w:eastAsia="en-US"/>
        </w:rPr>
        <w:t>a</w:t>
      </w:r>
      <w:r>
        <w:rPr>
          <w:rFonts w:eastAsiaTheme="minorHAnsi"/>
          <w:color w:val="000000"/>
          <w:sz w:val="20"/>
          <w:szCs w:val="20"/>
          <w:lang w:eastAsia="en-US"/>
        </w:rPr>
        <w:t xml:space="preserve"> Visas analizės rinkinys (angl. FAS) naudojant paskutinių stebėjimų perkeltus (LOCF) duomenis prieš skiriant gelbstintįjį </w:t>
      </w:r>
      <w:proofErr w:type="spellStart"/>
      <w:r>
        <w:rPr>
          <w:rFonts w:eastAsiaTheme="minorHAnsi"/>
          <w:color w:val="000000"/>
          <w:sz w:val="20"/>
          <w:szCs w:val="20"/>
          <w:lang w:eastAsia="en-US"/>
        </w:rPr>
        <w:t>glikemiją</w:t>
      </w:r>
      <w:proofErr w:type="spellEnd"/>
      <w:r>
        <w:rPr>
          <w:rFonts w:eastAsiaTheme="minorHAnsi"/>
          <w:color w:val="000000"/>
          <w:sz w:val="20"/>
          <w:szCs w:val="20"/>
          <w:lang w:eastAsia="en-US"/>
        </w:rPr>
        <w:t xml:space="preserve"> mažinantį gydymą</w:t>
      </w:r>
    </w:p>
    <w:p w14:paraId="2E42B420" w14:textId="77777777" w:rsidR="003B31DC" w:rsidRDefault="00913CBE">
      <w:pPr>
        <w:widowControl w:val="0"/>
        <w:tabs>
          <w:tab w:val="left" w:pos="567"/>
        </w:tabs>
        <w:ind w:left="567" w:hanging="567"/>
        <w:outlineLvl w:val="2"/>
        <w:rPr>
          <w:rFonts w:eastAsiaTheme="minorHAnsi"/>
          <w:color w:val="000000"/>
          <w:sz w:val="20"/>
          <w:szCs w:val="20"/>
          <w:lang w:eastAsia="en-US"/>
        </w:rPr>
      </w:pPr>
      <w:r>
        <w:rPr>
          <w:rFonts w:eastAsiaTheme="minorHAnsi"/>
          <w:color w:val="000000"/>
          <w:sz w:val="20"/>
          <w:szCs w:val="20"/>
          <w:vertAlign w:val="superscript"/>
          <w:lang w:eastAsia="en-US"/>
        </w:rPr>
        <w:t>b</w:t>
      </w:r>
      <w:r>
        <w:rPr>
          <w:rFonts w:eastAsiaTheme="minorHAnsi"/>
          <w:color w:val="000000"/>
          <w:sz w:val="20"/>
          <w:szCs w:val="20"/>
          <w:lang w:eastAsia="en-US"/>
        </w:rPr>
        <w:t xml:space="preserve"> Iki 4 mg </w:t>
      </w:r>
      <w:proofErr w:type="spellStart"/>
      <w:r>
        <w:rPr>
          <w:rFonts w:eastAsiaTheme="minorHAnsi"/>
          <w:color w:val="000000"/>
          <w:sz w:val="20"/>
          <w:szCs w:val="20"/>
          <w:lang w:eastAsia="en-US"/>
        </w:rPr>
        <w:t>glimepirido</w:t>
      </w:r>
      <w:proofErr w:type="spellEnd"/>
    </w:p>
    <w:p w14:paraId="50050185" w14:textId="77777777" w:rsidR="003B31DC" w:rsidRDefault="00913CBE">
      <w:pPr>
        <w:widowControl w:val="0"/>
        <w:tabs>
          <w:tab w:val="left" w:pos="567"/>
        </w:tabs>
        <w:ind w:left="567" w:hanging="567"/>
        <w:outlineLvl w:val="2"/>
        <w:rPr>
          <w:rFonts w:eastAsiaTheme="minorHAnsi"/>
          <w:color w:val="000000"/>
          <w:sz w:val="20"/>
          <w:szCs w:val="20"/>
          <w:lang w:eastAsia="en-US"/>
        </w:rPr>
      </w:pPr>
      <w:r>
        <w:rPr>
          <w:rFonts w:eastAsiaTheme="minorHAnsi"/>
          <w:color w:val="000000"/>
          <w:sz w:val="20"/>
          <w:szCs w:val="20"/>
          <w:vertAlign w:val="superscript"/>
          <w:lang w:eastAsia="en-US"/>
        </w:rPr>
        <w:t>1</w:t>
      </w:r>
      <w:r>
        <w:rPr>
          <w:rFonts w:eastAsiaTheme="minorHAnsi"/>
          <w:color w:val="000000"/>
          <w:sz w:val="20"/>
          <w:szCs w:val="20"/>
          <w:lang w:eastAsia="en-US"/>
        </w:rPr>
        <w:t xml:space="preserve"> Vidurkis, koreguotas pagal pradinę vertę</w:t>
      </w:r>
    </w:p>
    <w:p w14:paraId="6B18399C" w14:textId="77777777" w:rsidR="003B31DC" w:rsidRDefault="00913CBE">
      <w:pPr>
        <w:widowControl w:val="0"/>
        <w:tabs>
          <w:tab w:val="left" w:pos="567"/>
        </w:tabs>
        <w:ind w:left="567" w:hanging="567"/>
        <w:outlineLvl w:val="2"/>
        <w:rPr>
          <w:rFonts w:eastAsiaTheme="minorHAnsi"/>
          <w:color w:val="000000"/>
          <w:sz w:val="20"/>
          <w:szCs w:val="20"/>
          <w:lang w:eastAsia="en-US"/>
        </w:rPr>
      </w:pPr>
      <w:r>
        <w:rPr>
          <w:rFonts w:eastAsiaTheme="minorHAnsi"/>
          <w:color w:val="000000"/>
          <w:sz w:val="20"/>
          <w:szCs w:val="20"/>
          <w:vertAlign w:val="superscript"/>
          <w:lang w:eastAsia="en-US"/>
        </w:rPr>
        <w:t>2</w:t>
      </w:r>
      <w:r>
        <w:rPr>
          <w:rFonts w:eastAsiaTheme="minorHAnsi"/>
          <w:color w:val="000000"/>
          <w:sz w:val="20"/>
          <w:szCs w:val="20"/>
          <w:lang w:eastAsia="en-US"/>
        </w:rPr>
        <w:t xml:space="preserve"> Nevertintas statistinis reikšmingumas kaip nuoseklios patvirtinamojo tikrinimo procedūros rezultatas</w:t>
      </w:r>
    </w:p>
    <w:p w14:paraId="1B66FDE6" w14:textId="77777777" w:rsidR="003B31DC" w:rsidRDefault="00913CBE">
      <w:pPr>
        <w:widowControl w:val="0"/>
        <w:tabs>
          <w:tab w:val="left" w:pos="567"/>
        </w:tabs>
        <w:ind w:left="567" w:hanging="567"/>
        <w:outlineLvl w:val="2"/>
        <w:rPr>
          <w:rFonts w:eastAsiaTheme="minorHAnsi"/>
          <w:color w:val="000000"/>
          <w:sz w:val="20"/>
          <w:szCs w:val="20"/>
          <w:lang w:eastAsia="en-US"/>
        </w:rPr>
      </w:pPr>
      <w:r>
        <w:rPr>
          <w:rFonts w:eastAsiaTheme="minorHAnsi"/>
          <w:color w:val="000000"/>
          <w:sz w:val="20"/>
          <w:szCs w:val="20"/>
          <w:vertAlign w:val="superscript"/>
          <w:lang w:eastAsia="en-US"/>
        </w:rPr>
        <w:t>3</w:t>
      </w:r>
      <w:r>
        <w:rPr>
          <w:rFonts w:eastAsiaTheme="minorHAnsi"/>
          <w:color w:val="000000"/>
          <w:sz w:val="20"/>
          <w:szCs w:val="20"/>
          <w:lang w:eastAsia="en-US"/>
        </w:rPr>
        <w:t xml:space="preserve"> LOCF reikšmės, gautos paskyrus gelbstintįjį </w:t>
      </w:r>
      <w:proofErr w:type="spellStart"/>
      <w:r>
        <w:rPr>
          <w:rFonts w:eastAsiaTheme="minorHAnsi"/>
          <w:color w:val="000000"/>
          <w:sz w:val="20"/>
          <w:szCs w:val="20"/>
          <w:lang w:eastAsia="en-US"/>
        </w:rPr>
        <w:t>antihipertenzinį</w:t>
      </w:r>
      <w:proofErr w:type="spellEnd"/>
      <w:r>
        <w:rPr>
          <w:rFonts w:eastAsiaTheme="minorHAnsi"/>
          <w:color w:val="000000"/>
          <w:sz w:val="20"/>
          <w:szCs w:val="20"/>
          <w:lang w:eastAsia="en-US"/>
        </w:rPr>
        <w:t xml:space="preserve"> gydymą, buvo cenzūruotos</w:t>
      </w:r>
    </w:p>
    <w:p w14:paraId="59272D81" w14:textId="77777777" w:rsidR="003B31DC" w:rsidRDefault="00913CBE">
      <w:pPr>
        <w:widowControl w:val="0"/>
        <w:tabs>
          <w:tab w:val="left" w:pos="567"/>
        </w:tabs>
        <w:ind w:left="567" w:hanging="567"/>
        <w:outlineLvl w:val="2"/>
        <w:rPr>
          <w:rFonts w:eastAsiaTheme="minorHAnsi"/>
          <w:color w:val="000000"/>
          <w:sz w:val="20"/>
          <w:szCs w:val="20"/>
          <w:lang w:eastAsia="en-US"/>
        </w:rPr>
      </w:pPr>
      <w:r>
        <w:rPr>
          <w:rFonts w:eastAsiaTheme="minorHAnsi"/>
          <w:color w:val="000000"/>
          <w:sz w:val="20"/>
          <w:szCs w:val="20"/>
          <w:lang w:eastAsia="en-US"/>
        </w:rPr>
        <w:t>* ne prastesnio rezultato p reikšmė &lt; 0,0001 ir pranašesnio rezultato p reikšmė = 0,0153</w:t>
      </w:r>
    </w:p>
    <w:p w14:paraId="4F099C9B" w14:textId="77777777" w:rsidR="003B31DC" w:rsidRDefault="00913CBE">
      <w:pPr>
        <w:widowControl w:val="0"/>
        <w:tabs>
          <w:tab w:val="left" w:pos="567"/>
        </w:tabs>
        <w:ind w:left="567" w:hanging="567"/>
        <w:outlineLvl w:val="2"/>
        <w:rPr>
          <w:rFonts w:eastAsiaTheme="minorHAnsi"/>
          <w:color w:val="000000"/>
          <w:sz w:val="20"/>
          <w:szCs w:val="20"/>
          <w:lang w:eastAsia="en-US"/>
        </w:rPr>
      </w:pPr>
      <w:r>
        <w:rPr>
          <w:rFonts w:eastAsiaTheme="minorHAnsi"/>
          <w:color w:val="000000"/>
          <w:sz w:val="20"/>
          <w:szCs w:val="20"/>
          <w:lang w:eastAsia="en-US"/>
        </w:rPr>
        <w:t>** p reikšmė &lt; 0,0001</w:t>
      </w:r>
    </w:p>
    <w:p w14:paraId="3EC9D1FB" w14:textId="77777777" w:rsidR="003B31DC" w:rsidRDefault="003B31DC">
      <w:pPr>
        <w:widowControl w:val="0"/>
        <w:tabs>
          <w:tab w:val="left" w:pos="567"/>
        </w:tabs>
        <w:outlineLvl w:val="2"/>
        <w:rPr>
          <w:b/>
          <w:kern w:val="28"/>
          <w:sz w:val="22"/>
          <w:szCs w:val="22"/>
          <w:lang w:eastAsia="en-US"/>
        </w:rPr>
      </w:pPr>
    </w:p>
    <w:p w14:paraId="34E8EAB0" w14:textId="75AF300E" w:rsidR="003B31DC" w:rsidRDefault="00BB6BAD">
      <w:pPr>
        <w:autoSpaceDE w:val="0"/>
        <w:autoSpaceDN w:val="0"/>
        <w:adjustRightInd w:val="0"/>
        <w:rPr>
          <w:rFonts w:eastAsiaTheme="minorHAnsi"/>
          <w:color w:val="000000"/>
          <w:sz w:val="22"/>
          <w:szCs w:val="22"/>
          <w:u w:val="single"/>
          <w:lang w:eastAsia="en-US"/>
        </w:rPr>
      </w:pPr>
      <w:r w:rsidRPr="00FA2F7A">
        <w:rPr>
          <w:i/>
          <w:iCs/>
          <w:sz w:val="22"/>
          <w:szCs w:val="22"/>
        </w:rPr>
        <w:t xml:space="preserve"> Papildomas gydymas prie insulino terapijos</w:t>
      </w:r>
    </w:p>
    <w:p w14:paraId="66803C99" w14:textId="5CD385FD" w:rsidR="003B31DC" w:rsidRPr="001C3337" w:rsidRDefault="001C3337">
      <w:pPr>
        <w:autoSpaceDE w:val="0"/>
        <w:autoSpaceDN w:val="0"/>
        <w:adjustRightInd w:val="0"/>
        <w:rPr>
          <w:rFonts w:eastAsiaTheme="minorHAnsi"/>
          <w:i/>
          <w:iCs/>
          <w:color w:val="000000"/>
          <w:sz w:val="22"/>
          <w:szCs w:val="22"/>
          <w:lang w:eastAsia="en-US"/>
        </w:rPr>
      </w:pPr>
      <w:r w:rsidRPr="001C3337">
        <w:t xml:space="preserve"> </w:t>
      </w:r>
      <w:proofErr w:type="spellStart"/>
      <w:r w:rsidRPr="00FA2F7A">
        <w:rPr>
          <w:i/>
          <w:iCs/>
          <w:sz w:val="22"/>
          <w:szCs w:val="22"/>
        </w:rPr>
        <w:t>Empagliflozinas</w:t>
      </w:r>
      <w:proofErr w:type="spellEnd"/>
      <w:r w:rsidRPr="00FA2F7A">
        <w:rPr>
          <w:i/>
          <w:iCs/>
          <w:sz w:val="22"/>
          <w:szCs w:val="22"/>
        </w:rPr>
        <w:t xml:space="preserve"> kaip papildomas gydymas prie kelių insulino injekcijų per parą</w:t>
      </w:r>
    </w:p>
    <w:p w14:paraId="60A1B18A" w14:textId="77777777" w:rsidR="003B31DC" w:rsidRDefault="003B31DC">
      <w:pPr>
        <w:autoSpaceDE w:val="0"/>
        <w:autoSpaceDN w:val="0"/>
        <w:adjustRightInd w:val="0"/>
        <w:rPr>
          <w:rFonts w:eastAsiaTheme="minorHAnsi"/>
          <w:color w:val="000000"/>
          <w:sz w:val="22"/>
          <w:szCs w:val="22"/>
          <w:lang w:eastAsia="en-US"/>
        </w:rPr>
      </w:pPr>
    </w:p>
    <w:p w14:paraId="3624F3EB"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veiksmingumas ir saugumas tuo atveju, kai juo buvo papildytas gydymas kelis kartus per parą vartojamu insulinu ir kartu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buvo tiriami 52 savaičių trukmės dvigubai koduotu, placebu kontroliuojamu tyrimu. Pirmąsias 18 savaičių ir paskutines 12 savaičių insulino dozė buvo pastovi, bet pakoreguota taip, kad tarp 19 ir 40 savaitės gliukozės kiekis prieš valgant būtų &lt; 100 mg/dl [5,5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/l], pavalgius &lt; 140 mg/dl [7,8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/l].</w:t>
      </w:r>
    </w:p>
    <w:p w14:paraId="42AE50B8" w14:textId="39C83352"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 xml:space="preserve">18-tą savaitę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palyginti su placebu, statistiškai reikšminga</w:t>
      </w:r>
      <w:r w:rsidR="00144535">
        <w:rPr>
          <w:rFonts w:eastAsiaTheme="minorHAnsi"/>
          <w:color w:val="000000"/>
          <w:sz w:val="22"/>
          <w:szCs w:val="22"/>
          <w:lang w:eastAsia="en-US"/>
        </w:rPr>
        <w:t>i</w:t>
      </w:r>
      <w:r>
        <w:rPr>
          <w:rFonts w:eastAsiaTheme="minorHAnsi"/>
          <w:color w:val="000000"/>
          <w:sz w:val="22"/>
          <w:szCs w:val="22"/>
          <w:lang w:eastAsia="en-US"/>
        </w:rPr>
        <w:t xml:space="preserve"> sumažino HbA1c kiekį (7 lentelė).</w:t>
      </w:r>
    </w:p>
    <w:p w14:paraId="345B6E39" w14:textId="77777777" w:rsidR="003B31DC" w:rsidRDefault="00913CBE">
      <w:pPr>
        <w:autoSpaceDE w:val="0"/>
        <w:autoSpaceDN w:val="0"/>
        <w:adjustRightInd w:val="0"/>
        <w:rPr>
          <w:rFonts w:eastAsiaTheme="minorHAnsi"/>
          <w:color w:val="000000"/>
          <w:sz w:val="22"/>
          <w:szCs w:val="22"/>
          <w:lang w:eastAsia="en-US"/>
        </w:rPr>
      </w:pPr>
      <w:r>
        <w:rPr>
          <w:sz w:val="22"/>
          <w:szCs w:val="22"/>
        </w:rPr>
        <w:t xml:space="preserve">52-rą savaitę gydymas </w:t>
      </w:r>
      <w:proofErr w:type="spellStart"/>
      <w:r>
        <w:rPr>
          <w:sz w:val="22"/>
          <w:szCs w:val="22"/>
        </w:rPr>
        <w:t>empagliflozinu</w:t>
      </w:r>
      <w:proofErr w:type="spellEnd"/>
      <w:r>
        <w:rPr>
          <w:sz w:val="22"/>
          <w:szCs w:val="22"/>
        </w:rPr>
        <w:t xml:space="preserve"> lėmė statistiškai reikšmingą HbA1c lygmens ir insulino poreikio sumažėjimą, palyginti su placebu, bei kūno svorio sumažėjimą.</w:t>
      </w:r>
    </w:p>
    <w:p w14:paraId="32A05035" w14:textId="77777777" w:rsidR="003B31DC" w:rsidRDefault="003B31DC">
      <w:pPr>
        <w:widowControl w:val="0"/>
        <w:tabs>
          <w:tab w:val="left" w:pos="567"/>
        </w:tabs>
        <w:ind w:left="567" w:hanging="567"/>
        <w:outlineLvl w:val="2"/>
        <w:rPr>
          <w:b/>
          <w:kern w:val="28"/>
          <w:sz w:val="22"/>
          <w:szCs w:val="22"/>
          <w:lang w:eastAsia="en-US"/>
        </w:rPr>
      </w:pPr>
    </w:p>
    <w:p w14:paraId="4B31D061" w14:textId="232B7615" w:rsidR="003B31DC" w:rsidRPr="000A4181" w:rsidRDefault="00913CBE">
      <w:pPr>
        <w:ind w:left="1118" w:right="11" w:hanging="1133"/>
        <w:rPr>
          <w:sz w:val="22"/>
          <w:szCs w:val="22"/>
          <w:lang w:eastAsia="sl-SI"/>
        </w:rPr>
      </w:pPr>
      <w:r w:rsidRPr="00A02B90">
        <w:rPr>
          <w:sz w:val="22"/>
          <w:szCs w:val="22"/>
          <w:lang w:eastAsia="sl-SI"/>
        </w:rPr>
        <w:t>7 len</w:t>
      </w:r>
      <w:r>
        <w:rPr>
          <w:sz w:val="22"/>
          <w:szCs w:val="22"/>
          <w:lang w:eastAsia="sl-SI"/>
        </w:rPr>
        <w:t>telė</w:t>
      </w:r>
      <w:r w:rsidRPr="00A02B90">
        <w:rPr>
          <w:sz w:val="22"/>
          <w:szCs w:val="22"/>
          <w:lang w:eastAsia="sl-SI"/>
        </w:rPr>
        <w:t>:</w:t>
      </w:r>
      <w:r w:rsidRPr="00A02B90">
        <w:rPr>
          <w:sz w:val="22"/>
          <w:szCs w:val="22"/>
          <w:lang w:eastAsia="sl-SI"/>
        </w:rPr>
        <w:tab/>
      </w:r>
      <w:r w:rsidR="000A4181" w:rsidRPr="000A4181">
        <w:t xml:space="preserve"> </w:t>
      </w:r>
      <w:r w:rsidR="000A4181" w:rsidRPr="00FA2F7A">
        <w:rPr>
          <w:sz w:val="22"/>
          <w:szCs w:val="22"/>
        </w:rPr>
        <w:t xml:space="preserve">18-osios ir 52-osios savaitės efektyvumo rezultatai iš placebu kontroliuojamo tyrimo, kuriame </w:t>
      </w:r>
      <w:proofErr w:type="spellStart"/>
      <w:r w:rsidR="000A4181" w:rsidRPr="00FA2F7A">
        <w:rPr>
          <w:sz w:val="22"/>
          <w:szCs w:val="22"/>
        </w:rPr>
        <w:t>empagliflozinas</w:t>
      </w:r>
      <w:proofErr w:type="spellEnd"/>
      <w:r w:rsidR="000A4181" w:rsidRPr="00FA2F7A">
        <w:rPr>
          <w:sz w:val="22"/>
          <w:szCs w:val="22"/>
        </w:rPr>
        <w:t xml:space="preserve"> buvo skiriamas kaip papildomas gydymas prie kelių dienos insulino dozių kartu su </w:t>
      </w:r>
      <w:proofErr w:type="spellStart"/>
      <w:r w:rsidR="000A4181" w:rsidRPr="00FA2F7A">
        <w:rPr>
          <w:sz w:val="22"/>
          <w:szCs w:val="22"/>
        </w:rPr>
        <w:t>metforminu</w:t>
      </w:r>
      <w:proofErr w:type="spellEnd"/>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1277"/>
        <w:gridCol w:w="2551"/>
        <w:gridCol w:w="2409"/>
      </w:tblGrid>
      <w:tr w:rsidR="003B31DC" w14:paraId="0E568787" w14:textId="77777777">
        <w:trPr>
          <w:trHeight w:val="254"/>
        </w:trPr>
        <w:tc>
          <w:tcPr>
            <w:tcW w:w="2659" w:type="dxa"/>
            <w:vMerge w:val="restart"/>
          </w:tcPr>
          <w:p w14:paraId="5113EBE2" w14:textId="77777777" w:rsidR="003B31DC" w:rsidRPr="00A02B90" w:rsidRDefault="003B31DC">
            <w:pPr>
              <w:tabs>
                <w:tab w:val="left" w:pos="9071"/>
              </w:tabs>
              <w:rPr>
                <w:rFonts w:eastAsia="Calibri"/>
                <w:lang w:val="lt-LT" w:eastAsia="en-US"/>
              </w:rPr>
            </w:pPr>
          </w:p>
        </w:tc>
        <w:tc>
          <w:tcPr>
            <w:tcW w:w="1277" w:type="dxa"/>
            <w:vMerge w:val="restart"/>
          </w:tcPr>
          <w:p w14:paraId="044D245B" w14:textId="77777777" w:rsidR="003B31DC" w:rsidRDefault="00913CBE">
            <w:pPr>
              <w:tabs>
                <w:tab w:val="left" w:pos="9071"/>
              </w:tabs>
              <w:rPr>
                <w:rFonts w:eastAsia="Calibri"/>
                <w:b/>
                <w:lang w:val="en-GB" w:eastAsia="en-US"/>
              </w:rPr>
            </w:pPr>
            <w:proofErr w:type="spellStart"/>
            <w:r>
              <w:rPr>
                <w:rFonts w:eastAsia="Calibri"/>
                <w:b/>
                <w:spacing w:val="-2"/>
                <w:lang w:val="en-GB" w:eastAsia="en-US"/>
              </w:rPr>
              <w:t>Placebas</w:t>
            </w:r>
            <w:proofErr w:type="spellEnd"/>
          </w:p>
        </w:tc>
        <w:tc>
          <w:tcPr>
            <w:tcW w:w="4960" w:type="dxa"/>
            <w:gridSpan w:val="2"/>
          </w:tcPr>
          <w:p w14:paraId="1E787613" w14:textId="77777777" w:rsidR="003B31DC" w:rsidRDefault="00913CBE">
            <w:pPr>
              <w:tabs>
                <w:tab w:val="left" w:pos="9071"/>
              </w:tabs>
              <w:jc w:val="center"/>
              <w:rPr>
                <w:rFonts w:eastAsia="Calibri"/>
                <w:b/>
                <w:lang w:val="en-GB" w:eastAsia="en-US"/>
              </w:rPr>
            </w:pPr>
            <w:proofErr w:type="spellStart"/>
            <w:r>
              <w:rPr>
                <w:rFonts w:eastAsia="Calibri"/>
                <w:b/>
                <w:spacing w:val="-2"/>
                <w:lang w:val="en-GB" w:eastAsia="en-US"/>
              </w:rPr>
              <w:t>Empagliflozinas</w:t>
            </w:r>
            <w:proofErr w:type="spellEnd"/>
          </w:p>
        </w:tc>
      </w:tr>
      <w:tr w:rsidR="003B31DC" w14:paraId="0BCD576A" w14:textId="77777777">
        <w:trPr>
          <w:trHeight w:val="251"/>
        </w:trPr>
        <w:tc>
          <w:tcPr>
            <w:tcW w:w="2659" w:type="dxa"/>
            <w:vMerge/>
            <w:tcBorders>
              <w:top w:val="nil"/>
            </w:tcBorders>
          </w:tcPr>
          <w:p w14:paraId="289A0A9B" w14:textId="77777777" w:rsidR="003B31DC" w:rsidRDefault="003B31DC">
            <w:pPr>
              <w:tabs>
                <w:tab w:val="left" w:pos="9071"/>
              </w:tabs>
              <w:rPr>
                <w:rFonts w:eastAsia="Calibri"/>
                <w:sz w:val="24"/>
                <w:lang w:val="en-GB" w:eastAsia="en-US"/>
              </w:rPr>
            </w:pPr>
          </w:p>
        </w:tc>
        <w:tc>
          <w:tcPr>
            <w:tcW w:w="1277" w:type="dxa"/>
            <w:vMerge/>
            <w:tcBorders>
              <w:top w:val="nil"/>
            </w:tcBorders>
          </w:tcPr>
          <w:p w14:paraId="38959781" w14:textId="77777777" w:rsidR="003B31DC" w:rsidRDefault="003B31DC">
            <w:pPr>
              <w:tabs>
                <w:tab w:val="left" w:pos="9071"/>
              </w:tabs>
              <w:rPr>
                <w:rFonts w:eastAsia="Calibri"/>
                <w:sz w:val="24"/>
                <w:lang w:val="en-GB" w:eastAsia="en-US"/>
              </w:rPr>
            </w:pPr>
          </w:p>
        </w:tc>
        <w:tc>
          <w:tcPr>
            <w:tcW w:w="2551" w:type="dxa"/>
          </w:tcPr>
          <w:p w14:paraId="5DE1F65F" w14:textId="77777777" w:rsidR="003B31DC" w:rsidRDefault="00913CBE">
            <w:pPr>
              <w:tabs>
                <w:tab w:val="left" w:pos="9071"/>
              </w:tabs>
              <w:jc w:val="center"/>
              <w:rPr>
                <w:rFonts w:eastAsia="Calibri"/>
                <w:b/>
                <w:lang w:val="en-GB" w:eastAsia="en-US"/>
              </w:rPr>
            </w:pPr>
            <w:r>
              <w:rPr>
                <w:rFonts w:eastAsia="Calibri"/>
                <w:b/>
                <w:lang w:val="en-GB" w:eastAsia="en-US"/>
              </w:rPr>
              <w:t>10 mg</w:t>
            </w:r>
          </w:p>
        </w:tc>
        <w:tc>
          <w:tcPr>
            <w:tcW w:w="2409" w:type="dxa"/>
          </w:tcPr>
          <w:p w14:paraId="40B5716E" w14:textId="77777777" w:rsidR="003B31DC" w:rsidRDefault="00913CBE">
            <w:pPr>
              <w:tabs>
                <w:tab w:val="left" w:pos="9071"/>
              </w:tabs>
              <w:ind w:right="5"/>
              <w:jc w:val="center"/>
              <w:rPr>
                <w:rFonts w:eastAsia="Calibri"/>
                <w:b/>
                <w:lang w:val="en-GB" w:eastAsia="en-US"/>
              </w:rPr>
            </w:pPr>
            <w:r>
              <w:rPr>
                <w:rFonts w:eastAsia="Calibri"/>
                <w:b/>
                <w:lang w:val="en-GB" w:eastAsia="en-US"/>
              </w:rPr>
              <w:t>25 mg</w:t>
            </w:r>
          </w:p>
        </w:tc>
      </w:tr>
      <w:tr w:rsidR="003B31DC" w14:paraId="56AD3F02" w14:textId="77777777">
        <w:trPr>
          <w:trHeight w:val="253"/>
        </w:trPr>
        <w:tc>
          <w:tcPr>
            <w:tcW w:w="2659" w:type="dxa"/>
          </w:tcPr>
          <w:p w14:paraId="5F9F37CD"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1277" w:type="dxa"/>
          </w:tcPr>
          <w:p w14:paraId="7A2C9972" w14:textId="77777777" w:rsidR="003B31DC" w:rsidRDefault="00913CBE">
            <w:pPr>
              <w:tabs>
                <w:tab w:val="left" w:pos="9071"/>
              </w:tabs>
              <w:ind w:right="3"/>
              <w:jc w:val="center"/>
              <w:rPr>
                <w:rFonts w:eastAsia="Calibri"/>
                <w:lang w:val="en-GB" w:eastAsia="en-US"/>
              </w:rPr>
            </w:pPr>
            <w:r>
              <w:rPr>
                <w:rFonts w:eastAsia="Calibri"/>
                <w:spacing w:val="-5"/>
                <w:lang w:val="en-GB" w:eastAsia="en-US"/>
              </w:rPr>
              <w:t>135</w:t>
            </w:r>
          </w:p>
        </w:tc>
        <w:tc>
          <w:tcPr>
            <w:tcW w:w="2551" w:type="dxa"/>
          </w:tcPr>
          <w:p w14:paraId="1C07B2C9" w14:textId="77777777" w:rsidR="003B31DC" w:rsidRDefault="00913CBE">
            <w:pPr>
              <w:tabs>
                <w:tab w:val="left" w:pos="9071"/>
              </w:tabs>
              <w:ind w:right="6"/>
              <w:jc w:val="center"/>
              <w:rPr>
                <w:rFonts w:eastAsia="Calibri"/>
                <w:lang w:val="en-GB" w:eastAsia="en-US"/>
              </w:rPr>
            </w:pPr>
            <w:r>
              <w:rPr>
                <w:rFonts w:eastAsia="Calibri"/>
                <w:spacing w:val="-5"/>
                <w:lang w:val="en-GB" w:eastAsia="en-US"/>
              </w:rPr>
              <w:t>128</w:t>
            </w:r>
          </w:p>
        </w:tc>
        <w:tc>
          <w:tcPr>
            <w:tcW w:w="2409" w:type="dxa"/>
          </w:tcPr>
          <w:p w14:paraId="6E6292F9" w14:textId="77777777" w:rsidR="003B31DC" w:rsidRDefault="00913CBE">
            <w:pPr>
              <w:tabs>
                <w:tab w:val="left" w:pos="9071"/>
              </w:tabs>
              <w:ind w:right="6"/>
              <w:jc w:val="center"/>
              <w:rPr>
                <w:rFonts w:eastAsia="Calibri"/>
                <w:lang w:val="en-GB" w:eastAsia="en-US"/>
              </w:rPr>
            </w:pPr>
            <w:r>
              <w:rPr>
                <w:rFonts w:eastAsia="Calibri"/>
                <w:spacing w:val="-5"/>
                <w:lang w:val="en-GB" w:eastAsia="en-US"/>
              </w:rPr>
              <w:t>137</w:t>
            </w:r>
          </w:p>
        </w:tc>
      </w:tr>
      <w:tr w:rsidR="003B31DC" w14:paraId="5D7D9EA7" w14:textId="77777777">
        <w:trPr>
          <w:trHeight w:val="254"/>
        </w:trPr>
        <w:tc>
          <w:tcPr>
            <w:tcW w:w="8896" w:type="dxa"/>
            <w:gridSpan w:val="4"/>
          </w:tcPr>
          <w:p w14:paraId="4F5726F0" w14:textId="77777777" w:rsidR="003B31DC" w:rsidRDefault="00913CBE">
            <w:pPr>
              <w:tabs>
                <w:tab w:val="left" w:pos="9071"/>
              </w:tabs>
              <w:rPr>
                <w:rFonts w:eastAsia="Calibri"/>
                <w:lang w:val="en-GB" w:eastAsia="en-US"/>
              </w:rPr>
            </w:pPr>
            <w:r>
              <w:rPr>
                <w:rFonts w:eastAsia="Calibri"/>
                <w:b/>
                <w:lang w:val="en-GB" w:eastAsia="en-US"/>
              </w:rPr>
              <w:t>HbA1c</w:t>
            </w:r>
            <w:r>
              <w:rPr>
                <w:rFonts w:eastAsia="Calibri"/>
                <w:b/>
                <w:spacing w:val="-4"/>
                <w:lang w:val="en-GB" w:eastAsia="en-US"/>
              </w:rPr>
              <w:t xml:space="preserve"> </w:t>
            </w:r>
            <w:proofErr w:type="spellStart"/>
            <w:r>
              <w:rPr>
                <w:rFonts w:eastAsia="Calibri"/>
                <w:b/>
                <w:spacing w:val="-4"/>
                <w:lang w:val="en-GB" w:eastAsia="en-US"/>
              </w:rPr>
              <w:t>kiekis</w:t>
            </w:r>
            <w:proofErr w:type="spellEnd"/>
            <w:r>
              <w:rPr>
                <w:rFonts w:eastAsia="Calibri"/>
                <w:b/>
                <w:spacing w:val="-4"/>
                <w:lang w:val="en-GB" w:eastAsia="en-US"/>
              </w:rPr>
              <w:t xml:space="preserve"> </w:t>
            </w:r>
            <w:r>
              <w:rPr>
                <w:rFonts w:eastAsia="Calibri"/>
                <w:b/>
                <w:lang w:val="en-GB" w:eastAsia="en-US"/>
              </w:rPr>
              <w:t>(%)</w:t>
            </w:r>
            <w:r>
              <w:rPr>
                <w:rFonts w:eastAsia="Calibri"/>
                <w:b/>
                <w:spacing w:val="-3"/>
                <w:lang w:val="en-GB" w:eastAsia="en-US"/>
              </w:rPr>
              <w:t xml:space="preserve"> </w:t>
            </w:r>
            <w:r>
              <w:rPr>
                <w:rFonts w:eastAsia="Calibri"/>
                <w:b/>
                <w:spacing w:val="-5"/>
                <w:lang w:val="en-GB" w:eastAsia="en-US"/>
              </w:rPr>
              <w:t>18</w:t>
            </w:r>
            <w:r>
              <w:rPr>
                <w:rFonts w:eastAsia="Calibri"/>
                <w:spacing w:val="-5"/>
                <w:vertAlign w:val="superscript"/>
                <w:lang w:val="en-GB" w:eastAsia="en-US"/>
              </w:rPr>
              <w:t xml:space="preserve">a </w:t>
            </w:r>
            <w:proofErr w:type="spellStart"/>
            <w:r>
              <w:rPr>
                <w:rFonts w:eastAsia="Calibri"/>
                <w:b/>
                <w:bCs/>
                <w:spacing w:val="-5"/>
                <w:lang w:val="en-GB" w:eastAsia="en-US"/>
              </w:rPr>
              <w:t>savaię</w:t>
            </w:r>
            <w:proofErr w:type="spellEnd"/>
          </w:p>
        </w:tc>
      </w:tr>
      <w:tr w:rsidR="003B31DC" w14:paraId="29887F29" w14:textId="77777777">
        <w:trPr>
          <w:trHeight w:val="251"/>
        </w:trPr>
        <w:tc>
          <w:tcPr>
            <w:tcW w:w="2659" w:type="dxa"/>
          </w:tcPr>
          <w:p w14:paraId="373C41DD" w14:textId="77777777" w:rsidR="003B31DC" w:rsidRDefault="00913CBE">
            <w:pPr>
              <w:tabs>
                <w:tab w:val="left" w:pos="9071"/>
              </w:tabs>
              <w:rPr>
                <w:lang w:val="en-GB" w:eastAsia="en-US"/>
              </w:rPr>
            </w:pPr>
            <w:proofErr w:type="spellStart"/>
            <w:r>
              <w:rPr>
                <w:spacing w:val="-2"/>
                <w:lang w:val="en-GB" w:eastAsia="en-US"/>
              </w:rPr>
              <w:t>Pradinis</w:t>
            </w:r>
            <w:proofErr w:type="spellEnd"/>
          </w:p>
          <w:p w14:paraId="1DB782EB"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277" w:type="dxa"/>
          </w:tcPr>
          <w:p w14:paraId="24263DBA" w14:textId="77777777" w:rsidR="003B31DC" w:rsidRDefault="00913CBE">
            <w:pPr>
              <w:tabs>
                <w:tab w:val="left" w:pos="9071"/>
              </w:tabs>
              <w:jc w:val="center"/>
              <w:rPr>
                <w:rFonts w:eastAsia="Calibri"/>
                <w:lang w:val="en-GB" w:eastAsia="en-US"/>
              </w:rPr>
            </w:pPr>
            <w:r>
              <w:rPr>
                <w:rFonts w:eastAsia="Calibri"/>
                <w:spacing w:val="-4"/>
                <w:lang w:val="en-GB" w:eastAsia="en-US"/>
              </w:rPr>
              <w:t>8,29</w:t>
            </w:r>
          </w:p>
        </w:tc>
        <w:tc>
          <w:tcPr>
            <w:tcW w:w="2551" w:type="dxa"/>
          </w:tcPr>
          <w:p w14:paraId="6A1ABF91" w14:textId="77777777" w:rsidR="003B31DC" w:rsidRDefault="00913CBE">
            <w:pPr>
              <w:tabs>
                <w:tab w:val="left" w:pos="9071"/>
              </w:tabs>
              <w:ind w:right="4"/>
              <w:jc w:val="center"/>
              <w:rPr>
                <w:rFonts w:eastAsia="Calibri"/>
                <w:lang w:val="en-GB" w:eastAsia="en-US"/>
              </w:rPr>
            </w:pPr>
            <w:r>
              <w:rPr>
                <w:rFonts w:eastAsia="Calibri"/>
                <w:spacing w:val="-4"/>
                <w:lang w:val="en-GB" w:eastAsia="en-US"/>
              </w:rPr>
              <w:t>8,42</w:t>
            </w:r>
          </w:p>
        </w:tc>
        <w:tc>
          <w:tcPr>
            <w:tcW w:w="2409" w:type="dxa"/>
          </w:tcPr>
          <w:p w14:paraId="1F3403F5" w14:textId="77777777" w:rsidR="003B31DC" w:rsidRDefault="00913CBE">
            <w:pPr>
              <w:tabs>
                <w:tab w:val="left" w:pos="9071"/>
              </w:tabs>
              <w:ind w:right="3"/>
              <w:jc w:val="center"/>
              <w:rPr>
                <w:rFonts w:eastAsia="Calibri"/>
                <w:lang w:val="en-GB" w:eastAsia="en-US"/>
              </w:rPr>
            </w:pPr>
            <w:r>
              <w:rPr>
                <w:rFonts w:eastAsia="Calibri"/>
                <w:spacing w:val="-4"/>
                <w:lang w:val="en-GB" w:eastAsia="en-US"/>
              </w:rPr>
              <w:t>8,29</w:t>
            </w:r>
          </w:p>
        </w:tc>
      </w:tr>
      <w:tr w:rsidR="003B31DC" w14:paraId="0B57F8E1" w14:textId="77777777">
        <w:trPr>
          <w:trHeight w:val="254"/>
        </w:trPr>
        <w:tc>
          <w:tcPr>
            <w:tcW w:w="2659" w:type="dxa"/>
          </w:tcPr>
          <w:p w14:paraId="7483015D"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60D832D6" w14:textId="77777777" w:rsidR="003B31DC" w:rsidRDefault="00913CBE">
            <w:pPr>
              <w:tabs>
                <w:tab w:val="left" w:pos="9071"/>
              </w:tabs>
              <w:ind w:right="397"/>
              <w:rPr>
                <w:rFonts w:eastAsia="Calibri"/>
                <w:lang w:val="en-GB" w:eastAsia="en-US"/>
              </w:rPr>
            </w:pPr>
            <w:r>
              <w:rPr>
                <w:spacing w:val="-2"/>
                <w:lang w:val="en-GB" w:eastAsia="en-US"/>
              </w:rPr>
              <w:t>pradinio</w:t>
            </w:r>
            <w:r>
              <w:rPr>
                <w:spacing w:val="-2"/>
                <w:vertAlign w:val="superscript"/>
                <w:lang w:val="en-GB" w:eastAsia="en-US"/>
              </w:rPr>
              <w:t>1</w:t>
            </w:r>
          </w:p>
        </w:tc>
        <w:tc>
          <w:tcPr>
            <w:tcW w:w="1277" w:type="dxa"/>
          </w:tcPr>
          <w:p w14:paraId="612324DD" w14:textId="77777777" w:rsidR="003B31DC" w:rsidRDefault="00913CBE">
            <w:pPr>
              <w:tabs>
                <w:tab w:val="left" w:pos="9071"/>
              </w:tabs>
              <w:ind w:right="7"/>
              <w:jc w:val="center"/>
              <w:rPr>
                <w:rFonts w:eastAsia="Calibri"/>
                <w:lang w:val="en-GB" w:eastAsia="en-US"/>
              </w:rPr>
            </w:pPr>
            <w:r>
              <w:rPr>
                <w:rFonts w:eastAsia="Calibri"/>
                <w:spacing w:val="-4"/>
                <w:lang w:val="en-GB" w:eastAsia="en-US"/>
              </w:rPr>
              <w:t>-0,58</w:t>
            </w:r>
          </w:p>
        </w:tc>
        <w:tc>
          <w:tcPr>
            <w:tcW w:w="2551" w:type="dxa"/>
          </w:tcPr>
          <w:p w14:paraId="1C4A2C6C" w14:textId="77777777" w:rsidR="003B31DC" w:rsidRDefault="00913CBE">
            <w:pPr>
              <w:tabs>
                <w:tab w:val="left" w:pos="9071"/>
              </w:tabs>
              <w:ind w:right="6"/>
              <w:jc w:val="center"/>
              <w:rPr>
                <w:rFonts w:eastAsia="Calibri"/>
                <w:lang w:val="en-GB" w:eastAsia="en-US"/>
              </w:rPr>
            </w:pPr>
            <w:r>
              <w:rPr>
                <w:rFonts w:eastAsia="Calibri"/>
                <w:spacing w:val="-4"/>
                <w:lang w:val="en-GB" w:eastAsia="en-US"/>
              </w:rPr>
              <w:t>-0,99</w:t>
            </w:r>
          </w:p>
        </w:tc>
        <w:tc>
          <w:tcPr>
            <w:tcW w:w="2409" w:type="dxa"/>
          </w:tcPr>
          <w:p w14:paraId="6496E18E" w14:textId="77777777" w:rsidR="003B31DC" w:rsidRDefault="00913CBE">
            <w:pPr>
              <w:tabs>
                <w:tab w:val="left" w:pos="9071"/>
              </w:tabs>
              <w:ind w:right="11"/>
              <w:jc w:val="center"/>
              <w:rPr>
                <w:rFonts w:eastAsia="Calibri"/>
                <w:lang w:val="en-GB" w:eastAsia="en-US"/>
              </w:rPr>
            </w:pPr>
            <w:r>
              <w:rPr>
                <w:rFonts w:eastAsia="Calibri"/>
                <w:spacing w:val="-4"/>
                <w:lang w:val="en-GB" w:eastAsia="en-US"/>
              </w:rPr>
              <w:t>-1,03</w:t>
            </w:r>
          </w:p>
        </w:tc>
      </w:tr>
      <w:tr w:rsidR="003B31DC" w14:paraId="15252DE4" w14:textId="77777777">
        <w:trPr>
          <w:trHeight w:val="505"/>
        </w:trPr>
        <w:tc>
          <w:tcPr>
            <w:tcW w:w="2659" w:type="dxa"/>
          </w:tcPr>
          <w:p w14:paraId="48F37F9E"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277" w:type="dxa"/>
          </w:tcPr>
          <w:p w14:paraId="4073ACDC" w14:textId="77777777" w:rsidR="003B31DC" w:rsidRDefault="003B31DC">
            <w:pPr>
              <w:tabs>
                <w:tab w:val="left" w:pos="9071"/>
              </w:tabs>
              <w:rPr>
                <w:rFonts w:eastAsia="Calibri"/>
                <w:lang w:val="en-GB" w:eastAsia="en-US"/>
              </w:rPr>
            </w:pPr>
          </w:p>
        </w:tc>
        <w:tc>
          <w:tcPr>
            <w:tcW w:w="2551" w:type="dxa"/>
          </w:tcPr>
          <w:p w14:paraId="30BB534F" w14:textId="77777777" w:rsidR="003B31DC" w:rsidRDefault="00913CBE">
            <w:pPr>
              <w:tabs>
                <w:tab w:val="left" w:pos="9071"/>
              </w:tabs>
              <w:ind w:right="5"/>
              <w:jc w:val="center"/>
              <w:rPr>
                <w:rFonts w:eastAsia="Calibri"/>
                <w:lang w:val="en-GB" w:eastAsia="en-US"/>
              </w:rPr>
            </w:pPr>
            <w:r>
              <w:rPr>
                <w:rFonts w:eastAsia="Calibri"/>
                <w:lang w:val="en-GB" w:eastAsia="en-US"/>
              </w:rPr>
              <w:t>-0,41*</w:t>
            </w:r>
            <w:r>
              <w:rPr>
                <w:rFonts w:eastAsia="Calibri"/>
                <w:spacing w:val="-5"/>
                <w:lang w:val="en-GB" w:eastAsia="en-US"/>
              </w:rPr>
              <w:t xml:space="preserve"> </w:t>
            </w:r>
            <w:r>
              <w:rPr>
                <w:rFonts w:eastAsia="Calibri"/>
                <w:lang w:val="en-GB" w:eastAsia="en-US"/>
              </w:rPr>
              <w:t>(-0,61,</w:t>
            </w:r>
            <w:r>
              <w:rPr>
                <w:rFonts w:eastAsia="Calibri"/>
                <w:spacing w:val="-2"/>
                <w:lang w:val="en-GB" w:eastAsia="en-US"/>
              </w:rPr>
              <w:t xml:space="preserve"> </w:t>
            </w:r>
            <w:r>
              <w:rPr>
                <w:rFonts w:eastAsia="Calibri"/>
                <w:lang w:val="en-GB" w:eastAsia="en-US"/>
              </w:rPr>
              <w:t>-</w:t>
            </w:r>
            <w:r>
              <w:rPr>
                <w:rFonts w:eastAsia="Calibri"/>
                <w:spacing w:val="-2"/>
                <w:lang w:val="en-GB" w:eastAsia="en-US"/>
              </w:rPr>
              <w:t>0,21)</w:t>
            </w:r>
          </w:p>
        </w:tc>
        <w:tc>
          <w:tcPr>
            <w:tcW w:w="2409" w:type="dxa"/>
          </w:tcPr>
          <w:p w14:paraId="1D77B9F2" w14:textId="77777777" w:rsidR="003B31DC" w:rsidRDefault="00913CBE">
            <w:pPr>
              <w:tabs>
                <w:tab w:val="left" w:pos="9071"/>
              </w:tabs>
              <w:ind w:right="9"/>
              <w:jc w:val="center"/>
              <w:rPr>
                <w:rFonts w:eastAsia="Calibri"/>
                <w:lang w:val="en-GB" w:eastAsia="en-US"/>
              </w:rPr>
            </w:pPr>
            <w:r>
              <w:rPr>
                <w:rFonts w:eastAsia="Calibri"/>
                <w:lang w:val="en-GB" w:eastAsia="en-US"/>
              </w:rPr>
              <w:t>-0,45*</w:t>
            </w:r>
            <w:r>
              <w:rPr>
                <w:rFonts w:eastAsia="Calibri"/>
                <w:spacing w:val="-5"/>
                <w:lang w:val="en-GB" w:eastAsia="en-US"/>
              </w:rPr>
              <w:t xml:space="preserve"> </w:t>
            </w:r>
            <w:r>
              <w:rPr>
                <w:rFonts w:eastAsia="Calibri"/>
                <w:lang w:val="en-GB" w:eastAsia="en-US"/>
              </w:rPr>
              <w:t>(-0,65,</w:t>
            </w:r>
            <w:r>
              <w:rPr>
                <w:rFonts w:eastAsia="Calibri"/>
                <w:spacing w:val="-2"/>
                <w:lang w:val="en-GB" w:eastAsia="en-US"/>
              </w:rPr>
              <w:t xml:space="preserve"> </w:t>
            </w:r>
            <w:r>
              <w:rPr>
                <w:rFonts w:eastAsia="Calibri"/>
                <w:lang w:val="en-GB" w:eastAsia="en-US"/>
              </w:rPr>
              <w:t>-</w:t>
            </w:r>
            <w:r>
              <w:rPr>
                <w:rFonts w:eastAsia="Calibri"/>
                <w:spacing w:val="-2"/>
                <w:lang w:val="en-GB" w:eastAsia="en-US"/>
              </w:rPr>
              <w:t>0,25)</w:t>
            </w:r>
          </w:p>
        </w:tc>
      </w:tr>
      <w:tr w:rsidR="003B31DC" w14:paraId="7554B7B5" w14:textId="77777777">
        <w:trPr>
          <w:trHeight w:val="251"/>
        </w:trPr>
        <w:tc>
          <w:tcPr>
            <w:tcW w:w="2659" w:type="dxa"/>
          </w:tcPr>
          <w:p w14:paraId="4E5E476A"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1277" w:type="dxa"/>
          </w:tcPr>
          <w:p w14:paraId="11E68135" w14:textId="77777777" w:rsidR="003B31DC" w:rsidRDefault="00913CBE">
            <w:pPr>
              <w:tabs>
                <w:tab w:val="left" w:pos="9071"/>
              </w:tabs>
              <w:ind w:right="3"/>
              <w:jc w:val="center"/>
              <w:rPr>
                <w:rFonts w:eastAsia="Calibri"/>
                <w:lang w:val="en-GB" w:eastAsia="en-US"/>
              </w:rPr>
            </w:pPr>
            <w:r>
              <w:rPr>
                <w:rFonts w:eastAsia="Calibri"/>
                <w:spacing w:val="-5"/>
                <w:lang w:val="en-GB" w:eastAsia="en-US"/>
              </w:rPr>
              <w:t>86</w:t>
            </w:r>
          </w:p>
        </w:tc>
        <w:tc>
          <w:tcPr>
            <w:tcW w:w="2551" w:type="dxa"/>
          </w:tcPr>
          <w:p w14:paraId="52F77D9C" w14:textId="77777777" w:rsidR="003B31DC" w:rsidRDefault="00913CBE">
            <w:pPr>
              <w:tabs>
                <w:tab w:val="left" w:pos="9071"/>
              </w:tabs>
              <w:ind w:right="6"/>
              <w:jc w:val="center"/>
              <w:rPr>
                <w:rFonts w:eastAsia="Calibri"/>
                <w:lang w:val="en-GB" w:eastAsia="en-US"/>
              </w:rPr>
            </w:pPr>
            <w:r>
              <w:rPr>
                <w:rFonts w:eastAsia="Calibri"/>
                <w:spacing w:val="-5"/>
                <w:lang w:val="en-GB" w:eastAsia="en-US"/>
              </w:rPr>
              <w:t>84</w:t>
            </w:r>
          </w:p>
        </w:tc>
        <w:tc>
          <w:tcPr>
            <w:tcW w:w="2409" w:type="dxa"/>
          </w:tcPr>
          <w:p w14:paraId="7B9A9BB7" w14:textId="77777777" w:rsidR="003B31DC" w:rsidRDefault="00913CBE">
            <w:pPr>
              <w:tabs>
                <w:tab w:val="left" w:pos="9071"/>
              </w:tabs>
              <w:ind w:right="6"/>
              <w:jc w:val="center"/>
              <w:rPr>
                <w:rFonts w:eastAsia="Calibri"/>
                <w:lang w:val="en-GB" w:eastAsia="en-US"/>
              </w:rPr>
            </w:pPr>
            <w:r>
              <w:rPr>
                <w:rFonts w:eastAsia="Calibri"/>
                <w:spacing w:val="-5"/>
                <w:lang w:val="en-GB" w:eastAsia="en-US"/>
              </w:rPr>
              <w:t>87</w:t>
            </w:r>
          </w:p>
        </w:tc>
      </w:tr>
      <w:tr w:rsidR="003B31DC" w14:paraId="49F65EEA" w14:textId="77777777">
        <w:trPr>
          <w:trHeight w:val="254"/>
        </w:trPr>
        <w:tc>
          <w:tcPr>
            <w:tcW w:w="2659" w:type="dxa"/>
          </w:tcPr>
          <w:p w14:paraId="4E18A140" w14:textId="77777777" w:rsidR="003B31DC" w:rsidRDefault="00913CBE">
            <w:pPr>
              <w:tabs>
                <w:tab w:val="left" w:pos="9071"/>
              </w:tabs>
              <w:rPr>
                <w:rFonts w:eastAsia="Calibri"/>
                <w:lang w:val="en-GB" w:eastAsia="en-US"/>
              </w:rPr>
            </w:pPr>
            <w:r>
              <w:rPr>
                <w:rFonts w:eastAsia="Calibri"/>
                <w:b/>
                <w:lang w:val="en-GB" w:eastAsia="en-US"/>
              </w:rPr>
              <w:t>HbA1c</w:t>
            </w:r>
            <w:r>
              <w:rPr>
                <w:rFonts w:eastAsia="Calibri"/>
                <w:b/>
                <w:spacing w:val="-4"/>
                <w:lang w:val="en-GB" w:eastAsia="en-US"/>
              </w:rPr>
              <w:t xml:space="preserve"> </w:t>
            </w:r>
            <w:proofErr w:type="spellStart"/>
            <w:r>
              <w:rPr>
                <w:rFonts w:eastAsia="Calibri"/>
                <w:b/>
                <w:spacing w:val="-4"/>
                <w:lang w:val="en-GB" w:eastAsia="en-US"/>
              </w:rPr>
              <w:t>kiekis</w:t>
            </w:r>
            <w:proofErr w:type="spellEnd"/>
            <w:r>
              <w:rPr>
                <w:rFonts w:eastAsia="Calibri"/>
                <w:b/>
                <w:spacing w:val="-4"/>
                <w:lang w:val="en-GB" w:eastAsia="en-US"/>
              </w:rPr>
              <w:t xml:space="preserve"> </w:t>
            </w:r>
            <w:r>
              <w:rPr>
                <w:rFonts w:eastAsia="Calibri"/>
                <w:b/>
                <w:lang w:val="en-GB" w:eastAsia="en-US"/>
              </w:rPr>
              <w:t>(%)</w:t>
            </w:r>
            <w:r>
              <w:rPr>
                <w:rFonts w:eastAsia="Calibri"/>
                <w:b/>
                <w:spacing w:val="-3"/>
                <w:lang w:val="en-GB" w:eastAsia="en-US"/>
              </w:rPr>
              <w:t xml:space="preserve"> </w:t>
            </w:r>
            <w:r>
              <w:rPr>
                <w:rFonts w:eastAsia="Calibri"/>
                <w:b/>
                <w:spacing w:val="-5"/>
                <w:lang w:val="en-GB" w:eastAsia="en-US"/>
              </w:rPr>
              <w:t>52</w:t>
            </w:r>
            <w:r>
              <w:rPr>
                <w:rFonts w:eastAsia="Calibri"/>
                <w:spacing w:val="-5"/>
                <w:vertAlign w:val="superscript"/>
                <w:lang w:val="en-GB" w:eastAsia="en-US"/>
              </w:rPr>
              <w:t>b</w:t>
            </w:r>
            <w:r>
              <w:rPr>
                <w:rFonts w:eastAsia="Calibri"/>
                <w:spacing w:val="-5"/>
                <w:lang w:val="en-GB" w:eastAsia="en-US"/>
              </w:rPr>
              <w:t xml:space="preserve"> </w:t>
            </w:r>
            <w:proofErr w:type="spellStart"/>
            <w:r>
              <w:rPr>
                <w:rFonts w:eastAsia="Calibri"/>
                <w:b/>
                <w:bCs/>
                <w:spacing w:val="-5"/>
                <w:lang w:val="en-GB" w:eastAsia="en-US"/>
              </w:rPr>
              <w:t>savaitę</w:t>
            </w:r>
            <w:proofErr w:type="spellEnd"/>
          </w:p>
        </w:tc>
        <w:tc>
          <w:tcPr>
            <w:tcW w:w="1277" w:type="dxa"/>
          </w:tcPr>
          <w:p w14:paraId="21EEEFE4" w14:textId="77777777" w:rsidR="003B31DC" w:rsidRDefault="003B31DC">
            <w:pPr>
              <w:tabs>
                <w:tab w:val="left" w:pos="9071"/>
              </w:tabs>
              <w:rPr>
                <w:rFonts w:eastAsia="Calibri"/>
                <w:lang w:val="en-GB" w:eastAsia="en-US"/>
              </w:rPr>
            </w:pPr>
          </w:p>
        </w:tc>
        <w:tc>
          <w:tcPr>
            <w:tcW w:w="2551" w:type="dxa"/>
          </w:tcPr>
          <w:p w14:paraId="6675B6EC" w14:textId="77777777" w:rsidR="003B31DC" w:rsidRDefault="003B31DC">
            <w:pPr>
              <w:tabs>
                <w:tab w:val="left" w:pos="9071"/>
              </w:tabs>
              <w:rPr>
                <w:rFonts w:eastAsia="Calibri"/>
                <w:lang w:val="en-GB" w:eastAsia="en-US"/>
              </w:rPr>
            </w:pPr>
          </w:p>
        </w:tc>
        <w:tc>
          <w:tcPr>
            <w:tcW w:w="2409" w:type="dxa"/>
          </w:tcPr>
          <w:p w14:paraId="4CF7654F" w14:textId="77777777" w:rsidR="003B31DC" w:rsidRDefault="003B31DC">
            <w:pPr>
              <w:tabs>
                <w:tab w:val="left" w:pos="9071"/>
              </w:tabs>
              <w:rPr>
                <w:rFonts w:eastAsia="Calibri"/>
                <w:lang w:val="en-GB" w:eastAsia="en-US"/>
              </w:rPr>
            </w:pPr>
          </w:p>
        </w:tc>
      </w:tr>
      <w:tr w:rsidR="003B31DC" w14:paraId="64FE6950" w14:textId="77777777">
        <w:trPr>
          <w:trHeight w:val="251"/>
        </w:trPr>
        <w:tc>
          <w:tcPr>
            <w:tcW w:w="2659" w:type="dxa"/>
          </w:tcPr>
          <w:p w14:paraId="0BA42156" w14:textId="77777777" w:rsidR="003B31DC" w:rsidRDefault="00913CBE">
            <w:pPr>
              <w:tabs>
                <w:tab w:val="left" w:pos="9071"/>
              </w:tabs>
              <w:rPr>
                <w:lang w:val="en-GB" w:eastAsia="en-US"/>
              </w:rPr>
            </w:pPr>
            <w:proofErr w:type="spellStart"/>
            <w:r>
              <w:rPr>
                <w:spacing w:val="-2"/>
                <w:lang w:val="en-GB" w:eastAsia="en-US"/>
              </w:rPr>
              <w:t>Pradinis</w:t>
            </w:r>
            <w:proofErr w:type="spellEnd"/>
          </w:p>
          <w:p w14:paraId="329F8A0E"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277" w:type="dxa"/>
          </w:tcPr>
          <w:p w14:paraId="2D7FFC33" w14:textId="77777777" w:rsidR="003B31DC" w:rsidRDefault="00913CBE">
            <w:pPr>
              <w:tabs>
                <w:tab w:val="left" w:pos="9071"/>
              </w:tabs>
              <w:jc w:val="center"/>
              <w:rPr>
                <w:rFonts w:eastAsia="Calibri"/>
                <w:lang w:val="en-GB" w:eastAsia="en-US"/>
              </w:rPr>
            </w:pPr>
            <w:r>
              <w:rPr>
                <w:rFonts w:eastAsia="Calibri"/>
                <w:spacing w:val="-4"/>
                <w:lang w:val="en-GB" w:eastAsia="en-US"/>
              </w:rPr>
              <w:t>8,26</w:t>
            </w:r>
          </w:p>
        </w:tc>
        <w:tc>
          <w:tcPr>
            <w:tcW w:w="2551" w:type="dxa"/>
          </w:tcPr>
          <w:p w14:paraId="21FB0473" w14:textId="77777777" w:rsidR="003B31DC" w:rsidRDefault="00913CBE">
            <w:pPr>
              <w:tabs>
                <w:tab w:val="left" w:pos="9071"/>
              </w:tabs>
              <w:ind w:right="4"/>
              <w:jc w:val="center"/>
              <w:rPr>
                <w:rFonts w:eastAsia="Calibri"/>
                <w:lang w:val="en-GB" w:eastAsia="en-US"/>
              </w:rPr>
            </w:pPr>
            <w:r>
              <w:rPr>
                <w:rFonts w:eastAsia="Calibri"/>
                <w:spacing w:val="-4"/>
                <w:lang w:val="en-GB" w:eastAsia="en-US"/>
              </w:rPr>
              <w:t>8,43</w:t>
            </w:r>
          </w:p>
        </w:tc>
        <w:tc>
          <w:tcPr>
            <w:tcW w:w="2409" w:type="dxa"/>
          </w:tcPr>
          <w:p w14:paraId="35E6740A" w14:textId="77777777" w:rsidR="003B31DC" w:rsidRDefault="00913CBE">
            <w:pPr>
              <w:tabs>
                <w:tab w:val="left" w:pos="9071"/>
              </w:tabs>
              <w:ind w:right="3"/>
              <w:jc w:val="center"/>
              <w:rPr>
                <w:rFonts w:eastAsia="Calibri"/>
                <w:lang w:val="en-GB" w:eastAsia="en-US"/>
              </w:rPr>
            </w:pPr>
            <w:r>
              <w:rPr>
                <w:rFonts w:eastAsia="Calibri"/>
                <w:spacing w:val="-4"/>
                <w:lang w:val="en-GB" w:eastAsia="en-US"/>
              </w:rPr>
              <w:t>8,38</w:t>
            </w:r>
          </w:p>
        </w:tc>
      </w:tr>
      <w:tr w:rsidR="003B31DC" w14:paraId="15AEAF84" w14:textId="77777777">
        <w:trPr>
          <w:trHeight w:val="254"/>
        </w:trPr>
        <w:tc>
          <w:tcPr>
            <w:tcW w:w="2659" w:type="dxa"/>
          </w:tcPr>
          <w:p w14:paraId="0F1B1F6C"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1E91214B" w14:textId="77777777" w:rsidR="003B31DC" w:rsidRDefault="00913CBE">
            <w:pPr>
              <w:tabs>
                <w:tab w:val="left" w:pos="9071"/>
              </w:tabs>
              <w:ind w:right="397"/>
              <w:rPr>
                <w:rFonts w:eastAsia="Calibri"/>
                <w:lang w:val="en-GB" w:eastAsia="en-US"/>
              </w:rPr>
            </w:pPr>
            <w:r>
              <w:rPr>
                <w:spacing w:val="-2"/>
                <w:lang w:val="en-GB" w:eastAsia="en-US"/>
              </w:rPr>
              <w:t>pradinio</w:t>
            </w:r>
            <w:r>
              <w:rPr>
                <w:spacing w:val="-2"/>
                <w:vertAlign w:val="superscript"/>
                <w:lang w:val="en-GB" w:eastAsia="en-US"/>
              </w:rPr>
              <w:t>1</w:t>
            </w:r>
          </w:p>
        </w:tc>
        <w:tc>
          <w:tcPr>
            <w:tcW w:w="1277" w:type="dxa"/>
          </w:tcPr>
          <w:p w14:paraId="40B6F06B" w14:textId="77777777" w:rsidR="003B31DC" w:rsidRDefault="00913CBE">
            <w:pPr>
              <w:tabs>
                <w:tab w:val="left" w:pos="9071"/>
              </w:tabs>
              <w:ind w:right="7"/>
              <w:jc w:val="center"/>
              <w:rPr>
                <w:rFonts w:eastAsia="Calibri"/>
                <w:lang w:val="en-GB" w:eastAsia="en-US"/>
              </w:rPr>
            </w:pPr>
            <w:r>
              <w:rPr>
                <w:rFonts w:eastAsia="Calibri"/>
                <w:spacing w:val="-4"/>
                <w:lang w:val="en-GB" w:eastAsia="en-US"/>
              </w:rPr>
              <w:t>-0,86</w:t>
            </w:r>
          </w:p>
        </w:tc>
        <w:tc>
          <w:tcPr>
            <w:tcW w:w="2551" w:type="dxa"/>
          </w:tcPr>
          <w:p w14:paraId="45321F39" w14:textId="77777777" w:rsidR="003B31DC" w:rsidRDefault="00913CBE">
            <w:pPr>
              <w:tabs>
                <w:tab w:val="left" w:pos="9071"/>
              </w:tabs>
              <w:ind w:right="6"/>
              <w:jc w:val="center"/>
              <w:rPr>
                <w:rFonts w:eastAsia="Calibri"/>
                <w:lang w:val="en-GB" w:eastAsia="en-US"/>
              </w:rPr>
            </w:pPr>
            <w:r>
              <w:rPr>
                <w:rFonts w:eastAsia="Calibri"/>
                <w:spacing w:val="-4"/>
                <w:lang w:val="en-GB" w:eastAsia="en-US"/>
              </w:rPr>
              <w:t>-1,23</w:t>
            </w:r>
          </w:p>
        </w:tc>
        <w:tc>
          <w:tcPr>
            <w:tcW w:w="2409" w:type="dxa"/>
          </w:tcPr>
          <w:p w14:paraId="2EE4AC31" w14:textId="77777777" w:rsidR="003B31DC" w:rsidRDefault="00913CBE">
            <w:pPr>
              <w:tabs>
                <w:tab w:val="left" w:pos="9071"/>
              </w:tabs>
              <w:ind w:right="11"/>
              <w:jc w:val="center"/>
              <w:rPr>
                <w:rFonts w:eastAsia="Calibri"/>
                <w:lang w:val="en-GB" w:eastAsia="en-US"/>
              </w:rPr>
            </w:pPr>
            <w:r>
              <w:rPr>
                <w:rFonts w:eastAsia="Calibri"/>
                <w:spacing w:val="-4"/>
                <w:lang w:val="en-GB" w:eastAsia="en-US"/>
              </w:rPr>
              <w:t>-1,31</w:t>
            </w:r>
          </w:p>
        </w:tc>
      </w:tr>
      <w:tr w:rsidR="003B31DC" w14:paraId="730BAE7E" w14:textId="77777777">
        <w:trPr>
          <w:trHeight w:val="505"/>
        </w:trPr>
        <w:tc>
          <w:tcPr>
            <w:tcW w:w="2659" w:type="dxa"/>
          </w:tcPr>
          <w:p w14:paraId="69901B04"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277" w:type="dxa"/>
          </w:tcPr>
          <w:p w14:paraId="58694DE8" w14:textId="77777777" w:rsidR="003B31DC" w:rsidRDefault="003B31DC">
            <w:pPr>
              <w:tabs>
                <w:tab w:val="left" w:pos="9071"/>
              </w:tabs>
              <w:rPr>
                <w:rFonts w:eastAsia="Calibri"/>
                <w:lang w:val="en-GB" w:eastAsia="en-US"/>
              </w:rPr>
            </w:pPr>
          </w:p>
        </w:tc>
        <w:tc>
          <w:tcPr>
            <w:tcW w:w="2551" w:type="dxa"/>
          </w:tcPr>
          <w:p w14:paraId="5ADE94DF" w14:textId="77777777" w:rsidR="003B31DC" w:rsidRDefault="00913CBE">
            <w:pPr>
              <w:tabs>
                <w:tab w:val="left" w:pos="9071"/>
              </w:tabs>
              <w:ind w:right="7"/>
              <w:jc w:val="center"/>
              <w:rPr>
                <w:rFonts w:eastAsia="Calibri"/>
                <w:lang w:val="en-GB" w:eastAsia="en-US"/>
              </w:rPr>
            </w:pPr>
            <w:r>
              <w:rPr>
                <w:rFonts w:eastAsia="Calibri"/>
                <w:lang w:val="en-GB" w:eastAsia="en-US"/>
              </w:rPr>
              <w:t>-0,37**</w:t>
            </w:r>
            <w:r>
              <w:rPr>
                <w:rFonts w:eastAsia="Calibri"/>
                <w:spacing w:val="-5"/>
                <w:lang w:val="en-GB" w:eastAsia="en-US"/>
              </w:rPr>
              <w:t xml:space="preserve"> </w:t>
            </w:r>
            <w:r>
              <w:rPr>
                <w:rFonts w:eastAsia="Calibri"/>
                <w:lang w:val="en-GB" w:eastAsia="en-US"/>
              </w:rPr>
              <w:t>(-0,67,</w:t>
            </w:r>
            <w:r>
              <w:rPr>
                <w:rFonts w:eastAsia="Calibri"/>
                <w:spacing w:val="-4"/>
                <w:lang w:val="en-GB" w:eastAsia="en-US"/>
              </w:rPr>
              <w:t xml:space="preserve"> </w:t>
            </w:r>
            <w:r>
              <w:rPr>
                <w:rFonts w:eastAsia="Calibri"/>
                <w:lang w:val="en-GB" w:eastAsia="en-US"/>
              </w:rPr>
              <w:t>-</w:t>
            </w:r>
            <w:r>
              <w:rPr>
                <w:rFonts w:eastAsia="Calibri"/>
                <w:spacing w:val="-2"/>
                <w:lang w:val="en-GB" w:eastAsia="en-US"/>
              </w:rPr>
              <w:t>0,08)</w:t>
            </w:r>
          </w:p>
        </w:tc>
        <w:tc>
          <w:tcPr>
            <w:tcW w:w="2409" w:type="dxa"/>
          </w:tcPr>
          <w:p w14:paraId="280215D1" w14:textId="77777777" w:rsidR="003B31DC" w:rsidRDefault="00913CBE">
            <w:pPr>
              <w:tabs>
                <w:tab w:val="left" w:pos="9071"/>
              </w:tabs>
              <w:ind w:right="9"/>
              <w:jc w:val="center"/>
              <w:rPr>
                <w:rFonts w:eastAsia="Calibri"/>
                <w:lang w:val="en-GB" w:eastAsia="en-US"/>
              </w:rPr>
            </w:pPr>
            <w:r>
              <w:rPr>
                <w:rFonts w:eastAsia="Calibri"/>
                <w:lang w:val="en-GB" w:eastAsia="en-US"/>
              </w:rPr>
              <w:t>-0,45*</w:t>
            </w:r>
            <w:r>
              <w:rPr>
                <w:rFonts w:eastAsia="Calibri"/>
                <w:spacing w:val="-5"/>
                <w:lang w:val="en-GB" w:eastAsia="en-US"/>
              </w:rPr>
              <w:t xml:space="preserve"> </w:t>
            </w:r>
            <w:r>
              <w:rPr>
                <w:rFonts w:eastAsia="Calibri"/>
                <w:lang w:val="en-GB" w:eastAsia="en-US"/>
              </w:rPr>
              <w:t>(-0,74,</w:t>
            </w:r>
            <w:r>
              <w:rPr>
                <w:rFonts w:eastAsia="Calibri"/>
                <w:spacing w:val="-2"/>
                <w:lang w:val="en-GB" w:eastAsia="en-US"/>
              </w:rPr>
              <w:t xml:space="preserve"> </w:t>
            </w:r>
            <w:r>
              <w:rPr>
                <w:rFonts w:eastAsia="Calibri"/>
                <w:lang w:val="en-GB" w:eastAsia="en-US"/>
              </w:rPr>
              <w:t>-</w:t>
            </w:r>
            <w:r>
              <w:rPr>
                <w:rFonts w:eastAsia="Calibri"/>
                <w:spacing w:val="-2"/>
                <w:lang w:val="en-GB" w:eastAsia="en-US"/>
              </w:rPr>
              <w:t>0,16)</w:t>
            </w:r>
          </w:p>
        </w:tc>
      </w:tr>
      <w:tr w:rsidR="003B31DC" w14:paraId="401D4067" w14:textId="77777777">
        <w:trPr>
          <w:trHeight w:val="254"/>
        </w:trPr>
        <w:tc>
          <w:tcPr>
            <w:tcW w:w="2659" w:type="dxa"/>
          </w:tcPr>
          <w:p w14:paraId="22320120"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1277" w:type="dxa"/>
          </w:tcPr>
          <w:p w14:paraId="7361EB15" w14:textId="77777777" w:rsidR="003B31DC" w:rsidRDefault="00913CBE">
            <w:pPr>
              <w:tabs>
                <w:tab w:val="left" w:pos="9071"/>
              </w:tabs>
              <w:ind w:right="3"/>
              <w:jc w:val="center"/>
              <w:rPr>
                <w:rFonts w:eastAsia="Calibri"/>
                <w:lang w:val="en-GB" w:eastAsia="en-US"/>
              </w:rPr>
            </w:pPr>
            <w:r>
              <w:rPr>
                <w:rFonts w:eastAsia="Calibri"/>
                <w:spacing w:val="-5"/>
                <w:lang w:val="en-GB" w:eastAsia="en-US"/>
              </w:rPr>
              <w:t>84</w:t>
            </w:r>
          </w:p>
        </w:tc>
        <w:tc>
          <w:tcPr>
            <w:tcW w:w="2551" w:type="dxa"/>
          </w:tcPr>
          <w:p w14:paraId="0E848941" w14:textId="77777777" w:rsidR="003B31DC" w:rsidRDefault="00913CBE">
            <w:pPr>
              <w:tabs>
                <w:tab w:val="left" w:pos="9071"/>
              </w:tabs>
              <w:ind w:right="6"/>
              <w:jc w:val="center"/>
              <w:rPr>
                <w:rFonts w:eastAsia="Calibri"/>
                <w:lang w:val="en-GB" w:eastAsia="en-US"/>
              </w:rPr>
            </w:pPr>
            <w:r>
              <w:rPr>
                <w:rFonts w:eastAsia="Calibri"/>
                <w:spacing w:val="-5"/>
                <w:lang w:val="en-GB" w:eastAsia="en-US"/>
              </w:rPr>
              <w:t>84</w:t>
            </w:r>
          </w:p>
        </w:tc>
        <w:tc>
          <w:tcPr>
            <w:tcW w:w="2409" w:type="dxa"/>
          </w:tcPr>
          <w:p w14:paraId="0D924993" w14:textId="77777777" w:rsidR="003B31DC" w:rsidRDefault="00913CBE">
            <w:pPr>
              <w:tabs>
                <w:tab w:val="left" w:pos="9071"/>
              </w:tabs>
              <w:ind w:right="6"/>
              <w:jc w:val="center"/>
              <w:rPr>
                <w:rFonts w:eastAsia="Calibri"/>
                <w:lang w:val="en-GB" w:eastAsia="en-US"/>
              </w:rPr>
            </w:pPr>
            <w:r>
              <w:rPr>
                <w:rFonts w:eastAsia="Calibri"/>
                <w:spacing w:val="-5"/>
                <w:lang w:val="en-GB" w:eastAsia="en-US"/>
              </w:rPr>
              <w:t>87</w:t>
            </w:r>
          </w:p>
        </w:tc>
      </w:tr>
      <w:tr w:rsidR="003B31DC" w14:paraId="7B5F7B66" w14:textId="77777777">
        <w:trPr>
          <w:trHeight w:val="1010"/>
        </w:trPr>
        <w:tc>
          <w:tcPr>
            <w:tcW w:w="2659" w:type="dxa"/>
          </w:tcPr>
          <w:p w14:paraId="3D3C8B81" w14:textId="77777777" w:rsidR="003B31DC" w:rsidRPr="00A02B90" w:rsidRDefault="00913CBE">
            <w:pPr>
              <w:tabs>
                <w:tab w:val="left" w:pos="9071"/>
              </w:tabs>
              <w:rPr>
                <w:rFonts w:eastAsia="Calibri"/>
                <w:lang w:val="lt-LT" w:eastAsia="en-US"/>
              </w:rPr>
            </w:pPr>
            <w:r w:rsidRPr="00A02B90">
              <w:rPr>
                <w:b/>
                <w:lang w:val="lt-LT" w:eastAsia="en-US"/>
              </w:rPr>
              <w:t>Pacientai (%), kurių HbA1c kiekis tapo &lt; 7 % ir kurių pradinis HbA1c kiekis buvo ≥ 7 %</w:t>
            </w:r>
            <w:r w:rsidRPr="00A02B90">
              <w:rPr>
                <w:b/>
                <w:vertAlign w:val="superscript"/>
                <w:lang w:val="lt-LT" w:eastAsia="en-US"/>
              </w:rPr>
              <w:t>2</w:t>
            </w:r>
          </w:p>
        </w:tc>
        <w:tc>
          <w:tcPr>
            <w:tcW w:w="1277" w:type="dxa"/>
          </w:tcPr>
          <w:p w14:paraId="56C0B6C4" w14:textId="77777777" w:rsidR="003B31DC" w:rsidRPr="00A02B90" w:rsidRDefault="003B31DC">
            <w:pPr>
              <w:tabs>
                <w:tab w:val="left" w:pos="9071"/>
              </w:tabs>
              <w:rPr>
                <w:rFonts w:eastAsia="Calibri"/>
                <w:lang w:val="lt-LT" w:eastAsia="en-US"/>
              </w:rPr>
            </w:pPr>
          </w:p>
          <w:p w14:paraId="3A30746A" w14:textId="77777777" w:rsidR="003B31DC" w:rsidRDefault="00913CBE">
            <w:pPr>
              <w:tabs>
                <w:tab w:val="left" w:pos="9071"/>
              </w:tabs>
              <w:jc w:val="center"/>
              <w:rPr>
                <w:rFonts w:eastAsia="Calibri"/>
                <w:lang w:val="en-GB" w:eastAsia="en-US"/>
              </w:rPr>
            </w:pPr>
            <w:r>
              <w:rPr>
                <w:rFonts w:eastAsia="Calibri"/>
                <w:spacing w:val="-4"/>
                <w:lang w:val="en-GB" w:eastAsia="en-US"/>
              </w:rPr>
              <w:t>27,4</w:t>
            </w:r>
          </w:p>
        </w:tc>
        <w:tc>
          <w:tcPr>
            <w:tcW w:w="2551" w:type="dxa"/>
          </w:tcPr>
          <w:p w14:paraId="6FEEDFF8" w14:textId="77777777" w:rsidR="003B31DC" w:rsidRDefault="003B31DC">
            <w:pPr>
              <w:tabs>
                <w:tab w:val="left" w:pos="9071"/>
              </w:tabs>
              <w:rPr>
                <w:rFonts w:eastAsia="Calibri"/>
                <w:lang w:val="en-GB" w:eastAsia="en-US"/>
              </w:rPr>
            </w:pPr>
          </w:p>
          <w:p w14:paraId="3A1328A7" w14:textId="77777777" w:rsidR="003B31DC" w:rsidRDefault="00913CBE">
            <w:pPr>
              <w:tabs>
                <w:tab w:val="left" w:pos="9071"/>
              </w:tabs>
              <w:ind w:right="4"/>
              <w:jc w:val="center"/>
              <w:rPr>
                <w:rFonts w:eastAsia="Calibri"/>
                <w:lang w:val="en-GB" w:eastAsia="en-US"/>
              </w:rPr>
            </w:pPr>
            <w:r>
              <w:rPr>
                <w:rFonts w:eastAsia="Calibri"/>
                <w:spacing w:val="-4"/>
                <w:lang w:val="en-GB" w:eastAsia="en-US"/>
              </w:rPr>
              <w:t>41,7</w:t>
            </w:r>
          </w:p>
        </w:tc>
        <w:tc>
          <w:tcPr>
            <w:tcW w:w="2409" w:type="dxa"/>
          </w:tcPr>
          <w:p w14:paraId="0C0B5661" w14:textId="77777777" w:rsidR="003B31DC" w:rsidRDefault="003B31DC">
            <w:pPr>
              <w:tabs>
                <w:tab w:val="left" w:pos="9071"/>
              </w:tabs>
              <w:rPr>
                <w:rFonts w:eastAsia="Calibri"/>
                <w:lang w:val="en-GB" w:eastAsia="en-US"/>
              </w:rPr>
            </w:pPr>
          </w:p>
          <w:p w14:paraId="29FD7432" w14:textId="77777777" w:rsidR="003B31DC" w:rsidRDefault="00913CBE">
            <w:pPr>
              <w:tabs>
                <w:tab w:val="left" w:pos="9071"/>
              </w:tabs>
              <w:ind w:right="3"/>
              <w:jc w:val="center"/>
              <w:rPr>
                <w:rFonts w:eastAsia="Calibri"/>
                <w:lang w:val="en-GB" w:eastAsia="en-US"/>
              </w:rPr>
            </w:pPr>
            <w:r>
              <w:rPr>
                <w:rFonts w:eastAsia="Calibri"/>
                <w:spacing w:val="-4"/>
                <w:lang w:val="en-GB" w:eastAsia="en-US"/>
              </w:rPr>
              <w:t>48,3</w:t>
            </w:r>
          </w:p>
        </w:tc>
      </w:tr>
      <w:tr w:rsidR="003B31DC" w14:paraId="00E7072A" w14:textId="77777777">
        <w:trPr>
          <w:trHeight w:val="253"/>
        </w:trPr>
        <w:tc>
          <w:tcPr>
            <w:tcW w:w="2659" w:type="dxa"/>
          </w:tcPr>
          <w:p w14:paraId="190E0513"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1277" w:type="dxa"/>
          </w:tcPr>
          <w:p w14:paraId="49E557AF" w14:textId="77777777" w:rsidR="003B31DC" w:rsidRDefault="00913CBE">
            <w:pPr>
              <w:tabs>
                <w:tab w:val="left" w:pos="9071"/>
              </w:tabs>
              <w:ind w:right="3"/>
              <w:jc w:val="center"/>
              <w:rPr>
                <w:rFonts w:eastAsia="Calibri"/>
                <w:lang w:val="en-GB" w:eastAsia="en-US"/>
              </w:rPr>
            </w:pPr>
            <w:r>
              <w:rPr>
                <w:rFonts w:eastAsia="Calibri"/>
                <w:spacing w:val="-5"/>
                <w:lang w:val="en-GB" w:eastAsia="en-US"/>
              </w:rPr>
              <w:t>86</w:t>
            </w:r>
          </w:p>
        </w:tc>
        <w:tc>
          <w:tcPr>
            <w:tcW w:w="2551" w:type="dxa"/>
          </w:tcPr>
          <w:p w14:paraId="7E61ADBC" w14:textId="77777777" w:rsidR="003B31DC" w:rsidRDefault="00913CBE">
            <w:pPr>
              <w:tabs>
                <w:tab w:val="left" w:pos="9071"/>
              </w:tabs>
              <w:ind w:right="6"/>
              <w:jc w:val="center"/>
              <w:rPr>
                <w:rFonts w:eastAsia="Calibri"/>
                <w:lang w:val="en-GB" w:eastAsia="en-US"/>
              </w:rPr>
            </w:pPr>
            <w:r>
              <w:rPr>
                <w:rFonts w:eastAsia="Calibri"/>
                <w:spacing w:val="-5"/>
                <w:lang w:val="en-GB" w:eastAsia="en-US"/>
              </w:rPr>
              <w:t>83</w:t>
            </w:r>
          </w:p>
        </w:tc>
        <w:tc>
          <w:tcPr>
            <w:tcW w:w="2409" w:type="dxa"/>
          </w:tcPr>
          <w:p w14:paraId="04530B59" w14:textId="77777777" w:rsidR="003B31DC" w:rsidRDefault="00913CBE">
            <w:pPr>
              <w:tabs>
                <w:tab w:val="left" w:pos="9071"/>
              </w:tabs>
              <w:ind w:right="6"/>
              <w:jc w:val="center"/>
              <w:rPr>
                <w:rFonts w:eastAsia="Calibri"/>
                <w:lang w:val="en-GB" w:eastAsia="en-US"/>
              </w:rPr>
            </w:pPr>
            <w:r>
              <w:rPr>
                <w:rFonts w:eastAsia="Calibri"/>
                <w:spacing w:val="-5"/>
                <w:lang w:val="en-GB" w:eastAsia="en-US"/>
              </w:rPr>
              <w:t>86</w:t>
            </w:r>
          </w:p>
        </w:tc>
      </w:tr>
      <w:tr w:rsidR="003B31DC" w14:paraId="401F30CF" w14:textId="77777777">
        <w:trPr>
          <w:trHeight w:val="506"/>
        </w:trPr>
        <w:tc>
          <w:tcPr>
            <w:tcW w:w="8896" w:type="dxa"/>
            <w:gridSpan w:val="4"/>
          </w:tcPr>
          <w:p w14:paraId="3A0A81B8" w14:textId="77777777" w:rsidR="003B31DC" w:rsidRPr="003C78E9" w:rsidRDefault="00913CBE">
            <w:pPr>
              <w:tabs>
                <w:tab w:val="left" w:pos="9071"/>
              </w:tabs>
              <w:ind w:right="6663"/>
              <w:rPr>
                <w:rFonts w:eastAsia="Calibri"/>
                <w:lang w:val="it-CH" w:eastAsia="en-US"/>
              </w:rPr>
            </w:pPr>
            <w:r w:rsidRPr="003C78E9">
              <w:rPr>
                <w:rFonts w:eastAsia="Calibri"/>
                <w:b/>
                <w:lang w:val="it-CH" w:eastAsia="en-US"/>
              </w:rPr>
              <w:t>Insulin</w:t>
            </w:r>
            <w:r w:rsidRPr="003C78E9">
              <w:rPr>
                <w:rFonts w:eastAsia="Calibri"/>
                <w:b/>
                <w:spacing w:val="-14"/>
                <w:lang w:val="it-CH" w:eastAsia="en-US"/>
              </w:rPr>
              <w:t xml:space="preserve">o dozė </w:t>
            </w:r>
            <w:r w:rsidRPr="003C78E9">
              <w:rPr>
                <w:rFonts w:eastAsia="Calibri"/>
                <w:b/>
                <w:lang w:val="it-CH" w:eastAsia="en-US"/>
              </w:rPr>
              <w:t>(TV per parą) 52</w:t>
            </w:r>
            <w:r w:rsidRPr="003C78E9">
              <w:rPr>
                <w:rFonts w:eastAsia="Calibri"/>
                <w:vertAlign w:val="superscript"/>
                <w:lang w:val="it-CH" w:eastAsia="en-US"/>
              </w:rPr>
              <w:t>b,</w:t>
            </w:r>
            <w:r w:rsidRPr="003C78E9">
              <w:rPr>
                <w:rFonts w:eastAsia="Calibri"/>
                <w:lang w:val="it-CH" w:eastAsia="en-US"/>
              </w:rPr>
              <w:t xml:space="preserve"> </w:t>
            </w:r>
            <w:r w:rsidRPr="003C78E9">
              <w:rPr>
                <w:rFonts w:eastAsia="Calibri"/>
                <w:vertAlign w:val="superscript"/>
                <w:lang w:val="it-CH" w:eastAsia="en-US"/>
              </w:rPr>
              <w:t xml:space="preserve">3 </w:t>
            </w:r>
            <w:r w:rsidRPr="003C78E9">
              <w:rPr>
                <w:rFonts w:eastAsia="Calibri"/>
                <w:b/>
                <w:bCs/>
                <w:lang w:val="it-CH" w:eastAsia="en-US"/>
              </w:rPr>
              <w:t>savaitę</w:t>
            </w:r>
          </w:p>
        </w:tc>
      </w:tr>
      <w:tr w:rsidR="003B31DC" w14:paraId="3CDF33BE" w14:textId="77777777">
        <w:trPr>
          <w:trHeight w:val="253"/>
        </w:trPr>
        <w:tc>
          <w:tcPr>
            <w:tcW w:w="2659" w:type="dxa"/>
          </w:tcPr>
          <w:p w14:paraId="07A046A6" w14:textId="77777777" w:rsidR="003B31DC" w:rsidRDefault="00913CBE">
            <w:pPr>
              <w:tabs>
                <w:tab w:val="left" w:pos="9071"/>
              </w:tabs>
              <w:rPr>
                <w:lang w:val="en-GB" w:eastAsia="en-US"/>
              </w:rPr>
            </w:pPr>
            <w:proofErr w:type="spellStart"/>
            <w:r>
              <w:rPr>
                <w:spacing w:val="-2"/>
                <w:lang w:val="en-GB" w:eastAsia="en-US"/>
              </w:rPr>
              <w:t>Pradinis</w:t>
            </w:r>
            <w:proofErr w:type="spellEnd"/>
          </w:p>
          <w:p w14:paraId="2AC312CA"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277" w:type="dxa"/>
          </w:tcPr>
          <w:p w14:paraId="18B4A9F9" w14:textId="77777777" w:rsidR="003B31DC" w:rsidRDefault="00913CBE">
            <w:pPr>
              <w:tabs>
                <w:tab w:val="left" w:pos="9071"/>
              </w:tabs>
              <w:jc w:val="center"/>
              <w:rPr>
                <w:rFonts w:eastAsia="Calibri"/>
                <w:lang w:val="en-GB" w:eastAsia="en-US"/>
              </w:rPr>
            </w:pPr>
            <w:r>
              <w:rPr>
                <w:rFonts w:eastAsia="Calibri"/>
                <w:spacing w:val="-2"/>
                <w:lang w:val="en-GB" w:eastAsia="en-US"/>
              </w:rPr>
              <w:t>91,01</w:t>
            </w:r>
          </w:p>
        </w:tc>
        <w:tc>
          <w:tcPr>
            <w:tcW w:w="2551" w:type="dxa"/>
          </w:tcPr>
          <w:p w14:paraId="65E98015" w14:textId="77777777" w:rsidR="003B31DC" w:rsidRDefault="00913CBE">
            <w:pPr>
              <w:tabs>
                <w:tab w:val="left" w:pos="9071"/>
              </w:tabs>
              <w:ind w:right="4"/>
              <w:jc w:val="center"/>
              <w:rPr>
                <w:rFonts w:eastAsia="Calibri"/>
                <w:lang w:val="en-GB" w:eastAsia="en-US"/>
              </w:rPr>
            </w:pPr>
            <w:r>
              <w:rPr>
                <w:rFonts w:eastAsia="Calibri"/>
                <w:spacing w:val="-2"/>
                <w:lang w:val="en-GB" w:eastAsia="en-US"/>
              </w:rPr>
              <w:t>91,77</w:t>
            </w:r>
          </w:p>
        </w:tc>
        <w:tc>
          <w:tcPr>
            <w:tcW w:w="2409" w:type="dxa"/>
          </w:tcPr>
          <w:p w14:paraId="49E3A289" w14:textId="77777777" w:rsidR="003B31DC" w:rsidRDefault="00913CBE">
            <w:pPr>
              <w:tabs>
                <w:tab w:val="left" w:pos="9071"/>
              </w:tabs>
              <w:ind w:right="3"/>
              <w:jc w:val="center"/>
              <w:rPr>
                <w:rFonts w:eastAsia="Calibri"/>
                <w:lang w:val="en-GB" w:eastAsia="en-US"/>
              </w:rPr>
            </w:pPr>
            <w:r>
              <w:rPr>
                <w:rFonts w:eastAsia="Calibri"/>
                <w:spacing w:val="-2"/>
                <w:lang w:val="en-GB" w:eastAsia="en-US"/>
              </w:rPr>
              <w:t>90,22</w:t>
            </w:r>
          </w:p>
        </w:tc>
      </w:tr>
      <w:tr w:rsidR="003B31DC" w14:paraId="4A97CA43" w14:textId="77777777">
        <w:trPr>
          <w:trHeight w:val="251"/>
        </w:trPr>
        <w:tc>
          <w:tcPr>
            <w:tcW w:w="2659" w:type="dxa"/>
          </w:tcPr>
          <w:p w14:paraId="59D0CEEC"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3A9F17D7" w14:textId="77777777" w:rsidR="003B31DC" w:rsidRDefault="00913CBE">
            <w:pPr>
              <w:tabs>
                <w:tab w:val="left" w:pos="9071"/>
              </w:tabs>
              <w:ind w:right="397"/>
              <w:rPr>
                <w:rFonts w:eastAsia="Calibri"/>
                <w:lang w:val="en-GB" w:eastAsia="en-US"/>
              </w:rPr>
            </w:pPr>
            <w:r>
              <w:rPr>
                <w:spacing w:val="-2"/>
                <w:lang w:val="en-GB" w:eastAsia="en-US"/>
              </w:rPr>
              <w:t>pradinio</w:t>
            </w:r>
            <w:r>
              <w:rPr>
                <w:spacing w:val="-2"/>
                <w:vertAlign w:val="superscript"/>
                <w:lang w:val="en-GB" w:eastAsia="en-US"/>
              </w:rPr>
              <w:t>1</w:t>
            </w:r>
          </w:p>
        </w:tc>
        <w:tc>
          <w:tcPr>
            <w:tcW w:w="1277" w:type="dxa"/>
          </w:tcPr>
          <w:p w14:paraId="0462605C" w14:textId="77777777" w:rsidR="003B31DC" w:rsidRDefault="00913CBE">
            <w:pPr>
              <w:tabs>
                <w:tab w:val="left" w:pos="9071"/>
              </w:tabs>
              <w:jc w:val="center"/>
              <w:rPr>
                <w:rFonts w:eastAsia="Calibri"/>
                <w:lang w:val="en-GB" w:eastAsia="en-US"/>
              </w:rPr>
            </w:pPr>
            <w:r>
              <w:rPr>
                <w:rFonts w:eastAsia="Calibri"/>
                <w:spacing w:val="-2"/>
                <w:lang w:val="en-GB" w:eastAsia="en-US"/>
              </w:rPr>
              <w:t>12.84</w:t>
            </w:r>
          </w:p>
        </w:tc>
        <w:tc>
          <w:tcPr>
            <w:tcW w:w="2551" w:type="dxa"/>
          </w:tcPr>
          <w:p w14:paraId="4D176750" w14:textId="77777777" w:rsidR="003B31DC" w:rsidRDefault="00913CBE">
            <w:pPr>
              <w:tabs>
                <w:tab w:val="left" w:pos="9071"/>
              </w:tabs>
              <w:ind w:right="4"/>
              <w:jc w:val="center"/>
              <w:rPr>
                <w:rFonts w:eastAsia="Calibri"/>
                <w:lang w:val="en-GB" w:eastAsia="en-US"/>
              </w:rPr>
            </w:pPr>
            <w:r>
              <w:rPr>
                <w:rFonts w:eastAsia="Calibri"/>
                <w:spacing w:val="-4"/>
                <w:lang w:val="en-GB" w:eastAsia="en-US"/>
              </w:rPr>
              <w:t>0.22</w:t>
            </w:r>
          </w:p>
        </w:tc>
        <w:tc>
          <w:tcPr>
            <w:tcW w:w="2409" w:type="dxa"/>
          </w:tcPr>
          <w:p w14:paraId="15E34341" w14:textId="77777777" w:rsidR="003B31DC" w:rsidRDefault="00913CBE">
            <w:pPr>
              <w:tabs>
                <w:tab w:val="left" w:pos="9071"/>
              </w:tabs>
              <w:ind w:right="11"/>
              <w:jc w:val="center"/>
              <w:rPr>
                <w:rFonts w:eastAsia="Calibri"/>
                <w:lang w:val="en-GB" w:eastAsia="en-US"/>
              </w:rPr>
            </w:pPr>
            <w:r>
              <w:rPr>
                <w:rFonts w:eastAsia="Calibri"/>
                <w:spacing w:val="-4"/>
                <w:lang w:val="en-GB" w:eastAsia="en-US"/>
              </w:rPr>
              <w:t>-2.25</w:t>
            </w:r>
          </w:p>
        </w:tc>
      </w:tr>
      <w:tr w:rsidR="003B31DC" w14:paraId="6D08AA95" w14:textId="77777777">
        <w:trPr>
          <w:trHeight w:val="506"/>
        </w:trPr>
        <w:tc>
          <w:tcPr>
            <w:tcW w:w="2659" w:type="dxa"/>
          </w:tcPr>
          <w:p w14:paraId="3C374847"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277" w:type="dxa"/>
          </w:tcPr>
          <w:p w14:paraId="2FDCA0C3" w14:textId="77777777" w:rsidR="003B31DC" w:rsidRDefault="003B31DC">
            <w:pPr>
              <w:tabs>
                <w:tab w:val="left" w:pos="9071"/>
              </w:tabs>
              <w:rPr>
                <w:rFonts w:eastAsia="Calibri"/>
                <w:lang w:val="en-GB" w:eastAsia="en-US"/>
              </w:rPr>
            </w:pPr>
          </w:p>
        </w:tc>
        <w:tc>
          <w:tcPr>
            <w:tcW w:w="2551" w:type="dxa"/>
          </w:tcPr>
          <w:p w14:paraId="3E1031EE" w14:textId="77777777" w:rsidR="003B31DC" w:rsidRDefault="00913CBE">
            <w:pPr>
              <w:tabs>
                <w:tab w:val="left" w:pos="9071"/>
              </w:tabs>
              <w:ind w:right="7"/>
              <w:jc w:val="center"/>
              <w:rPr>
                <w:rFonts w:eastAsia="Calibri"/>
                <w:lang w:val="en-GB" w:eastAsia="en-US"/>
              </w:rPr>
            </w:pPr>
            <w:r>
              <w:rPr>
                <w:rFonts w:eastAsia="Calibri"/>
                <w:lang w:val="en-GB" w:eastAsia="en-US"/>
              </w:rPr>
              <w:t>-12.61**</w:t>
            </w:r>
            <w:r>
              <w:rPr>
                <w:rFonts w:eastAsia="Calibri"/>
                <w:spacing w:val="-8"/>
                <w:lang w:val="en-GB" w:eastAsia="en-US"/>
              </w:rPr>
              <w:t xml:space="preserve"> </w:t>
            </w:r>
            <w:r>
              <w:rPr>
                <w:rFonts w:eastAsia="Calibri"/>
                <w:lang w:val="en-GB" w:eastAsia="en-US"/>
              </w:rPr>
              <w:t>(-21.43,</w:t>
            </w:r>
            <w:r>
              <w:rPr>
                <w:rFonts w:eastAsia="Calibri"/>
                <w:spacing w:val="-4"/>
                <w:lang w:val="en-GB" w:eastAsia="en-US"/>
              </w:rPr>
              <w:t xml:space="preserve"> </w:t>
            </w:r>
            <w:r>
              <w:rPr>
                <w:rFonts w:eastAsia="Calibri"/>
                <w:lang w:val="en-GB" w:eastAsia="en-US"/>
              </w:rPr>
              <w:t>-</w:t>
            </w:r>
            <w:r>
              <w:rPr>
                <w:rFonts w:eastAsia="Calibri"/>
                <w:spacing w:val="-2"/>
                <w:lang w:val="en-GB" w:eastAsia="en-US"/>
              </w:rPr>
              <w:t>3.80)</w:t>
            </w:r>
          </w:p>
        </w:tc>
        <w:tc>
          <w:tcPr>
            <w:tcW w:w="2409" w:type="dxa"/>
          </w:tcPr>
          <w:p w14:paraId="0E58502E" w14:textId="77777777" w:rsidR="003B31DC" w:rsidRDefault="00913CBE">
            <w:pPr>
              <w:tabs>
                <w:tab w:val="left" w:pos="9071"/>
              </w:tabs>
              <w:ind w:right="7"/>
              <w:jc w:val="center"/>
              <w:rPr>
                <w:rFonts w:eastAsia="Calibri"/>
                <w:lang w:val="en-GB" w:eastAsia="en-US"/>
              </w:rPr>
            </w:pPr>
            <w:r>
              <w:rPr>
                <w:rFonts w:eastAsia="Calibri"/>
                <w:lang w:val="en-GB" w:eastAsia="en-US"/>
              </w:rPr>
              <w:t>-15.09**</w:t>
            </w:r>
            <w:r>
              <w:rPr>
                <w:rFonts w:eastAsia="Calibri"/>
                <w:spacing w:val="-8"/>
                <w:lang w:val="en-GB" w:eastAsia="en-US"/>
              </w:rPr>
              <w:t xml:space="preserve"> </w:t>
            </w:r>
            <w:r>
              <w:rPr>
                <w:rFonts w:eastAsia="Calibri"/>
                <w:lang w:val="en-GB" w:eastAsia="en-US"/>
              </w:rPr>
              <w:t>(-23.79,</w:t>
            </w:r>
            <w:r>
              <w:rPr>
                <w:rFonts w:eastAsia="Calibri"/>
                <w:spacing w:val="-4"/>
                <w:lang w:val="en-GB" w:eastAsia="en-US"/>
              </w:rPr>
              <w:t xml:space="preserve"> </w:t>
            </w:r>
            <w:r>
              <w:rPr>
                <w:rFonts w:eastAsia="Calibri"/>
                <w:lang w:val="en-GB" w:eastAsia="en-US"/>
              </w:rPr>
              <w:t>-</w:t>
            </w:r>
            <w:r>
              <w:rPr>
                <w:rFonts w:eastAsia="Calibri"/>
                <w:spacing w:val="-2"/>
                <w:lang w:val="en-GB" w:eastAsia="en-US"/>
              </w:rPr>
              <w:t>6.40)</w:t>
            </w:r>
          </w:p>
        </w:tc>
      </w:tr>
      <w:tr w:rsidR="003B31DC" w14:paraId="3F9D2301" w14:textId="77777777">
        <w:trPr>
          <w:trHeight w:val="253"/>
        </w:trPr>
        <w:tc>
          <w:tcPr>
            <w:tcW w:w="2659" w:type="dxa"/>
          </w:tcPr>
          <w:p w14:paraId="008506FA"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1277" w:type="dxa"/>
          </w:tcPr>
          <w:p w14:paraId="0A694737" w14:textId="77777777" w:rsidR="003B31DC" w:rsidRDefault="00913CBE">
            <w:pPr>
              <w:tabs>
                <w:tab w:val="left" w:pos="9071"/>
              </w:tabs>
              <w:ind w:right="3"/>
              <w:jc w:val="center"/>
              <w:rPr>
                <w:rFonts w:eastAsia="Calibri"/>
                <w:lang w:val="en-GB" w:eastAsia="en-US"/>
              </w:rPr>
            </w:pPr>
            <w:r>
              <w:rPr>
                <w:rFonts w:eastAsia="Calibri"/>
                <w:spacing w:val="-5"/>
                <w:lang w:val="en-GB" w:eastAsia="en-US"/>
              </w:rPr>
              <w:t>86</w:t>
            </w:r>
          </w:p>
        </w:tc>
        <w:tc>
          <w:tcPr>
            <w:tcW w:w="2551" w:type="dxa"/>
          </w:tcPr>
          <w:p w14:paraId="03DDCAC6" w14:textId="77777777" w:rsidR="003B31DC" w:rsidRDefault="00913CBE">
            <w:pPr>
              <w:tabs>
                <w:tab w:val="left" w:pos="9071"/>
              </w:tabs>
              <w:ind w:right="6"/>
              <w:jc w:val="center"/>
              <w:rPr>
                <w:rFonts w:eastAsia="Calibri"/>
                <w:lang w:val="en-GB" w:eastAsia="en-US"/>
              </w:rPr>
            </w:pPr>
            <w:r>
              <w:rPr>
                <w:rFonts w:eastAsia="Calibri"/>
                <w:spacing w:val="-5"/>
                <w:lang w:val="en-GB" w:eastAsia="en-US"/>
              </w:rPr>
              <w:t>84</w:t>
            </w:r>
          </w:p>
        </w:tc>
        <w:tc>
          <w:tcPr>
            <w:tcW w:w="2409" w:type="dxa"/>
          </w:tcPr>
          <w:p w14:paraId="6EB8B8F9" w14:textId="77777777" w:rsidR="003B31DC" w:rsidRDefault="00913CBE">
            <w:pPr>
              <w:tabs>
                <w:tab w:val="left" w:pos="9071"/>
              </w:tabs>
              <w:ind w:right="6"/>
              <w:jc w:val="center"/>
              <w:rPr>
                <w:rFonts w:eastAsia="Calibri"/>
                <w:lang w:val="en-GB" w:eastAsia="en-US"/>
              </w:rPr>
            </w:pPr>
            <w:r>
              <w:rPr>
                <w:rFonts w:eastAsia="Calibri"/>
                <w:spacing w:val="-5"/>
                <w:lang w:val="en-GB" w:eastAsia="en-US"/>
              </w:rPr>
              <w:t>87</w:t>
            </w:r>
          </w:p>
        </w:tc>
      </w:tr>
      <w:tr w:rsidR="003B31DC" w14:paraId="6C9273C1" w14:textId="77777777">
        <w:trPr>
          <w:trHeight w:val="506"/>
        </w:trPr>
        <w:tc>
          <w:tcPr>
            <w:tcW w:w="8896" w:type="dxa"/>
            <w:gridSpan w:val="4"/>
          </w:tcPr>
          <w:p w14:paraId="0A54A6DF" w14:textId="77777777" w:rsidR="003B31DC" w:rsidRDefault="00913CBE">
            <w:pPr>
              <w:tabs>
                <w:tab w:val="left" w:pos="9071"/>
              </w:tabs>
              <w:ind w:right="6981"/>
              <w:rPr>
                <w:rFonts w:eastAsia="Calibri"/>
                <w:lang w:val="en-GB" w:eastAsia="en-US"/>
              </w:rPr>
            </w:pPr>
            <w:proofErr w:type="spellStart"/>
            <w:r>
              <w:rPr>
                <w:rFonts w:eastAsia="Calibri"/>
                <w:b/>
                <w:lang w:val="en-GB" w:eastAsia="en-US"/>
              </w:rPr>
              <w:t>Kūno</w:t>
            </w:r>
            <w:proofErr w:type="spellEnd"/>
            <w:r>
              <w:rPr>
                <w:rFonts w:eastAsia="Calibri"/>
                <w:b/>
                <w:lang w:val="en-GB" w:eastAsia="en-US"/>
              </w:rPr>
              <w:t xml:space="preserve"> </w:t>
            </w:r>
            <w:proofErr w:type="spellStart"/>
            <w:r>
              <w:rPr>
                <w:rFonts w:eastAsia="Calibri"/>
                <w:b/>
                <w:lang w:val="en-GB" w:eastAsia="en-US"/>
              </w:rPr>
              <w:t>svoris</w:t>
            </w:r>
            <w:proofErr w:type="spellEnd"/>
            <w:r>
              <w:rPr>
                <w:rFonts w:eastAsia="Calibri"/>
                <w:b/>
                <w:spacing w:val="-14"/>
                <w:lang w:val="en-GB" w:eastAsia="en-US"/>
              </w:rPr>
              <w:t xml:space="preserve"> </w:t>
            </w:r>
            <w:r>
              <w:rPr>
                <w:rFonts w:eastAsia="Calibri"/>
                <w:b/>
                <w:lang w:val="en-GB" w:eastAsia="en-US"/>
              </w:rPr>
              <w:t>(kg) 52</w:t>
            </w:r>
            <w:r>
              <w:rPr>
                <w:rFonts w:eastAsia="Calibri"/>
                <w:vertAlign w:val="superscript"/>
                <w:lang w:val="en-GB" w:eastAsia="en-US"/>
              </w:rPr>
              <w:t xml:space="preserve">b </w:t>
            </w:r>
            <w:proofErr w:type="spellStart"/>
            <w:r>
              <w:rPr>
                <w:rFonts w:eastAsia="Calibri"/>
                <w:b/>
                <w:bCs/>
                <w:lang w:val="en-GB" w:eastAsia="en-US"/>
              </w:rPr>
              <w:t>savaitę</w:t>
            </w:r>
            <w:proofErr w:type="spellEnd"/>
          </w:p>
        </w:tc>
      </w:tr>
      <w:tr w:rsidR="003B31DC" w14:paraId="60B3D6CD" w14:textId="77777777">
        <w:trPr>
          <w:trHeight w:val="251"/>
        </w:trPr>
        <w:tc>
          <w:tcPr>
            <w:tcW w:w="2659" w:type="dxa"/>
          </w:tcPr>
          <w:p w14:paraId="496F9C8A" w14:textId="77777777" w:rsidR="003B31DC" w:rsidRDefault="00913CBE">
            <w:pPr>
              <w:tabs>
                <w:tab w:val="left" w:pos="9071"/>
              </w:tabs>
              <w:rPr>
                <w:lang w:val="en-GB" w:eastAsia="en-US"/>
              </w:rPr>
            </w:pPr>
            <w:proofErr w:type="spellStart"/>
            <w:r>
              <w:rPr>
                <w:spacing w:val="-2"/>
                <w:lang w:val="en-GB" w:eastAsia="en-US"/>
              </w:rPr>
              <w:t>Pradinis</w:t>
            </w:r>
            <w:proofErr w:type="spellEnd"/>
          </w:p>
          <w:p w14:paraId="59D5237D"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277" w:type="dxa"/>
          </w:tcPr>
          <w:p w14:paraId="60BF4594" w14:textId="77777777" w:rsidR="003B31DC" w:rsidRDefault="00913CBE">
            <w:pPr>
              <w:tabs>
                <w:tab w:val="left" w:pos="9071"/>
              </w:tabs>
              <w:jc w:val="center"/>
              <w:rPr>
                <w:rFonts w:eastAsia="Calibri"/>
                <w:lang w:val="en-GB" w:eastAsia="en-US"/>
              </w:rPr>
            </w:pPr>
            <w:r>
              <w:rPr>
                <w:rFonts w:eastAsia="Calibri"/>
                <w:spacing w:val="-2"/>
                <w:lang w:val="en-GB" w:eastAsia="en-US"/>
              </w:rPr>
              <w:t>97,78</w:t>
            </w:r>
          </w:p>
        </w:tc>
        <w:tc>
          <w:tcPr>
            <w:tcW w:w="2551" w:type="dxa"/>
          </w:tcPr>
          <w:p w14:paraId="24DD306F" w14:textId="77777777" w:rsidR="003B31DC" w:rsidRDefault="00913CBE">
            <w:pPr>
              <w:tabs>
                <w:tab w:val="left" w:pos="9071"/>
              </w:tabs>
              <w:ind w:right="4"/>
              <w:jc w:val="center"/>
              <w:rPr>
                <w:rFonts w:eastAsia="Calibri"/>
                <w:lang w:val="en-GB" w:eastAsia="en-US"/>
              </w:rPr>
            </w:pPr>
            <w:r>
              <w:rPr>
                <w:rFonts w:eastAsia="Calibri"/>
                <w:spacing w:val="-2"/>
                <w:lang w:val="en-GB" w:eastAsia="en-US"/>
              </w:rPr>
              <w:t>98,86</w:t>
            </w:r>
          </w:p>
        </w:tc>
        <w:tc>
          <w:tcPr>
            <w:tcW w:w="2409" w:type="dxa"/>
          </w:tcPr>
          <w:p w14:paraId="5497DADB" w14:textId="77777777" w:rsidR="003B31DC" w:rsidRDefault="00913CBE">
            <w:pPr>
              <w:tabs>
                <w:tab w:val="left" w:pos="9071"/>
              </w:tabs>
              <w:ind w:right="3"/>
              <w:jc w:val="center"/>
              <w:rPr>
                <w:rFonts w:eastAsia="Calibri"/>
                <w:lang w:val="en-GB" w:eastAsia="en-US"/>
              </w:rPr>
            </w:pPr>
            <w:r>
              <w:rPr>
                <w:rFonts w:eastAsia="Calibri"/>
                <w:spacing w:val="-2"/>
                <w:lang w:val="en-GB" w:eastAsia="en-US"/>
              </w:rPr>
              <w:t>94,93</w:t>
            </w:r>
          </w:p>
        </w:tc>
      </w:tr>
      <w:tr w:rsidR="003B31DC" w14:paraId="436EC9D1" w14:textId="77777777">
        <w:trPr>
          <w:trHeight w:val="253"/>
        </w:trPr>
        <w:tc>
          <w:tcPr>
            <w:tcW w:w="2659" w:type="dxa"/>
          </w:tcPr>
          <w:p w14:paraId="6E446F1B"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52674995" w14:textId="77777777" w:rsidR="003B31DC" w:rsidRDefault="00913CBE">
            <w:pPr>
              <w:tabs>
                <w:tab w:val="left" w:pos="9071"/>
              </w:tabs>
              <w:ind w:right="397"/>
              <w:rPr>
                <w:rFonts w:eastAsia="Calibri"/>
                <w:lang w:val="en-GB" w:eastAsia="en-US"/>
              </w:rPr>
            </w:pPr>
            <w:r>
              <w:rPr>
                <w:spacing w:val="-2"/>
                <w:lang w:val="en-GB" w:eastAsia="en-US"/>
              </w:rPr>
              <w:t>pradinio</w:t>
            </w:r>
            <w:r>
              <w:rPr>
                <w:spacing w:val="-2"/>
                <w:vertAlign w:val="superscript"/>
                <w:lang w:val="en-GB" w:eastAsia="en-US"/>
              </w:rPr>
              <w:t>1</w:t>
            </w:r>
          </w:p>
        </w:tc>
        <w:tc>
          <w:tcPr>
            <w:tcW w:w="1277" w:type="dxa"/>
          </w:tcPr>
          <w:p w14:paraId="5F7EACD2" w14:textId="77777777" w:rsidR="003B31DC" w:rsidRDefault="00913CBE">
            <w:pPr>
              <w:tabs>
                <w:tab w:val="left" w:pos="9071"/>
              </w:tabs>
              <w:jc w:val="center"/>
              <w:rPr>
                <w:rFonts w:eastAsia="Calibri"/>
                <w:lang w:val="en-GB" w:eastAsia="en-US"/>
              </w:rPr>
            </w:pPr>
            <w:r>
              <w:rPr>
                <w:rFonts w:eastAsia="Calibri"/>
                <w:spacing w:val="-4"/>
                <w:lang w:val="en-GB" w:eastAsia="en-US"/>
              </w:rPr>
              <w:t>0,42</w:t>
            </w:r>
          </w:p>
        </w:tc>
        <w:tc>
          <w:tcPr>
            <w:tcW w:w="2551" w:type="dxa"/>
          </w:tcPr>
          <w:p w14:paraId="19B8F05F" w14:textId="77777777" w:rsidR="003B31DC" w:rsidRDefault="00913CBE">
            <w:pPr>
              <w:tabs>
                <w:tab w:val="left" w:pos="9071"/>
              </w:tabs>
              <w:ind w:right="6"/>
              <w:jc w:val="center"/>
              <w:rPr>
                <w:rFonts w:eastAsia="Calibri"/>
                <w:lang w:val="en-GB" w:eastAsia="en-US"/>
              </w:rPr>
            </w:pPr>
            <w:r>
              <w:rPr>
                <w:rFonts w:eastAsia="Calibri"/>
                <w:spacing w:val="-4"/>
                <w:lang w:val="en-GB" w:eastAsia="en-US"/>
              </w:rPr>
              <w:t>-2,47</w:t>
            </w:r>
          </w:p>
        </w:tc>
        <w:tc>
          <w:tcPr>
            <w:tcW w:w="2409" w:type="dxa"/>
          </w:tcPr>
          <w:p w14:paraId="66EA3E8E" w14:textId="77777777" w:rsidR="003B31DC" w:rsidRDefault="00913CBE">
            <w:pPr>
              <w:tabs>
                <w:tab w:val="left" w:pos="9071"/>
              </w:tabs>
              <w:ind w:right="11"/>
              <w:jc w:val="center"/>
              <w:rPr>
                <w:rFonts w:eastAsia="Calibri"/>
                <w:lang w:val="en-GB" w:eastAsia="en-US"/>
              </w:rPr>
            </w:pPr>
            <w:r>
              <w:rPr>
                <w:rFonts w:eastAsia="Calibri"/>
                <w:spacing w:val="-4"/>
                <w:lang w:val="en-GB" w:eastAsia="en-US"/>
              </w:rPr>
              <w:t>-1,94</w:t>
            </w:r>
          </w:p>
        </w:tc>
      </w:tr>
      <w:tr w:rsidR="003B31DC" w14:paraId="5630F6F8" w14:textId="77777777">
        <w:trPr>
          <w:trHeight w:val="506"/>
        </w:trPr>
        <w:tc>
          <w:tcPr>
            <w:tcW w:w="2659" w:type="dxa"/>
          </w:tcPr>
          <w:p w14:paraId="0C4136EA"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277" w:type="dxa"/>
          </w:tcPr>
          <w:p w14:paraId="3CE45645" w14:textId="77777777" w:rsidR="003B31DC" w:rsidRDefault="003B31DC">
            <w:pPr>
              <w:tabs>
                <w:tab w:val="left" w:pos="9071"/>
              </w:tabs>
              <w:rPr>
                <w:rFonts w:eastAsia="Calibri"/>
                <w:lang w:val="en-GB" w:eastAsia="en-US"/>
              </w:rPr>
            </w:pPr>
          </w:p>
        </w:tc>
        <w:tc>
          <w:tcPr>
            <w:tcW w:w="2551" w:type="dxa"/>
          </w:tcPr>
          <w:p w14:paraId="1ECE75CD" w14:textId="77777777" w:rsidR="003B31DC" w:rsidRDefault="00913CBE">
            <w:pPr>
              <w:tabs>
                <w:tab w:val="left" w:pos="9071"/>
              </w:tabs>
              <w:ind w:right="5"/>
              <w:jc w:val="center"/>
              <w:rPr>
                <w:rFonts w:eastAsia="Calibri"/>
                <w:lang w:val="en-GB" w:eastAsia="en-US"/>
              </w:rPr>
            </w:pPr>
            <w:r>
              <w:rPr>
                <w:rFonts w:eastAsia="Calibri"/>
                <w:lang w:val="en-GB" w:eastAsia="en-US"/>
              </w:rPr>
              <w:t>-2,89*</w:t>
            </w:r>
            <w:r>
              <w:rPr>
                <w:rFonts w:eastAsia="Calibri"/>
                <w:spacing w:val="-5"/>
                <w:lang w:val="en-GB" w:eastAsia="en-US"/>
              </w:rPr>
              <w:t xml:space="preserve"> </w:t>
            </w:r>
            <w:r>
              <w:rPr>
                <w:rFonts w:eastAsia="Calibri"/>
                <w:lang w:val="en-GB" w:eastAsia="en-US"/>
              </w:rPr>
              <w:t>(-4,29,</w:t>
            </w:r>
            <w:r>
              <w:rPr>
                <w:rFonts w:eastAsia="Calibri"/>
                <w:spacing w:val="-2"/>
                <w:lang w:val="en-GB" w:eastAsia="en-US"/>
              </w:rPr>
              <w:t xml:space="preserve"> </w:t>
            </w:r>
            <w:r>
              <w:rPr>
                <w:rFonts w:eastAsia="Calibri"/>
                <w:lang w:val="en-GB" w:eastAsia="en-US"/>
              </w:rPr>
              <w:t>-</w:t>
            </w:r>
            <w:r>
              <w:rPr>
                <w:rFonts w:eastAsia="Calibri"/>
                <w:spacing w:val="-2"/>
                <w:lang w:val="en-GB" w:eastAsia="en-US"/>
              </w:rPr>
              <w:t>1,49)</w:t>
            </w:r>
          </w:p>
        </w:tc>
        <w:tc>
          <w:tcPr>
            <w:tcW w:w="2409" w:type="dxa"/>
          </w:tcPr>
          <w:p w14:paraId="718A000D" w14:textId="77777777" w:rsidR="003B31DC" w:rsidRDefault="00913CBE">
            <w:pPr>
              <w:tabs>
                <w:tab w:val="left" w:pos="9071"/>
              </w:tabs>
              <w:ind w:right="9"/>
              <w:jc w:val="center"/>
              <w:rPr>
                <w:rFonts w:eastAsia="Calibri"/>
                <w:lang w:val="en-GB" w:eastAsia="en-US"/>
              </w:rPr>
            </w:pPr>
            <w:r>
              <w:rPr>
                <w:rFonts w:eastAsia="Calibri"/>
                <w:lang w:val="en-GB" w:eastAsia="en-US"/>
              </w:rPr>
              <w:t>-2,37*</w:t>
            </w:r>
            <w:r>
              <w:rPr>
                <w:rFonts w:eastAsia="Calibri"/>
                <w:spacing w:val="-5"/>
                <w:lang w:val="en-GB" w:eastAsia="en-US"/>
              </w:rPr>
              <w:t xml:space="preserve"> </w:t>
            </w:r>
            <w:r>
              <w:rPr>
                <w:rFonts w:eastAsia="Calibri"/>
                <w:lang w:val="en-GB" w:eastAsia="en-US"/>
              </w:rPr>
              <w:t>(-3,75,</w:t>
            </w:r>
            <w:r>
              <w:rPr>
                <w:rFonts w:eastAsia="Calibri"/>
                <w:spacing w:val="-2"/>
                <w:lang w:val="en-GB" w:eastAsia="en-US"/>
              </w:rPr>
              <w:t xml:space="preserve"> </w:t>
            </w:r>
            <w:r>
              <w:rPr>
                <w:rFonts w:eastAsia="Calibri"/>
                <w:lang w:val="en-GB" w:eastAsia="en-US"/>
              </w:rPr>
              <w:t>-</w:t>
            </w:r>
            <w:r>
              <w:rPr>
                <w:rFonts w:eastAsia="Calibri"/>
                <w:spacing w:val="-2"/>
                <w:lang w:val="en-GB" w:eastAsia="en-US"/>
              </w:rPr>
              <w:t>0,98)</w:t>
            </w:r>
          </w:p>
        </w:tc>
      </w:tr>
    </w:tbl>
    <w:p w14:paraId="2F7F78DD" w14:textId="77777777" w:rsidR="003B31DC" w:rsidRPr="00FA2F7A" w:rsidRDefault="00913CBE">
      <w:pPr>
        <w:pStyle w:val="Default"/>
        <w:rPr>
          <w:sz w:val="22"/>
          <w:lang w:val="pt-PT"/>
        </w:rPr>
      </w:pPr>
      <w:r w:rsidRPr="00FA2F7A">
        <w:rPr>
          <w:sz w:val="14"/>
          <w:lang w:val="pt-PT"/>
        </w:rPr>
        <w:t xml:space="preserve">a </w:t>
      </w:r>
      <w:r w:rsidRPr="00FA2F7A">
        <w:rPr>
          <w:sz w:val="22"/>
          <w:lang w:val="pt-PT"/>
        </w:rPr>
        <w:t>Pacientų, kuriems buvo taikomas papildomas foninis gydymas metforminu, pogrupio analizė (FAS, LOCF)</w:t>
      </w:r>
    </w:p>
    <w:p w14:paraId="484C77EC" w14:textId="77777777" w:rsidR="003B31DC" w:rsidRDefault="00913CBE">
      <w:pPr>
        <w:pStyle w:val="Default"/>
        <w:rPr>
          <w:rFonts w:eastAsiaTheme="minorHAnsi"/>
          <w:sz w:val="22"/>
          <w:szCs w:val="22"/>
          <w:lang w:val="lt-LT" w:eastAsia="en-US"/>
        </w:rPr>
      </w:pPr>
      <w:r>
        <w:rPr>
          <w:rFonts w:eastAsiaTheme="minorHAnsi"/>
          <w:sz w:val="14"/>
          <w:szCs w:val="14"/>
          <w:lang w:val="lt-LT" w:eastAsia="en-US"/>
        </w:rPr>
        <w:t xml:space="preserve">b </w:t>
      </w:r>
      <w:r>
        <w:rPr>
          <w:rFonts w:eastAsiaTheme="minorHAnsi"/>
          <w:sz w:val="22"/>
          <w:szCs w:val="22"/>
          <w:lang w:val="lt-LT" w:eastAsia="en-US"/>
        </w:rPr>
        <w:t xml:space="preserve">Pacientų, kuriems buvo taikomas papildomas foninis gydymas </w:t>
      </w:r>
      <w:proofErr w:type="spellStart"/>
      <w:r>
        <w:rPr>
          <w:rFonts w:eastAsiaTheme="minorHAnsi"/>
          <w:sz w:val="22"/>
          <w:szCs w:val="22"/>
          <w:lang w:val="lt-LT" w:eastAsia="en-US"/>
        </w:rPr>
        <w:t>metforminu</w:t>
      </w:r>
      <w:proofErr w:type="spellEnd"/>
      <w:r>
        <w:rPr>
          <w:rFonts w:eastAsiaTheme="minorHAnsi"/>
          <w:sz w:val="22"/>
          <w:szCs w:val="22"/>
          <w:lang w:val="lt-LT" w:eastAsia="en-US"/>
        </w:rPr>
        <w:t>, pogrupio analizė (PPS-</w:t>
      </w:r>
      <w:proofErr w:type="spellStart"/>
      <w:r>
        <w:rPr>
          <w:rFonts w:eastAsiaTheme="minorHAnsi"/>
          <w:i/>
          <w:iCs/>
          <w:sz w:val="22"/>
          <w:szCs w:val="22"/>
          <w:lang w:val="lt-LT" w:eastAsia="en-US"/>
        </w:rPr>
        <w:t>Completers</w:t>
      </w:r>
      <w:proofErr w:type="spellEnd"/>
      <w:r>
        <w:rPr>
          <w:rFonts w:eastAsiaTheme="minorHAnsi"/>
          <w:sz w:val="22"/>
          <w:szCs w:val="22"/>
          <w:lang w:val="lt-LT" w:eastAsia="en-US"/>
        </w:rPr>
        <w:t>, LOCF)</w:t>
      </w:r>
    </w:p>
    <w:p w14:paraId="38A17712"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14"/>
          <w:szCs w:val="14"/>
          <w:lang w:eastAsia="en-US"/>
        </w:rPr>
        <w:t xml:space="preserve">1 </w:t>
      </w:r>
      <w:r>
        <w:rPr>
          <w:rFonts w:eastAsiaTheme="minorHAnsi"/>
          <w:color w:val="000000"/>
          <w:sz w:val="22"/>
          <w:szCs w:val="22"/>
          <w:lang w:eastAsia="en-US"/>
        </w:rPr>
        <w:t>Vidurkis, koreguotas pagal pradinę reikšmę</w:t>
      </w:r>
    </w:p>
    <w:p w14:paraId="2561BB51"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14"/>
          <w:szCs w:val="14"/>
          <w:lang w:eastAsia="en-US"/>
        </w:rPr>
        <w:t xml:space="preserve">2 </w:t>
      </w:r>
      <w:r>
        <w:rPr>
          <w:rFonts w:eastAsiaTheme="minorHAnsi"/>
          <w:color w:val="000000"/>
          <w:sz w:val="22"/>
          <w:szCs w:val="22"/>
          <w:lang w:eastAsia="en-US"/>
        </w:rPr>
        <w:t>Nevertintas statistinis reikšmingumas kaip nuoseklios patvirtinamojo tikrinimo procedūros rezultatas</w:t>
      </w:r>
    </w:p>
    <w:p w14:paraId="315BDABC"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14"/>
          <w:szCs w:val="14"/>
          <w:lang w:eastAsia="en-US"/>
        </w:rPr>
        <w:lastRenderedPageBreak/>
        <w:t xml:space="preserve">3 </w:t>
      </w:r>
      <w:r>
        <w:rPr>
          <w:rFonts w:eastAsiaTheme="minorHAnsi"/>
          <w:color w:val="000000"/>
          <w:sz w:val="22"/>
          <w:szCs w:val="22"/>
          <w:lang w:eastAsia="en-US"/>
        </w:rPr>
        <w:t>19-40 savaitės: koregavimo iki tikslinės dozės gydymo būdas – insulino dozės koregavimas, norint pasiekti iš anksto nustatytus gliukozės koncentracijos tikslinius dydžius (prieš valgį &lt; 100 mg/dl (5,5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/l), po valgio &lt; 140 mg/dl (7,8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/l)</w:t>
      </w:r>
    </w:p>
    <w:p w14:paraId="2BE31CA4"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 p vertė ≤ 0,0005 </w:t>
      </w:r>
    </w:p>
    <w:p w14:paraId="42CE77D9" w14:textId="77777777" w:rsidR="003B31DC" w:rsidRDefault="00913CBE">
      <w:pPr>
        <w:autoSpaceDE w:val="0"/>
        <w:autoSpaceDN w:val="0"/>
        <w:adjustRightInd w:val="0"/>
        <w:rPr>
          <w:rFonts w:ascii="Arial" w:eastAsiaTheme="minorHAnsi" w:hAnsi="Arial" w:cs="Arial"/>
          <w:color w:val="000000"/>
          <w:sz w:val="16"/>
          <w:szCs w:val="16"/>
          <w:lang w:eastAsia="en-US"/>
        </w:rPr>
      </w:pPr>
      <w:r>
        <w:rPr>
          <w:rFonts w:eastAsiaTheme="minorHAnsi"/>
          <w:color w:val="000000"/>
          <w:sz w:val="22"/>
          <w:szCs w:val="22"/>
          <w:lang w:eastAsia="en-US"/>
        </w:rPr>
        <w:t>** p vertė &lt; 0,005</w:t>
      </w:r>
    </w:p>
    <w:p w14:paraId="05D8A97C" w14:textId="77777777" w:rsidR="003B31DC" w:rsidRDefault="003B31DC">
      <w:pPr>
        <w:widowControl w:val="0"/>
        <w:tabs>
          <w:tab w:val="left" w:pos="567"/>
        </w:tabs>
        <w:ind w:left="567" w:hanging="567"/>
        <w:outlineLvl w:val="2"/>
        <w:rPr>
          <w:b/>
          <w:kern w:val="28"/>
          <w:sz w:val="22"/>
          <w:szCs w:val="22"/>
          <w:lang w:eastAsia="en-US"/>
        </w:rPr>
      </w:pPr>
    </w:p>
    <w:p w14:paraId="63EAB1DE" w14:textId="555DBDFF" w:rsidR="003B31DC" w:rsidRPr="004D1E78" w:rsidRDefault="004D1E78">
      <w:pPr>
        <w:autoSpaceDE w:val="0"/>
        <w:autoSpaceDN w:val="0"/>
        <w:adjustRightInd w:val="0"/>
        <w:rPr>
          <w:rFonts w:eastAsiaTheme="minorHAnsi"/>
          <w:i/>
          <w:iCs/>
          <w:color w:val="000000"/>
          <w:sz w:val="22"/>
          <w:szCs w:val="22"/>
          <w:lang w:eastAsia="en-US"/>
        </w:rPr>
      </w:pPr>
      <w:r w:rsidRPr="004D1E78">
        <w:t xml:space="preserve"> </w:t>
      </w:r>
      <w:proofErr w:type="spellStart"/>
      <w:r w:rsidRPr="00FA2F7A">
        <w:rPr>
          <w:i/>
          <w:iCs/>
          <w:sz w:val="22"/>
          <w:szCs w:val="22"/>
        </w:rPr>
        <w:t>Empagliflozinas</w:t>
      </w:r>
      <w:proofErr w:type="spellEnd"/>
      <w:r w:rsidRPr="00FA2F7A">
        <w:rPr>
          <w:i/>
          <w:iCs/>
          <w:sz w:val="22"/>
          <w:szCs w:val="22"/>
        </w:rPr>
        <w:t xml:space="preserve"> kaip papildomas gydymas prie bazinio insulino</w:t>
      </w:r>
    </w:p>
    <w:p w14:paraId="3DB677DA" w14:textId="77777777" w:rsidR="003B31DC" w:rsidRDefault="003B31DC">
      <w:pPr>
        <w:autoSpaceDE w:val="0"/>
        <w:autoSpaceDN w:val="0"/>
        <w:adjustRightInd w:val="0"/>
        <w:rPr>
          <w:rFonts w:eastAsiaTheme="minorHAnsi"/>
          <w:color w:val="000000"/>
          <w:sz w:val="22"/>
          <w:szCs w:val="22"/>
          <w:lang w:eastAsia="en-US"/>
        </w:rPr>
      </w:pPr>
    </w:p>
    <w:p w14:paraId="1C20B6BF" w14:textId="084ECC96"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veiksmingumas ir saugumas tuo atveju, kai juo buvo papildytas gydymas bazinio insulino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deriniu, buvo tiriami 78 savaičių trukmės dvigubai </w:t>
      </w:r>
      <w:r w:rsidR="00A844AA">
        <w:rPr>
          <w:rFonts w:eastAsiaTheme="minorHAnsi"/>
          <w:color w:val="000000"/>
          <w:sz w:val="22"/>
          <w:szCs w:val="22"/>
          <w:lang w:eastAsia="en-US"/>
        </w:rPr>
        <w:t>koduotu</w:t>
      </w:r>
      <w:r>
        <w:rPr>
          <w:rFonts w:eastAsiaTheme="minorHAnsi"/>
          <w:color w:val="000000"/>
          <w:sz w:val="22"/>
          <w:szCs w:val="22"/>
          <w:lang w:eastAsia="en-US"/>
        </w:rPr>
        <w:t>, placebu kontroliuojamo tyrimo metu. Pirmąsias 18 savaičių insulino dozė buvo pastovi, bet pakoreguota taip, kad per kitas 60 savaičių gliukozės kiekis kraujo plazmoje nevalgius būtų &lt; 110 mg/dl.</w:t>
      </w:r>
    </w:p>
    <w:p w14:paraId="2E0F7AFB" w14:textId="520B4E03"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18-tą savaitę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statistiškai reikšminga</w:t>
      </w:r>
      <w:r w:rsidR="00CC1A68">
        <w:rPr>
          <w:rFonts w:eastAsiaTheme="minorHAnsi"/>
          <w:color w:val="000000"/>
          <w:sz w:val="22"/>
          <w:szCs w:val="22"/>
          <w:lang w:eastAsia="en-US"/>
        </w:rPr>
        <w:t>i</w:t>
      </w:r>
      <w:r>
        <w:rPr>
          <w:rFonts w:eastAsiaTheme="minorHAnsi"/>
          <w:color w:val="000000"/>
          <w:sz w:val="22"/>
          <w:szCs w:val="22"/>
          <w:lang w:eastAsia="en-US"/>
        </w:rPr>
        <w:t xml:space="preserve"> sumažino HbA1c kiekį.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palyginti su placebu, gydytų pacientų, kurių pradinis HbA1c kiekis buvo ≥ 7 % ir kurie pasiekė tikslinį &lt; 7 %, HbA1c kiekį, procentas buvo didesnis (8 lentelė).</w:t>
      </w:r>
    </w:p>
    <w:p w14:paraId="22EDAE80" w14:textId="77777777" w:rsidR="003B31DC" w:rsidRDefault="00913CBE">
      <w:pPr>
        <w:autoSpaceDE w:val="0"/>
        <w:autoSpaceDN w:val="0"/>
        <w:adjustRightInd w:val="0"/>
        <w:rPr>
          <w:rFonts w:eastAsiaTheme="minorHAnsi"/>
          <w:color w:val="000000"/>
          <w:sz w:val="22"/>
          <w:szCs w:val="22"/>
          <w:lang w:eastAsia="en-US"/>
        </w:rPr>
      </w:pPr>
      <w:proofErr w:type="spellStart"/>
      <w:r>
        <w:rPr>
          <w:sz w:val="22"/>
          <w:szCs w:val="22"/>
        </w:rPr>
        <w:t>Empagliflozino</w:t>
      </w:r>
      <w:proofErr w:type="spellEnd"/>
      <w:r>
        <w:rPr>
          <w:sz w:val="22"/>
          <w:szCs w:val="22"/>
        </w:rPr>
        <w:t xml:space="preserve"> sukeliamas HbA1c kiekio ir insulino poreikio sumažėjimas išliko ir 78-tą savaitę. Be to, </w:t>
      </w:r>
      <w:proofErr w:type="spellStart"/>
      <w:r>
        <w:rPr>
          <w:sz w:val="22"/>
          <w:szCs w:val="22"/>
        </w:rPr>
        <w:t>empagliflozino</w:t>
      </w:r>
      <w:proofErr w:type="spellEnd"/>
      <w:r>
        <w:rPr>
          <w:sz w:val="22"/>
          <w:szCs w:val="22"/>
        </w:rPr>
        <w:t xml:space="preserve"> vartojimas lėmė gliukozės kiekio kraujo serume nevalgius, kūno svorio ir kraujospūdžio sumažėjimą.</w:t>
      </w:r>
    </w:p>
    <w:p w14:paraId="134C2AA3" w14:textId="77777777" w:rsidR="003B31DC" w:rsidRDefault="003B31DC">
      <w:pPr>
        <w:widowControl w:val="0"/>
        <w:tabs>
          <w:tab w:val="left" w:pos="567"/>
        </w:tabs>
        <w:ind w:left="567" w:hanging="567"/>
        <w:outlineLvl w:val="2"/>
        <w:rPr>
          <w:b/>
          <w:kern w:val="28"/>
          <w:sz w:val="22"/>
          <w:szCs w:val="22"/>
          <w:lang w:eastAsia="en-US"/>
        </w:rPr>
      </w:pPr>
    </w:p>
    <w:p w14:paraId="6C0C634A" w14:textId="073BE819" w:rsidR="003B31DC" w:rsidRPr="00A06467" w:rsidRDefault="00913CBE">
      <w:pPr>
        <w:ind w:left="1118" w:right="11" w:hanging="1133"/>
        <w:rPr>
          <w:sz w:val="22"/>
          <w:szCs w:val="22"/>
          <w:lang w:eastAsia="sl-SI"/>
        </w:rPr>
      </w:pPr>
      <w:r w:rsidRPr="00A02B90">
        <w:rPr>
          <w:sz w:val="22"/>
          <w:szCs w:val="22"/>
          <w:lang w:eastAsia="sl-SI"/>
        </w:rPr>
        <w:t>8 len</w:t>
      </w:r>
      <w:r>
        <w:rPr>
          <w:sz w:val="22"/>
          <w:szCs w:val="22"/>
          <w:lang w:eastAsia="sl-SI"/>
        </w:rPr>
        <w:t>telė</w:t>
      </w:r>
      <w:r w:rsidRPr="00A02B90">
        <w:rPr>
          <w:sz w:val="22"/>
          <w:szCs w:val="22"/>
          <w:lang w:eastAsia="sl-SI"/>
        </w:rPr>
        <w:t>:</w:t>
      </w:r>
      <w:r w:rsidRPr="00A02B90">
        <w:rPr>
          <w:sz w:val="22"/>
          <w:szCs w:val="22"/>
          <w:lang w:eastAsia="sl-SI"/>
        </w:rPr>
        <w:tab/>
      </w:r>
      <w:r w:rsidR="00A06467" w:rsidRPr="00FA2F7A">
        <w:rPr>
          <w:sz w:val="22"/>
          <w:szCs w:val="22"/>
        </w:rPr>
        <w:t xml:space="preserve">10 mg ir 25 mg </w:t>
      </w:r>
      <w:proofErr w:type="spellStart"/>
      <w:r w:rsidR="00A06467" w:rsidRPr="00FA2F7A">
        <w:rPr>
          <w:sz w:val="22"/>
          <w:szCs w:val="22"/>
        </w:rPr>
        <w:t>empagliflozino</w:t>
      </w:r>
      <w:proofErr w:type="spellEnd"/>
      <w:r w:rsidR="00A06467" w:rsidRPr="00FA2F7A">
        <w:rPr>
          <w:sz w:val="22"/>
          <w:szCs w:val="22"/>
        </w:rPr>
        <w:t xml:space="preserve">, vartojamo kartu su </w:t>
      </w:r>
      <w:proofErr w:type="spellStart"/>
      <w:r w:rsidR="00A06467" w:rsidRPr="00FA2F7A">
        <w:rPr>
          <w:sz w:val="22"/>
          <w:szCs w:val="22"/>
        </w:rPr>
        <w:t>metforminu</w:t>
      </w:r>
      <w:proofErr w:type="spellEnd"/>
      <w:r w:rsidR="00A06467" w:rsidRPr="00FA2F7A">
        <w:rPr>
          <w:sz w:val="22"/>
          <w:szCs w:val="22"/>
        </w:rPr>
        <w:t>, efektyvumo rezultatų 18-ąją ir 78-ąją savaitę (pridėjus prie bazinio insulino) apibendrinimas</w:t>
      </w: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2"/>
        <w:gridCol w:w="1276"/>
        <w:gridCol w:w="2409"/>
        <w:gridCol w:w="2409"/>
      </w:tblGrid>
      <w:tr w:rsidR="003B31DC" w14:paraId="4C660686" w14:textId="77777777">
        <w:trPr>
          <w:trHeight w:val="506"/>
        </w:trPr>
        <w:tc>
          <w:tcPr>
            <w:tcW w:w="2942" w:type="dxa"/>
          </w:tcPr>
          <w:p w14:paraId="3249F0F0" w14:textId="77777777" w:rsidR="003B31DC" w:rsidRPr="00A02B90" w:rsidRDefault="003B31DC">
            <w:pPr>
              <w:tabs>
                <w:tab w:val="left" w:pos="9071"/>
              </w:tabs>
              <w:jc w:val="center"/>
              <w:rPr>
                <w:rFonts w:eastAsia="Calibri"/>
                <w:lang w:val="lt-LT" w:eastAsia="en-US"/>
              </w:rPr>
            </w:pPr>
          </w:p>
        </w:tc>
        <w:tc>
          <w:tcPr>
            <w:tcW w:w="1276" w:type="dxa"/>
          </w:tcPr>
          <w:p w14:paraId="59AD061F" w14:textId="77777777" w:rsidR="003B31DC" w:rsidRDefault="00913CBE">
            <w:pPr>
              <w:tabs>
                <w:tab w:val="left" w:pos="9071"/>
              </w:tabs>
              <w:jc w:val="center"/>
              <w:rPr>
                <w:rFonts w:eastAsia="Calibri"/>
                <w:b/>
                <w:lang w:val="en-GB" w:eastAsia="en-US"/>
              </w:rPr>
            </w:pPr>
            <w:proofErr w:type="spellStart"/>
            <w:r>
              <w:rPr>
                <w:rFonts w:eastAsia="Calibri"/>
                <w:b/>
                <w:spacing w:val="-2"/>
                <w:lang w:val="en-GB" w:eastAsia="en-US"/>
              </w:rPr>
              <w:t>Placebas</w:t>
            </w:r>
            <w:proofErr w:type="spellEnd"/>
          </w:p>
        </w:tc>
        <w:tc>
          <w:tcPr>
            <w:tcW w:w="2409" w:type="dxa"/>
          </w:tcPr>
          <w:p w14:paraId="5DD0B26B" w14:textId="77777777" w:rsidR="003B31DC" w:rsidRDefault="00913CBE">
            <w:pPr>
              <w:tabs>
                <w:tab w:val="left" w:pos="9071"/>
              </w:tabs>
              <w:ind w:right="359" w:hanging="375"/>
              <w:jc w:val="right"/>
              <w:rPr>
                <w:rFonts w:eastAsia="Calibri"/>
                <w:b/>
                <w:lang w:val="en-GB" w:eastAsia="en-US"/>
              </w:rPr>
            </w:pPr>
            <w:proofErr w:type="spellStart"/>
            <w:r>
              <w:rPr>
                <w:rFonts w:eastAsia="Calibri"/>
                <w:b/>
                <w:spacing w:val="-2"/>
                <w:lang w:val="en-GB" w:eastAsia="en-US"/>
              </w:rPr>
              <w:t>Empagliflozinas</w:t>
            </w:r>
            <w:proofErr w:type="spellEnd"/>
            <w:r>
              <w:rPr>
                <w:rFonts w:eastAsia="Calibri"/>
                <w:b/>
                <w:spacing w:val="-2"/>
                <w:lang w:val="en-GB" w:eastAsia="en-US"/>
              </w:rPr>
              <w:t xml:space="preserve"> </w:t>
            </w:r>
            <w:r>
              <w:rPr>
                <w:rFonts w:eastAsia="Calibri"/>
                <w:b/>
                <w:lang w:val="en-GB" w:eastAsia="en-US"/>
              </w:rPr>
              <w:t>10 mg</w:t>
            </w:r>
          </w:p>
        </w:tc>
        <w:tc>
          <w:tcPr>
            <w:tcW w:w="2409" w:type="dxa"/>
          </w:tcPr>
          <w:p w14:paraId="2A59A6F0" w14:textId="77777777" w:rsidR="003B31DC" w:rsidRDefault="00913CBE">
            <w:pPr>
              <w:tabs>
                <w:tab w:val="left" w:pos="9071"/>
              </w:tabs>
              <w:ind w:right="359" w:hanging="375"/>
              <w:jc w:val="right"/>
              <w:rPr>
                <w:rFonts w:eastAsia="Calibri"/>
                <w:b/>
                <w:lang w:val="en-GB" w:eastAsia="en-US"/>
              </w:rPr>
            </w:pPr>
            <w:proofErr w:type="spellStart"/>
            <w:r>
              <w:rPr>
                <w:rFonts w:eastAsia="Calibri"/>
                <w:b/>
                <w:spacing w:val="-2"/>
                <w:lang w:val="en-GB" w:eastAsia="en-US"/>
              </w:rPr>
              <w:t>Empagliflozinas</w:t>
            </w:r>
            <w:proofErr w:type="spellEnd"/>
            <w:r>
              <w:rPr>
                <w:rFonts w:eastAsia="Calibri"/>
                <w:b/>
                <w:spacing w:val="-2"/>
                <w:lang w:val="en-GB" w:eastAsia="en-US"/>
              </w:rPr>
              <w:t xml:space="preserve"> </w:t>
            </w:r>
            <w:r>
              <w:rPr>
                <w:rFonts w:eastAsia="Calibri"/>
                <w:b/>
                <w:lang w:val="en-GB" w:eastAsia="en-US"/>
              </w:rPr>
              <w:t>25 mg</w:t>
            </w:r>
          </w:p>
        </w:tc>
      </w:tr>
      <w:tr w:rsidR="003B31DC" w14:paraId="7B8B9830" w14:textId="77777777">
        <w:trPr>
          <w:trHeight w:val="251"/>
        </w:trPr>
        <w:tc>
          <w:tcPr>
            <w:tcW w:w="2942" w:type="dxa"/>
          </w:tcPr>
          <w:p w14:paraId="01152B82"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1276" w:type="dxa"/>
          </w:tcPr>
          <w:p w14:paraId="2432D220" w14:textId="77777777" w:rsidR="003B31DC" w:rsidRDefault="00913CBE">
            <w:pPr>
              <w:tabs>
                <w:tab w:val="left" w:pos="9071"/>
              </w:tabs>
              <w:ind w:right="2"/>
              <w:jc w:val="center"/>
              <w:rPr>
                <w:rFonts w:eastAsia="Calibri"/>
                <w:lang w:val="en-GB" w:eastAsia="en-US"/>
              </w:rPr>
            </w:pPr>
            <w:r>
              <w:rPr>
                <w:rFonts w:eastAsia="Calibri"/>
                <w:spacing w:val="-5"/>
                <w:lang w:val="en-GB" w:eastAsia="en-US"/>
              </w:rPr>
              <w:t>96</w:t>
            </w:r>
          </w:p>
        </w:tc>
        <w:tc>
          <w:tcPr>
            <w:tcW w:w="2409" w:type="dxa"/>
          </w:tcPr>
          <w:p w14:paraId="4CB3DC6F" w14:textId="77777777" w:rsidR="003B31DC" w:rsidRDefault="00913CBE">
            <w:pPr>
              <w:tabs>
                <w:tab w:val="left" w:pos="9071"/>
              </w:tabs>
              <w:ind w:right="4"/>
              <w:jc w:val="center"/>
              <w:rPr>
                <w:rFonts w:eastAsia="Calibri"/>
                <w:lang w:val="en-GB" w:eastAsia="en-US"/>
              </w:rPr>
            </w:pPr>
            <w:r>
              <w:rPr>
                <w:rFonts w:eastAsia="Calibri"/>
                <w:spacing w:val="-5"/>
                <w:lang w:val="en-GB" w:eastAsia="en-US"/>
              </w:rPr>
              <w:t>107</w:t>
            </w:r>
          </w:p>
        </w:tc>
        <w:tc>
          <w:tcPr>
            <w:tcW w:w="2409" w:type="dxa"/>
          </w:tcPr>
          <w:p w14:paraId="2B1C6641" w14:textId="77777777" w:rsidR="003B31DC" w:rsidRDefault="00913CBE">
            <w:pPr>
              <w:tabs>
                <w:tab w:val="left" w:pos="9071"/>
              </w:tabs>
              <w:ind w:right="3"/>
              <w:jc w:val="center"/>
              <w:rPr>
                <w:rFonts w:eastAsia="Calibri"/>
                <w:lang w:val="en-GB" w:eastAsia="en-US"/>
              </w:rPr>
            </w:pPr>
            <w:r>
              <w:rPr>
                <w:rFonts w:eastAsia="Calibri"/>
                <w:spacing w:val="-5"/>
                <w:lang w:val="en-GB" w:eastAsia="en-US"/>
              </w:rPr>
              <w:t>99</w:t>
            </w:r>
          </w:p>
        </w:tc>
      </w:tr>
      <w:tr w:rsidR="003B31DC" w14:paraId="28955F29" w14:textId="77777777">
        <w:trPr>
          <w:trHeight w:val="251"/>
        </w:trPr>
        <w:tc>
          <w:tcPr>
            <w:tcW w:w="2942" w:type="dxa"/>
          </w:tcPr>
          <w:p w14:paraId="355A5BB4" w14:textId="77777777" w:rsidR="003B31DC" w:rsidRDefault="00913CBE">
            <w:pPr>
              <w:tabs>
                <w:tab w:val="left" w:pos="9071"/>
              </w:tabs>
              <w:rPr>
                <w:rFonts w:eastAsia="Calibri"/>
                <w:b/>
                <w:lang w:val="en-GB" w:eastAsia="en-US"/>
              </w:rPr>
            </w:pPr>
            <w:r>
              <w:rPr>
                <w:rFonts w:eastAsia="Calibri"/>
                <w:b/>
                <w:lang w:val="en-GB" w:eastAsia="en-US"/>
              </w:rPr>
              <w:t>HbA1c</w:t>
            </w:r>
            <w:r>
              <w:rPr>
                <w:rFonts w:eastAsia="Calibri"/>
                <w:b/>
                <w:spacing w:val="-4"/>
                <w:lang w:val="en-GB" w:eastAsia="en-US"/>
              </w:rPr>
              <w:t xml:space="preserve"> </w:t>
            </w:r>
            <w:proofErr w:type="spellStart"/>
            <w:r>
              <w:rPr>
                <w:rFonts w:eastAsia="Calibri"/>
                <w:b/>
                <w:spacing w:val="-4"/>
                <w:lang w:val="en-GB" w:eastAsia="en-US"/>
              </w:rPr>
              <w:t>kiekis</w:t>
            </w:r>
            <w:proofErr w:type="spellEnd"/>
            <w:r>
              <w:rPr>
                <w:rFonts w:eastAsia="Calibri"/>
                <w:b/>
                <w:spacing w:val="-4"/>
                <w:lang w:val="en-GB" w:eastAsia="en-US"/>
              </w:rPr>
              <w:t xml:space="preserve"> </w:t>
            </w:r>
            <w:r>
              <w:rPr>
                <w:rFonts w:eastAsia="Calibri"/>
                <w:b/>
                <w:lang w:val="en-GB" w:eastAsia="en-US"/>
              </w:rPr>
              <w:t>(%)</w:t>
            </w:r>
            <w:r>
              <w:rPr>
                <w:rFonts w:eastAsia="Calibri"/>
                <w:b/>
                <w:spacing w:val="-3"/>
                <w:lang w:val="en-GB" w:eastAsia="en-US"/>
              </w:rPr>
              <w:t xml:space="preserve"> </w:t>
            </w:r>
            <w:r>
              <w:rPr>
                <w:rFonts w:eastAsia="Calibri"/>
                <w:b/>
                <w:spacing w:val="-5"/>
                <w:lang w:val="en-GB" w:eastAsia="en-US"/>
              </w:rPr>
              <w:t xml:space="preserve">18-tą </w:t>
            </w:r>
            <w:proofErr w:type="spellStart"/>
            <w:r>
              <w:rPr>
                <w:rFonts w:eastAsia="Calibri"/>
                <w:b/>
                <w:spacing w:val="-5"/>
                <w:lang w:val="en-GB" w:eastAsia="en-US"/>
              </w:rPr>
              <w:t>savaitę</w:t>
            </w:r>
            <w:proofErr w:type="spellEnd"/>
          </w:p>
        </w:tc>
        <w:tc>
          <w:tcPr>
            <w:tcW w:w="1276" w:type="dxa"/>
          </w:tcPr>
          <w:p w14:paraId="667CE261" w14:textId="77777777" w:rsidR="003B31DC" w:rsidRDefault="003B31DC">
            <w:pPr>
              <w:tabs>
                <w:tab w:val="left" w:pos="9071"/>
              </w:tabs>
              <w:rPr>
                <w:rFonts w:eastAsia="Calibri"/>
                <w:lang w:val="en-GB" w:eastAsia="en-US"/>
              </w:rPr>
            </w:pPr>
          </w:p>
        </w:tc>
        <w:tc>
          <w:tcPr>
            <w:tcW w:w="2409" w:type="dxa"/>
          </w:tcPr>
          <w:p w14:paraId="600582D8" w14:textId="77777777" w:rsidR="003B31DC" w:rsidRDefault="003B31DC">
            <w:pPr>
              <w:tabs>
                <w:tab w:val="left" w:pos="9071"/>
              </w:tabs>
              <w:rPr>
                <w:rFonts w:eastAsia="Calibri"/>
                <w:lang w:val="en-GB" w:eastAsia="en-US"/>
              </w:rPr>
            </w:pPr>
          </w:p>
        </w:tc>
        <w:tc>
          <w:tcPr>
            <w:tcW w:w="2409" w:type="dxa"/>
          </w:tcPr>
          <w:p w14:paraId="4E798FFB" w14:textId="77777777" w:rsidR="003B31DC" w:rsidRDefault="003B31DC">
            <w:pPr>
              <w:tabs>
                <w:tab w:val="left" w:pos="9071"/>
              </w:tabs>
              <w:rPr>
                <w:rFonts w:eastAsia="Calibri"/>
                <w:lang w:val="en-GB" w:eastAsia="en-US"/>
              </w:rPr>
            </w:pPr>
          </w:p>
        </w:tc>
      </w:tr>
      <w:tr w:rsidR="003B31DC" w14:paraId="2EEC6C83" w14:textId="77777777">
        <w:trPr>
          <w:trHeight w:val="254"/>
        </w:trPr>
        <w:tc>
          <w:tcPr>
            <w:tcW w:w="2942" w:type="dxa"/>
          </w:tcPr>
          <w:p w14:paraId="05706C9C" w14:textId="77777777" w:rsidR="003B31DC" w:rsidRDefault="00913CBE">
            <w:pPr>
              <w:tabs>
                <w:tab w:val="left" w:pos="9071"/>
              </w:tabs>
              <w:rPr>
                <w:lang w:val="en-GB" w:eastAsia="en-US"/>
              </w:rPr>
            </w:pPr>
            <w:proofErr w:type="spellStart"/>
            <w:r>
              <w:rPr>
                <w:spacing w:val="-2"/>
                <w:lang w:val="en-GB" w:eastAsia="en-US"/>
              </w:rPr>
              <w:t>Pradinis</w:t>
            </w:r>
            <w:proofErr w:type="spellEnd"/>
          </w:p>
          <w:p w14:paraId="45033F70"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276" w:type="dxa"/>
          </w:tcPr>
          <w:p w14:paraId="28A59051" w14:textId="77777777" w:rsidR="003B31DC" w:rsidRDefault="00913CBE">
            <w:pPr>
              <w:tabs>
                <w:tab w:val="left" w:pos="9071"/>
              </w:tabs>
              <w:jc w:val="center"/>
              <w:rPr>
                <w:rFonts w:eastAsia="Calibri"/>
                <w:lang w:val="en-GB" w:eastAsia="en-US"/>
              </w:rPr>
            </w:pPr>
            <w:r>
              <w:rPr>
                <w:rFonts w:eastAsia="Calibri"/>
                <w:spacing w:val="-4"/>
                <w:lang w:val="en-GB" w:eastAsia="en-US"/>
              </w:rPr>
              <w:t>8,02</w:t>
            </w:r>
          </w:p>
        </w:tc>
        <w:tc>
          <w:tcPr>
            <w:tcW w:w="2409" w:type="dxa"/>
          </w:tcPr>
          <w:p w14:paraId="729E4B17" w14:textId="77777777" w:rsidR="003B31DC" w:rsidRDefault="00913CBE">
            <w:pPr>
              <w:tabs>
                <w:tab w:val="left" w:pos="9071"/>
              </w:tabs>
              <w:ind w:right="1"/>
              <w:jc w:val="center"/>
              <w:rPr>
                <w:rFonts w:eastAsia="Calibri"/>
                <w:lang w:val="en-GB" w:eastAsia="en-US"/>
              </w:rPr>
            </w:pPr>
            <w:r>
              <w:rPr>
                <w:rFonts w:eastAsia="Calibri"/>
                <w:spacing w:val="-4"/>
                <w:lang w:val="en-GB" w:eastAsia="en-US"/>
              </w:rPr>
              <w:t>8,21</w:t>
            </w:r>
          </w:p>
        </w:tc>
        <w:tc>
          <w:tcPr>
            <w:tcW w:w="2409" w:type="dxa"/>
          </w:tcPr>
          <w:p w14:paraId="3DB39F20" w14:textId="77777777" w:rsidR="003B31DC" w:rsidRDefault="00913CBE">
            <w:pPr>
              <w:tabs>
                <w:tab w:val="left" w:pos="9071"/>
              </w:tabs>
              <w:jc w:val="center"/>
              <w:rPr>
                <w:rFonts w:eastAsia="Calibri"/>
                <w:lang w:val="en-GB" w:eastAsia="en-US"/>
              </w:rPr>
            </w:pPr>
            <w:r>
              <w:rPr>
                <w:rFonts w:eastAsia="Calibri"/>
                <w:spacing w:val="-4"/>
                <w:lang w:val="en-GB" w:eastAsia="en-US"/>
              </w:rPr>
              <w:t>8,35</w:t>
            </w:r>
          </w:p>
        </w:tc>
      </w:tr>
      <w:tr w:rsidR="003B31DC" w14:paraId="65FD7435" w14:textId="77777777">
        <w:trPr>
          <w:trHeight w:val="253"/>
        </w:trPr>
        <w:tc>
          <w:tcPr>
            <w:tcW w:w="2942" w:type="dxa"/>
          </w:tcPr>
          <w:p w14:paraId="3F0BA7EB"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3D35C367" w14:textId="77777777" w:rsidR="003B31DC" w:rsidRDefault="00913CBE">
            <w:pPr>
              <w:tabs>
                <w:tab w:val="left" w:pos="9071"/>
              </w:tabs>
              <w:ind w:right="680"/>
              <w:rPr>
                <w:rFonts w:eastAsia="Calibri"/>
                <w:lang w:val="en-GB" w:eastAsia="en-US"/>
              </w:rPr>
            </w:pPr>
            <w:r>
              <w:rPr>
                <w:spacing w:val="-2"/>
                <w:lang w:val="en-GB" w:eastAsia="en-US"/>
              </w:rPr>
              <w:t>pradinio</w:t>
            </w:r>
            <w:r>
              <w:rPr>
                <w:spacing w:val="-2"/>
                <w:vertAlign w:val="superscript"/>
                <w:lang w:val="en-GB" w:eastAsia="en-US"/>
              </w:rPr>
              <w:t>1</w:t>
            </w:r>
          </w:p>
        </w:tc>
        <w:tc>
          <w:tcPr>
            <w:tcW w:w="1276" w:type="dxa"/>
          </w:tcPr>
          <w:p w14:paraId="529628DF" w14:textId="77777777" w:rsidR="003B31DC" w:rsidRDefault="00913CBE">
            <w:pPr>
              <w:tabs>
                <w:tab w:val="left" w:pos="9071"/>
              </w:tabs>
              <w:ind w:right="7"/>
              <w:jc w:val="center"/>
              <w:rPr>
                <w:rFonts w:eastAsia="Calibri"/>
                <w:lang w:val="en-GB" w:eastAsia="en-US"/>
              </w:rPr>
            </w:pPr>
            <w:r>
              <w:rPr>
                <w:rFonts w:eastAsia="Calibri"/>
                <w:spacing w:val="-4"/>
                <w:lang w:val="en-GB" w:eastAsia="en-US"/>
              </w:rPr>
              <w:t>-0,09</w:t>
            </w:r>
          </w:p>
        </w:tc>
        <w:tc>
          <w:tcPr>
            <w:tcW w:w="2409" w:type="dxa"/>
          </w:tcPr>
          <w:p w14:paraId="65AAE6C6" w14:textId="77777777" w:rsidR="003B31DC" w:rsidRDefault="00913CBE">
            <w:pPr>
              <w:tabs>
                <w:tab w:val="left" w:pos="9071"/>
              </w:tabs>
              <w:ind w:right="9"/>
              <w:jc w:val="center"/>
              <w:rPr>
                <w:rFonts w:eastAsia="Calibri"/>
                <w:lang w:val="en-GB" w:eastAsia="en-US"/>
              </w:rPr>
            </w:pPr>
            <w:r>
              <w:rPr>
                <w:rFonts w:eastAsia="Calibri"/>
                <w:spacing w:val="-4"/>
                <w:lang w:val="en-GB" w:eastAsia="en-US"/>
              </w:rPr>
              <w:t>-0,62</w:t>
            </w:r>
          </w:p>
        </w:tc>
        <w:tc>
          <w:tcPr>
            <w:tcW w:w="2409" w:type="dxa"/>
          </w:tcPr>
          <w:p w14:paraId="68642C1E" w14:textId="77777777" w:rsidR="003B31DC" w:rsidRDefault="00913CBE">
            <w:pPr>
              <w:tabs>
                <w:tab w:val="left" w:pos="9071"/>
              </w:tabs>
              <w:ind w:right="7"/>
              <w:jc w:val="center"/>
              <w:rPr>
                <w:rFonts w:eastAsia="Calibri"/>
                <w:lang w:val="en-GB" w:eastAsia="en-US"/>
              </w:rPr>
            </w:pPr>
            <w:r>
              <w:rPr>
                <w:rFonts w:eastAsia="Calibri"/>
                <w:spacing w:val="-4"/>
                <w:lang w:val="en-GB" w:eastAsia="en-US"/>
              </w:rPr>
              <w:t>-0,72</w:t>
            </w:r>
          </w:p>
        </w:tc>
      </w:tr>
      <w:tr w:rsidR="003B31DC" w14:paraId="3059F8AF" w14:textId="77777777">
        <w:trPr>
          <w:trHeight w:val="506"/>
        </w:trPr>
        <w:tc>
          <w:tcPr>
            <w:tcW w:w="2942" w:type="dxa"/>
          </w:tcPr>
          <w:p w14:paraId="475FF204"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276" w:type="dxa"/>
          </w:tcPr>
          <w:p w14:paraId="46D45859" w14:textId="77777777" w:rsidR="003B31DC" w:rsidRDefault="003B31DC">
            <w:pPr>
              <w:tabs>
                <w:tab w:val="left" w:pos="9071"/>
              </w:tabs>
              <w:rPr>
                <w:rFonts w:eastAsia="Calibri"/>
                <w:lang w:val="en-GB" w:eastAsia="en-US"/>
              </w:rPr>
            </w:pPr>
          </w:p>
        </w:tc>
        <w:tc>
          <w:tcPr>
            <w:tcW w:w="2409" w:type="dxa"/>
          </w:tcPr>
          <w:p w14:paraId="5B4E2074" w14:textId="77777777" w:rsidR="003B31DC" w:rsidRDefault="00913CBE">
            <w:pPr>
              <w:tabs>
                <w:tab w:val="left" w:pos="9071"/>
              </w:tabs>
              <w:ind w:right="7"/>
              <w:jc w:val="center"/>
              <w:rPr>
                <w:rFonts w:eastAsia="Calibri"/>
                <w:lang w:val="en-GB" w:eastAsia="en-US"/>
              </w:rPr>
            </w:pPr>
            <w:r>
              <w:rPr>
                <w:rFonts w:eastAsia="Calibri"/>
                <w:lang w:val="en-GB" w:eastAsia="en-US"/>
              </w:rPr>
              <w:t>-0,54*</w:t>
            </w:r>
            <w:r>
              <w:rPr>
                <w:rFonts w:eastAsia="Calibri"/>
                <w:spacing w:val="-5"/>
                <w:lang w:val="en-GB" w:eastAsia="en-US"/>
              </w:rPr>
              <w:t xml:space="preserve"> </w:t>
            </w:r>
            <w:r>
              <w:rPr>
                <w:rFonts w:eastAsia="Calibri"/>
                <w:lang w:val="en-GB" w:eastAsia="en-US"/>
              </w:rPr>
              <w:t>(-0,77,</w:t>
            </w:r>
            <w:r>
              <w:rPr>
                <w:rFonts w:eastAsia="Calibri"/>
                <w:spacing w:val="-2"/>
                <w:lang w:val="en-GB" w:eastAsia="en-US"/>
              </w:rPr>
              <w:t xml:space="preserve"> </w:t>
            </w:r>
            <w:r>
              <w:rPr>
                <w:rFonts w:eastAsia="Calibri"/>
                <w:lang w:val="en-GB" w:eastAsia="en-US"/>
              </w:rPr>
              <w:t>-</w:t>
            </w:r>
            <w:r>
              <w:rPr>
                <w:rFonts w:eastAsia="Calibri"/>
                <w:spacing w:val="-2"/>
                <w:lang w:val="en-GB" w:eastAsia="en-US"/>
              </w:rPr>
              <w:t>0,30)</w:t>
            </w:r>
          </w:p>
        </w:tc>
        <w:tc>
          <w:tcPr>
            <w:tcW w:w="2409" w:type="dxa"/>
          </w:tcPr>
          <w:p w14:paraId="5F3FDEFA" w14:textId="77777777" w:rsidR="003B31DC" w:rsidRDefault="00913CBE">
            <w:pPr>
              <w:tabs>
                <w:tab w:val="left" w:pos="9071"/>
              </w:tabs>
              <w:ind w:right="6"/>
              <w:jc w:val="center"/>
              <w:rPr>
                <w:rFonts w:eastAsia="Calibri"/>
                <w:lang w:val="en-GB" w:eastAsia="en-US"/>
              </w:rPr>
            </w:pPr>
            <w:r>
              <w:rPr>
                <w:rFonts w:eastAsia="Calibri"/>
                <w:lang w:val="en-GB" w:eastAsia="en-US"/>
              </w:rPr>
              <w:t>-0,63*</w:t>
            </w:r>
            <w:r>
              <w:rPr>
                <w:rFonts w:eastAsia="Calibri"/>
                <w:spacing w:val="-5"/>
                <w:lang w:val="en-GB" w:eastAsia="en-US"/>
              </w:rPr>
              <w:t xml:space="preserve"> </w:t>
            </w:r>
            <w:r>
              <w:rPr>
                <w:rFonts w:eastAsia="Calibri"/>
                <w:lang w:val="en-GB" w:eastAsia="en-US"/>
              </w:rPr>
              <w:t>(-0,88,</w:t>
            </w:r>
            <w:r>
              <w:rPr>
                <w:rFonts w:eastAsia="Calibri"/>
                <w:spacing w:val="-2"/>
                <w:lang w:val="en-GB" w:eastAsia="en-US"/>
              </w:rPr>
              <w:t xml:space="preserve"> </w:t>
            </w:r>
            <w:r>
              <w:rPr>
                <w:rFonts w:eastAsia="Calibri"/>
                <w:lang w:val="en-GB" w:eastAsia="en-US"/>
              </w:rPr>
              <w:t>-</w:t>
            </w:r>
            <w:r>
              <w:rPr>
                <w:rFonts w:eastAsia="Calibri"/>
                <w:spacing w:val="-2"/>
                <w:lang w:val="en-GB" w:eastAsia="en-US"/>
              </w:rPr>
              <w:t>0,39)</w:t>
            </w:r>
          </w:p>
        </w:tc>
      </w:tr>
      <w:tr w:rsidR="003B31DC" w14:paraId="647079EF" w14:textId="77777777">
        <w:trPr>
          <w:trHeight w:val="251"/>
        </w:trPr>
        <w:tc>
          <w:tcPr>
            <w:tcW w:w="2942" w:type="dxa"/>
          </w:tcPr>
          <w:p w14:paraId="06A61F94"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1276" w:type="dxa"/>
          </w:tcPr>
          <w:p w14:paraId="2E16279D" w14:textId="77777777" w:rsidR="003B31DC" w:rsidRDefault="00913CBE">
            <w:pPr>
              <w:tabs>
                <w:tab w:val="left" w:pos="9071"/>
              </w:tabs>
              <w:ind w:right="2"/>
              <w:jc w:val="center"/>
              <w:rPr>
                <w:rFonts w:eastAsia="Calibri"/>
                <w:lang w:val="en-GB" w:eastAsia="en-US"/>
              </w:rPr>
            </w:pPr>
            <w:r>
              <w:rPr>
                <w:rFonts w:eastAsia="Calibri"/>
                <w:spacing w:val="-5"/>
                <w:lang w:val="en-GB" w:eastAsia="en-US"/>
              </w:rPr>
              <w:t>89</w:t>
            </w:r>
          </w:p>
        </w:tc>
        <w:tc>
          <w:tcPr>
            <w:tcW w:w="2409" w:type="dxa"/>
          </w:tcPr>
          <w:p w14:paraId="22FA8A61" w14:textId="77777777" w:rsidR="003B31DC" w:rsidRDefault="00913CBE">
            <w:pPr>
              <w:tabs>
                <w:tab w:val="left" w:pos="9071"/>
              </w:tabs>
              <w:ind w:right="4"/>
              <w:jc w:val="center"/>
              <w:rPr>
                <w:rFonts w:eastAsia="Calibri"/>
                <w:lang w:val="en-GB" w:eastAsia="en-US"/>
              </w:rPr>
            </w:pPr>
            <w:r>
              <w:rPr>
                <w:rFonts w:eastAsia="Calibri"/>
                <w:spacing w:val="-5"/>
                <w:lang w:val="en-GB" w:eastAsia="en-US"/>
              </w:rPr>
              <w:t>105</w:t>
            </w:r>
          </w:p>
        </w:tc>
        <w:tc>
          <w:tcPr>
            <w:tcW w:w="2409" w:type="dxa"/>
          </w:tcPr>
          <w:p w14:paraId="009B64A3" w14:textId="77777777" w:rsidR="003B31DC" w:rsidRDefault="00913CBE">
            <w:pPr>
              <w:tabs>
                <w:tab w:val="left" w:pos="9071"/>
              </w:tabs>
              <w:ind w:right="3"/>
              <w:jc w:val="center"/>
              <w:rPr>
                <w:rFonts w:eastAsia="Calibri"/>
                <w:lang w:val="en-GB" w:eastAsia="en-US"/>
              </w:rPr>
            </w:pPr>
            <w:r>
              <w:rPr>
                <w:rFonts w:eastAsia="Calibri"/>
                <w:spacing w:val="-5"/>
                <w:lang w:val="en-GB" w:eastAsia="en-US"/>
              </w:rPr>
              <w:t>94</w:t>
            </w:r>
          </w:p>
        </w:tc>
      </w:tr>
      <w:tr w:rsidR="003B31DC" w14:paraId="750A3357" w14:textId="77777777">
        <w:trPr>
          <w:trHeight w:val="254"/>
        </w:trPr>
        <w:tc>
          <w:tcPr>
            <w:tcW w:w="2942" w:type="dxa"/>
          </w:tcPr>
          <w:p w14:paraId="4A02B2EC" w14:textId="77777777" w:rsidR="003B31DC" w:rsidRDefault="00913CBE">
            <w:pPr>
              <w:tabs>
                <w:tab w:val="left" w:pos="9071"/>
              </w:tabs>
              <w:rPr>
                <w:rFonts w:eastAsia="Calibri"/>
                <w:b/>
                <w:lang w:val="en-GB" w:eastAsia="en-US"/>
              </w:rPr>
            </w:pPr>
            <w:r>
              <w:rPr>
                <w:rFonts w:eastAsia="Calibri"/>
                <w:b/>
                <w:lang w:val="en-GB" w:eastAsia="en-US"/>
              </w:rPr>
              <w:t>HbA1c</w:t>
            </w:r>
            <w:r>
              <w:rPr>
                <w:rFonts w:eastAsia="Calibri"/>
                <w:b/>
                <w:spacing w:val="-4"/>
                <w:lang w:val="en-GB" w:eastAsia="en-US"/>
              </w:rPr>
              <w:t xml:space="preserve"> </w:t>
            </w:r>
            <w:proofErr w:type="spellStart"/>
            <w:r>
              <w:rPr>
                <w:rFonts w:eastAsia="Calibri"/>
                <w:b/>
                <w:spacing w:val="-4"/>
                <w:lang w:val="en-GB" w:eastAsia="en-US"/>
              </w:rPr>
              <w:t>kiekis</w:t>
            </w:r>
            <w:proofErr w:type="spellEnd"/>
            <w:r>
              <w:rPr>
                <w:rFonts w:eastAsia="Calibri"/>
                <w:b/>
                <w:spacing w:val="-4"/>
                <w:lang w:val="en-GB" w:eastAsia="en-US"/>
              </w:rPr>
              <w:t xml:space="preserve"> </w:t>
            </w:r>
            <w:r>
              <w:rPr>
                <w:rFonts w:eastAsia="Calibri"/>
                <w:b/>
                <w:lang w:val="en-GB" w:eastAsia="en-US"/>
              </w:rPr>
              <w:t>(%)</w:t>
            </w:r>
            <w:r>
              <w:rPr>
                <w:rFonts w:eastAsia="Calibri"/>
                <w:b/>
                <w:spacing w:val="-3"/>
                <w:lang w:val="en-GB" w:eastAsia="en-US"/>
              </w:rPr>
              <w:t xml:space="preserve"> </w:t>
            </w:r>
            <w:r>
              <w:rPr>
                <w:rFonts w:eastAsia="Calibri"/>
                <w:b/>
                <w:spacing w:val="-5"/>
                <w:lang w:val="en-GB" w:eastAsia="en-US"/>
              </w:rPr>
              <w:t xml:space="preserve">78-tą </w:t>
            </w:r>
            <w:proofErr w:type="spellStart"/>
            <w:r>
              <w:rPr>
                <w:rFonts w:eastAsia="Calibri"/>
                <w:b/>
                <w:spacing w:val="-5"/>
                <w:lang w:val="en-GB" w:eastAsia="en-US"/>
              </w:rPr>
              <w:t>savaitę</w:t>
            </w:r>
            <w:proofErr w:type="spellEnd"/>
          </w:p>
        </w:tc>
        <w:tc>
          <w:tcPr>
            <w:tcW w:w="1276" w:type="dxa"/>
          </w:tcPr>
          <w:p w14:paraId="6496D8A8" w14:textId="77777777" w:rsidR="003B31DC" w:rsidRDefault="003B31DC">
            <w:pPr>
              <w:tabs>
                <w:tab w:val="left" w:pos="9071"/>
              </w:tabs>
              <w:rPr>
                <w:rFonts w:eastAsia="Calibri"/>
                <w:lang w:val="en-GB" w:eastAsia="en-US"/>
              </w:rPr>
            </w:pPr>
          </w:p>
        </w:tc>
        <w:tc>
          <w:tcPr>
            <w:tcW w:w="2409" w:type="dxa"/>
          </w:tcPr>
          <w:p w14:paraId="0A028578" w14:textId="77777777" w:rsidR="003B31DC" w:rsidRDefault="003B31DC">
            <w:pPr>
              <w:tabs>
                <w:tab w:val="left" w:pos="9071"/>
              </w:tabs>
              <w:rPr>
                <w:rFonts w:eastAsia="Calibri"/>
                <w:lang w:val="en-GB" w:eastAsia="en-US"/>
              </w:rPr>
            </w:pPr>
          </w:p>
        </w:tc>
        <w:tc>
          <w:tcPr>
            <w:tcW w:w="2409" w:type="dxa"/>
          </w:tcPr>
          <w:p w14:paraId="1DC6F74E" w14:textId="77777777" w:rsidR="003B31DC" w:rsidRDefault="003B31DC">
            <w:pPr>
              <w:tabs>
                <w:tab w:val="left" w:pos="9071"/>
              </w:tabs>
              <w:rPr>
                <w:rFonts w:eastAsia="Calibri"/>
                <w:lang w:val="en-GB" w:eastAsia="en-US"/>
              </w:rPr>
            </w:pPr>
          </w:p>
        </w:tc>
      </w:tr>
      <w:tr w:rsidR="003B31DC" w14:paraId="511EB4E1" w14:textId="77777777">
        <w:trPr>
          <w:trHeight w:val="251"/>
        </w:trPr>
        <w:tc>
          <w:tcPr>
            <w:tcW w:w="2942" w:type="dxa"/>
          </w:tcPr>
          <w:p w14:paraId="23607FCD" w14:textId="77777777" w:rsidR="003B31DC" w:rsidRDefault="00913CBE">
            <w:pPr>
              <w:tabs>
                <w:tab w:val="left" w:pos="9071"/>
              </w:tabs>
              <w:rPr>
                <w:lang w:val="en-GB" w:eastAsia="en-US"/>
              </w:rPr>
            </w:pPr>
            <w:proofErr w:type="spellStart"/>
            <w:r>
              <w:rPr>
                <w:spacing w:val="-2"/>
                <w:lang w:val="en-GB" w:eastAsia="en-US"/>
              </w:rPr>
              <w:t>Pradinis</w:t>
            </w:r>
            <w:proofErr w:type="spellEnd"/>
          </w:p>
          <w:p w14:paraId="4813A43A"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276" w:type="dxa"/>
          </w:tcPr>
          <w:p w14:paraId="34902D39" w14:textId="77777777" w:rsidR="003B31DC" w:rsidRDefault="00913CBE">
            <w:pPr>
              <w:tabs>
                <w:tab w:val="left" w:pos="9071"/>
              </w:tabs>
              <w:jc w:val="center"/>
              <w:rPr>
                <w:rFonts w:eastAsia="Calibri"/>
                <w:lang w:val="en-GB" w:eastAsia="en-US"/>
              </w:rPr>
            </w:pPr>
            <w:r>
              <w:rPr>
                <w:rFonts w:eastAsia="Calibri"/>
                <w:spacing w:val="-4"/>
                <w:lang w:val="en-GB" w:eastAsia="en-US"/>
              </w:rPr>
              <w:t>8,03</w:t>
            </w:r>
          </w:p>
        </w:tc>
        <w:tc>
          <w:tcPr>
            <w:tcW w:w="2409" w:type="dxa"/>
          </w:tcPr>
          <w:p w14:paraId="1A23A99E" w14:textId="77777777" w:rsidR="003B31DC" w:rsidRDefault="00913CBE">
            <w:pPr>
              <w:tabs>
                <w:tab w:val="left" w:pos="9071"/>
              </w:tabs>
              <w:ind w:right="1"/>
              <w:jc w:val="center"/>
              <w:rPr>
                <w:rFonts w:eastAsia="Calibri"/>
                <w:lang w:val="en-GB" w:eastAsia="en-US"/>
              </w:rPr>
            </w:pPr>
            <w:r>
              <w:rPr>
                <w:rFonts w:eastAsia="Calibri"/>
                <w:spacing w:val="-4"/>
                <w:lang w:val="en-GB" w:eastAsia="en-US"/>
              </w:rPr>
              <w:t>8,24</w:t>
            </w:r>
          </w:p>
        </w:tc>
        <w:tc>
          <w:tcPr>
            <w:tcW w:w="2409" w:type="dxa"/>
          </w:tcPr>
          <w:p w14:paraId="652ED7EE" w14:textId="77777777" w:rsidR="003B31DC" w:rsidRDefault="00913CBE">
            <w:pPr>
              <w:tabs>
                <w:tab w:val="left" w:pos="9071"/>
              </w:tabs>
              <w:jc w:val="center"/>
              <w:rPr>
                <w:rFonts w:eastAsia="Calibri"/>
                <w:lang w:val="en-GB" w:eastAsia="en-US"/>
              </w:rPr>
            </w:pPr>
            <w:r>
              <w:rPr>
                <w:rFonts w:eastAsia="Calibri"/>
                <w:spacing w:val="-4"/>
                <w:lang w:val="en-GB" w:eastAsia="en-US"/>
              </w:rPr>
              <w:t>8,29</w:t>
            </w:r>
          </w:p>
        </w:tc>
      </w:tr>
      <w:tr w:rsidR="003B31DC" w14:paraId="0F9B331F" w14:textId="77777777">
        <w:trPr>
          <w:trHeight w:val="254"/>
        </w:trPr>
        <w:tc>
          <w:tcPr>
            <w:tcW w:w="2942" w:type="dxa"/>
          </w:tcPr>
          <w:p w14:paraId="220DF967"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0D2599D8" w14:textId="77777777" w:rsidR="003B31DC" w:rsidRDefault="00913CBE">
            <w:pPr>
              <w:tabs>
                <w:tab w:val="left" w:pos="9071"/>
              </w:tabs>
              <w:ind w:right="680"/>
              <w:rPr>
                <w:rFonts w:eastAsia="Calibri"/>
                <w:lang w:val="en-GB" w:eastAsia="en-US"/>
              </w:rPr>
            </w:pPr>
            <w:r>
              <w:rPr>
                <w:spacing w:val="-2"/>
                <w:lang w:val="en-GB" w:eastAsia="en-US"/>
              </w:rPr>
              <w:t>pradinio</w:t>
            </w:r>
            <w:r>
              <w:rPr>
                <w:spacing w:val="-2"/>
                <w:vertAlign w:val="superscript"/>
                <w:lang w:val="en-GB" w:eastAsia="en-US"/>
              </w:rPr>
              <w:t>1</w:t>
            </w:r>
          </w:p>
        </w:tc>
        <w:tc>
          <w:tcPr>
            <w:tcW w:w="1276" w:type="dxa"/>
          </w:tcPr>
          <w:p w14:paraId="768BBA7F" w14:textId="77777777" w:rsidR="003B31DC" w:rsidRDefault="00913CBE">
            <w:pPr>
              <w:tabs>
                <w:tab w:val="left" w:pos="9071"/>
              </w:tabs>
              <w:ind w:right="7"/>
              <w:jc w:val="center"/>
              <w:rPr>
                <w:rFonts w:eastAsia="Calibri"/>
                <w:lang w:val="en-GB" w:eastAsia="en-US"/>
              </w:rPr>
            </w:pPr>
            <w:r>
              <w:rPr>
                <w:rFonts w:eastAsia="Calibri"/>
                <w:spacing w:val="-4"/>
                <w:lang w:val="en-GB" w:eastAsia="en-US"/>
              </w:rPr>
              <w:t>-0,08</w:t>
            </w:r>
          </w:p>
        </w:tc>
        <w:tc>
          <w:tcPr>
            <w:tcW w:w="2409" w:type="dxa"/>
          </w:tcPr>
          <w:p w14:paraId="697EA1D4" w14:textId="77777777" w:rsidR="003B31DC" w:rsidRDefault="00913CBE">
            <w:pPr>
              <w:tabs>
                <w:tab w:val="left" w:pos="9071"/>
              </w:tabs>
              <w:ind w:right="9"/>
              <w:jc w:val="center"/>
              <w:rPr>
                <w:rFonts w:eastAsia="Calibri"/>
                <w:lang w:val="en-GB" w:eastAsia="en-US"/>
              </w:rPr>
            </w:pPr>
            <w:r>
              <w:rPr>
                <w:rFonts w:eastAsia="Calibri"/>
                <w:spacing w:val="-4"/>
                <w:lang w:val="en-GB" w:eastAsia="en-US"/>
              </w:rPr>
              <w:t>-0,42</w:t>
            </w:r>
          </w:p>
        </w:tc>
        <w:tc>
          <w:tcPr>
            <w:tcW w:w="2409" w:type="dxa"/>
          </w:tcPr>
          <w:p w14:paraId="3A13406C" w14:textId="77777777" w:rsidR="003B31DC" w:rsidRDefault="00913CBE">
            <w:pPr>
              <w:tabs>
                <w:tab w:val="left" w:pos="9071"/>
              </w:tabs>
              <w:ind w:right="7"/>
              <w:jc w:val="center"/>
              <w:rPr>
                <w:rFonts w:eastAsia="Calibri"/>
                <w:lang w:val="en-GB" w:eastAsia="en-US"/>
              </w:rPr>
            </w:pPr>
            <w:r>
              <w:rPr>
                <w:rFonts w:eastAsia="Calibri"/>
                <w:spacing w:val="-4"/>
                <w:lang w:val="en-GB" w:eastAsia="en-US"/>
              </w:rPr>
              <w:t>-0,71</w:t>
            </w:r>
          </w:p>
        </w:tc>
      </w:tr>
      <w:tr w:rsidR="003B31DC" w14:paraId="7AA7FC01" w14:textId="77777777">
        <w:trPr>
          <w:trHeight w:val="505"/>
        </w:trPr>
        <w:tc>
          <w:tcPr>
            <w:tcW w:w="2942" w:type="dxa"/>
          </w:tcPr>
          <w:p w14:paraId="5004F577"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276" w:type="dxa"/>
          </w:tcPr>
          <w:p w14:paraId="6949C1D3" w14:textId="77777777" w:rsidR="003B31DC" w:rsidRDefault="003B31DC">
            <w:pPr>
              <w:tabs>
                <w:tab w:val="left" w:pos="9071"/>
              </w:tabs>
              <w:rPr>
                <w:rFonts w:eastAsia="Calibri"/>
                <w:lang w:val="en-GB" w:eastAsia="en-US"/>
              </w:rPr>
            </w:pPr>
          </w:p>
        </w:tc>
        <w:tc>
          <w:tcPr>
            <w:tcW w:w="2409" w:type="dxa"/>
          </w:tcPr>
          <w:p w14:paraId="4D9DB58F" w14:textId="77777777" w:rsidR="003B31DC" w:rsidRDefault="00913CBE">
            <w:pPr>
              <w:tabs>
                <w:tab w:val="left" w:pos="9071"/>
              </w:tabs>
              <w:ind w:right="5"/>
              <w:jc w:val="center"/>
              <w:rPr>
                <w:rFonts w:eastAsia="Calibri"/>
                <w:lang w:val="en-GB" w:eastAsia="en-US"/>
              </w:rPr>
            </w:pPr>
            <w:r>
              <w:rPr>
                <w:rFonts w:eastAsia="Calibri"/>
                <w:lang w:val="en-GB" w:eastAsia="en-US"/>
              </w:rPr>
              <w:t>-0,34**</w:t>
            </w:r>
            <w:r>
              <w:rPr>
                <w:rFonts w:eastAsia="Calibri"/>
                <w:spacing w:val="-5"/>
                <w:lang w:val="en-GB" w:eastAsia="en-US"/>
              </w:rPr>
              <w:t xml:space="preserve"> </w:t>
            </w:r>
            <w:r>
              <w:rPr>
                <w:rFonts w:eastAsia="Calibri"/>
                <w:lang w:val="en-GB" w:eastAsia="en-US"/>
              </w:rPr>
              <w:t>(-0,64,</w:t>
            </w:r>
            <w:r>
              <w:rPr>
                <w:rFonts w:eastAsia="Calibri"/>
                <w:spacing w:val="-4"/>
                <w:lang w:val="en-GB" w:eastAsia="en-US"/>
              </w:rPr>
              <w:t xml:space="preserve"> </w:t>
            </w:r>
            <w:r>
              <w:rPr>
                <w:rFonts w:eastAsia="Calibri"/>
                <w:lang w:val="en-GB" w:eastAsia="en-US"/>
              </w:rPr>
              <w:t>-</w:t>
            </w:r>
            <w:r>
              <w:rPr>
                <w:rFonts w:eastAsia="Calibri"/>
                <w:spacing w:val="-2"/>
                <w:lang w:val="en-GB" w:eastAsia="en-US"/>
              </w:rPr>
              <w:t>0,05)</w:t>
            </w:r>
          </w:p>
        </w:tc>
        <w:tc>
          <w:tcPr>
            <w:tcW w:w="2409" w:type="dxa"/>
          </w:tcPr>
          <w:p w14:paraId="364B1D18" w14:textId="77777777" w:rsidR="003B31DC" w:rsidRDefault="00913CBE">
            <w:pPr>
              <w:tabs>
                <w:tab w:val="left" w:pos="9071"/>
              </w:tabs>
              <w:ind w:right="6"/>
              <w:jc w:val="center"/>
              <w:rPr>
                <w:rFonts w:eastAsia="Calibri"/>
                <w:lang w:val="en-GB" w:eastAsia="en-US"/>
              </w:rPr>
            </w:pPr>
            <w:r>
              <w:rPr>
                <w:rFonts w:eastAsia="Calibri"/>
                <w:lang w:val="en-GB" w:eastAsia="en-US"/>
              </w:rPr>
              <w:t>-0,63*</w:t>
            </w:r>
            <w:r>
              <w:rPr>
                <w:rFonts w:eastAsia="Calibri"/>
                <w:spacing w:val="-5"/>
                <w:lang w:val="en-GB" w:eastAsia="en-US"/>
              </w:rPr>
              <w:t xml:space="preserve"> </w:t>
            </w:r>
            <w:r>
              <w:rPr>
                <w:rFonts w:eastAsia="Calibri"/>
                <w:lang w:val="en-GB" w:eastAsia="en-US"/>
              </w:rPr>
              <w:t>(-0,93,</w:t>
            </w:r>
            <w:r>
              <w:rPr>
                <w:rFonts w:eastAsia="Calibri"/>
                <w:spacing w:val="-2"/>
                <w:lang w:val="en-GB" w:eastAsia="en-US"/>
              </w:rPr>
              <w:t xml:space="preserve"> </w:t>
            </w:r>
            <w:r>
              <w:rPr>
                <w:rFonts w:eastAsia="Calibri"/>
                <w:lang w:val="en-GB" w:eastAsia="en-US"/>
              </w:rPr>
              <w:t>-</w:t>
            </w:r>
            <w:r>
              <w:rPr>
                <w:rFonts w:eastAsia="Calibri"/>
                <w:spacing w:val="-2"/>
                <w:lang w:val="en-GB" w:eastAsia="en-US"/>
              </w:rPr>
              <w:t>0,33)</w:t>
            </w:r>
          </w:p>
        </w:tc>
      </w:tr>
      <w:tr w:rsidR="003B31DC" w14:paraId="44346DD4" w14:textId="77777777">
        <w:trPr>
          <w:trHeight w:val="251"/>
        </w:trPr>
        <w:tc>
          <w:tcPr>
            <w:tcW w:w="2942" w:type="dxa"/>
          </w:tcPr>
          <w:p w14:paraId="197BADD9"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1276" w:type="dxa"/>
          </w:tcPr>
          <w:p w14:paraId="38C91E7F" w14:textId="77777777" w:rsidR="003B31DC" w:rsidRDefault="00913CBE">
            <w:pPr>
              <w:tabs>
                <w:tab w:val="left" w:pos="9071"/>
              </w:tabs>
              <w:ind w:right="2"/>
              <w:jc w:val="center"/>
              <w:rPr>
                <w:rFonts w:eastAsia="Calibri"/>
                <w:lang w:val="en-GB" w:eastAsia="en-US"/>
              </w:rPr>
            </w:pPr>
            <w:r>
              <w:rPr>
                <w:rFonts w:eastAsia="Calibri"/>
                <w:spacing w:val="-5"/>
                <w:lang w:val="en-GB" w:eastAsia="en-US"/>
              </w:rPr>
              <w:t>89</w:t>
            </w:r>
          </w:p>
        </w:tc>
        <w:tc>
          <w:tcPr>
            <w:tcW w:w="2409" w:type="dxa"/>
          </w:tcPr>
          <w:p w14:paraId="16A3BE9D" w14:textId="77777777" w:rsidR="003B31DC" w:rsidRDefault="00913CBE">
            <w:pPr>
              <w:tabs>
                <w:tab w:val="left" w:pos="9071"/>
              </w:tabs>
              <w:ind w:right="4"/>
              <w:jc w:val="center"/>
              <w:rPr>
                <w:rFonts w:eastAsia="Calibri"/>
                <w:lang w:val="en-GB" w:eastAsia="en-US"/>
              </w:rPr>
            </w:pPr>
            <w:r>
              <w:rPr>
                <w:rFonts w:eastAsia="Calibri"/>
                <w:spacing w:val="-5"/>
                <w:lang w:val="en-GB" w:eastAsia="en-US"/>
              </w:rPr>
              <w:t>105</w:t>
            </w:r>
          </w:p>
        </w:tc>
        <w:tc>
          <w:tcPr>
            <w:tcW w:w="2409" w:type="dxa"/>
          </w:tcPr>
          <w:p w14:paraId="22D443A9" w14:textId="77777777" w:rsidR="003B31DC" w:rsidRDefault="00913CBE">
            <w:pPr>
              <w:tabs>
                <w:tab w:val="left" w:pos="9071"/>
              </w:tabs>
              <w:ind w:right="3"/>
              <w:jc w:val="center"/>
              <w:rPr>
                <w:rFonts w:eastAsia="Calibri"/>
                <w:lang w:val="en-GB" w:eastAsia="en-US"/>
              </w:rPr>
            </w:pPr>
            <w:r>
              <w:rPr>
                <w:rFonts w:eastAsia="Calibri"/>
                <w:spacing w:val="-5"/>
                <w:lang w:val="en-GB" w:eastAsia="en-US"/>
              </w:rPr>
              <w:t>94</w:t>
            </w:r>
          </w:p>
        </w:tc>
      </w:tr>
      <w:tr w:rsidR="003B31DC" w14:paraId="206E4B87" w14:textId="77777777">
        <w:trPr>
          <w:trHeight w:val="505"/>
        </w:trPr>
        <w:tc>
          <w:tcPr>
            <w:tcW w:w="2942" w:type="dxa"/>
          </w:tcPr>
          <w:p w14:paraId="2A664A24" w14:textId="77777777" w:rsidR="003B31DC" w:rsidRPr="003C78E9" w:rsidRDefault="00913CBE">
            <w:pPr>
              <w:tabs>
                <w:tab w:val="left" w:pos="9071"/>
              </w:tabs>
              <w:ind w:right="176"/>
              <w:rPr>
                <w:rFonts w:eastAsia="Calibri"/>
                <w:b/>
                <w:lang w:val="it-CH" w:eastAsia="en-US"/>
              </w:rPr>
            </w:pPr>
            <w:r w:rsidRPr="003C78E9">
              <w:rPr>
                <w:rFonts w:eastAsia="Calibri"/>
                <w:b/>
                <w:lang w:val="it-CH" w:eastAsia="en-US"/>
              </w:rPr>
              <w:t>Bazinio insulino dozė (TV per parą) 78-tą savaitę</w:t>
            </w:r>
          </w:p>
        </w:tc>
        <w:tc>
          <w:tcPr>
            <w:tcW w:w="1276" w:type="dxa"/>
          </w:tcPr>
          <w:p w14:paraId="3136FEAD" w14:textId="77777777" w:rsidR="003B31DC" w:rsidRPr="003C78E9" w:rsidRDefault="003B31DC">
            <w:pPr>
              <w:tabs>
                <w:tab w:val="left" w:pos="9071"/>
              </w:tabs>
              <w:rPr>
                <w:rFonts w:eastAsia="Calibri"/>
                <w:lang w:val="it-CH" w:eastAsia="en-US"/>
              </w:rPr>
            </w:pPr>
          </w:p>
        </w:tc>
        <w:tc>
          <w:tcPr>
            <w:tcW w:w="2409" w:type="dxa"/>
          </w:tcPr>
          <w:p w14:paraId="25D50426" w14:textId="77777777" w:rsidR="003B31DC" w:rsidRPr="003C78E9" w:rsidRDefault="003B31DC">
            <w:pPr>
              <w:tabs>
                <w:tab w:val="left" w:pos="9071"/>
              </w:tabs>
              <w:rPr>
                <w:rFonts w:eastAsia="Calibri"/>
                <w:lang w:val="it-CH" w:eastAsia="en-US"/>
              </w:rPr>
            </w:pPr>
          </w:p>
        </w:tc>
        <w:tc>
          <w:tcPr>
            <w:tcW w:w="2409" w:type="dxa"/>
          </w:tcPr>
          <w:p w14:paraId="780CDC59" w14:textId="77777777" w:rsidR="003B31DC" w:rsidRPr="003C78E9" w:rsidRDefault="003B31DC">
            <w:pPr>
              <w:tabs>
                <w:tab w:val="left" w:pos="9071"/>
              </w:tabs>
              <w:rPr>
                <w:rFonts w:eastAsia="Calibri"/>
                <w:lang w:val="it-CH" w:eastAsia="en-US"/>
              </w:rPr>
            </w:pPr>
          </w:p>
        </w:tc>
      </w:tr>
      <w:tr w:rsidR="003B31DC" w14:paraId="23F42D11" w14:textId="77777777">
        <w:trPr>
          <w:trHeight w:val="254"/>
        </w:trPr>
        <w:tc>
          <w:tcPr>
            <w:tcW w:w="2942" w:type="dxa"/>
          </w:tcPr>
          <w:p w14:paraId="425443FF" w14:textId="77777777" w:rsidR="003B31DC" w:rsidRDefault="00913CBE">
            <w:pPr>
              <w:tabs>
                <w:tab w:val="left" w:pos="9071"/>
              </w:tabs>
              <w:rPr>
                <w:lang w:val="en-GB" w:eastAsia="en-US"/>
              </w:rPr>
            </w:pPr>
            <w:proofErr w:type="spellStart"/>
            <w:r>
              <w:rPr>
                <w:spacing w:val="-2"/>
                <w:lang w:val="en-GB" w:eastAsia="en-US"/>
              </w:rPr>
              <w:t>Pradinis</w:t>
            </w:r>
            <w:proofErr w:type="spellEnd"/>
          </w:p>
          <w:p w14:paraId="35C17231"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276" w:type="dxa"/>
          </w:tcPr>
          <w:p w14:paraId="5946927F" w14:textId="77777777" w:rsidR="003B31DC" w:rsidRDefault="00913CBE">
            <w:pPr>
              <w:tabs>
                <w:tab w:val="left" w:pos="9071"/>
              </w:tabs>
              <w:jc w:val="center"/>
              <w:rPr>
                <w:rFonts w:eastAsia="Calibri"/>
                <w:lang w:val="en-GB" w:eastAsia="en-US"/>
              </w:rPr>
            </w:pPr>
            <w:r>
              <w:rPr>
                <w:rFonts w:eastAsia="Calibri"/>
                <w:spacing w:val="-2"/>
                <w:lang w:val="en-GB" w:eastAsia="en-US"/>
              </w:rPr>
              <w:t>49,61</w:t>
            </w:r>
          </w:p>
        </w:tc>
        <w:tc>
          <w:tcPr>
            <w:tcW w:w="2409" w:type="dxa"/>
          </w:tcPr>
          <w:p w14:paraId="036F0408" w14:textId="77777777" w:rsidR="003B31DC" w:rsidRDefault="00913CBE">
            <w:pPr>
              <w:tabs>
                <w:tab w:val="left" w:pos="9071"/>
              </w:tabs>
              <w:ind w:right="1"/>
              <w:jc w:val="center"/>
              <w:rPr>
                <w:rFonts w:eastAsia="Calibri"/>
                <w:lang w:val="en-GB" w:eastAsia="en-US"/>
              </w:rPr>
            </w:pPr>
            <w:r>
              <w:rPr>
                <w:rFonts w:eastAsia="Calibri"/>
                <w:spacing w:val="-2"/>
                <w:lang w:val="en-GB" w:eastAsia="en-US"/>
              </w:rPr>
              <w:t>47,25</w:t>
            </w:r>
          </w:p>
        </w:tc>
        <w:tc>
          <w:tcPr>
            <w:tcW w:w="2409" w:type="dxa"/>
          </w:tcPr>
          <w:p w14:paraId="54FA5DFA" w14:textId="77777777" w:rsidR="003B31DC" w:rsidRDefault="00913CBE">
            <w:pPr>
              <w:tabs>
                <w:tab w:val="left" w:pos="9071"/>
              </w:tabs>
              <w:jc w:val="center"/>
              <w:rPr>
                <w:rFonts w:eastAsia="Calibri"/>
                <w:lang w:val="en-GB" w:eastAsia="en-US"/>
              </w:rPr>
            </w:pPr>
            <w:r>
              <w:rPr>
                <w:rFonts w:eastAsia="Calibri"/>
                <w:spacing w:val="-2"/>
                <w:lang w:val="en-GB" w:eastAsia="en-US"/>
              </w:rPr>
              <w:t>49,37</w:t>
            </w:r>
          </w:p>
        </w:tc>
      </w:tr>
      <w:tr w:rsidR="003B31DC" w14:paraId="0A4E41C2" w14:textId="77777777">
        <w:trPr>
          <w:trHeight w:val="253"/>
        </w:trPr>
        <w:tc>
          <w:tcPr>
            <w:tcW w:w="2942" w:type="dxa"/>
          </w:tcPr>
          <w:p w14:paraId="6971B892"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4AC2993F" w14:textId="77777777" w:rsidR="003B31DC" w:rsidRDefault="00913CBE">
            <w:pPr>
              <w:tabs>
                <w:tab w:val="left" w:pos="9071"/>
              </w:tabs>
              <w:ind w:right="680"/>
              <w:rPr>
                <w:rFonts w:eastAsia="Calibri"/>
                <w:lang w:val="en-GB" w:eastAsia="en-US"/>
              </w:rPr>
            </w:pPr>
            <w:r>
              <w:rPr>
                <w:spacing w:val="-2"/>
                <w:lang w:val="en-GB" w:eastAsia="en-US"/>
              </w:rPr>
              <w:t>pradinio</w:t>
            </w:r>
            <w:r>
              <w:rPr>
                <w:spacing w:val="-2"/>
                <w:vertAlign w:val="superscript"/>
                <w:lang w:val="en-GB" w:eastAsia="en-US"/>
              </w:rPr>
              <w:t>1</w:t>
            </w:r>
          </w:p>
        </w:tc>
        <w:tc>
          <w:tcPr>
            <w:tcW w:w="1276" w:type="dxa"/>
          </w:tcPr>
          <w:p w14:paraId="267DE86B" w14:textId="77777777" w:rsidR="003B31DC" w:rsidRDefault="00913CBE">
            <w:pPr>
              <w:tabs>
                <w:tab w:val="left" w:pos="9071"/>
              </w:tabs>
              <w:jc w:val="center"/>
              <w:rPr>
                <w:rFonts w:eastAsia="Calibri"/>
                <w:lang w:val="en-GB" w:eastAsia="en-US"/>
              </w:rPr>
            </w:pPr>
            <w:r>
              <w:rPr>
                <w:rFonts w:eastAsia="Calibri"/>
                <w:spacing w:val="-4"/>
                <w:lang w:val="en-GB" w:eastAsia="en-US"/>
              </w:rPr>
              <w:t>4,14</w:t>
            </w:r>
          </w:p>
        </w:tc>
        <w:tc>
          <w:tcPr>
            <w:tcW w:w="2409" w:type="dxa"/>
          </w:tcPr>
          <w:p w14:paraId="474A253D" w14:textId="77777777" w:rsidR="003B31DC" w:rsidRDefault="00913CBE">
            <w:pPr>
              <w:tabs>
                <w:tab w:val="left" w:pos="9071"/>
              </w:tabs>
              <w:ind w:right="9"/>
              <w:jc w:val="center"/>
              <w:rPr>
                <w:rFonts w:eastAsia="Calibri"/>
                <w:lang w:val="en-GB" w:eastAsia="en-US"/>
              </w:rPr>
            </w:pPr>
            <w:r>
              <w:rPr>
                <w:rFonts w:eastAsia="Calibri"/>
                <w:spacing w:val="-4"/>
                <w:lang w:val="en-GB" w:eastAsia="en-US"/>
              </w:rPr>
              <w:t>-2,07</w:t>
            </w:r>
          </w:p>
        </w:tc>
        <w:tc>
          <w:tcPr>
            <w:tcW w:w="2409" w:type="dxa"/>
          </w:tcPr>
          <w:p w14:paraId="0283833C" w14:textId="77777777" w:rsidR="003B31DC" w:rsidRDefault="00913CBE">
            <w:pPr>
              <w:tabs>
                <w:tab w:val="left" w:pos="9071"/>
              </w:tabs>
              <w:ind w:right="7"/>
              <w:jc w:val="center"/>
              <w:rPr>
                <w:rFonts w:eastAsia="Calibri"/>
                <w:lang w:val="en-GB" w:eastAsia="en-US"/>
              </w:rPr>
            </w:pPr>
            <w:r>
              <w:rPr>
                <w:rFonts w:eastAsia="Calibri"/>
                <w:spacing w:val="-4"/>
                <w:lang w:val="en-GB" w:eastAsia="en-US"/>
              </w:rPr>
              <w:t>-0,28</w:t>
            </w:r>
          </w:p>
        </w:tc>
      </w:tr>
      <w:tr w:rsidR="003B31DC" w14:paraId="18C22F5B" w14:textId="77777777">
        <w:trPr>
          <w:trHeight w:val="506"/>
        </w:trPr>
        <w:tc>
          <w:tcPr>
            <w:tcW w:w="2942" w:type="dxa"/>
          </w:tcPr>
          <w:p w14:paraId="773D625A"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su placebo</w:t>
            </w:r>
            <w:r>
              <w:rPr>
                <w:lang w:val="en-GB" w:eastAsia="en-US"/>
              </w:rPr>
              <w:t xml:space="preserve"> (95 % PI)</w:t>
            </w:r>
          </w:p>
        </w:tc>
        <w:tc>
          <w:tcPr>
            <w:tcW w:w="1276" w:type="dxa"/>
          </w:tcPr>
          <w:p w14:paraId="08F31458" w14:textId="77777777" w:rsidR="003B31DC" w:rsidRDefault="003B31DC">
            <w:pPr>
              <w:tabs>
                <w:tab w:val="left" w:pos="9071"/>
              </w:tabs>
              <w:rPr>
                <w:rFonts w:eastAsia="Calibri"/>
                <w:lang w:val="en-GB" w:eastAsia="en-US"/>
              </w:rPr>
            </w:pPr>
          </w:p>
        </w:tc>
        <w:tc>
          <w:tcPr>
            <w:tcW w:w="2409" w:type="dxa"/>
          </w:tcPr>
          <w:p w14:paraId="70602FAF" w14:textId="77777777" w:rsidR="003B31DC" w:rsidRDefault="00913CBE">
            <w:pPr>
              <w:tabs>
                <w:tab w:val="left" w:pos="9071"/>
              </w:tabs>
              <w:ind w:right="5"/>
              <w:jc w:val="center"/>
              <w:rPr>
                <w:rFonts w:eastAsia="Calibri"/>
                <w:lang w:val="en-GB" w:eastAsia="en-US"/>
              </w:rPr>
            </w:pPr>
            <w:r>
              <w:rPr>
                <w:rFonts w:eastAsia="Calibri"/>
                <w:lang w:val="en-GB" w:eastAsia="en-US"/>
              </w:rPr>
              <w:t>-6,21**</w:t>
            </w:r>
            <w:r>
              <w:rPr>
                <w:rFonts w:eastAsia="Calibri"/>
                <w:spacing w:val="-5"/>
                <w:lang w:val="en-GB" w:eastAsia="en-US"/>
              </w:rPr>
              <w:t xml:space="preserve"> </w:t>
            </w:r>
            <w:r>
              <w:rPr>
                <w:rFonts w:eastAsia="Calibri"/>
                <w:lang w:val="en-GB" w:eastAsia="en-US"/>
              </w:rPr>
              <w:t>(-11,81,</w:t>
            </w:r>
            <w:r>
              <w:rPr>
                <w:rFonts w:eastAsia="Calibri"/>
                <w:spacing w:val="-4"/>
                <w:lang w:val="en-GB" w:eastAsia="en-US"/>
              </w:rPr>
              <w:t xml:space="preserve"> </w:t>
            </w:r>
            <w:r>
              <w:rPr>
                <w:rFonts w:eastAsia="Calibri"/>
                <w:lang w:val="en-GB" w:eastAsia="en-US"/>
              </w:rPr>
              <w:t>-</w:t>
            </w:r>
            <w:r>
              <w:rPr>
                <w:rFonts w:eastAsia="Calibri"/>
                <w:spacing w:val="-2"/>
                <w:lang w:val="en-GB" w:eastAsia="en-US"/>
              </w:rPr>
              <w:t>0,61)</w:t>
            </w:r>
          </w:p>
        </w:tc>
        <w:tc>
          <w:tcPr>
            <w:tcW w:w="2409" w:type="dxa"/>
          </w:tcPr>
          <w:p w14:paraId="351243DC" w14:textId="77777777" w:rsidR="003B31DC" w:rsidRDefault="00913CBE">
            <w:pPr>
              <w:tabs>
                <w:tab w:val="left" w:pos="9071"/>
              </w:tabs>
              <w:ind w:right="1"/>
              <w:jc w:val="center"/>
              <w:rPr>
                <w:rFonts w:eastAsia="Calibri"/>
                <w:lang w:val="en-GB" w:eastAsia="en-US"/>
              </w:rPr>
            </w:pPr>
            <w:r>
              <w:rPr>
                <w:rFonts w:eastAsia="Calibri"/>
                <w:lang w:val="en-GB" w:eastAsia="en-US"/>
              </w:rPr>
              <w:t>-4,42</w:t>
            </w:r>
            <w:r>
              <w:rPr>
                <w:rFonts w:eastAsia="Calibri"/>
                <w:spacing w:val="-3"/>
                <w:lang w:val="en-GB" w:eastAsia="en-US"/>
              </w:rPr>
              <w:t xml:space="preserve"> </w:t>
            </w:r>
            <w:r>
              <w:rPr>
                <w:rFonts w:eastAsia="Calibri"/>
                <w:lang w:val="en-GB" w:eastAsia="en-US"/>
              </w:rPr>
              <w:t>(-10,18,</w:t>
            </w:r>
            <w:r>
              <w:rPr>
                <w:rFonts w:eastAsia="Calibri"/>
                <w:spacing w:val="-2"/>
                <w:lang w:val="en-GB" w:eastAsia="en-US"/>
              </w:rPr>
              <w:t xml:space="preserve"> 1,34)</w:t>
            </w:r>
          </w:p>
        </w:tc>
      </w:tr>
    </w:tbl>
    <w:p w14:paraId="6C9F8721"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14"/>
          <w:szCs w:val="14"/>
          <w:lang w:eastAsia="en-US"/>
        </w:rPr>
        <w:t xml:space="preserve">a </w:t>
      </w:r>
      <w:r>
        <w:rPr>
          <w:rFonts w:eastAsiaTheme="minorHAnsi"/>
          <w:color w:val="000000"/>
          <w:sz w:val="22"/>
          <w:szCs w:val="22"/>
          <w:lang w:eastAsia="en-US"/>
        </w:rPr>
        <w:t xml:space="preserve">Visos analizės rinkinio (FAS) pacientų, kuriems taikytas papildomas foninis gydymas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pogrupio analizė – baigusieji tiriamojo vaistinio preparato vartojimo laikotarpį, naudojant paskutinių stebėjimų perkeltus (LOCF) duomenis prieš paskiriant gelbstintįjį gliukozės kiekį mažinantįjį gydymą</w:t>
      </w:r>
    </w:p>
    <w:p w14:paraId="3F0FEB5C"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14"/>
          <w:szCs w:val="14"/>
          <w:lang w:eastAsia="en-US"/>
        </w:rPr>
        <w:t xml:space="preserve">1 </w:t>
      </w:r>
      <w:r>
        <w:rPr>
          <w:rFonts w:eastAsiaTheme="minorHAnsi"/>
          <w:color w:val="000000"/>
          <w:sz w:val="22"/>
          <w:szCs w:val="22"/>
          <w:lang w:eastAsia="en-US"/>
        </w:rPr>
        <w:t>vidurkis, koreguotas pagal pradinę vertę</w:t>
      </w:r>
    </w:p>
    <w:p w14:paraId="60C4F153"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p reikšmė &lt; 0,0001</w:t>
      </w:r>
    </w:p>
    <w:p w14:paraId="7E6AF33C" w14:textId="77777777" w:rsidR="003B31DC" w:rsidRPr="00A02B90" w:rsidRDefault="00913CBE">
      <w:pPr>
        <w:pStyle w:val="Default"/>
        <w:rPr>
          <w:rFonts w:eastAsiaTheme="minorHAnsi"/>
          <w:sz w:val="22"/>
          <w:szCs w:val="22"/>
          <w:lang w:val="lt-LT" w:eastAsia="en-US"/>
        </w:rPr>
      </w:pPr>
      <w:r w:rsidRPr="00A02B90">
        <w:rPr>
          <w:rFonts w:eastAsiaTheme="minorHAnsi"/>
          <w:sz w:val="22"/>
          <w:szCs w:val="22"/>
          <w:lang w:val="lt-LT" w:eastAsia="en-US"/>
        </w:rPr>
        <w:t>** p reikšmė ≤ 0,025</w:t>
      </w:r>
    </w:p>
    <w:p w14:paraId="68024F30" w14:textId="77777777" w:rsidR="003B31DC" w:rsidRPr="00A02B90" w:rsidRDefault="003B31DC">
      <w:pPr>
        <w:pStyle w:val="Default"/>
        <w:rPr>
          <w:rFonts w:eastAsiaTheme="minorHAnsi"/>
          <w:sz w:val="22"/>
          <w:szCs w:val="22"/>
          <w:lang w:val="lt-LT" w:eastAsia="en-US"/>
        </w:rPr>
      </w:pPr>
    </w:p>
    <w:p w14:paraId="3CF8DAE0" w14:textId="19FF409A" w:rsidR="003B31DC" w:rsidRDefault="00FA5DD4">
      <w:pPr>
        <w:pStyle w:val="Default"/>
        <w:rPr>
          <w:rFonts w:eastAsiaTheme="minorHAnsi"/>
          <w:sz w:val="22"/>
          <w:szCs w:val="22"/>
          <w:lang w:val="lt-LT" w:eastAsia="en-US"/>
        </w:rPr>
      </w:pPr>
      <w:r w:rsidRPr="00FA2F7A">
        <w:rPr>
          <w:i/>
          <w:iCs/>
          <w:sz w:val="22"/>
          <w:szCs w:val="22"/>
          <w:lang w:val="sv-SE"/>
        </w:rPr>
        <w:t>Empagliflozinas ir linagliptinas kaip papildomas gydymas prie metformino</w:t>
      </w:r>
    </w:p>
    <w:p w14:paraId="31F19A11" w14:textId="3522E7BB" w:rsidR="003B31DC" w:rsidRDefault="00913CBE" w:rsidP="00FA2F7A">
      <w:pPr>
        <w:rPr>
          <w:rFonts w:eastAsiaTheme="minorHAnsi"/>
          <w:color w:val="000000"/>
          <w:sz w:val="22"/>
          <w:szCs w:val="22"/>
          <w:lang w:eastAsia="en-US"/>
        </w:rPr>
      </w:pPr>
      <w:r>
        <w:rPr>
          <w:rFonts w:eastAsiaTheme="minorHAnsi"/>
          <w:color w:val="000000"/>
          <w:sz w:val="22"/>
          <w:szCs w:val="22"/>
          <w:lang w:eastAsia="en-US"/>
        </w:rPr>
        <w:lastRenderedPageBreak/>
        <w:t xml:space="preserve">Dvigubai koduoto tyrimo metu pacientams, kuriems </w:t>
      </w:r>
      <w:proofErr w:type="spellStart"/>
      <w:r>
        <w:rPr>
          <w:rFonts w:eastAsiaTheme="minorHAnsi"/>
          <w:color w:val="000000"/>
          <w:sz w:val="22"/>
          <w:szCs w:val="22"/>
          <w:lang w:eastAsia="en-US"/>
        </w:rPr>
        <w:t>glikemij</w:t>
      </w:r>
      <w:r w:rsidR="00B977FF">
        <w:rPr>
          <w:rFonts w:eastAsiaTheme="minorHAnsi"/>
          <w:color w:val="000000"/>
          <w:sz w:val="22"/>
          <w:szCs w:val="22"/>
          <w:lang w:eastAsia="en-US"/>
        </w:rPr>
        <w:t>os</w:t>
      </w:r>
      <w:proofErr w:type="spellEnd"/>
      <w:r w:rsidR="00B977FF">
        <w:rPr>
          <w:rFonts w:eastAsiaTheme="minorHAnsi"/>
          <w:color w:val="000000"/>
          <w:sz w:val="22"/>
          <w:szCs w:val="22"/>
          <w:lang w:eastAsia="en-US"/>
        </w:rPr>
        <w:t xml:space="preserve"> kontrolė</w:t>
      </w:r>
      <w:r>
        <w:rPr>
          <w:rFonts w:eastAsiaTheme="minorHAnsi"/>
          <w:color w:val="000000"/>
          <w:sz w:val="22"/>
          <w:szCs w:val="22"/>
          <w:lang w:eastAsia="en-US"/>
        </w:rPr>
        <w:t xml:space="preserve"> buvo nepakankama, 24 savaičių gydymas </w:t>
      </w:r>
      <w:r w:rsidR="007F22D6">
        <w:rPr>
          <w:rFonts w:eastAsiaTheme="minorHAnsi"/>
          <w:color w:val="000000"/>
          <w:sz w:val="22"/>
          <w:szCs w:val="22"/>
          <w:lang w:eastAsia="en-US"/>
        </w:rPr>
        <w:t>abiem</w:t>
      </w:r>
      <w:r>
        <w:rPr>
          <w:rFonts w:eastAsiaTheme="minorHAnsi"/>
          <w:color w:val="000000"/>
          <w:sz w:val="22"/>
          <w:szCs w:val="22"/>
          <w:lang w:eastAsia="en-US"/>
        </w:rPr>
        <w:t xml:space="preserve">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w:t>
      </w:r>
      <w:r w:rsidR="00286ECA">
        <w:rPr>
          <w:rFonts w:eastAsiaTheme="minorHAnsi"/>
          <w:color w:val="000000"/>
          <w:sz w:val="22"/>
          <w:szCs w:val="22"/>
          <w:lang w:eastAsia="en-US"/>
        </w:rPr>
        <w:t>ėmis</w:t>
      </w:r>
      <w:r>
        <w:rPr>
          <w:rFonts w:eastAsiaTheme="minorHAnsi"/>
          <w:color w:val="000000"/>
          <w:sz w:val="22"/>
          <w:szCs w:val="22"/>
          <w:lang w:eastAsia="en-US"/>
        </w:rPr>
        <w:t xml:space="preserve"> kartu </w:t>
      </w:r>
      <w:r w:rsidR="008A7FF0">
        <w:rPr>
          <w:rFonts w:eastAsiaTheme="minorHAnsi"/>
          <w:color w:val="000000"/>
          <w:sz w:val="22"/>
          <w:szCs w:val="22"/>
          <w:lang w:eastAsia="en-US"/>
        </w:rPr>
        <w:t xml:space="preserve">su </w:t>
      </w:r>
      <w:proofErr w:type="spellStart"/>
      <w:r>
        <w:rPr>
          <w:rFonts w:eastAsiaTheme="minorHAnsi"/>
          <w:color w:val="000000"/>
          <w:sz w:val="22"/>
          <w:szCs w:val="22"/>
          <w:lang w:eastAsia="en-US"/>
        </w:rPr>
        <w:t>linagliptinu</w:t>
      </w:r>
      <w:proofErr w:type="spellEnd"/>
      <w:r w:rsidR="008A7FF0">
        <w:rPr>
          <w:rFonts w:eastAsiaTheme="minorHAnsi"/>
          <w:color w:val="000000"/>
          <w:sz w:val="22"/>
          <w:szCs w:val="22"/>
          <w:lang w:eastAsia="en-US"/>
        </w:rPr>
        <w:t>, skiriant juos papildomai prie</w:t>
      </w:r>
      <w:r>
        <w:rPr>
          <w:rFonts w:eastAsiaTheme="minorHAnsi"/>
          <w:color w:val="000000"/>
          <w:sz w:val="22"/>
          <w:szCs w:val="22"/>
          <w:lang w:eastAsia="en-US"/>
        </w:rPr>
        <w:t xml:space="preserve">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w:t>
      </w:r>
      <w:r w:rsidR="00BC2D4D">
        <w:rPr>
          <w:rFonts w:eastAsiaTheme="minorHAnsi"/>
          <w:color w:val="000000"/>
          <w:sz w:val="22"/>
          <w:szCs w:val="22"/>
          <w:lang w:eastAsia="en-US"/>
        </w:rPr>
        <w:t>terapijos</w:t>
      </w:r>
      <w:r>
        <w:rPr>
          <w:rFonts w:eastAsiaTheme="minorHAnsi"/>
          <w:color w:val="000000"/>
          <w:sz w:val="22"/>
          <w:szCs w:val="22"/>
          <w:lang w:eastAsia="en-US"/>
        </w:rPr>
        <w:t>, lėmė statistiškai reikšmingą (p &lt; 0,0001) HbA1c kiekio sumažėjimą (-1,08 % pokytis nuo pradinio</w:t>
      </w:r>
      <w:r w:rsidR="00F34583">
        <w:rPr>
          <w:rFonts w:eastAsiaTheme="minorHAnsi"/>
          <w:color w:val="000000"/>
          <w:sz w:val="22"/>
          <w:szCs w:val="22"/>
          <w:lang w:eastAsia="en-US"/>
        </w:rPr>
        <w:t xml:space="preserve"> lygio</w:t>
      </w:r>
      <w:r>
        <w:rPr>
          <w:rFonts w:eastAsiaTheme="minorHAnsi"/>
          <w:color w:val="000000"/>
          <w:sz w:val="22"/>
          <w:szCs w:val="22"/>
          <w:lang w:eastAsia="en-US"/>
        </w:rPr>
        <w:t xml:space="preserve">, vartojant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-1,19 % pokytis, vartojant 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-0,70 % pokytis, vartojant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Palyginti su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doze, </w:t>
      </w:r>
      <w:r w:rsidR="009D29BC">
        <w:rPr>
          <w:rFonts w:eastAsiaTheme="minorHAnsi"/>
          <w:color w:val="000000"/>
          <w:sz w:val="22"/>
          <w:szCs w:val="22"/>
          <w:lang w:eastAsia="en-US"/>
        </w:rPr>
        <w:t>abi</w:t>
      </w:r>
      <w:r>
        <w:rPr>
          <w:rFonts w:eastAsiaTheme="minorHAnsi"/>
          <w:color w:val="000000"/>
          <w:sz w:val="22"/>
          <w:szCs w:val="22"/>
          <w:lang w:eastAsia="en-US"/>
        </w:rPr>
        <w:t xml:space="preserve">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dozė</w:t>
      </w:r>
      <w:r w:rsidR="00E7020A">
        <w:rPr>
          <w:rFonts w:eastAsiaTheme="minorHAnsi"/>
          <w:color w:val="000000"/>
          <w:sz w:val="22"/>
          <w:szCs w:val="22"/>
          <w:lang w:eastAsia="en-US"/>
        </w:rPr>
        <w:t>s</w:t>
      </w:r>
      <w:r>
        <w:rPr>
          <w:rFonts w:eastAsiaTheme="minorHAnsi"/>
          <w:color w:val="000000"/>
          <w:sz w:val="22"/>
          <w:szCs w:val="22"/>
          <w:lang w:eastAsia="en-US"/>
        </w:rPr>
        <w:t>kartu</w:t>
      </w:r>
      <w:proofErr w:type="spellEnd"/>
      <w:r>
        <w:rPr>
          <w:rFonts w:eastAsiaTheme="minorHAnsi"/>
          <w:color w:val="000000"/>
          <w:sz w:val="22"/>
          <w:szCs w:val="22"/>
          <w:lang w:eastAsia="en-US"/>
        </w:rPr>
        <w:t xml:space="preserve"> su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doze, statistiškai reikšmingai sumažino gliukozės kiekį kraujo serume nevalgius ir kraujospūdį. Abi dozės sąlygojo statistiškai reikšmingą kūno svorio, išreikšto kilogramais, sumažėjimą ir procentinį pokytį.</w:t>
      </w:r>
      <w:r w:rsidR="003C5AB5" w:rsidRPr="003C5AB5">
        <w:t xml:space="preserve"> </w:t>
      </w:r>
      <w:r w:rsidR="003C5AB5" w:rsidRPr="00FA2F7A">
        <w:rPr>
          <w:rFonts w:eastAsiaTheme="minorHAnsi"/>
          <w:color w:val="000000"/>
          <w:sz w:val="22"/>
          <w:szCs w:val="22"/>
          <w:lang w:eastAsia="en-US"/>
        </w:rPr>
        <w:t xml:space="preserve">Didesnė dalis pacientų, kurių pradinis </w:t>
      </w:r>
      <w:r w:rsidR="0091753E" w:rsidRPr="006B195C">
        <w:rPr>
          <w:rFonts w:eastAsiaTheme="minorHAnsi"/>
          <w:color w:val="000000"/>
          <w:sz w:val="22"/>
          <w:szCs w:val="22"/>
          <w:lang w:eastAsia="en-US"/>
        </w:rPr>
        <w:t>HbA1c</w:t>
      </w:r>
      <w:r w:rsidR="00C1758D" w:rsidRPr="00FA2F7A">
        <w:rPr>
          <w:rFonts w:eastAsiaTheme="minorHAnsi"/>
          <w:color w:val="000000"/>
          <w:lang w:eastAsia="en-US"/>
        </w:rPr>
        <w:t xml:space="preserve"> </w:t>
      </w:r>
      <w:r w:rsidR="00C1758D" w:rsidRPr="006B195C">
        <w:rPr>
          <w:rFonts w:eastAsiaTheme="minorHAnsi"/>
          <w:color w:val="000000"/>
          <w:sz w:val="22"/>
          <w:szCs w:val="22"/>
          <w:lang w:eastAsia="en-US"/>
        </w:rPr>
        <w:t xml:space="preserve">≥ </w:t>
      </w:r>
      <w:r w:rsidR="003344FC" w:rsidRPr="006B195C">
        <w:rPr>
          <w:rFonts w:eastAsiaTheme="minorHAnsi"/>
          <w:color w:val="000000"/>
          <w:sz w:val="22"/>
          <w:szCs w:val="22"/>
          <w:lang w:eastAsia="en-US"/>
        </w:rPr>
        <w:t>7</w:t>
      </w:r>
      <w:r w:rsidR="003C5AB5" w:rsidRPr="00FA2F7A">
        <w:rPr>
          <w:rFonts w:eastAsiaTheme="minorHAnsi"/>
          <w:color w:val="000000"/>
          <w:sz w:val="22"/>
          <w:szCs w:val="22"/>
          <w:lang w:eastAsia="en-US"/>
        </w:rPr>
        <w:t>,</w:t>
      </w:r>
      <w:r w:rsidR="003344FC" w:rsidRPr="00FA2F7A">
        <w:rPr>
          <w:rFonts w:eastAsiaTheme="minorHAnsi"/>
          <w:color w:val="000000"/>
          <w:lang w:eastAsia="en-US"/>
        </w:rPr>
        <w:t>0</w:t>
      </w:r>
      <w:r w:rsidR="003C5AB5" w:rsidRPr="00FA2F7A">
        <w:rPr>
          <w:rFonts w:eastAsiaTheme="minorHAnsi"/>
          <w:color w:val="000000"/>
          <w:sz w:val="22"/>
          <w:szCs w:val="22"/>
          <w:lang w:eastAsia="en-US"/>
        </w:rPr>
        <w:t xml:space="preserve"> % ir kurie buvo gydyti </w:t>
      </w:r>
      <w:proofErr w:type="spellStart"/>
      <w:r w:rsidR="003C5AB5" w:rsidRPr="00FA2F7A">
        <w:rPr>
          <w:rFonts w:eastAsiaTheme="minorHAnsi"/>
          <w:color w:val="000000"/>
          <w:sz w:val="22"/>
          <w:szCs w:val="22"/>
          <w:lang w:eastAsia="en-US"/>
        </w:rPr>
        <w:t>empagliflozinu</w:t>
      </w:r>
      <w:proofErr w:type="spellEnd"/>
      <w:r w:rsidR="003C5AB5" w:rsidRPr="00FA2F7A">
        <w:rPr>
          <w:rFonts w:eastAsiaTheme="minorHAnsi"/>
          <w:color w:val="000000"/>
          <w:sz w:val="22"/>
          <w:szCs w:val="22"/>
          <w:lang w:eastAsia="en-US"/>
        </w:rPr>
        <w:t xml:space="preserve"> bei </w:t>
      </w:r>
      <w:proofErr w:type="spellStart"/>
      <w:r w:rsidR="003C5AB5" w:rsidRPr="00FA2F7A">
        <w:rPr>
          <w:rFonts w:eastAsiaTheme="minorHAnsi"/>
          <w:color w:val="000000"/>
          <w:sz w:val="22"/>
          <w:szCs w:val="22"/>
          <w:lang w:eastAsia="en-US"/>
        </w:rPr>
        <w:t>linagliptinu</w:t>
      </w:r>
      <w:proofErr w:type="spellEnd"/>
      <w:r w:rsidR="003C5AB5" w:rsidRPr="00FA2F7A">
        <w:rPr>
          <w:rFonts w:eastAsiaTheme="minorHAnsi"/>
          <w:color w:val="000000"/>
          <w:sz w:val="22"/>
          <w:szCs w:val="22"/>
          <w:lang w:eastAsia="en-US"/>
        </w:rPr>
        <w:t xml:space="preserve">, pasiekė tikslinį </w:t>
      </w:r>
      <w:r w:rsidR="006B195C" w:rsidRPr="006B195C">
        <w:rPr>
          <w:rFonts w:eastAsiaTheme="minorHAnsi"/>
          <w:color w:val="000000"/>
          <w:sz w:val="22"/>
          <w:szCs w:val="22"/>
          <w:lang w:eastAsia="en-US"/>
        </w:rPr>
        <w:t xml:space="preserve">HbA1c </w:t>
      </w:r>
      <w:r w:rsidR="003C5AB5" w:rsidRPr="00FA2F7A">
        <w:rPr>
          <w:rFonts w:eastAsiaTheme="minorHAnsi"/>
          <w:color w:val="000000"/>
          <w:sz w:val="22"/>
          <w:szCs w:val="22"/>
          <w:lang w:eastAsia="en-US"/>
        </w:rPr>
        <w:t xml:space="preserve">&lt; 7 %, lyginant su vartojusiais 5 mg </w:t>
      </w:r>
      <w:proofErr w:type="spellStart"/>
      <w:r w:rsidR="003C5AB5" w:rsidRPr="00FA2F7A">
        <w:rPr>
          <w:rFonts w:eastAsiaTheme="minorHAnsi"/>
          <w:color w:val="000000"/>
          <w:sz w:val="22"/>
          <w:szCs w:val="22"/>
          <w:lang w:eastAsia="en-US"/>
        </w:rPr>
        <w:t>linagliptino</w:t>
      </w:r>
      <w:proofErr w:type="spellEnd"/>
      <w:r>
        <w:rPr>
          <w:rFonts w:eastAsiaTheme="minorHAnsi"/>
          <w:color w:val="000000"/>
          <w:sz w:val="22"/>
          <w:szCs w:val="22"/>
          <w:lang w:eastAsia="en-US"/>
        </w:rPr>
        <w:t xml:space="preserve">. Kliniškai reikšmingas HbA1c kiekio sumažėjimas </w:t>
      </w:r>
      <w:r w:rsidR="003C5AB5">
        <w:rPr>
          <w:rFonts w:eastAsiaTheme="minorHAnsi"/>
          <w:color w:val="000000"/>
          <w:sz w:val="22"/>
          <w:szCs w:val="22"/>
          <w:lang w:eastAsia="en-US"/>
        </w:rPr>
        <w:t xml:space="preserve">išliko </w:t>
      </w:r>
      <w:r>
        <w:rPr>
          <w:rFonts w:eastAsiaTheme="minorHAnsi"/>
          <w:color w:val="000000"/>
          <w:sz w:val="22"/>
          <w:szCs w:val="22"/>
          <w:lang w:eastAsia="en-US"/>
        </w:rPr>
        <w:t>52 savaites.</w:t>
      </w:r>
    </w:p>
    <w:p w14:paraId="1CB05E16" w14:textId="77777777" w:rsidR="003B31DC" w:rsidRDefault="003B31DC">
      <w:pPr>
        <w:autoSpaceDE w:val="0"/>
        <w:autoSpaceDN w:val="0"/>
        <w:adjustRightInd w:val="0"/>
        <w:rPr>
          <w:rFonts w:eastAsiaTheme="minorHAnsi"/>
          <w:color w:val="000000"/>
          <w:sz w:val="22"/>
          <w:szCs w:val="22"/>
          <w:lang w:eastAsia="en-US"/>
        </w:rPr>
      </w:pPr>
    </w:p>
    <w:p w14:paraId="351638A7" w14:textId="5C80A899" w:rsidR="003B31DC" w:rsidRPr="007B38E2" w:rsidRDefault="00AF6B75">
      <w:pPr>
        <w:autoSpaceDE w:val="0"/>
        <w:autoSpaceDN w:val="0"/>
        <w:adjustRightInd w:val="0"/>
        <w:rPr>
          <w:rFonts w:eastAsiaTheme="minorHAnsi"/>
          <w:i/>
          <w:iCs/>
          <w:color w:val="000000"/>
          <w:sz w:val="22"/>
          <w:szCs w:val="22"/>
          <w:u w:val="single"/>
          <w:lang w:eastAsia="en-US"/>
        </w:rPr>
      </w:pPr>
      <w:r w:rsidRPr="00FA2F7A">
        <w:rPr>
          <w:i/>
          <w:iCs/>
          <w:sz w:val="22"/>
          <w:szCs w:val="22"/>
        </w:rPr>
        <w:t xml:space="preserve"> </w:t>
      </w:r>
      <w:proofErr w:type="spellStart"/>
      <w:r w:rsidRPr="00FA2F7A">
        <w:rPr>
          <w:i/>
          <w:iCs/>
          <w:sz w:val="22"/>
          <w:szCs w:val="22"/>
        </w:rPr>
        <w:t>Empagliflozinas</w:t>
      </w:r>
      <w:proofErr w:type="spellEnd"/>
      <w:r w:rsidRPr="00FA2F7A">
        <w:rPr>
          <w:i/>
          <w:iCs/>
          <w:sz w:val="22"/>
          <w:szCs w:val="22"/>
        </w:rPr>
        <w:t xml:space="preserve"> du kartus per parą, lyginant su viena paros doze, skiriant kaip papildomą gydymą prie </w:t>
      </w:r>
      <w:proofErr w:type="spellStart"/>
      <w:r w:rsidRPr="00FA2F7A">
        <w:rPr>
          <w:i/>
          <w:iCs/>
          <w:sz w:val="22"/>
          <w:szCs w:val="22"/>
        </w:rPr>
        <w:t>metformino</w:t>
      </w:r>
      <w:proofErr w:type="spellEnd"/>
      <w:r w:rsidRPr="00FA2F7A">
        <w:rPr>
          <w:i/>
          <w:iCs/>
          <w:sz w:val="22"/>
          <w:szCs w:val="22"/>
        </w:rPr>
        <w:t xml:space="preserve"> terapijos</w:t>
      </w:r>
    </w:p>
    <w:p w14:paraId="30881D29" w14:textId="77777777" w:rsidR="003B31DC" w:rsidRDefault="003B31DC">
      <w:pPr>
        <w:autoSpaceDE w:val="0"/>
        <w:autoSpaceDN w:val="0"/>
        <w:adjustRightInd w:val="0"/>
        <w:rPr>
          <w:rFonts w:eastAsiaTheme="minorHAnsi"/>
          <w:color w:val="000000"/>
          <w:sz w:val="22"/>
          <w:szCs w:val="22"/>
          <w:lang w:eastAsia="en-US"/>
        </w:rPr>
      </w:pPr>
    </w:p>
    <w:p w14:paraId="70D3741A" w14:textId="26EEB7B8" w:rsidR="003B31DC" w:rsidRDefault="0089545B">
      <w:pPr>
        <w:autoSpaceDE w:val="0"/>
        <w:autoSpaceDN w:val="0"/>
        <w:adjustRightInd w:val="0"/>
        <w:rPr>
          <w:rFonts w:eastAsiaTheme="minorHAnsi"/>
          <w:color w:val="000000"/>
          <w:sz w:val="22"/>
          <w:szCs w:val="22"/>
          <w:lang w:eastAsia="en-US"/>
        </w:rPr>
      </w:pPr>
      <w:r w:rsidRPr="0089545B">
        <w:t xml:space="preserve"> </w:t>
      </w:r>
      <w:r w:rsidRPr="00FA2F7A">
        <w:rPr>
          <w:sz w:val="22"/>
          <w:szCs w:val="22"/>
        </w:rPr>
        <w:t xml:space="preserve">16 savaičių trukmės dvigubai koduotame, placebu kontroliuojamame tyrime buvo vertinamas </w:t>
      </w:r>
      <w:proofErr w:type="spellStart"/>
      <w:r w:rsidRPr="00FA2F7A">
        <w:rPr>
          <w:sz w:val="22"/>
          <w:szCs w:val="22"/>
        </w:rPr>
        <w:t>empagliflozino</w:t>
      </w:r>
      <w:proofErr w:type="spellEnd"/>
      <w:r w:rsidRPr="00FA2F7A">
        <w:rPr>
          <w:sz w:val="22"/>
          <w:szCs w:val="22"/>
        </w:rPr>
        <w:t xml:space="preserve">, vartojamo du kartus per parą, efektyvumas ir saugumas, lyginant su viena paros doze (10 mg ir 25 mg paros dozė), skiriant vaistą papildomai pacientams, kurių </w:t>
      </w:r>
      <w:proofErr w:type="spellStart"/>
      <w:r w:rsidRPr="00FA2F7A">
        <w:rPr>
          <w:sz w:val="22"/>
          <w:szCs w:val="22"/>
        </w:rPr>
        <w:t>glikemijos</w:t>
      </w:r>
      <w:proofErr w:type="spellEnd"/>
      <w:r w:rsidRPr="00FA2F7A">
        <w:rPr>
          <w:sz w:val="22"/>
          <w:szCs w:val="22"/>
        </w:rPr>
        <w:t xml:space="preserve"> kontrolė vartojant vien </w:t>
      </w:r>
      <w:proofErr w:type="spellStart"/>
      <w:r w:rsidRPr="00FA2F7A">
        <w:rPr>
          <w:sz w:val="22"/>
          <w:szCs w:val="22"/>
        </w:rPr>
        <w:t>metformino</w:t>
      </w:r>
      <w:proofErr w:type="spellEnd"/>
      <w:r w:rsidRPr="00FA2F7A">
        <w:rPr>
          <w:sz w:val="22"/>
          <w:szCs w:val="22"/>
        </w:rPr>
        <w:t xml:space="preserve"> </w:t>
      </w:r>
      <w:proofErr w:type="spellStart"/>
      <w:r w:rsidRPr="00FA2F7A">
        <w:rPr>
          <w:sz w:val="22"/>
          <w:szCs w:val="22"/>
        </w:rPr>
        <w:t>monoterapiją</w:t>
      </w:r>
      <w:proofErr w:type="spellEnd"/>
      <w:r w:rsidRPr="00FA2F7A">
        <w:rPr>
          <w:sz w:val="22"/>
          <w:szCs w:val="22"/>
        </w:rPr>
        <w:t xml:space="preserve"> buvo nepakankama</w:t>
      </w:r>
      <w:r w:rsidR="00913CBE" w:rsidRPr="0089545B">
        <w:rPr>
          <w:rFonts w:eastAsiaTheme="minorHAnsi"/>
          <w:color w:val="000000"/>
          <w:sz w:val="22"/>
          <w:szCs w:val="22"/>
          <w:lang w:eastAsia="en-US"/>
        </w:rPr>
        <w:t>.</w:t>
      </w:r>
      <w:r w:rsidR="00913CBE">
        <w:rPr>
          <w:rFonts w:eastAsiaTheme="minorHAnsi"/>
          <w:color w:val="000000"/>
          <w:sz w:val="22"/>
          <w:szCs w:val="22"/>
          <w:lang w:eastAsia="en-US"/>
        </w:rPr>
        <w:t xml:space="preserve"> Po 16 savaičių gydymo </w:t>
      </w:r>
      <w:r w:rsidR="00917376">
        <w:rPr>
          <w:rFonts w:eastAsiaTheme="minorHAnsi"/>
          <w:color w:val="000000"/>
          <w:sz w:val="22"/>
          <w:szCs w:val="22"/>
          <w:lang w:eastAsia="en-US"/>
        </w:rPr>
        <w:t xml:space="preserve">visi </w:t>
      </w:r>
      <w:proofErr w:type="spellStart"/>
      <w:r w:rsidR="00913CBE">
        <w:rPr>
          <w:rFonts w:eastAsiaTheme="minorHAnsi"/>
          <w:color w:val="000000"/>
          <w:sz w:val="22"/>
          <w:szCs w:val="22"/>
          <w:lang w:eastAsia="en-US"/>
        </w:rPr>
        <w:t>empagliflozin</w:t>
      </w:r>
      <w:r w:rsidR="00917376">
        <w:rPr>
          <w:rFonts w:eastAsiaTheme="minorHAnsi"/>
          <w:color w:val="000000"/>
          <w:sz w:val="22"/>
          <w:szCs w:val="22"/>
          <w:lang w:eastAsia="en-US"/>
        </w:rPr>
        <w:t>o</w:t>
      </w:r>
      <w:proofErr w:type="spellEnd"/>
      <w:r w:rsidR="00913CBE">
        <w:rPr>
          <w:rFonts w:eastAsiaTheme="minorHAnsi"/>
          <w:color w:val="000000"/>
          <w:sz w:val="22"/>
          <w:szCs w:val="22"/>
          <w:lang w:eastAsia="en-US"/>
        </w:rPr>
        <w:t xml:space="preserve"> </w:t>
      </w:r>
      <w:r w:rsidR="00B27FB5" w:rsidRPr="00FA2F7A">
        <w:rPr>
          <w:sz w:val="22"/>
          <w:szCs w:val="22"/>
        </w:rPr>
        <w:t>vartojimo režimai</w:t>
      </w:r>
      <w:r w:rsidR="00B27FB5">
        <w:t xml:space="preserve"> </w:t>
      </w:r>
      <w:r w:rsidR="00913CBE">
        <w:rPr>
          <w:rFonts w:eastAsiaTheme="minorHAnsi"/>
          <w:color w:val="000000"/>
          <w:sz w:val="22"/>
          <w:szCs w:val="22"/>
          <w:lang w:eastAsia="en-US"/>
        </w:rPr>
        <w:t>lėmė reikšmingą HbA1c kiekio sumažėjimą</w:t>
      </w:r>
      <w:r w:rsidR="003F40CA">
        <w:rPr>
          <w:rFonts w:eastAsiaTheme="minorHAnsi"/>
          <w:color w:val="000000"/>
          <w:sz w:val="22"/>
          <w:szCs w:val="22"/>
          <w:lang w:eastAsia="en-US"/>
        </w:rPr>
        <w:t xml:space="preserve"> </w:t>
      </w:r>
      <w:r w:rsidR="00A57169">
        <w:rPr>
          <w:rFonts w:eastAsiaTheme="minorHAnsi"/>
          <w:color w:val="000000"/>
          <w:sz w:val="22"/>
          <w:szCs w:val="22"/>
          <w:lang w:eastAsia="en-US"/>
        </w:rPr>
        <w:t>nuo</w:t>
      </w:r>
      <w:r w:rsidR="00913CBE">
        <w:rPr>
          <w:rFonts w:eastAsiaTheme="minorHAnsi"/>
          <w:color w:val="000000"/>
          <w:sz w:val="22"/>
          <w:szCs w:val="22"/>
          <w:lang w:eastAsia="en-US"/>
        </w:rPr>
        <w:t xml:space="preserve"> pradini</w:t>
      </w:r>
      <w:r w:rsidR="00A57169">
        <w:rPr>
          <w:rFonts w:eastAsiaTheme="minorHAnsi"/>
          <w:color w:val="000000"/>
          <w:sz w:val="22"/>
          <w:szCs w:val="22"/>
          <w:lang w:eastAsia="en-US"/>
        </w:rPr>
        <w:t>o lygio</w:t>
      </w:r>
      <w:r w:rsidR="00913CBE">
        <w:rPr>
          <w:rFonts w:eastAsiaTheme="minorHAnsi"/>
          <w:color w:val="000000"/>
          <w:sz w:val="22"/>
          <w:szCs w:val="22"/>
          <w:lang w:eastAsia="en-US"/>
        </w:rPr>
        <w:t xml:space="preserve"> (bendras vidurkis 7,8 %)</w:t>
      </w:r>
      <w:r w:rsidR="00A57169">
        <w:rPr>
          <w:rFonts w:eastAsiaTheme="minorHAnsi"/>
          <w:color w:val="000000"/>
          <w:sz w:val="22"/>
          <w:szCs w:val="22"/>
          <w:lang w:eastAsia="en-US"/>
        </w:rPr>
        <w:t>, lyginant su placebo grupe</w:t>
      </w:r>
      <w:r w:rsidR="00B22339" w:rsidRPr="00FA2F7A">
        <w:rPr>
          <w:sz w:val="22"/>
          <w:szCs w:val="22"/>
        </w:rPr>
        <w:t xml:space="preserve"> </w:t>
      </w:r>
      <w:proofErr w:type="spellStart"/>
      <w:r w:rsidR="00B22339" w:rsidRPr="00FA2F7A">
        <w:rPr>
          <w:sz w:val="22"/>
          <w:szCs w:val="22"/>
        </w:rPr>
        <w:t>Empagliflozino</w:t>
      </w:r>
      <w:proofErr w:type="spellEnd"/>
      <w:r w:rsidR="00B22339" w:rsidRPr="00FA2F7A">
        <w:rPr>
          <w:sz w:val="22"/>
          <w:szCs w:val="22"/>
        </w:rPr>
        <w:t xml:space="preserve"> dozavimo režimai du kartus per parą, skiriant juos fone prie </w:t>
      </w:r>
      <w:proofErr w:type="spellStart"/>
      <w:r w:rsidR="00B22339" w:rsidRPr="00FA2F7A">
        <w:rPr>
          <w:sz w:val="22"/>
          <w:szCs w:val="22"/>
        </w:rPr>
        <w:t>metformino</w:t>
      </w:r>
      <w:proofErr w:type="spellEnd"/>
      <w:r w:rsidR="00B22339" w:rsidRPr="00FA2F7A">
        <w:rPr>
          <w:sz w:val="22"/>
          <w:szCs w:val="22"/>
        </w:rPr>
        <w:t>, lėmė panašų</w:t>
      </w:r>
      <w:r w:rsidR="00913CBE">
        <w:rPr>
          <w:rFonts w:eastAsiaTheme="minorHAnsi"/>
          <w:color w:val="000000"/>
          <w:sz w:val="22"/>
          <w:szCs w:val="22"/>
          <w:lang w:eastAsia="en-US"/>
        </w:rPr>
        <w:t xml:space="preserve"> HbA1c kiekis sumažėj</w:t>
      </w:r>
      <w:r w:rsidR="00A306E3">
        <w:rPr>
          <w:rFonts w:eastAsiaTheme="minorHAnsi"/>
          <w:color w:val="000000"/>
          <w:sz w:val="22"/>
          <w:szCs w:val="22"/>
          <w:lang w:eastAsia="en-US"/>
        </w:rPr>
        <w:t>ą</w:t>
      </w:r>
      <w:r w:rsidR="00913CBE">
        <w:rPr>
          <w:rFonts w:eastAsiaTheme="minorHAnsi"/>
          <w:color w:val="000000"/>
          <w:sz w:val="22"/>
          <w:szCs w:val="22"/>
          <w:lang w:eastAsia="en-US"/>
        </w:rPr>
        <w:t xml:space="preserve"> </w:t>
      </w:r>
      <w:r w:rsidR="00A306E3" w:rsidRPr="00FA2F7A">
        <w:rPr>
          <w:sz w:val="22"/>
          <w:szCs w:val="22"/>
        </w:rPr>
        <w:t>kaip ir dozavimo režimai vieną kartą per parą</w:t>
      </w:r>
      <w:r w:rsidR="00A306E3" w:rsidRPr="00A306E3">
        <w:rPr>
          <w:rFonts w:eastAsiaTheme="minorHAnsi"/>
          <w:color w:val="000000"/>
          <w:sz w:val="22"/>
          <w:szCs w:val="22"/>
          <w:lang w:eastAsia="en-US"/>
        </w:rPr>
        <w:t xml:space="preserve"> </w:t>
      </w:r>
      <w:r w:rsidR="00913CBE">
        <w:rPr>
          <w:rFonts w:eastAsiaTheme="minorHAnsi"/>
          <w:color w:val="000000"/>
          <w:sz w:val="22"/>
          <w:szCs w:val="22"/>
          <w:lang w:eastAsia="en-US"/>
        </w:rPr>
        <w:t xml:space="preserve">. Skirtumas tarp gydymo būdų, vertinant pagal HbA1c kiekio sumažėjimą, palyginti su pradiniu, 16-tą savaitę, vartojant </w:t>
      </w:r>
      <w:proofErr w:type="spellStart"/>
      <w:r w:rsidR="00913CBE">
        <w:rPr>
          <w:rFonts w:eastAsiaTheme="minorHAnsi"/>
          <w:color w:val="000000"/>
          <w:sz w:val="22"/>
          <w:szCs w:val="22"/>
          <w:lang w:eastAsia="en-US"/>
        </w:rPr>
        <w:t>empagliflozino</w:t>
      </w:r>
      <w:proofErr w:type="spellEnd"/>
      <w:r w:rsidR="00913CBE">
        <w:rPr>
          <w:rFonts w:eastAsiaTheme="minorHAnsi"/>
          <w:color w:val="000000"/>
          <w:sz w:val="22"/>
          <w:szCs w:val="22"/>
          <w:lang w:eastAsia="en-US"/>
        </w:rPr>
        <w:t xml:space="preserve"> 5 mg du kartus per parą, palyginti su 10 mg kartą per parą, buvo -0,02 % (95 % PI: -0,16, 0,13), vartojant </w:t>
      </w:r>
      <w:proofErr w:type="spellStart"/>
      <w:r w:rsidR="00913CBE">
        <w:rPr>
          <w:rFonts w:eastAsiaTheme="minorHAnsi"/>
          <w:color w:val="000000"/>
          <w:sz w:val="22"/>
          <w:szCs w:val="22"/>
          <w:lang w:eastAsia="en-US"/>
        </w:rPr>
        <w:t>empagliflozino</w:t>
      </w:r>
      <w:proofErr w:type="spellEnd"/>
      <w:r w:rsidR="00913CBE">
        <w:rPr>
          <w:rFonts w:eastAsiaTheme="minorHAnsi"/>
          <w:color w:val="000000"/>
          <w:sz w:val="22"/>
          <w:szCs w:val="22"/>
          <w:lang w:eastAsia="en-US"/>
        </w:rPr>
        <w:t xml:space="preserve"> 12,5 mg du kartus per parą, palyginti su 25 mg kartą per parą, -0,11 % (95 % PI: -0,26, 0,03).</w:t>
      </w:r>
    </w:p>
    <w:p w14:paraId="7B19EAD9" w14:textId="77777777" w:rsidR="003B31DC" w:rsidRDefault="003B31DC">
      <w:pPr>
        <w:autoSpaceDE w:val="0"/>
        <w:autoSpaceDN w:val="0"/>
        <w:adjustRightInd w:val="0"/>
        <w:rPr>
          <w:rFonts w:eastAsiaTheme="minorHAnsi"/>
          <w:color w:val="000000"/>
          <w:sz w:val="22"/>
          <w:szCs w:val="22"/>
          <w:lang w:eastAsia="en-US"/>
        </w:rPr>
      </w:pPr>
    </w:p>
    <w:p w14:paraId="2C538C22" w14:textId="4C8742DD" w:rsidR="003B31DC" w:rsidRDefault="002F7ACE">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Š</w:t>
      </w:r>
      <w:r w:rsidR="00913CBE">
        <w:rPr>
          <w:rFonts w:eastAsiaTheme="minorHAnsi"/>
          <w:i/>
          <w:iCs/>
          <w:color w:val="000000"/>
          <w:sz w:val="22"/>
          <w:szCs w:val="22"/>
          <w:u w:val="single"/>
          <w:lang w:eastAsia="en-US"/>
        </w:rPr>
        <w:t>irdies ir kraujagyslių sistem</w:t>
      </w:r>
      <w:r>
        <w:rPr>
          <w:rFonts w:eastAsiaTheme="minorHAnsi"/>
          <w:i/>
          <w:iCs/>
          <w:color w:val="000000"/>
          <w:sz w:val="22"/>
          <w:szCs w:val="22"/>
          <w:u w:val="single"/>
          <w:lang w:eastAsia="en-US"/>
        </w:rPr>
        <w:t>os sutrikimai</w:t>
      </w:r>
    </w:p>
    <w:p w14:paraId="1C33AD3A" w14:textId="77777777" w:rsidR="003B31DC" w:rsidRDefault="003B31DC">
      <w:pPr>
        <w:autoSpaceDE w:val="0"/>
        <w:autoSpaceDN w:val="0"/>
        <w:adjustRightInd w:val="0"/>
        <w:rPr>
          <w:rFonts w:eastAsiaTheme="minorHAnsi"/>
          <w:color w:val="000000"/>
          <w:sz w:val="22"/>
          <w:szCs w:val="22"/>
          <w:lang w:eastAsia="en-US"/>
        </w:rPr>
      </w:pPr>
    </w:p>
    <w:p w14:paraId="05893861" w14:textId="7C1CF3FE"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Dvigubai koduoto, placebu kontroliuojamo EMPA-REG OUTCOME tyrimo metu buvo palygintos suminės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10 ir 25 mg dozės su placebu, skiriant kaip standartinio gydymo papildymą pacientams, sergantiems 2 tipo cukriniu diabetu ir nustatyta širdies ir kraujagyslių liga. Iš viso buvo gydyta 7 020 pacientų (10 mg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xml:space="preserve">: 2 345, 25 mg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xml:space="preserve">: 2 342, placebu: 2 333) </w:t>
      </w:r>
      <w:r w:rsidR="006D1F40" w:rsidRPr="00FA2F7A">
        <w:rPr>
          <w:sz w:val="22"/>
          <w:szCs w:val="22"/>
        </w:rPr>
        <w:t>o jų stebėjimo vidurkis siekė</w:t>
      </w:r>
      <w:r w:rsidR="007B75C3">
        <w:rPr>
          <w:sz w:val="22"/>
          <w:szCs w:val="22"/>
        </w:rPr>
        <w:t xml:space="preserve"> </w:t>
      </w:r>
      <w:r w:rsidRPr="006D1F40">
        <w:rPr>
          <w:rFonts w:eastAsiaTheme="minorHAnsi"/>
          <w:color w:val="000000"/>
          <w:sz w:val="22"/>
          <w:szCs w:val="22"/>
          <w:lang w:eastAsia="en-US"/>
        </w:rPr>
        <w:t>3,1 metų. Amžiaus vidurkis buvo 63 metai, vidut</w:t>
      </w:r>
      <w:r>
        <w:rPr>
          <w:rFonts w:eastAsiaTheme="minorHAnsi"/>
          <w:color w:val="000000"/>
          <w:sz w:val="22"/>
          <w:szCs w:val="22"/>
          <w:lang w:eastAsia="en-US"/>
        </w:rPr>
        <w:t xml:space="preserve">inis HbA1c buvo 8,1 %, 71,5 % buvo vyrai. Tyrimo pradžioje 74 % pacientų buvo gydomi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48 % insulinu ir 43 % </w:t>
      </w:r>
      <w:proofErr w:type="spellStart"/>
      <w:r>
        <w:rPr>
          <w:rFonts w:eastAsiaTheme="minorHAnsi"/>
          <w:color w:val="000000"/>
          <w:sz w:val="22"/>
          <w:szCs w:val="22"/>
          <w:lang w:eastAsia="en-US"/>
        </w:rPr>
        <w:t>sulfonilkarbamidu</w:t>
      </w:r>
      <w:proofErr w:type="spellEnd"/>
      <w:r>
        <w:rPr>
          <w:rFonts w:eastAsiaTheme="minorHAnsi"/>
          <w:color w:val="000000"/>
          <w:sz w:val="22"/>
          <w:szCs w:val="22"/>
          <w:lang w:eastAsia="en-US"/>
        </w:rPr>
        <w:t xml:space="preserve">. Maždaug pusės pacientų (52,2 %)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buvo 60–90 ml/min/1,73 m</w:t>
      </w:r>
      <w:r>
        <w:rPr>
          <w:rFonts w:eastAsiaTheme="minorHAnsi"/>
          <w:color w:val="000000"/>
          <w:sz w:val="22"/>
          <w:szCs w:val="22"/>
          <w:vertAlign w:val="superscript"/>
          <w:lang w:eastAsia="en-US"/>
        </w:rPr>
        <w:t>2</w:t>
      </w:r>
      <w:r>
        <w:rPr>
          <w:rFonts w:eastAsiaTheme="minorHAnsi"/>
          <w:color w:val="000000"/>
          <w:sz w:val="22"/>
          <w:szCs w:val="22"/>
          <w:lang w:eastAsia="en-US"/>
        </w:rPr>
        <w:t>, 17,8 % 45–60 ml/min/1,73 m</w:t>
      </w:r>
      <w:r>
        <w:rPr>
          <w:rFonts w:eastAsiaTheme="minorHAnsi"/>
          <w:color w:val="000000"/>
          <w:sz w:val="22"/>
          <w:szCs w:val="22"/>
          <w:vertAlign w:val="superscript"/>
          <w:lang w:eastAsia="en-US"/>
        </w:rPr>
        <w:t>2</w:t>
      </w:r>
      <w:r>
        <w:rPr>
          <w:rFonts w:eastAsiaTheme="minorHAnsi"/>
          <w:color w:val="000000"/>
          <w:sz w:val="14"/>
          <w:szCs w:val="14"/>
          <w:lang w:eastAsia="en-US"/>
        </w:rPr>
        <w:t xml:space="preserve"> </w:t>
      </w:r>
      <w:r>
        <w:rPr>
          <w:rFonts w:eastAsiaTheme="minorHAnsi"/>
          <w:color w:val="000000"/>
          <w:sz w:val="22"/>
          <w:szCs w:val="22"/>
          <w:lang w:eastAsia="en-US"/>
        </w:rPr>
        <w:t>ir 7,7 % 30–45 ml/min/1,73 m</w:t>
      </w:r>
      <w:r>
        <w:rPr>
          <w:rFonts w:eastAsiaTheme="minorHAnsi"/>
          <w:color w:val="000000"/>
          <w:sz w:val="22"/>
          <w:szCs w:val="22"/>
          <w:vertAlign w:val="superscript"/>
          <w:lang w:eastAsia="en-US"/>
        </w:rPr>
        <w:t>2</w:t>
      </w:r>
      <w:r>
        <w:rPr>
          <w:rFonts w:eastAsiaTheme="minorHAnsi"/>
          <w:color w:val="000000"/>
          <w:sz w:val="22"/>
          <w:szCs w:val="22"/>
          <w:lang w:eastAsia="en-US"/>
        </w:rPr>
        <w:t>.</w:t>
      </w:r>
    </w:p>
    <w:p w14:paraId="7C449E74" w14:textId="4A96F2D9"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12</w:t>
      </w:r>
      <w:r w:rsidR="00F60039">
        <w:rPr>
          <w:rFonts w:eastAsiaTheme="minorHAnsi"/>
          <w:color w:val="000000"/>
          <w:sz w:val="22"/>
          <w:szCs w:val="22"/>
          <w:lang w:eastAsia="en-US"/>
        </w:rPr>
        <w:t>-ąją</w:t>
      </w:r>
      <w:r>
        <w:rPr>
          <w:rFonts w:eastAsiaTheme="minorHAnsi"/>
          <w:color w:val="000000"/>
          <w:sz w:val="22"/>
          <w:szCs w:val="22"/>
          <w:lang w:eastAsia="en-US"/>
        </w:rPr>
        <w:t xml:space="preserve"> </w:t>
      </w:r>
      <w:proofErr w:type="spellStart"/>
      <w:r>
        <w:rPr>
          <w:rFonts w:eastAsiaTheme="minorHAnsi"/>
          <w:color w:val="000000"/>
          <w:sz w:val="22"/>
          <w:szCs w:val="22"/>
          <w:lang w:eastAsia="en-US"/>
        </w:rPr>
        <w:t>savaitę</w:t>
      </w:r>
      <w:r w:rsidR="00E17E41" w:rsidRPr="00FA2F7A">
        <w:rPr>
          <w:sz w:val="22"/>
          <w:szCs w:val="22"/>
        </w:rPr>
        <w:t>nustatytas</w:t>
      </w:r>
      <w:proofErr w:type="spellEnd"/>
      <w:r w:rsidR="00E17E41" w:rsidRPr="00FA2F7A">
        <w:rPr>
          <w:sz w:val="22"/>
          <w:szCs w:val="22"/>
        </w:rPr>
        <w:t xml:space="preserve"> pakoreguotas vidutinis</w:t>
      </w:r>
      <w:r w:rsidR="00E17E41">
        <w:rPr>
          <w:sz w:val="22"/>
          <w:szCs w:val="22"/>
        </w:rPr>
        <w:t xml:space="preserve"> </w:t>
      </w:r>
      <w:r w:rsidRPr="00E17E41">
        <w:rPr>
          <w:rFonts w:eastAsiaTheme="minorHAnsi"/>
          <w:color w:val="000000"/>
          <w:sz w:val="22"/>
          <w:szCs w:val="22"/>
          <w:lang w:eastAsia="en-US"/>
        </w:rPr>
        <w:t>HbA1c</w:t>
      </w:r>
      <w:r>
        <w:rPr>
          <w:rFonts w:eastAsiaTheme="minorHAnsi"/>
          <w:color w:val="000000"/>
          <w:sz w:val="22"/>
          <w:szCs w:val="22"/>
          <w:lang w:eastAsia="en-US"/>
        </w:rPr>
        <w:t xml:space="preserve"> pagerėjimas</w:t>
      </w:r>
      <w:r w:rsidR="00E17E41">
        <w:rPr>
          <w:rFonts w:eastAsiaTheme="minorHAnsi"/>
          <w:color w:val="000000"/>
          <w:sz w:val="22"/>
          <w:szCs w:val="22"/>
          <w:lang w:eastAsia="en-US"/>
        </w:rPr>
        <w:t>,</w:t>
      </w:r>
      <w:r>
        <w:rPr>
          <w:rFonts w:eastAsiaTheme="minorHAnsi"/>
          <w:color w:val="000000"/>
          <w:sz w:val="22"/>
          <w:szCs w:val="22"/>
          <w:lang w:eastAsia="en-US"/>
        </w:rPr>
        <w:t xml:space="preserve"> lyginant su pradinėmis vertėmis placebo grupėje 0,11 % (0,02) ir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10 ir 25 mg grupėse atitinkamai 0,65 % (0,02) ir 0,71 % (0,02). Po pirmųjų 12 savaičių </w:t>
      </w:r>
      <w:proofErr w:type="spellStart"/>
      <w:r>
        <w:rPr>
          <w:rFonts w:eastAsiaTheme="minorHAnsi"/>
          <w:color w:val="000000"/>
          <w:sz w:val="22"/>
          <w:szCs w:val="22"/>
          <w:lang w:eastAsia="en-US"/>
        </w:rPr>
        <w:t>glikemijos</w:t>
      </w:r>
      <w:proofErr w:type="spellEnd"/>
      <w:r>
        <w:rPr>
          <w:rFonts w:eastAsiaTheme="minorHAnsi"/>
          <w:color w:val="000000"/>
          <w:sz w:val="22"/>
          <w:szCs w:val="22"/>
          <w:lang w:eastAsia="en-US"/>
        </w:rPr>
        <w:t xml:space="preserve"> kontrolė </w:t>
      </w:r>
      <w:r w:rsidR="008C1F46">
        <w:rPr>
          <w:rFonts w:eastAsiaTheme="minorHAnsi"/>
          <w:color w:val="000000"/>
          <w:sz w:val="22"/>
          <w:szCs w:val="22"/>
          <w:lang w:eastAsia="en-US"/>
        </w:rPr>
        <w:t xml:space="preserve">buvo </w:t>
      </w:r>
      <w:r>
        <w:rPr>
          <w:rFonts w:eastAsiaTheme="minorHAnsi"/>
          <w:color w:val="000000"/>
          <w:sz w:val="22"/>
          <w:szCs w:val="22"/>
          <w:lang w:eastAsia="en-US"/>
        </w:rPr>
        <w:t>optimiz</w:t>
      </w:r>
      <w:r w:rsidR="008C1F46">
        <w:rPr>
          <w:rFonts w:eastAsiaTheme="minorHAnsi"/>
          <w:color w:val="000000"/>
          <w:sz w:val="22"/>
          <w:szCs w:val="22"/>
          <w:lang w:eastAsia="en-US"/>
        </w:rPr>
        <w:t>uojama</w:t>
      </w:r>
      <w:r>
        <w:rPr>
          <w:rFonts w:eastAsiaTheme="minorHAnsi"/>
          <w:color w:val="000000"/>
          <w:sz w:val="22"/>
          <w:szCs w:val="22"/>
          <w:lang w:eastAsia="en-US"/>
        </w:rPr>
        <w:t xml:space="preserve"> nepriklausomai nuo tiriamojo vaistinio preparato vartojimo. Todėl poveikis susilpnėjo 94</w:t>
      </w:r>
      <w:r w:rsidR="009F3BBA">
        <w:rPr>
          <w:rFonts w:eastAsiaTheme="minorHAnsi"/>
          <w:color w:val="000000"/>
          <w:sz w:val="22"/>
          <w:szCs w:val="22"/>
          <w:lang w:eastAsia="en-US"/>
        </w:rPr>
        <w:t>-ąją</w:t>
      </w:r>
      <w:r>
        <w:rPr>
          <w:rFonts w:eastAsiaTheme="minorHAnsi"/>
          <w:color w:val="000000"/>
          <w:sz w:val="22"/>
          <w:szCs w:val="22"/>
          <w:lang w:eastAsia="en-US"/>
        </w:rPr>
        <w:t xml:space="preserve"> savaitę ir </w:t>
      </w:r>
      <w:r w:rsidR="008D0BDC">
        <w:rPr>
          <w:rFonts w:eastAsiaTheme="minorHAnsi"/>
          <w:color w:val="000000"/>
          <w:sz w:val="22"/>
          <w:szCs w:val="22"/>
          <w:lang w:eastAsia="en-US"/>
        </w:rPr>
        <w:t xml:space="preserve">pakoreguotas vidutinis </w:t>
      </w:r>
      <w:r>
        <w:rPr>
          <w:rFonts w:eastAsiaTheme="minorHAnsi"/>
          <w:color w:val="000000"/>
          <w:sz w:val="22"/>
          <w:szCs w:val="22"/>
          <w:lang w:eastAsia="en-US"/>
        </w:rPr>
        <w:t xml:space="preserve">HbA1c  pagerėjimas placebo grupėje buvo 0,08 % (0,02) ir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10 mg ir 25 mg grupėse buvo atitinkamai 0,50 % (0,02) ir 0,55 % (0,02).</w:t>
      </w:r>
    </w:p>
    <w:p w14:paraId="6F7FB156" w14:textId="77777777" w:rsidR="003B31DC" w:rsidRDefault="003B31DC">
      <w:pPr>
        <w:autoSpaceDE w:val="0"/>
        <w:autoSpaceDN w:val="0"/>
        <w:adjustRightInd w:val="0"/>
        <w:rPr>
          <w:rFonts w:eastAsiaTheme="minorHAnsi"/>
          <w:color w:val="000000"/>
          <w:sz w:val="22"/>
          <w:szCs w:val="22"/>
          <w:lang w:eastAsia="en-US"/>
        </w:rPr>
      </w:pPr>
    </w:p>
    <w:p w14:paraId="10C33159" w14:textId="4AFD28B5" w:rsidR="003B31DC" w:rsidRDefault="00913CBE">
      <w:pPr>
        <w:autoSpaceDE w:val="0"/>
        <w:autoSpaceDN w:val="0"/>
        <w:adjustRightInd w:val="0"/>
        <w:rPr>
          <w:sz w:val="22"/>
          <w:szCs w:val="22"/>
        </w:rPr>
      </w:pPr>
      <w:proofErr w:type="spellStart"/>
      <w:r>
        <w:rPr>
          <w:sz w:val="22"/>
          <w:szCs w:val="22"/>
        </w:rPr>
        <w:t>Empagliflozinas</w:t>
      </w:r>
      <w:proofErr w:type="spellEnd"/>
      <w:r>
        <w:rPr>
          <w:sz w:val="22"/>
          <w:szCs w:val="22"/>
        </w:rPr>
        <w:t xml:space="preserve"> buvo veiksmingesnis negu placebas išvengiant </w:t>
      </w:r>
      <w:r w:rsidR="009F5411">
        <w:rPr>
          <w:sz w:val="22"/>
          <w:szCs w:val="22"/>
        </w:rPr>
        <w:t xml:space="preserve">pagrindinės sudėtinės </w:t>
      </w:r>
      <w:r w:rsidR="006D78DC">
        <w:rPr>
          <w:sz w:val="22"/>
          <w:szCs w:val="22"/>
        </w:rPr>
        <w:t>vertinamosios baigties</w:t>
      </w:r>
      <w:r w:rsidR="00E85D97">
        <w:rPr>
          <w:sz w:val="22"/>
          <w:szCs w:val="22"/>
        </w:rPr>
        <w:t xml:space="preserve">: </w:t>
      </w:r>
      <w:r>
        <w:rPr>
          <w:sz w:val="22"/>
          <w:szCs w:val="22"/>
        </w:rPr>
        <w:t xml:space="preserve">mirčių dėl širdies ir kraujagyslių </w:t>
      </w:r>
      <w:r w:rsidR="00570AF1">
        <w:rPr>
          <w:sz w:val="22"/>
          <w:szCs w:val="22"/>
        </w:rPr>
        <w:t xml:space="preserve">ligų </w:t>
      </w:r>
      <w:r>
        <w:rPr>
          <w:sz w:val="22"/>
          <w:szCs w:val="22"/>
        </w:rPr>
        <w:t xml:space="preserve">reiškinių, nemirtino miokardo infarkto ar nemirtino insulto. Gydomąjį poveikį lėmė </w:t>
      </w:r>
      <w:r w:rsidR="00BB0FCC">
        <w:rPr>
          <w:sz w:val="22"/>
          <w:szCs w:val="22"/>
        </w:rPr>
        <w:t xml:space="preserve">reikšmingas </w:t>
      </w:r>
      <w:r>
        <w:rPr>
          <w:sz w:val="22"/>
          <w:szCs w:val="22"/>
        </w:rPr>
        <w:t>mir</w:t>
      </w:r>
      <w:r w:rsidR="00071E6E">
        <w:rPr>
          <w:sz w:val="22"/>
          <w:szCs w:val="22"/>
        </w:rPr>
        <w:t>ties</w:t>
      </w:r>
      <w:r>
        <w:rPr>
          <w:sz w:val="22"/>
          <w:szCs w:val="22"/>
        </w:rPr>
        <w:t xml:space="preserve"> </w:t>
      </w:r>
      <w:r w:rsidR="00071E6E">
        <w:rPr>
          <w:sz w:val="22"/>
          <w:szCs w:val="22"/>
        </w:rPr>
        <w:t xml:space="preserve">nuo </w:t>
      </w:r>
      <w:r>
        <w:rPr>
          <w:sz w:val="22"/>
          <w:szCs w:val="22"/>
        </w:rPr>
        <w:t xml:space="preserve">širdies ir kraujagyslių </w:t>
      </w:r>
      <w:r w:rsidR="00071E6E">
        <w:rPr>
          <w:sz w:val="22"/>
          <w:szCs w:val="22"/>
        </w:rPr>
        <w:t xml:space="preserve">ligų </w:t>
      </w:r>
      <w:r w:rsidR="00E11567">
        <w:rPr>
          <w:sz w:val="22"/>
          <w:szCs w:val="22"/>
        </w:rPr>
        <w:t xml:space="preserve">rizikos </w:t>
      </w:r>
      <w:r>
        <w:rPr>
          <w:sz w:val="22"/>
          <w:szCs w:val="22"/>
        </w:rPr>
        <w:t>sumažėjimas</w:t>
      </w:r>
      <w:r w:rsidR="005C1CAE">
        <w:rPr>
          <w:sz w:val="22"/>
          <w:szCs w:val="22"/>
        </w:rPr>
        <w:t>, o reikšmingų</w:t>
      </w:r>
      <w:r>
        <w:rPr>
          <w:sz w:val="22"/>
          <w:szCs w:val="22"/>
        </w:rPr>
        <w:t xml:space="preserve">  nemirtino miokardo infarkto ir nemirtino insulto </w:t>
      </w:r>
      <w:r w:rsidR="004D4BAC">
        <w:rPr>
          <w:sz w:val="22"/>
          <w:szCs w:val="22"/>
        </w:rPr>
        <w:t>pokyčių nebuvo</w:t>
      </w:r>
      <w:r>
        <w:rPr>
          <w:sz w:val="22"/>
          <w:szCs w:val="22"/>
        </w:rPr>
        <w:t xml:space="preserve">. </w:t>
      </w:r>
      <w:r w:rsidR="00E86293">
        <w:rPr>
          <w:sz w:val="22"/>
          <w:szCs w:val="22"/>
        </w:rPr>
        <w:t xml:space="preserve">Mirtingumo </w:t>
      </w:r>
      <w:r>
        <w:rPr>
          <w:sz w:val="22"/>
          <w:szCs w:val="22"/>
        </w:rPr>
        <w:t xml:space="preserve">nuo širdies ir kraujagyslių </w:t>
      </w:r>
      <w:r w:rsidR="000560EA">
        <w:rPr>
          <w:sz w:val="22"/>
          <w:szCs w:val="22"/>
        </w:rPr>
        <w:t xml:space="preserve">ligų </w:t>
      </w:r>
      <w:r>
        <w:rPr>
          <w:sz w:val="22"/>
          <w:szCs w:val="22"/>
        </w:rPr>
        <w:t xml:space="preserve">sumažėjimas vartojant 10 mg ir 25 mg </w:t>
      </w:r>
      <w:proofErr w:type="spellStart"/>
      <w:r>
        <w:rPr>
          <w:sz w:val="22"/>
          <w:szCs w:val="22"/>
        </w:rPr>
        <w:t>empagliflozino</w:t>
      </w:r>
      <w:proofErr w:type="spellEnd"/>
      <w:r>
        <w:rPr>
          <w:sz w:val="22"/>
          <w:szCs w:val="22"/>
        </w:rPr>
        <w:t xml:space="preserve"> buvo panašus (1 pav.) ir buvo patvirtintas </w:t>
      </w:r>
      <w:r w:rsidR="00744903">
        <w:rPr>
          <w:sz w:val="22"/>
          <w:szCs w:val="22"/>
        </w:rPr>
        <w:t xml:space="preserve">pagerėjusiu </w:t>
      </w:r>
      <w:r>
        <w:rPr>
          <w:sz w:val="22"/>
          <w:szCs w:val="22"/>
        </w:rPr>
        <w:t>bendr</w:t>
      </w:r>
      <w:r w:rsidR="00744903">
        <w:rPr>
          <w:sz w:val="22"/>
          <w:szCs w:val="22"/>
        </w:rPr>
        <w:t>u</w:t>
      </w:r>
      <w:r>
        <w:rPr>
          <w:sz w:val="22"/>
          <w:szCs w:val="22"/>
        </w:rPr>
        <w:t xml:space="preserve"> išgyvenamum</w:t>
      </w:r>
      <w:r w:rsidR="00744903">
        <w:rPr>
          <w:sz w:val="22"/>
          <w:szCs w:val="22"/>
        </w:rPr>
        <w:t>u</w:t>
      </w:r>
      <w:r>
        <w:rPr>
          <w:sz w:val="22"/>
          <w:szCs w:val="22"/>
        </w:rPr>
        <w:t xml:space="preserve"> (9 lentelė). EMPA-REG OUTCOME tyrimo metu </w:t>
      </w:r>
      <w:r w:rsidR="00AD1E3F">
        <w:rPr>
          <w:sz w:val="22"/>
          <w:szCs w:val="22"/>
        </w:rPr>
        <w:t xml:space="preserve">nustatyta, kad </w:t>
      </w:r>
      <w:proofErr w:type="spellStart"/>
      <w:r>
        <w:rPr>
          <w:sz w:val="22"/>
          <w:szCs w:val="22"/>
        </w:rPr>
        <w:t>empagliflozino</w:t>
      </w:r>
      <w:proofErr w:type="spellEnd"/>
      <w:r>
        <w:rPr>
          <w:sz w:val="22"/>
          <w:szCs w:val="22"/>
        </w:rPr>
        <w:t xml:space="preserve"> poveikis </w:t>
      </w:r>
      <w:r w:rsidR="00701F3F">
        <w:rPr>
          <w:sz w:val="22"/>
          <w:szCs w:val="22"/>
        </w:rPr>
        <w:t>pagrindinei sudėtinei vertinamajai baigčiai</w:t>
      </w:r>
      <w:r w:rsidR="00595C07">
        <w:rPr>
          <w:sz w:val="22"/>
          <w:szCs w:val="22"/>
        </w:rPr>
        <w:t xml:space="preserve"> </w:t>
      </w:r>
      <w:r>
        <w:rPr>
          <w:sz w:val="22"/>
          <w:szCs w:val="22"/>
        </w:rPr>
        <w:t xml:space="preserve"> </w:t>
      </w:r>
      <w:r w:rsidR="00595C07">
        <w:rPr>
          <w:sz w:val="22"/>
          <w:szCs w:val="22"/>
        </w:rPr>
        <w:t>(</w:t>
      </w:r>
      <w:r>
        <w:rPr>
          <w:sz w:val="22"/>
          <w:szCs w:val="22"/>
        </w:rPr>
        <w:t>mir</w:t>
      </w:r>
      <w:r w:rsidR="00595C07">
        <w:rPr>
          <w:sz w:val="22"/>
          <w:szCs w:val="22"/>
        </w:rPr>
        <w:t>tis</w:t>
      </w:r>
      <w:r>
        <w:rPr>
          <w:sz w:val="22"/>
          <w:szCs w:val="22"/>
        </w:rPr>
        <w:t xml:space="preserve"> </w:t>
      </w:r>
      <w:r w:rsidR="00595C07">
        <w:rPr>
          <w:sz w:val="22"/>
          <w:szCs w:val="22"/>
        </w:rPr>
        <w:t xml:space="preserve">nuo </w:t>
      </w:r>
      <w:r>
        <w:rPr>
          <w:sz w:val="22"/>
          <w:szCs w:val="22"/>
        </w:rPr>
        <w:t xml:space="preserve">širdies ir kraujagyslių </w:t>
      </w:r>
      <w:r w:rsidR="00595C07">
        <w:rPr>
          <w:sz w:val="22"/>
          <w:szCs w:val="22"/>
        </w:rPr>
        <w:t>ligų</w:t>
      </w:r>
      <w:r>
        <w:rPr>
          <w:sz w:val="22"/>
          <w:szCs w:val="22"/>
        </w:rPr>
        <w:t>, nemirtin</w:t>
      </w:r>
      <w:r w:rsidR="00783CB3">
        <w:rPr>
          <w:sz w:val="22"/>
          <w:szCs w:val="22"/>
        </w:rPr>
        <w:t>as</w:t>
      </w:r>
      <w:r>
        <w:rPr>
          <w:sz w:val="22"/>
          <w:szCs w:val="22"/>
        </w:rPr>
        <w:t xml:space="preserve"> miokardo infarkt</w:t>
      </w:r>
      <w:r w:rsidR="00783CB3">
        <w:rPr>
          <w:sz w:val="22"/>
          <w:szCs w:val="22"/>
        </w:rPr>
        <w:t>as</w:t>
      </w:r>
      <w:r>
        <w:rPr>
          <w:sz w:val="22"/>
          <w:szCs w:val="22"/>
        </w:rPr>
        <w:t xml:space="preserve"> ar nemirtin</w:t>
      </w:r>
      <w:r w:rsidR="00783CB3">
        <w:rPr>
          <w:sz w:val="22"/>
          <w:szCs w:val="22"/>
        </w:rPr>
        <w:t>as</w:t>
      </w:r>
      <w:r>
        <w:rPr>
          <w:sz w:val="22"/>
          <w:szCs w:val="22"/>
        </w:rPr>
        <w:t xml:space="preserve"> insult</w:t>
      </w:r>
      <w:r w:rsidR="00783CB3">
        <w:rPr>
          <w:sz w:val="22"/>
          <w:szCs w:val="22"/>
        </w:rPr>
        <w:t>as</w:t>
      </w:r>
      <w:r w:rsidR="008A1EA6">
        <w:rPr>
          <w:sz w:val="22"/>
          <w:szCs w:val="22"/>
        </w:rPr>
        <w:t>)</w:t>
      </w:r>
      <w:r>
        <w:rPr>
          <w:sz w:val="22"/>
          <w:szCs w:val="22"/>
        </w:rPr>
        <w:t xml:space="preserve"> iš esmės nepriklausė nuo </w:t>
      </w:r>
      <w:proofErr w:type="spellStart"/>
      <w:r>
        <w:rPr>
          <w:sz w:val="22"/>
          <w:szCs w:val="22"/>
        </w:rPr>
        <w:t>glikemijos</w:t>
      </w:r>
      <w:proofErr w:type="spellEnd"/>
      <w:r>
        <w:rPr>
          <w:sz w:val="22"/>
          <w:szCs w:val="22"/>
        </w:rPr>
        <w:t xml:space="preserve"> kontrolės ar inkstų funkcijos (</w:t>
      </w:r>
      <w:proofErr w:type="spellStart"/>
      <w:r>
        <w:rPr>
          <w:sz w:val="22"/>
          <w:szCs w:val="22"/>
        </w:rPr>
        <w:t>aGFG</w:t>
      </w:r>
      <w:proofErr w:type="spellEnd"/>
      <w:r>
        <w:rPr>
          <w:sz w:val="22"/>
          <w:szCs w:val="22"/>
        </w:rPr>
        <w:t xml:space="preserve">) ir apskritai buvo panašus tarp visų </w:t>
      </w:r>
      <w:proofErr w:type="spellStart"/>
      <w:r>
        <w:rPr>
          <w:sz w:val="22"/>
          <w:szCs w:val="22"/>
        </w:rPr>
        <w:t>aGFG</w:t>
      </w:r>
      <w:proofErr w:type="spellEnd"/>
      <w:r>
        <w:rPr>
          <w:sz w:val="22"/>
          <w:szCs w:val="22"/>
        </w:rPr>
        <w:t xml:space="preserve"> kategorijų, kai žemiausia </w:t>
      </w:r>
      <w:proofErr w:type="spellStart"/>
      <w:r>
        <w:rPr>
          <w:sz w:val="22"/>
          <w:szCs w:val="22"/>
        </w:rPr>
        <w:t>aGFG</w:t>
      </w:r>
      <w:proofErr w:type="spellEnd"/>
      <w:r>
        <w:rPr>
          <w:sz w:val="22"/>
          <w:szCs w:val="22"/>
        </w:rPr>
        <w:t xml:space="preserve"> vertė buvo 30 ml/min./1,73 m</w:t>
      </w:r>
      <w:r>
        <w:rPr>
          <w:sz w:val="22"/>
          <w:szCs w:val="22"/>
          <w:vertAlign w:val="superscript"/>
        </w:rPr>
        <w:t>2</w:t>
      </w:r>
      <w:r>
        <w:rPr>
          <w:sz w:val="22"/>
          <w:szCs w:val="22"/>
        </w:rPr>
        <w:t>.</w:t>
      </w:r>
    </w:p>
    <w:p w14:paraId="2B48D59C" w14:textId="77777777" w:rsidR="003B31DC" w:rsidRDefault="003B31DC">
      <w:pPr>
        <w:autoSpaceDE w:val="0"/>
        <w:autoSpaceDN w:val="0"/>
        <w:adjustRightInd w:val="0"/>
        <w:rPr>
          <w:sz w:val="22"/>
          <w:szCs w:val="22"/>
        </w:rPr>
      </w:pPr>
    </w:p>
    <w:p w14:paraId="243796F1" w14:textId="64663630" w:rsidR="003B31DC" w:rsidRDefault="00913CBE">
      <w:pPr>
        <w:autoSpaceDE w:val="0"/>
        <w:autoSpaceDN w:val="0"/>
        <w:adjustRightInd w:val="0"/>
        <w:rPr>
          <w:rFonts w:eastAsiaTheme="minorHAnsi"/>
          <w:color w:val="000000"/>
          <w:sz w:val="22"/>
          <w:szCs w:val="22"/>
          <w:lang w:eastAsia="en-US"/>
        </w:rPr>
      </w:pPr>
      <w:r>
        <w:rPr>
          <w:sz w:val="22"/>
          <w:szCs w:val="22"/>
        </w:rPr>
        <w:t xml:space="preserve">Veiksmingumas </w:t>
      </w:r>
      <w:r w:rsidR="008D6CE0">
        <w:rPr>
          <w:sz w:val="22"/>
          <w:szCs w:val="22"/>
        </w:rPr>
        <w:t>mažinant mirtingumą</w:t>
      </w:r>
      <w:r w:rsidR="00FB6950">
        <w:rPr>
          <w:sz w:val="22"/>
          <w:szCs w:val="22"/>
        </w:rPr>
        <w:t xml:space="preserve"> nuo</w:t>
      </w:r>
      <w:r>
        <w:rPr>
          <w:sz w:val="22"/>
          <w:szCs w:val="22"/>
        </w:rPr>
        <w:t xml:space="preserve"> širdies ir kraujagyslių ligų nebuvo </w:t>
      </w:r>
      <w:r w:rsidR="00FB6950">
        <w:rPr>
          <w:sz w:val="22"/>
          <w:szCs w:val="22"/>
        </w:rPr>
        <w:t xml:space="preserve">galutinai </w:t>
      </w:r>
      <w:r>
        <w:rPr>
          <w:sz w:val="22"/>
          <w:szCs w:val="22"/>
        </w:rPr>
        <w:t xml:space="preserve">nustatytas pacientams, vartojantiems </w:t>
      </w:r>
      <w:proofErr w:type="spellStart"/>
      <w:r>
        <w:rPr>
          <w:sz w:val="22"/>
          <w:szCs w:val="22"/>
        </w:rPr>
        <w:t>empaglifloziną</w:t>
      </w:r>
      <w:proofErr w:type="spellEnd"/>
      <w:r>
        <w:rPr>
          <w:sz w:val="22"/>
          <w:szCs w:val="22"/>
        </w:rPr>
        <w:t xml:space="preserve"> kartu su DPP-4 inhibitoriais, ar juodaodžiams pacientams, kadangi šių grupių atstovų EMPA-REG OUTCOME tyrime buvo nedaug.</w:t>
      </w:r>
    </w:p>
    <w:p w14:paraId="03A66A28" w14:textId="77777777" w:rsidR="003B31DC" w:rsidRDefault="003B31DC">
      <w:pPr>
        <w:widowControl w:val="0"/>
        <w:tabs>
          <w:tab w:val="left" w:pos="567"/>
        </w:tabs>
        <w:ind w:left="567" w:hanging="567"/>
        <w:outlineLvl w:val="2"/>
        <w:rPr>
          <w:b/>
          <w:kern w:val="28"/>
          <w:sz w:val="22"/>
          <w:szCs w:val="22"/>
          <w:lang w:eastAsia="en-US"/>
        </w:rPr>
      </w:pPr>
    </w:p>
    <w:p w14:paraId="22432267" w14:textId="7FE071CC" w:rsidR="003B31DC" w:rsidRPr="00A02B90" w:rsidRDefault="00913CBE">
      <w:pPr>
        <w:ind w:left="1118" w:right="11" w:hanging="1133"/>
        <w:rPr>
          <w:sz w:val="22"/>
          <w:szCs w:val="22"/>
          <w:lang w:eastAsia="sl-SI"/>
        </w:rPr>
      </w:pPr>
      <w:bookmarkStart w:id="4" w:name="_Hlk224212341"/>
      <w:r w:rsidRPr="00A02B90">
        <w:rPr>
          <w:sz w:val="22"/>
          <w:szCs w:val="22"/>
          <w:lang w:eastAsia="sl-SI"/>
        </w:rPr>
        <w:lastRenderedPageBreak/>
        <w:t>9 len</w:t>
      </w:r>
      <w:r>
        <w:rPr>
          <w:sz w:val="22"/>
          <w:szCs w:val="22"/>
          <w:lang w:eastAsia="sl-SI"/>
        </w:rPr>
        <w:t>telė</w:t>
      </w:r>
      <w:r w:rsidRPr="00A02B90">
        <w:rPr>
          <w:sz w:val="22"/>
          <w:szCs w:val="22"/>
          <w:lang w:eastAsia="sl-SI"/>
        </w:rPr>
        <w:t>:</w:t>
      </w:r>
      <w:r w:rsidRPr="00A02B90">
        <w:rPr>
          <w:sz w:val="22"/>
          <w:szCs w:val="22"/>
          <w:lang w:eastAsia="sl-SI"/>
        </w:rPr>
        <w:tab/>
      </w:r>
      <w:r>
        <w:rPr>
          <w:sz w:val="22"/>
          <w:szCs w:val="22"/>
        </w:rPr>
        <w:t xml:space="preserve">Gydymo veiksmingumas </w:t>
      </w:r>
      <w:r w:rsidR="007A665C">
        <w:rPr>
          <w:sz w:val="22"/>
          <w:szCs w:val="22"/>
        </w:rPr>
        <w:t>pagrindinei sudėtinei vertinamajai baigčiai</w:t>
      </w:r>
      <w:r w:rsidR="002E61E9">
        <w:rPr>
          <w:sz w:val="22"/>
          <w:szCs w:val="22"/>
        </w:rPr>
        <w:t xml:space="preserve">, jos komponentams ir mirtingumui </w:t>
      </w:r>
      <w:r>
        <w:rPr>
          <w:sz w:val="22"/>
          <w:szCs w:val="22"/>
          <w:vertAlign w:val="superscript"/>
        </w:rPr>
        <w:t>a</w:t>
      </w:r>
    </w:p>
    <w:bookmarkEnd w:id="4"/>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2268"/>
        <w:gridCol w:w="2410"/>
      </w:tblGrid>
      <w:tr w:rsidR="003B31DC" w14:paraId="3EB8DEB1" w14:textId="77777777">
        <w:trPr>
          <w:trHeight w:val="253"/>
        </w:trPr>
        <w:tc>
          <w:tcPr>
            <w:tcW w:w="4219" w:type="dxa"/>
          </w:tcPr>
          <w:p w14:paraId="048B80CB" w14:textId="77777777" w:rsidR="003B31DC" w:rsidRPr="00A02B90" w:rsidRDefault="003B31DC">
            <w:pPr>
              <w:tabs>
                <w:tab w:val="left" w:pos="9071"/>
              </w:tabs>
              <w:rPr>
                <w:rFonts w:eastAsia="Calibri"/>
                <w:lang w:val="lt-LT" w:eastAsia="en-US"/>
              </w:rPr>
            </w:pPr>
          </w:p>
        </w:tc>
        <w:tc>
          <w:tcPr>
            <w:tcW w:w="2268" w:type="dxa"/>
          </w:tcPr>
          <w:p w14:paraId="76D8A823" w14:textId="77777777" w:rsidR="003B31DC" w:rsidRDefault="00913CBE">
            <w:pPr>
              <w:tabs>
                <w:tab w:val="left" w:pos="9071"/>
              </w:tabs>
              <w:ind w:right="6"/>
              <w:jc w:val="center"/>
              <w:rPr>
                <w:rFonts w:eastAsia="Calibri"/>
                <w:b/>
                <w:lang w:val="en-GB" w:eastAsia="en-US"/>
              </w:rPr>
            </w:pPr>
            <w:proofErr w:type="spellStart"/>
            <w:r>
              <w:rPr>
                <w:rFonts w:eastAsia="Calibri"/>
                <w:b/>
                <w:spacing w:val="-2"/>
                <w:lang w:val="en-GB" w:eastAsia="en-US"/>
              </w:rPr>
              <w:t>Placebas</w:t>
            </w:r>
            <w:proofErr w:type="spellEnd"/>
          </w:p>
        </w:tc>
        <w:tc>
          <w:tcPr>
            <w:tcW w:w="2410" w:type="dxa"/>
          </w:tcPr>
          <w:p w14:paraId="70B72FFD" w14:textId="77777777" w:rsidR="003B31DC" w:rsidRDefault="00913CBE">
            <w:pPr>
              <w:tabs>
                <w:tab w:val="left" w:pos="9071"/>
              </w:tabs>
              <w:ind w:right="5"/>
              <w:jc w:val="center"/>
              <w:rPr>
                <w:rFonts w:eastAsia="Calibri"/>
                <w:b/>
                <w:lang w:val="en-GB" w:eastAsia="en-US"/>
              </w:rPr>
            </w:pPr>
            <w:proofErr w:type="spellStart"/>
            <w:r>
              <w:rPr>
                <w:rFonts w:eastAsia="Calibri"/>
                <w:b/>
                <w:spacing w:val="-2"/>
                <w:lang w:val="en-GB" w:eastAsia="en-US"/>
              </w:rPr>
              <w:t>Empagliflozinas</w:t>
            </w:r>
            <w:r>
              <w:rPr>
                <w:rFonts w:eastAsia="Calibri"/>
                <w:b/>
                <w:spacing w:val="-2"/>
                <w:vertAlign w:val="superscript"/>
                <w:lang w:val="en-GB" w:eastAsia="en-US"/>
              </w:rPr>
              <w:t>b</w:t>
            </w:r>
            <w:proofErr w:type="spellEnd"/>
          </w:p>
        </w:tc>
      </w:tr>
      <w:tr w:rsidR="003B31DC" w14:paraId="2D885EC4" w14:textId="77777777">
        <w:trPr>
          <w:trHeight w:val="251"/>
        </w:trPr>
        <w:tc>
          <w:tcPr>
            <w:tcW w:w="4219" w:type="dxa"/>
          </w:tcPr>
          <w:p w14:paraId="554407CA"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2268" w:type="dxa"/>
          </w:tcPr>
          <w:p w14:paraId="2DEBA1E8" w14:textId="77777777" w:rsidR="003B31DC" w:rsidRDefault="00913CBE">
            <w:pPr>
              <w:tabs>
                <w:tab w:val="left" w:pos="9071"/>
              </w:tabs>
              <w:ind w:right="4"/>
              <w:jc w:val="center"/>
              <w:rPr>
                <w:rFonts w:eastAsia="Calibri"/>
                <w:lang w:val="en-GB" w:eastAsia="en-US"/>
              </w:rPr>
            </w:pPr>
            <w:r>
              <w:rPr>
                <w:rFonts w:eastAsia="Calibri"/>
                <w:spacing w:val="-4"/>
                <w:lang w:val="en-GB" w:eastAsia="en-US"/>
              </w:rPr>
              <w:t>2 333</w:t>
            </w:r>
          </w:p>
        </w:tc>
        <w:tc>
          <w:tcPr>
            <w:tcW w:w="2410" w:type="dxa"/>
          </w:tcPr>
          <w:p w14:paraId="43AF0CBC" w14:textId="77777777" w:rsidR="003B31DC" w:rsidRDefault="00913CBE">
            <w:pPr>
              <w:tabs>
                <w:tab w:val="left" w:pos="9071"/>
              </w:tabs>
              <w:ind w:right="3"/>
              <w:jc w:val="center"/>
              <w:rPr>
                <w:rFonts w:eastAsia="Calibri"/>
                <w:lang w:val="en-GB" w:eastAsia="en-US"/>
              </w:rPr>
            </w:pPr>
            <w:r>
              <w:rPr>
                <w:rFonts w:eastAsia="Calibri"/>
                <w:spacing w:val="-4"/>
                <w:lang w:val="en-GB" w:eastAsia="en-US"/>
              </w:rPr>
              <w:t>4 687</w:t>
            </w:r>
          </w:p>
        </w:tc>
      </w:tr>
      <w:tr w:rsidR="003B31DC" w14:paraId="1FC2A6AB" w14:textId="77777777">
        <w:trPr>
          <w:trHeight w:val="505"/>
        </w:trPr>
        <w:tc>
          <w:tcPr>
            <w:tcW w:w="4219" w:type="dxa"/>
          </w:tcPr>
          <w:p w14:paraId="63A85034" w14:textId="77777777" w:rsidR="003B31DC" w:rsidRPr="00A02B90" w:rsidRDefault="00913CBE">
            <w:pPr>
              <w:tabs>
                <w:tab w:val="left" w:pos="9071"/>
              </w:tabs>
              <w:rPr>
                <w:rFonts w:eastAsia="Calibri"/>
                <w:b/>
                <w:lang w:val="lt-LT" w:eastAsia="en-US"/>
              </w:rPr>
            </w:pPr>
            <w:r w:rsidRPr="00A02B90">
              <w:rPr>
                <w:rFonts w:eastAsia="Calibri"/>
                <w:b/>
                <w:lang w:val="lt-LT" w:eastAsia="en-US"/>
              </w:rPr>
              <w:t>Laikas iki pirmosios mirties nuo ŠK reiškinių, nemirtino MI ar nemirtino insulto N (%)</w:t>
            </w:r>
          </w:p>
        </w:tc>
        <w:tc>
          <w:tcPr>
            <w:tcW w:w="2268" w:type="dxa"/>
          </w:tcPr>
          <w:p w14:paraId="4B19D446" w14:textId="77777777" w:rsidR="003B31DC" w:rsidRDefault="00913CBE">
            <w:pPr>
              <w:tabs>
                <w:tab w:val="left" w:pos="9071"/>
              </w:tabs>
              <w:ind w:right="8"/>
              <w:jc w:val="center"/>
              <w:rPr>
                <w:rFonts w:eastAsia="Calibri"/>
                <w:lang w:val="en-GB" w:eastAsia="en-US"/>
              </w:rPr>
            </w:pPr>
            <w:r>
              <w:rPr>
                <w:rFonts w:eastAsia="Calibri"/>
                <w:lang w:val="en-GB" w:eastAsia="en-US"/>
              </w:rPr>
              <w:t xml:space="preserve">282 </w:t>
            </w:r>
            <w:r>
              <w:rPr>
                <w:rFonts w:eastAsia="Calibri"/>
                <w:spacing w:val="-2"/>
                <w:lang w:val="en-GB" w:eastAsia="en-US"/>
              </w:rPr>
              <w:t>(12,1)</w:t>
            </w:r>
          </w:p>
        </w:tc>
        <w:tc>
          <w:tcPr>
            <w:tcW w:w="2410" w:type="dxa"/>
          </w:tcPr>
          <w:p w14:paraId="38F16529" w14:textId="77777777" w:rsidR="003B31DC" w:rsidRDefault="00913CBE">
            <w:pPr>
              <w:tabs>
                <w:tab w:val="left" w:pos="9071"/>
              </w:tabs>
              <w:ind w:right="1"/>
              <w:jc w:val="center"/>
              <w:rPr>
                <w:rFonts w:eastAsia="Calibri"/>
                <w:lang w:val="en-GB" w:eastAsia="en-US"/>
              </w:rPr>
            </w:pPr>
            <w:r>
              <w:rPr>
                <w:rFonts w:eastAsia="Calibri"/>
                <w:lang w:val="en-GB" w:eastAsia="en-US"/>
              </w:rPr>
              <w:t>490</w:t>
            </w:r>
            <w:r>
              <w:rPr>
                <w:rFonts w:eastAsia="Calibri"/>
                <w:spacing w:val="-3"/>
                <w:lang w:val="en-GB" w:eastAsia="en-US"/>
              </w:rPr>
              <w:t xml:space="preserve"> </w:t>
            </w:r>
            <w:r>
              <w:rPr>
                <w:rFonts w:eastAsia="Calibri"/>
                <w:spacing w:val="-2"/>
                <w:lang w:val="en-GB" w:eastAsia="en-US"/>
              </w:rPr>
              <w:t>(10,5)</w:t>
            </w:r>
          </w:p>
        </w:tc>
      </w:tr>
      <w:tr w:rsidR="003B31DC" w14:paraId="36749F89" w14:textId="77777777">
        <w:trPr>
          <w:trHeight w:val="252"/>
        </w:trPr>
        <w:tc>
          <w:tcPr>
            <w:tcW w:w="4219" w:type="dxa"/>
          </w:tcPr>
          <w:p w14:paraId="0980C09F" w14:textId="77777777" w:rsidR="003B31DC" w:rsidRPr="00A02B90" w:rsidRDefault="00913CBE">
            <w:pPr>
              <w:tabs>
                <w:tab w:val="left" w:pos="9071"/>
              </w:tabs>
              <w:rPr>
                <w:rFonts w:eastAsia="Calibri"/>
                <w:lang w:val="fr-FR" w:eastAsia="en-US"/>
              </w:rPr>
            </w:pPr>
            <w:r w:rsidRPr="00A02B90">
              <w:rPr>
                <w:rFonts w:eastAsia="Calibri"/>
                <w:lang w:val="fr-FR" w:eastAsia="en-US"/>
              </w:rPr>
              <w:t>Rizikos santykis lyginant su placebu (PI 95,02 %)*</w:t>
            </w:r>
          </w:p>
        </w:tc>
        <w:tc>
          <w:tcPr>
            <w:tcW w:w="2268" w:type="dxa"/>
          </w:tcPr>
          <w:p w14:paraId="2B6A46B7" w14:textId="77777777" w:rsidR="003B31DC" w:rsidRPr="00A02B90" w:rsidRDefault="003B31DC">
            <w:pPr>
              <w:tabs>
                <w:tab w:val="left" w:pos="9071"/>
              </w:tabs>
              <w:rPr>
                <w:rFonts w:eastAsia="Calibri"/>
                <w:lang w:val="fr-FR" w:eastAsia="en-US"/>
              </w:rPr>
            </w:pPr>
          </w:p>
        </w:tc>
        <w:tc>
          <w:tcPr>
            <w:tcW w:w="2410" w:type="dxa"/>
          </w:tcPr>
          <w:p w14:paraId="2727A1BD" w14:textId="77777777" w:rsidR="003B31DC" w:rsidRDefault="00913CBE">
            <w:pPr>
              <w:tabs>
                <w:tab w:val="left" w:pos="9071"/>
              </w:tabs>
              <w:rPr>
                <w:rFonts w:eastAsia="Calibri"/>
                <w:lang w:val="en-GB" w:eastAsia="en-US"/>
              </w:rPr>
            </w:pPr>
            <w:r>
              <w:rPr>
                <w:rFonts w:eastAsia="Calibri"/>
                <w:lang w:val="en-GB" w:eastAsia="en-US"/>
              </w:rPr>
              <w:t>0,86</w:t>
            </w:r>
            <w:r>
              <w:rPr>
                <w:rFonts w:eastAsia="Calibri"/>
                <w:spacing w:val="-5"/>
                <w:lang w:val="en-GB" w:eastAsia="en-US"/>
              </w:rPr>
              <w:t xml:space="preserve"> </w:t>
            </w:r>
            <w:r>
              <w:rPr>
                <w:rFonts w:eastAsia="Calibri"/>
                <w:lang w:val="en-GB" w:eastAsia="en-US"/>
              </w:rPr>
              <w:t>(0,74,</w:t>
            </w:r>
            <w:r>
              <w:rPr>
                <w:rFonts w:eastAsia="Calibri"/>
                <w:spacing w:val="-5"/>
                <w:lang w:val="en-GB" w:eastAsia="en-US"/>
              </w:rPr>
              <w:t xml:space="preserve"> </w:t>
            </w:r>
            <w:r>
              <w:rPr>
                <w:rFonts w:eastAsia="Calibri"/>
                <w:spacing w:val="-2"/>
                <w:lang w:val="en-GB" w:eastAsia="en-US"/>
              </w:rPr>
              <w:t>0,99)</w:t>
            </w:r>
          </w:p>
        </w:tc>
      </w:tr>
      <w:tr w:rsidR="003B31DC" w14:paraId="04354C20" w14:textId="77777777">
        <w:trPr>
          <w:trHeight w:val="251"/>
        </w:trPr>
        <w:tc>
          <w:tcPr>
            <w:tcW w:w="4219" w:type="dxa"/>
          </w:tcPr>
          <w:p w14:paraId="33191660" w14:textId="77777777" w:rsidR="003B31DC" w:rsidRDefault="00913CBE">
            <w:pPr>
              <w:tabs>
                <w:tab w:val="left" w:pos="9071"/>
              </w:tabs>
              <w:rPr>
                <w:rFonts w:eastAsia="Calibri"/>
                <w:lang w:val="en-GB" w:eastAsia="en-US"/>
              </w:rPr>
            </w:pPr>
            <w:r>
              <w:rPr>
                <w:rFonts w:eastAsia="Calibri"/>
                <w:lang w:val="en-GB" w:eastAsia="en-US"/>
              </w:rPr>
              <w:t xml:space="preserve">P </w:t>
            </w:r>
            <w:proofErr w:type="spellStart"/>
            <w:r>
              <w:rPr>
                <w:rFonts w:eastAsia="Calibri"/>
                <w:lang w:val="en-GB" w:eastAsia="en-US"/>
              </w:rPr>
              <w:t>reikšmė</w:t>
            </w:r>
            <w:proofErr w:type="spellEnd"/>
            <w:r>
              <w:rPr>
                <w:rFonts w:eastAsia="Calibri"/>
                <w:lang w:val="en-GB" w:eastAsia="en-US"/>
              </w:rPr>
              <w:t xml:space="preserve"> </w:t>
            </w:r>
            <w:proofErr w:type="spellStart"/>
            <w:r>
              <w:rPr>
                <w:rFonts w:eastAsia="Calibri"/>
                <w:lang w:val="en-GB" w:eastAsia="en-US"/>
              </w:rPr>
              <w:t>pranašumui</w:t>
            </w:r>
            <w:proofErr w:type="spellEnd"/>
          </w:p>
        </w:tc>
        <w:tc>
          <w:tcPr>
            <w:tcW w:w="2268" w:type="dxa"/>
          </w:tcPr>
          <w:p w14:paraId="647C1EEA" w14:textId="77777777" w:rsidR="003B31DC" w:rsidRDefault="003B31DC">
            <w:pPr>
              <w:tabs>
                <w:tab w:val="left" w:pos="9071"/>
              </w:tabs>
              <w:rPr>
                <w:rFonts w:eastAsia="Calibri"/>
                <w:lang w:val="en-GB" w:eastAsia="en-US"/>
              </w:rPr>
            </w:pPr>
          </w:p>
        </w:tc>
        <w:tc>
          <w:tcPr>
            <w:tcW w:w="2410" w:type="dxa"/>
          </w:tcPr>
          <w:p w14:paraId="08BAE023" w14:textId="77777777" w:rsidR="003B31DC" w:rsidRDefault="00913CBE">
            <w:pPr>
              <w:tabs>
                <w:tab w:val="left" w:pos="9071"/>
              </w:tabs>
              <w:jc w:val="center"/>
              <w:rPr>
                <w:rFonts w:eastAsia="Calibri"/>
                <w:lang w:val="en-GB" w:eastAsia="en-US"/>
              </w:rPr>
            </w:pPr>
            <w:r>
              <w:rPr>
                <w:rFonts w:eastAsia="Calibri"/>
                <w:spacing w:val="-2"/>
                <w:lang w:val="en-GB" w:eastAsia="en-US"/>
              </w:rPr>
              <w:t>0,0382</w:t>
            </w:r>
          </w:p>
        </w:tc>
      </w:tr>
      <w:tr w:rsidR="003B31DC" w14:paraId="61A9FAD0" w14:textId="77777777">
        <w:trPr>
          <w:trHeight w:val="253"/>
        </w:trPr>
        <w:tc>
          <w:tcPr>
            <w:tcW w:w="4219" w:type="dxa"/>
          </w:tcPr>
          <w:p w14:paraId="0BB61DF4" w14:textId="77777777" w:rsidR="003B31DC" w:rsidRPr="00FA2F7A" w:rsidRDefault="00913CBE">
            <w:pPr>
              <w:tabs>
                <w:tab w:val="left" w:pos="9071"/>
              </w:tabs>
              <w:rPr>
                <w:rFonts w:eastAsia="Calibri"/>
                <w:b/>
                <w:lang w:val="lt-LT" w:eastAsia="en-US"/>
              </w:rPr>
            </w:pPr>
            <w:r w:rsidRPr="00FA2F7A">
              <w:rPr>
                <w:rFonts w:eastAsia="Calibri"/>
                <w:b/>
                <w:lang w:val="lt-LT" w:eastAsia="en-US"/>
              </w:rPr>
              <w:t>Mirtis nuo ŠK reiškinių N (%)</w:t>
            </w:r>
          </w:p>
        </w:tc>
        <w:tc>
          <w:tcPr>
            <w:tcW w:w="2268" w:type="dxa"/>
          </w:tcPr>
          <w:p w14:paraId="64A7C133" w14:textId="77777777" w:rsidR="003B31DC" w:rsidRDefault="00913CBE">
            <w:pPr>
              <w:tabs>
                <w:tab w:val="left" w:pos="9071"/>
              </w:tabs>
              <w:ind w:right="7"/>
              <w:jc w:val="center"/>
              <w:rPr>
                <w:rFonts w:eastAsia="Calibri"/>
                <w:lang w:val="en-GB" w:eastAsia="en-US"/>
              </w:rPr>
            </w:pPr>
            <w:r>
              <w:rPr>
                <w:rFonts w:eastAsia="Calibri"/>
                <w:lang w:val="en-GB" w:eastAsia="en-US"/>
              </w:rPr>
              <w:t>137</w:t>
            </w:r>
            <w:r>
              <w:rPr>
                <w:rFonts w:eastAsia="Calibri"/>
                <w:spacing w:val="-5"/>
                <w:lang w:val="en-GB" w:eastAsia="en-US"/>
              </w:rPr>
              <w:t xml:space="preserve"> </w:t>
            </w:r>
            <w:r>
              <w:rPr>
                <w:rFonts w:eastAsia="Calibri"/>
                <w:spacing w:val="-2"/>
                <w:lang w:val="en-GB" w:eastAsia="en-US"/>
              </w:rPr>
              <w:t>(5,9)</w:t>
            </w:r>
          </w:p>
        </w:tc>
        <w:tc>
          <w:tcPr>
            <w:tcW w:w="2410" w:type="dxa"/>
          </w:tcPr>
          <w:p w14:paraId="12ABBE23" w14:textId="77777777" w:rsidR="003B31DC" w:rsidRDefault="00913CBE">
            <w:pPr>
              <w:tabs>
                <w:tab w:val="left" w:pos="9071"/>
              </w:tabs>
              <w:ind w:right="1"/>
              <w:jc w:val="center"/>
              <w:rPr>
                <w:rFonts w:eastAsia="Calibri"/>
                <w:lang w:val="en-GB" w:eastAsia="en-US"/>
              </w:rPr>
            </w:pPr>
            <w:r>
              <w:rPr>
                <w:rFonts w:eastAsia="Calibri"/>
                <w:lang w:val="en-GB" w:eastAsia="en-US"/>
              </w:rPr>
              <w:t>172</w:t>
            </w:r>
            <w:r>
              <w:rPr>
                <w:rFonts w:eastAsia="Calibri"/>
                <w:spacing w:val="-5"/>
                <w:lang w:val="en-GB" w:eastAsia="en-US"/>
              </w:rPr>
              <w:t xml:space="preserve"> </w:t>
            </w:r>
            <w:r>
              <w:rPr>
                <w:rFonts w:eastAsia="Calibri"/>
                <w:spacing w:val="-2"/>
                <w:lang w:val="en-GB" w:eastAsia="en-US"/>
              </w:rPr>
              <w:t>(3,7)</w:t>
            </w:r>
          </w:p>
        </w:tc>
      </w:tr>
      <w:tr w:rsidR="003B31DC" w14:paraId="5D91179D" w14:textId="77777777">
        <w:trPr>
          <w:trHeight w:val="251"/>
        </w:trPr>
        <w:tc>
          <w:tcPr>
            <w:tcW w:w="4219" w:type="dxa"/>
          </w:tcPr>
          <w:p w14:paraId="5107DCF2" w14:textId="77777777" w:rsidR="003B31DC" w:rsidRPr="00A02B90" w:rsidRDefault="00913CBE">
            <w:pPr>
              <w:tabs>
                <w:tab w:val="left" w:pos="9071"/>
              </w:tabs>
              <w:rPr>
                <w:rFonts w:eastAsia="Calibri"/>
                <w:lang w:val="fr-FR" w:eastAsia="en-US"/>
              </w:rPr>
            </w:pPr>
            <w:r w:rsidRPr="00A02B90">
              <w:rPr>
                <w:rFonts w:eastAsia="Calibri"/>
                <w:lang w:val="fr-FR" w:eastAsia="en-US"/>
              </w:rPr>
              <w:t>Rizikos santykis lyginant su placebu (PI 95 %)</w:t>
            </w:r>
          </w:p>
        </w:tc>
        <w:tc>
          <w:tcPr>
            <w:tcW w:w="2268" w:type="dxa"/>
          </w:tcPr>
          <w:p w14:paraId="35B41285" w14:textId="77777777" w:rsidR="003B31DC" w:rsidRPr="00A02B90" w:rsidRDefault="003B31DC">
            <w:pPr>
              <w:tabs>
                <w:tab w:val="left" w:pos="9071"/>
              </w:tabs>
              <w:rPr>
                <w:rFonts w:eastAsia="Calibri"/>
                <w:lang w:val="fr-FR" w:eastAsia="en-US"/>
              </w:rPr>
            </w:pPr>
          </w:p>
        </w:tc>
        <w:tc>
          <w:tcPr>
            <w:tcW w:w="2410" w:type="dxa"/>
          </w:tcPr>
          <w:p w14:paraId="583753A7" w14:textId="77777777" w:rsidR="003B31DC" w:rsidRDefault="00913CBE">
            <w:pPr>
              <w:tabs>
                <w:tab w:val="left" w:pos="9071"/>
              </w:tabs>
              <w:rPr>
                <w:rFonts w:eastAsia="Calibri"/>
                <w:lang w:val="en-GB" w:eastAsia="en-US"/>
              </w:rPr>
            </w:pPr>
            <w:r>
              <w:rPr>
                <w:rFonts w:eastAsia="Calibri"/>
                <w:lang w:val="en-GB" w:eastAsia="en-US"/>
              </w:rPr>
              <w:t>0,62</w:t>
            </w:r>
            <w:r>
              <w:rPr>
                <w:rFonts w:eastAsia="Calibri"/>
                <w:spacing w:val="-5"/>
                <w:lang w:val="en-GB" w:eastAsia="en-US"/>
              </w:rPr>
              <w:t xml:space="preserve"> </w:t>
            </w:r>
            <w:r>
              <w:rPr>
                <w:rFonts w:eastAsia="Calibri"/>
                <w:lang w:val="en-GB" w:eastAsia="en-US"/>
              </w:rPr>
              <w:t>(0,49,</w:t>
            </w:r>
            <w:r>
              <w:rPr>
                <w:rFonts w:eastAsia="Calibri"/>
                <w:spacing w:val="-5"/>
                <w:lang w:val="en-GB" w:eastAsia="en-US"/>
              </w:rPr>
              <w:t xml:space="preserve"> </w:t>
            </w:r>
            <w:r>
              <w:rPr>
                <w:rFonts w:eastAsia="Calibri"/>
                <w:spacing w:val="-2"/>
                <w:lang w:val="en-GB" w:eastAsia="en-US"/>
              </w:rPr>
              <w:t>0,77)</w:t>
            </w:r>
          </w:p>
        </w:tc>
      </w:tr>
      <w:tr w:rsidR="003B31DC" w14:paraId="50159E2A" w14:textId="77777777">
        <w:trPr>
          <w:trHeight w:val="253"/>
        </w:trPr>
        <w:tc>
          <w:tcPr>
            <w:tcW w:w="4219" w:type="dxa"/>
          </w:tcPr>
          <w:p w14:paraId="2243DC18" w14:textId="77777777" w:rsidR="003B31DC" w:rsidRDefault="00913CBE">
            <w:pPr>
              <w:tabs>
                <w:tab w:val="left" w:pos="9071"/>
              </w:tabs>
              <w:rPr>
                <w:rFonts w:eastAsia="Calibri"/>
                <w:lang w:val="en-GB" w:eastAsia="en-US"/>
              </w:rPr>
            </w:pPr>
            <w:r>
              <w:rPr>
                <w:rFonts w:eastAsia="Calibri"/>
                <w:spacing w:val="-2"/>
                <w:lang w:val="en-GB" w:eastAsia="en-US"/>
              </w:rPr>
              <w:t xml:space="preserve">P </w:t>
            </w:r>
            <w:proofErr w:type="spellStart"/>
            <w:r>
              <w:rPr>
                <w:rFonts w:eastAsia="Calibri"/>
                <w:spacing w:val="-2"/>
                <w:lang w:val="en-GB" w:eastAsia="en-US"/>
              </w:rPr>
              <w:t>reikšmė</w:t>
            </w:r>
            <w:proofErr w:type="spellEnd"/>
          </w:p>
        </w:tc>
        <w:tc>
          <w:tcPr>
            <w:tcW w:w="2268" w:type="dxa"/>
          </w:tcPr>
          <w:p w14:paraId="205F5A70" w14:textId="77777777" w:rsidR="003B31DC" w:rsidRDefault="003B31DC">
            <w:pPr>
              <w:tabs>
                <w:tab w:val="left" w:pos="9071"/>
              </w:tabs>
              <w:rPr>
                <w:rFonts w:eastAsia="Calibri"/>
                <w:lang w:val="en-GB" w:eastAsia="en-US"/>
              </w:rPr>
            </w:pPr>
          </w:p>
        </w:tc>
        <w:tc>
          <w:tcPr>
            <w:tcW w:w="2410" w:type="dxa"/>
          </w:tcPr>
          <w:p w14:paraId="051D4CBD" w14:textId="77777777" w:rsidR="003B31DC" w:rsidRDefault="00913CBE">
            <w:pPr>
              <w:tabs>
                <w:tab w:val="left" w:pos="9071"/>
              </w:tabs>
              <w:jc w:val="center"/>
              <w:rPr>
                <w:rFonts w:eastAsia="Calibri"/>
                <w:lang w:val="en-GB" w:eastAsia="en-US"/>
              </w:rPr>
            </w:pPr>
            <w:r>
              <w:rPr>
                <w:rFonts w:eastAsia="Calibri"/>
                <w:spacing w:val="-2"/>
                <w:lang w:val="en-GB" w:eastAsia="en-US"/>
              </w:rPr>
              <w:t>&lt;0,0001</w:t>
            </w:r>
          </w:p>
        </w:tc>
      </w:tr>
      <w:tr w:rsidR="003B31DC" w14:paraId="74CD2BB7" w14:textId="77777777">
        <w:trPr>
          <w:trHeight w:val="254"/>
        </w:trPr>
        <w:tc>
          <w:tcPr>
            <w:tcW w:w="4219" w:type="dxa"/>
          </w:tcPr>
          <w:p w14:paraId="6861913D" w14:textId="77777777" w:rsidR="003B31DC" w:rsidRDefault="00913CBE">
            <w:pPr>
              <w:tabs>
                <w:tab w:val="left" w:pos="9071"/>
              </w:tabs>
              <w:rPr>
                <w:rFonts w:eastAsia="Calibri"/>
                <w:b/>
                <w:lang w:val="en-GB" w:eastAsia="en-US"/>
              </w:rPr>
            </w:pPr>
            <w:proofErr w:type="spellStart"/>
            <w:r>
              <w:rPr>
                <w:rFonts w:eastAsia="Calibri"/>
                <w:b/>
                <w:lang w:val="en-GB" w:eastAsia="en-US"/>
              </w:rPr>
              <w:t>Nemirtinas</w:t>
            </w:r>
            <w:proofErr w:type="spellEnd"/>
            <w:r>
              <w:rPr>
                <w:rFonts w:eastAsia="Calibri"/>
                <w:b/>
                <w:lang w:val="en-GB" w:eastAsia="en-US"/>
              </w:rPr>
              <w:t xml:space="preserve"> </w:t>
            </w:r>
            <w:proofErr w:type="spellStart"/>
            <w:r>
              <w:rPr>
                <w:rFonts w:eastAsia="Calibri"/>
                <w:b/>
                <w:lang w:val="en-GB" w:eastAsia="en-US"/>
              </w:rPr>
              <w:t>insultas</w:t>
            </w:r>
            <w:proofErr w:type="spellEnd"/>
            <w:r>
              <w:rPr>
                <w:rFonts w:eastAsia="Calibri"/>
                <w:b/>
                <w:lang w:val="en-GB" w:eastAsia="en-US"/>
              </w:rPr>
              <w:t xml:space="preserve"> N (%)</w:t>
            </w:r>
          </w:p>
        </w:tc>
        <w:tc>
          <w:tcPr>
            <w:tcW w:w="2268" w:type="dxa"/>
          </w:tcPr>
          <w:p w14:paraId="020DC527" w14:textId="77777777" w:rsidR="003B31DC" w:rsidRDefault="00913CBE">
            <w:pPr>
              <w:tabs>
                <w:tab w:val="left" w:pos="9071"/>
              </w:tabs>
              <w:ind w:right="7"/>
              <w:jc w:val="center"/>
              <w:rPr>
                <w:rFonts w:eastAsia="Calibri"/>
                <w:lang w:val="en-GB" w:eastAsia="en-US"/>
              </w:rPr>
            </w:pPr>
            <w:r>
              <w:rPr>
                <w:rFonts w:eastAsia="Calibri"/>
                <w:lang w:val="en-GB" w:eastAsia="en-US"/>
              </w:rPr>
              <w:t>121</w:t>
            </w:r>
            <w:r>
              <w:rPr>
                <w:rFonts w:eastAsia="Calibri"/>
                <w:spacing w:val="-5"/>
                <w:lang w:val="en-GB" w:eastAsia="en-US"/>
              </w:rPr>
              <w:t xml:space="preserve"> </w:t>
            </w:r>
            <w:r>
              <w:rPr>
                <w:rFonts w:eastAsia="Calibri"/>
                <w:spacing w:val="-2"/>
                <w:lang w:val="en-GB" w:eastAsia="en-US"/>
              </w:rPr>
              <w:t>(5,2)</w:t>
            </w:r>
          </w:p>
        </w:tc>
        <w:tc>
          <w:tcPr>
            <w:tcW w:w="2410" w:type="dxa"/>
          </w:tcPr>
          <w:p w14:paraId="65512389" w14:textId="77777777" w:rsidR="003B31DC" w:rsidRDefault="00913CBE">
            <w:pPr>
              <w:tabs>
                <w:tab w:val="left" w:pos="9071"/>
              </w:tabs>
              <w:ind w:right="1"/>
              <w:jc w:val="center"/>
              <w:rPr>
                <w:rFonts w:eastAsia="Calibri"/>
                <w:lang w:val="en-GB" w:eastAsia="en-US"/>
              </w:rPr>
            </w:pPr>
            <w:r>
              <w:rPr>
                <w:rFonts w:eastAsia="Calibri"/>
                <w:lang w:val="en-GB" w:eastAsia="en-US"/>
              </w:rPr>
              <w:t>213</w:t>
            </w:r>
            <w:r>
              <w:rPr>
                <w:rFonts w:eastAsia="Calibri"/>
                <w:spacing w:val="-5"/>
                <w:lang w:val="en-GB" w:eastAsia="en-US"/>
              </w:rPr>
              <w:t xml:space="preserve"> </w:t>
            </w:r>
            <w:r>
              <w:rPr>
                <w:rFonts w:eastAsia="Calibri"/>
                <w:spacing w:val="-2"/>
                <w:lang w:val="en-GB" w:eastAsia="en-US"/>
              </w:rPr>
              <w:t>(4,5)</w:t>
            </w:r>
          </w:p>
        </w:tc>
      </w:tr>
      <w:tr w:rsidR="003B31DC" w14:paraId="10E9BF46" w14:textId="77777777">
        <w:trPr>
          <w:trHeight w:val="251"/>
        </w:trPr>
        <w:tc>
          <w:tcPr>
            <w:tcW w:w="4219" w:type="dxa"/>
          </w:tcPr>
          <w:p w14:paraId="7E13005D" w14:textId="77777777" w:rsidR="003B31DC" w:rsidRPr="00A02B90" w:rsidRDefault="00913CBE">
            <w:pPr>
              <w:tabs>
                <w:tab w:val="left" w:pos="9071"/>
              </w:tabs>
              <w:rPr>
                <w:rFonts w:eastAsia="Calibri"/>
                <w:lang w:val="fr-FR" w:eastAsia="en-US"/>
              </w:rPr>
            </w:pPr>
            <w:r w:rsidRPr="00A02B90">
              <w:rPr>
                <w:lang w:val="fr-FR"/>
              </w:rPr>
              <w:t>Rizikos santykis lyginant su placebu (PI 95 %)</w:t>
            </w:r>
          </w:p>
        </w:tc>
        <w:tc>
          <w:tcPr>
            <w:tcW w:w="2268" w:type="dxa"/>
          </w:tcPr>
          <w:p w14:paraId="3A01FDC6" w14:textId="77777777" w:rsidR="003B31DC" w:rsidRPr="00A02B90" w:rsidRDefault="003B31DC">
            <w:pPr>
              <w:tabs>
                <w:tab w:val="left" w:pos="9071"/>
              </w:tabs>
              <w:rPr>
                <w:rFonts w:eastAsia="Calibri"/>
                <w:lang w:val="fr-FR" w:eastAsia="en-US"/>
              </w:rPr>
            </w:pPr>
          </w:p>
        </w:tc>
        <w:tc>
          <w:tcPr>
            <w:tcW w:w="2410" w:type="dxa"/>
          </w:tcPr>
          <w:p w14:paraId="797176DC" w14:textId="77777777" w:rsidR="003B31DC" w:rsidRDefault="00913CBE">
            <w:pPr>
              <w:tabs>
                <w:tab w:val="left" w:pos="9071"/>
              </w:tabs>
              <w:rPr>
                <w:rFonts w:eastAsia="Calibri"/>
                <w:lang w:val="en-GB" w:eastAsia="en-US"/>
              </w:rPr>
            </w:pPr>
            <w:r>
              <w:rPr>
                <w:rFonts w:eastAsia="Calibri"/>
                <w:lang w:val="en-GB" w:eastAsia="en-US"/>
              </w:rPr>
              <w:t>0,87</w:t>
            </w:r>
            <w:r>
              <w:rPr>
                <w:rFonts w:eastAsia="Calibri"/>
                <w:spacing w:val="-5"/>
                <w:lang w:val="en-GB" w:eastAsia="en-US"/>
              </w:rPr>
              <w:t xml:space="preserve"> </w:t>
            </w:r>
            <w:r>
              <w:rPr>
                <w:rFonts w:eastAsia="Calibri"/>
                <w:lang w:val="en-GB" w:eastAsia="en-US"/>
              </w:rPr>
              <w:t>(0,70,</w:t>
            </w:r>
            <w:r>
              <w:rPr>
                <w:rFonts w:eastAsia="Calibri"/>
                <w:spacing w:val="-5"/>
                <w:lang w:val="en-GB" w:eastAsia="en-US"/>
              </w:rPr>
              <w:t xml:space="preserve"> </w:t>
            </w:r>
            <w:r>
              <w:rPr>
                <w:rFonts w:eastAsia="Calibri"/>
                <w:spacing w:val="-2"/>
                <w:lang w:val="en-GB" w:eastAsia="en-US"/>
              </w:rPr>
              <w:t>1,09)</w:t>
            </w:r>
          </w:p>
        </w:tc>
      </w:tr>
      <w:tr w:rsidR="003B31DC" w14:paraId="7960C76C" w14:textId="77777777">
        <w:trPr>
          <w:trHeight w:val="253"/>
        </w:trPr>
        <w:tc>
          <w:tcPr>
            <w:tcW w:w="4219" w:type="dxa"/>
          </w:tcPr>
          <w:p w14:paraId="725BA2E3" w14:textId="77777777" w:rsidR="003B31DC" w:rsidRDefault="00913CBE">
            <w:pPr>
              <w:tabs>
                <w:tab w:val="left" w:pos="9071"/>
              </w:tabs>
              <w:rPr>
                <w:rFonts w:eastAsia="Calibri"/>
                <w:lang w:val="en-GB" w:eastAsia="en-US"/>
              </w:rPr>
            </w:pPr>
            <w:r>
              <w:t xml:space="preserve">P </w:t>
            </w:r>
            <w:proofErr w:type="spellStart"/>
            <w:r>
              <w:t>reikšmė</w:t>
            </w:r>
            <w:proofErr w:type="spellEnd"/>
          </w:p>
        </w:tc>
        <w:tc>
          <w:tcPr>
            <w:tcW w:w="2268" w:type="dxa"/>
          </w:tcPr>
          <w:p w14:paraId="4084E317" w14:textId="77777777" w:rsidR="003B31DC" w:rsidRDefault="003B31DC">
            <w:pPr>
              <w:tabs>
                <w:tab w:val="left" w:pos="9071"/>
              </w:tabs>
              <w:rPr>
                <w:rFonts w:eastAsia="Calibri"/>
                <w:lang w:val="en-GB" w:eastAsia="en-US"/>
              </w:rPr>
            </w:pPr>
          </w:p>
        </w:tc>
        <w:tc>
          <w:tcPr>
            <w:tcW w:w="2410" w:type="dxa"/>
          </w:tcPr>
          <w:p w14:paraId="4508B050" w14:textId="77777777" w:rsidR="003B31DC" w:rsidRDefault="00913CBE">
            <w:pPr>
              <w:tabs>
                <w:tab w:val="left" w:pos="9071"/>
              </w:tabs>
              <w:jc w:val="center"/>
              <w:rPr>
                <w:rFonts w:eastAsia="Calibri"/>
                <w:lang w:val="en-GB" w:eastAsia="en-US"/>
              </w:rPr>
            </w:pPr>
            <w:r>
              <w:rPr>
                <w:rFonts w:eastAsia="Calibri"/>
                <w:spacing w:val="-2"/>
                <w:lang w:val="en-GB" w:eastAsia="en-US"/>
              </w:rPr>
              <w:t>0,2189</w:t>
            </w:r>
          </w:p>
        </w:tc>
      </w:tr>
      <w:tr w:rsidR="003B31DC" w14:paraId="3D69EFC4" w14:textId="77777777">
        <w:trPr>
          <w:trHeight w:val="251"/>
        </w:trPr>
        <w:tc>
          <w:tcPr>
            <w:tcW w:w="4219" w:type="dxa"/>
          </w:tcPr>
          <w:p w14:paraId="10CF7CB0" w14:textId="77777777" w:rsidR="003B31DC" w:rsidRPr="00A02B90" w:rsidRDefault="00913CBE">
            <w:pPr>
              <w:tabs>
                <w:tab w:val="left" w:pos="9071"/>
              </w:tabs>
              <w:rPr>
                <w:rFonts w:eastAsia="Calibri"/>
                <w:b/>
                <w:lang w:val="lt-LT" w:eastAsia="en-US"/>
              </w:rPr>
            </w:pPr>
            <w:r w:rsidRPr="00A02B90">
              <w:rPr>
                <w:rFonts w:eastAsia="Calibri"/>
                <w:b/>
                <w:lang w:val="lt-LT" w:eastAsia="en-US"/>
              </w:rPr>
              <w:t>Mirštamumas nuo visų priežasčių N (%)</w:t>
            </w:r>
          </w:p>
        </w:tc>
        <w:tc>
          <w:tcPr>
            <w:tcW w:w="2268" w:type="dxa"/>
          </w:tcPr>
          <w:p w14:paraId="02EF288F" w14:textId="77777777" w:rsidR="003B31DC" w:rsidRDefault="00913CBE">
            <w:pPr>
              <w:tabs>
                <w:tab w:val="left" w:pos="9071"/>
              </w:tabs>
              <w:ind w:right="6"/>
              <w:jc w:val="center"/>
              <w:rPr>
                <w:rFonts w:eastAsia="Calibri"/>
                <w:lang w:val="en-GB" w:eastAsia="en-US"/>
              </w:rPr>
            </w:pPr>
            <w:r>
              <w:rPr>
                <w:rFonts w:eastAsia="Calibri"/>
                <w:lang w:val="en-GB" w:eastAsia="en-US"/>
              </w:rPr>
              <w:t>60</w:t>
            </w:r>
            <w:r>
              <w:rPr>
                <w:rFonts w:eastAsia="Calibri"/>
                <w:spacing w:val="-1"/>
                <w:lang w:val="en-GB" w:eastAsia="en-US"/>
              </w:rPr>
              <w:t xml:space="preserve"> </w:t>
            </w:r>
            <w:r>
              <w:rPr>
                <w:rFonts w:eastAsia="Calibri"/>
                <w:spacing w:val="-2"/>
                <w:lang w:val="en-GB" w:eastAsia="en-US"/>
              </w:rPr>
              <w:t>(2,6)</w:t>
            </w:r>
          </w:p>
        </w:tc>
        <w:tc>
          <w:tcPr>
            <w:tcW w:w="2410" w:type="dxa"/>
          </w:tcPr>
          <w:p w14:paraId="2BF3A767" w14:textId="77777777" w:rsidR="003B31DC" w:rsidRDefault="00913CBE">
            <w:pPr>
              <w:tabs>
                <w:tab w:val="left" w:pos="9071"/>
              </w:tabs>
              <w:ind w:right="1"/>
              <w:jc w:val="center"/>
              <w:rPr>
                <w:rFonts w:eastAsia="Calibri"/>
                <w:lang w:val="en-GB" w:eastAsia="en-US"/>
              </w:rPr>
            </w:pPr>
            <w:r>
              <w:rPr>
                <w:rFonts w:eastAsia="Calibri"/>
                <w:lang w:val="en-GB" w:eastAsia="en-US"/>
              </w:rPr>
              <w:t>150</w:t>
            </w:r>
            <w:r>
              <w:rPr>
                <w:rFonts w:eastAsia="Calibri"/>
                <w:spacing w:val="-5"/>
                <w:lang w:val="en-GB" w:eastAsia="en-US"/>
              </w:rPr>
              <w:t xml:space="preserve"> </w:t>
            </w:r>
            <w:r>
              <w:rPr>
                <w:rFonts w:eastAsia="Calibri"/>
                <w:spacing w:val="-2"/>
                <w:lang w:val="en-GB" w:eastAsia="en-US"/>
              </w:rPr>
              <w:t>(3,2)</w:t>
            </w:r>
          </w:p>
        </w:tc>
      </w:tr>
      <w:tr w:rsidR="003B31DC" w14:paraId="252CFAC4" w14:textId="77777777">
        <w:trPr>
          <w:trHeight w:val="253"/>
        </w:trPr>
        <w:tc>
          <w:tcPr>
            <w:tcW w:w="4219" w:type="dxa"/>
          </w:tcPr>
          <w:p w14:paraId="241FF86A" w14:textId="77777777" w:rsidR="003B31DC" w:rsidRDefault="00913CBE">
            <w:pPr>
              <w:tabs>
                <w:tab w:val="left" w:pos="9071"/>
              </w:tabs>
              <w:rPr>
                <w:rFonts w:eastAsia="Calibri"/>
                <w:lang w:val="en-GB" w:eastAsia="en-US"/>
              </w:rPr>
            </w:pPr>
            <w:r>
              <w:rPr>
                <w:rFonts w:eastAsia="Calibri"/>
                <w:lang w:val="en-GB" w:eastAsia="en-US"/>
              </w:rPr>
              <w:t>Hazard</w:t>
            </w:r>
            <w:r>
              <w:rPr>
                <w:rFonts w:eastAsia="Calibri"/>
                <w:spacing w:val="-5"/>
                <w:lang w:val="en-GB" w:eastAsia="en-US"/>
              </w:rPr>
              <w:t xml:space="preserve"> </w:t>
            </w:r>
            <w:r>
              <w:rPr>
                <w:rFonts w:eastAsia="Calibri"/>
                <w:lang w:val="en-GB" w:eastAsia="en-US"/>
              </w:rPr>
              <w:t>ratio</w:t>
            </w:r>
            <w:r>
              <w:rPr>
                <w:rFonts w:eastAsia="Calibri"/>
                <w:spacing w:val="-5"/>
                <w:lang w:val="en-GB" w:eastAsia="en-US"/>
              </w:rPr>
              <w:t xml:space="preserve"> </w:t>
            </w:r>
            <w:r>
              <w:rPr>
                <w:rFonts w:eastAsia="Calibri"/>
                <w:lang w:val="en-GB" w:eastAsia="en-US"/>
              </w:rPr>
              <w:t>vs.</w:t>
            </w:r>
            <w:r>
              <w:rPr>
                <w:rFonts w:eastAsia="Calibri"/>
                <w:spacing w:val="-5"/>
                <w:lang w:val="en-GB" w:eastAsia="en-US"/>
              </w:rPr>
              <w:t xml:space="preserve"> </w:t>
            </w:r>
            <w:r>
              <w:rPr>
                <w:rFonts w:eastAsia="Calibri"/>
                <w:lang w:val="en-GB" w:eastAsia="en-US"/>
              </w:rPr>
              <w:t>placebo</w:t>
            </w:r>
            <w:r>
              <w:rPr>
                <w:rFonts w:eastAsia="Calibri"/>
                <w:spacing w:val="-5"/>
                <w:lang w:val="en-GB" w:eastAsia="en-US"/>
              </w:rPr>
              <w:t xml:space="preserve"> </w:t>
            </w:r>
            <w:r>
              <w:rPr>
                <w:rFonts w:eastAsia="Calibri"/>
                <w:lang w:val="en-GB" w:eastAsia="en-US"/>
              </w:rPr>
              <w:t>(95%</w:t>
            </w:r>
            <w:r>
              <w:rPr>
                <w:rFonts w:eastAsia="Calibri"/>
                <w:spacing w:val="-5"/>
                <w:lang w:val="en-GB" w:eastAsia="en-US"/>
              </w:rPr>
              <w:t xml:space="preserve"> CI)</w:t>
            </w:r>
          </w:p>
        </w:tc>
        <w:tc>
          <w:tcPr>
            <w:tcW w:w="2268" w:type="dxa"/>
          </w:tcPr>
          <w:p w14:paraId="7989B58C" w14:textId="77777777" w:rsidR="003B31DC" w:rsidRDefault="003B31DC">
            <w:pPr>
              <w:tabs>
                <w:tab w:val="left" w:pos="9071"/>
              </w:tabs>
              <w:rPr>
                <w:rFonts w:eastAsia="Calibri"/>
                <w:lang w:val="en-GB" w:eastAsia="en-US"/>
              </w:rPr>
            </w:pPr>
          </w:p>
        </w:tc>
        <w:tc>
          <w:tcPr>
            <w:tcW w:w="2410" w:type="dxa"/>
          </w:tcPr>
          <w:p w14:paraId="3306C128" w14:textId="77777777" w:rsidR="003B31DC" w:rsidRDefault="00913CBE">
            <w:pPr>
              <w:tabs>
                <w:tab w:val="left" w:pos="9071"/>
              </w:tabs>
              <w:rPr>
                <w:rFonts w:eastAsia="Calibri"/>
                <w:lang w:val="en-GB" w:eastAsia="en-US"/>
              </w:rPr>
            </w:pPr>
            <w:r>
              <w:rPr>
                <w:rFonts w:eastAsia="Calibri"/>
                <w:lang w:val="en-GB" w:eastAsia="en-US"/>
              </w:rPr>
              <w:t>1,24</w:t>
            </w:r>
            <w:r>
              <w:rPr>
                <w:rFonts w:eastAsia="Calibri"/>
                <w:spacing w:val="-5"/>
                <w:lang w:val="en-GB" w:eastAsia="en-US"/>
              </w:rPr>
              <w:t xml:space="preserve"> </w:t>
            </w:r>
            <w:r>
              <w:rPr>
                <w:rFonts w:eastAsia="Calibri"/>
                <w:lang w:val="en-GB" w:eastAsia="en-US"/>
              </w:rPr>
              <w:t>(0,92,</w:t>
            </w:r>
            <w:r>
              <w:rPr>
                <w:rFonts w:eastAsia="Calibri"/>
                <w:spacing w:val="-5"/>
                <w:lang w:val="en-GB" w:eastAsia="en-US"/>
              </w:rPr>
              <w:t xml:space="preserve"> </w:t>
            </w:r>
            <w:r>
              <w:rPr>
                <w:rFonts w:eastAsia="Calibri"/>
                <w:spacing w:val="-2"/>
                <w:lang w:val="en-GB" w:eastAsia="en-US"/>
              </w:rPr>
              <w:t>1,67)</w:t>
            </w:r>
          </w:p>
        </w:tc>
      </w:tr>
      <w:tr w:rsidR="003B31DC" w14:paraId="315E6CD3" w14:textId="77777777">
        <w:trPr>
          <w:trHeight w:val="251"/>
        </w:trPr>
        <w:tc>
          <w:tcPr>
            <w:tcW w:w="4219" w:type="dxa"/>
          </w:tcPr>
          <w:p w14:paraId="499D05DF" w14:textId="77777777" w:rsidR="003B31DC" w:rsidRDefault="00913CBE">
            <w:pPr>
              <w:tabs>
                <w:tab w:val="left" w:pos="9071"/>
              </w:tabs>
              <w:rPr>
                <w:rFonts w:eastAsia="Calibri"/>
                <w:lang w:val="en-GB" w:eastAsia="en-US"/>
              </w:rPr>
            </w:pPr>
            <w:r>
              <w:rPr>
                <w:rFonts w:eastAsia="Calibri"/>
                <w:spacing w:val="-2"/>
                <w:lang w:val="en-GB" w:eastAsia="en-US"/>
              </w:rPr>
              <w:t>p−value</w:t>
            </w:r>
          </w:p>
        </w:tc>
        <w:tc>
          <w:tcPr>
            <w:tcW w:w="2268" w:type="dxa"/>
          </w:tcPr>
          <w:p w14:paraId="27F71F98" w14:textId="77777777" w:rsidR="003B31DC" w:rsidRDefault="003B31DC">
            <w:pPr>
              <w:tabs>
                <w:tab w:val="left" w:pos="9071"/>
              </w:tabs>
              <w:rPr>
                <w:rFonts w:eastAsia="Calibri"/>
                <w:lang w:val="en-GB" w:eastAsia="en-US"/>
              </w:rPr>
            </w:pPr>
          </w:p>
        </w:tc>
        <w:tc>
          <w:tcPr>
            <w:tcW w:w="2410" w:type="dxa"/>
          </w:tcPr>
          <w:p w14:paraId="4E83CD0E" w14:textId="77777777" w:rsidR="003B31DC" w:rsidRDefault="00913CBE">
            <w:pPr>
              <w:tabs>
                <w:tab w:val="left" w:pos="9071"/>
              </w:tabs>
              <w:jc w:val="center"/>
              <w:rPr>
                <w:rFonts w:eastAsia="Calibri"/>
                <w:lang w:val="en-GB" w:eastAsia="en-US"/>
              </w:rPr>
            </w:pPr>
            <w:r>
              <w:rPr>
                <w:rFonts w:eastAsia="Calibri"/>
                <w:spacing w:val="-2"/>
                <w:lang w:val="en-GB" w:eastAsia="en-US"/>
              </w:rPr>
              <w:t>0,1638</w:t>
            </w:r>
          </w:p>
        </w:tc>
      </w:tr>
      <w:tr w:rsidR="003B31DC" w14:paraId="6780DE9D" w14:textId="77777777">
        <w:trPr>
          <w:trHeight w:val="253"/>
        </w:trPr>
        <w:tc>
          <w:tcPr>
            <w:tcW w:w="4219" w:type="dxa"/>
          </w:tcPr>
          <w:p w14:paraId="0E81B339" w14:textId="77777777" w:rsidR="003B31DC" w:rsidRDefault="00913CBE">
            <w:pPr>
              <w:tabs>
                <w:tab w:val="left" w:pos="9071"/>
              </w:tabs>
              <w:rPr>
                <w:rFonts w:eastAsia="Calibri"/>
                <w:b/>
                <w:lang w:val="en-GB" w:eastAsia="en-US"/>
              </w:rPr>
            </w:pPr>
            <w:r>
              <w:rPr>
                <w:rFonts w:eastAsia="Calibri"/>
                <w:b/>
                <w:lang w:val="en-GB" w:eastAsia="en-US"/>
              </w:rPr>
              <w:t>All-cause</w:t>
            </w:r>
            <w:r>
              <w:rPr>
                <w:rFonts w:eastAsia="Calibri"/>
                <w:b/>
                <w:spacing w:val="-6"/>
                <w:lang w:val="en-GB" w:eastAsia="en-US"/>
              </w:rPr>
              <w:t xml:space="preserve"> </w:t>
            </w:r>
            <w:r>
              <w:rPr>
                <w:rFonts w:eastAsia="Calibri"/>
                <w:b/>
                <w:lang w:val="en-GB" w:eastAsia="en-US"/>
              </w:rPr>
              <w:t>mortality</w:t>
            </w:r>
            <w:r>
              <w:rPr>
                <w:rFonts w:eastAsia="Calibri"/>
                <w:b/>
                <w:spacing w:val="-6"/>
                <w:lang w:val="en-GB" w:eastAsia="en-US"/>
              </w:rPr>
              <w:t xml:space="preserve"> </w:t>
            </w:r>
            <w:r>
              <w:rPr>
                <w:rFonts w:eastAsia="Calibri"/>
                <w:b/>
                <w:lang w:val="en-GB" w:eastAsia="en-US"/>
              </w:rPr>
              <w:t>N</w:t>
            </w:r>
            <w:r>
              <w:rPr>
                <w:rFonts w:eastAsia="Calibri"/>
                <w:b/>
                <w:spacing w:val="-5"/>
                <w:lang w:val="en-GB" w:eastAsia="en-US"/>
              </w:rPr>
              <w:t xml:space="preserve"> (%)</w:t>
            </w:r>
          </w:p>
        </w:tc>
        <w:tc>
          <w:tcPr>
            <w:tcW w:w="2268" w:type="dxa"/>
          </w:tcPr>
          <w:p w14:paraId="20C539A5" w14:textId="77777777" w:rsidR="003B31DC" w:rsidRDefault="00913CBE">
            <w:pPr>
              <w:tabs>
                <w:tab w:val="left" w:pos="9071"/>
              </w:tabs>
              <w:ind w:right="7"/>
              <w:jc w:val="center"/>
              <w:rPr>
                <w:rFonts w:eastAsia="Calibri"/>
                <w:lang w:val="en-GB" w:eastAsia="en-US"/>
              </w:rPr>
            </w:pPr>
            <w:r>
              <w:rPr>
                <w:rFonts w:eastAsia="Calibri"/>
                <w:lang w:val="en-GB" w:eastAsia="en-US"/>
              </w:rPr>
              <w:t>194</w:t>
            </w:r>
            <w:r>
              <w:rPr>
                <w:rFonts w:eastAsia="Calibri"/>
                <w:spacing w:val="-5"/>
                <w:lang w:val="en-GB" w:eastAsia="en-US"/>
              </w:rPr>
              <w:t xml:space="preserve"> </w:t>
            </w:r>
            <w:r>
              <w:rPr>
                <w:rFonts w:eastAsia="Calibri"/>
                <w:spacing w:val="-2"/>
                <w:lang w:val="en-GB" w:eastAsia="en-US"/>
              </w:rPr>
              <w:t>(8,3)</w:t>
            </w:r>
          </w:p>
        </w:tc>
        <w:tc>
          <w:tcPr>
            <w:tcW w:w="2410" w:type="dxa"/>
          </w:tcPr>
          <w:p w14:paraId="494141A9" w14:textId="77777777" w:rsidR="003B31DC" w:rsidRDefault="00913CBE">
            <w:pPr>
              <w:tabs>
                <w:tab w:val="left" w:pos="9071"/>
              </w:tabs>
              <w:ind w:right="1"/>
              <w:jc w:val="center"/>
              <w:rPr>
                <w:rFonts w:eastAsia="Calibri"/>
                <w:lang w:val="en-GB" w:eastAsia="en-US"/>
              </w:rPr>
            </w:pPr>
            <w:r>
              <w:rPr>
                <w:rFonts w:eastAsia="Calibri"/>
                <w:lang w:val="en-GB" w:eastAsia="en-US"/>
              </w:rPr>
              <w:t>269</w:t>
            </w:r>
            <w:r>
              <w:rPr>
                <w:rFonts w:eastAsia="Calibri"/>
                <w:spacing w:val="-5"/>
                <w:lang w:val="en-GB" w:eastAsia="en-US"/>
              </w:rPr>
              <w:t xml:space="preserve"> </w:t>
            </w:r>
            <w:r>
              <w:rPr>
                <w:rFonts w:eastAsia="Calibri"/>
                <w:spacing w:val="-2"/>
                <w:lang w:val="en-GB" w:eastAsia="en-US"/>
              </w:rPr>
              <w:t>(5,7)</w:t>
            </w:r>
          </w:p>
        </w:tc>
      </w:tr>
      <w:tr w:rsidR="003B31DC" w14:paraId="023C620E" w14:textId="77777777">
        <w:trPr>
          <w:trHeight w:val="253"/>
        </w:trPr>
        <w:tc>
          <w:tcPr>
            <w:tcW w:w="4219" w:type="dxa"/>
          </w:tcPr>
          <w:p w14:paraId="55E90E4B" w14:textId="77777777" w:rsidR="003B31DC" w:rsidRPr="00A02B90" w:rsidRDefault="00913CBE">
            <w:pPr>
              <w:tabs>
                <w:tab w:val="left" w:pos="9071"/>
              </w:tabs>
              <w:rPr>
                <w:rFonts w:eastAsia="Calibri"/>
                <w:lang w:val="fr-FR" w:eastAsia="en-US"/>
              </w:rPr>
            </w:pPr>
            <w:r w:rsidRPr="00A02B90">
              <w:rPr>
                <w:lang w:val="fr-FR"/>
              </w:rPr>
              <w:t>Rizikos santykis lyginant su placebu (PI 95 %)</w:t>
            </w:r>
          </w:p>
        </w:tc>
        <w:tc>
          <w:tcPr>
            <w:tcW w:w="2268" w:type="dxa"/>
          </w:tcPr>
          <w:p w14:paraId="68D6243E" w14:textId="77777777" w:rsidR="003B31DC" w:rsidRPr="00A02B90" w:rsidRDefault="003B31DC">
            <w:pPr>
              <w:tabs>
                <w:tab w:val="left" w:pos="9071"/>
              </w:tabs>
              <w:rPr>
                <w:rFonts w:eastAsia="Calibri"/>
                <w:lang w:val="fr-FR" w:eastAsia="en-US"/>
              </w:rPr>
            </w:pPr>
          </w:p>
        </w:tc>
        <w:tc>
          <w:tcPr>
            <w:tcW w:w="2410" w:type="dxa"/>
          </w:tcPr>
          <w:p w14:paraId="7A3945EC" w14:textId="77777777" w:rsidR="003B31DC" w:rsidRDefault="00913CBE">
            <w:pPr>
              <w:tabs>
                <w:tab w:val="left" w:pos="9071"/>
              </w:tabs>
              <w:rPr>
                <w:rFonts w:eastAsia="Calibri"/>
                <w:lang w:val="en-GB" w:eastAsia="en-US"/>
              </w:rPr>
            </w:pPr>
            <w:r>
              <w:rPr>
                <w:rFonts w:eastAsia="Calibri"/>
                <w:lang w:val="en-GB" w:eastAsia="en-US"/>
              </w:rPr>
              <w:t>0,68</w:t>
            </w:r>
            <w:r>
              <w:rPr>
                <w:rFonts w:eastAsia="Calibri"/>
                <w:spacing w:val="-5"/>
                <w:lang w:val="en-GB" w:eastAsia="en-US"/>
              </w:rPr>
              <w:t xml:space="preserve"> </w:t>
            </w:r>
            <w:r>
              <w:rPr>
                <w:rFonts w:eastAsia="Calibri"/>
                <w:lang w:val="en-GB" w:eastAsia="en-US"/>
              </w:rPr>
              <w:t>(0,57,</w:t>
            </w:r>
            <w:r>
              <w:rPr>
                <w:rFonts w:eastAsia="Calibri"/>
                <w:spacing w:val="-5"/>
                <w:lang w:val="en-GB" w:eastAsia="en-US"/>
              </w:rPr>
              <w:t xml:space="preserve"> </w:t>
            </w:r>
            <w:r>
              <w:rPr>
                <w:rFonts w:eastAsia="Calibri"/>
                <w:spacing w:val="-2"/>
                <w:lang w:val="en-GB" w:eastAsia="en-US"/>
              </w:rPr>
              <w:t>0,82)</w:t>
            </w:r>
          </w:p>
        </w:tc>
      </w:tr>
      <w:tr w:rsidR="003B31DC" w14:paraId="2CFB85AB" w14:textId="77777777">
        <w:trPr>
          <w:trHeight w:val="251"/>
        </w:trPr>
        <w:tc>
          <w:tcPr>
            <w:tcW w:w="4219" w:type="dxa"/>
          </w:tcPr>
          <w:p w14:paraId="618A552D" w14:textId="77777777" w:rsidR="003B31DC" w:rsidRDefault="00913CBE">
            <w:pPr>
              <w:tabs>
                <w:tab w:val="left" w:pos="9071"/>
              </w:tabs>
              <w:rPr>
                <w:rFonts w:eastAsia="Calibri"/>
                <w:lang w:val="en-GB" w:eastAsia="en-US"/>
              </w:rPr>
            </w:pPr>
            <w:r>
              <w:t xml:space="preserve">P </w:t>
            </w:r>
            <w:proofErr w:type="spellStart"/>
            <w:r>
              <w:t>reikšmė</w:t>
            </w:r>
            <w:proofErr w:type="spellEnd"/>
          </w:p>
        </w:tc>
        <w:tc>
          <w:tcPr>
            <w:tcW w:w="2268" w:type="dxa"/>
          </w:tcPr>
          <w:p w14:paraId="12F291FE" w14:textId="77777777" w:rsidR="003B31DC" w:rsidRDefault="003B31DC">
            <w:pPr>
              <w:tabs>
                <w:tab w:val="left" w:pos="9071"/>
              </w:tabs>
              <w:rPr>
                <w:rFonts w:eastAsia="Calibri"/>
                <w:lang w:val="en-GB" w:eastAsia="en-US"/>
              </w:rPr>
            </w:pPr>
          </w:p>
        </w:tc>
        <w:tc>
          <w:tcPr>
            <w:tcW w:w="2410" w:type="dxa"/>
          </w:tcPr>
          <w:p w14:paraId="7ED7844D" w14:textId="77777777" w:rsidR="003B31DC" w:rsidRDefault="00913CBE">
            <w:pPr>
              <w:tabs>
                <w:tab w:val="left" w:pos="9071"/>
              </w:tabs>
              <w:jc w:val="center"/>
              <w:rPr>
                <w:rFonts w:eastAsia="Calibri"/>
                <w:lang w:val="en-GB" w:eastAsia="en-US"/>
              </w:rPr>
            </w:pPr>
            <w:r>
              <w:rPr>
                <w:rFonts w:eastAsia="Calibri"/>
                <w:spacing w:val="-2"/>
                <w:lang w:val="en-GB" w:eastAsia="en-US"/>
              </w:rPr>
              <w:t>&lt;0,0001</w:t>
            </w:r>
          </w:p>
        </w:tc>
      </w:tr>
      <w:tr w:rsidR="003B31DC" w14:paraId="37AADD9D" w14:textId="77777777">
        <w:trPr>
          <w:trHeight w:val="254"/>
        </w:trPr>
        <w:tc>
          <w:tcPr>
            <w:tcW w:w="4219" w:type="dxa"/>
          </w:tcPr>
          <w:p w14:paraId="4843C929" w14:textId="77777777" w:rsidR="003B31DC" w:rsidRPr="00A02B90" w:rsidRDefault="00913CBE">
            <w:pPr>
              <w:tabs>
                <w:tab w:val="left" w:pos="9071"/>
              </w:tabs>
              <w:rPr>
                <w:rFonts w:eastAsia="Calibri"/>
                <w:b/>
                <w:lang w:val="fr-FR" w:eastAsia="en-US"/>
              </w:rPr>
            </w:pPr>
            <w:r w:rsidRPr="00A02B90">
              <w:rPr>
                <w:rFonts w:eastAsia="Calibri"/>
                <w:b/>
                <w:lang w:val="fr-FR" w:eastAsia="en-US"/>
              </w:rPr>
              <w:t>Mirštamumas ne nuo ŠK reiškinių N (%)</w:t>
            </w:r>
          </w:p>
        </w:tc>
        <w:tc>
          <w:tcPr>
            <w:tcW w:w="2268" w:type="dxa"/>
          </w:tcPr>
          <w:p w14:paraId="6B891424" w14:textId="77777777" w:rsidR="003B31DC" w:rsidRDefault="00913CBE">
            <w:pPr>
              <w:tabs>
                <w:tab w:val="left" w:pos="9071"/>
              </w:tabs>
              <w:ind w:right="7"/>
              <w:jc w:val="center"/>
              <w:rPr>
                <w:rFonts w:eastAsia="Calibri"/>
                <w:lang w:val="en-GB" w:eastAsia="en-US"/>
              </w:rPr>
            </w:pPr>
            <w:r>
              <w:rPr>
                <w:rFonts w:eastAsia="Calibri"/>
                <w:lang w:val="en-GB" w:eastAsia="en-US"/>
              </w:rPr>
              <w:t>57</w:t>
            </w:r>
            <w:r>
              <w:rPr>
                <w:rFonts w:eastAsia="Calibri"/>
                <w:spacing w:val="-2"/>
                <w:lang w:val="en-GB" w:eastAsia="en-US"/>
              </w:rPr>
              <w:t xml:space="preserve"> (2,4)</w:t>
            </w:r>
          </w:p>
        </w:tc>
        <w:tc>
          <w:tcPr>
            <w:tcW w:w="2410" w:type="dxa"/>
          </w:tcPr>
          <w:p w14:paraId="04D698A6" w14:textId="77777777" w:rsidR="003B31DC" w:rsidRDefault="00913CBE">
            <w:pPr>
              <w:tabs>
                <w:tab w:val="left" w:pos="9071"/>
              </w:tabs>
              <w:ind w:right="1"/>
              <w:jc w:val="center"/>
              <w:rPr>
                <w:rFonts w:eastAsia="Calibri"/>
                <w:lang w:val="en-GB" w:eastAsia="en-US"/>
              </w:rPr>
            </w:pPr>
            <w:r>
              <w:rPr>
                <w:rFonts w:eastAsia="Calibri"/>
                <w:lang w:val="en-GB" w:eastAsia="en-US"/>
              </w:rPr>
              <w:t>97</w:t>
            </w:r>
            <w:r>
              <w:rPr>
                <w:rFonts w:eastAsia="Calibri"/>
                <w:spacing w:val="-2"/>
                <w:lang w:val="en-GB" w:eastAsia="en-US"/>
              </w:rPr>
              <w:t xml:space="preserve"> (2,1)</w:t>
            </w:r>
          </w:p>
        </w:tc>
      </w:tr>
      <w:tr w:rsidR="003B31DC" w14:paraId="114A5ECE" w14:textId="77777777">
        <w:trPr>
          <w:trHeight w:val="251"/>
        </w:trPr>
        <w:tc>
          <w:tcPr>
            <w:tcW w:w="4219" w:type="dxa"/>
          </w:tcPr>
          <w:p w14:paraId="3104AA8D" w14:textId="77777777" w:rsidR="003B31DC" w:rsidRPr="00A02B90" w:rsidRDefault="00913CBE">
            <w:pPr>
              <w:tabs>
                <w:tab w:val="left" w:pos="9071"/>
              </w:tabs>
              <w:rPr>
                <w:rFonts w:eastAsia="Calibri"/>
                <w:lang w:val="fr-FR" w:eastAsia="en-US"/>
              </w:rPr>
            </w:pPr>
            <w:r w:rsidRPr="00A02B90">
              <w:rPr>
                <w:rFonts w:eastAsia="Calibri"/>
                <w:lang w:val="fr-FR" w:eastAsia="en-US"/>
              </w:rPr>
              <w:t>Rizikos santykis lyginant su placebu (PI 95 %)</w:t>
            </w:r>
          </w:p>
        </w:tc>
        <w:tc>
          <w:tcPr>
            <w:tcW w:w="2268" w:type="dxa"/>
          </w:tcPr>
          <w:p w14:paraId="1B0FA6E3" w14:textId="77777777" w:rsidR="003B31DC" w:rsidRPr="00A02B90" w:rsidRDefault="003B31DC">
            <w:pPr>
              <w:tabs>
                <w:tab w:val="left" w:pos="9071"/>
              </w:tabs>
              <w:rPr>
                <w:rFonts w:eastAsia="Calibri"/>
                <w:lang w:val="fr-FR" w:eastAsia="en-US"/>
              </w:rPr>
            </w:pPr>
          </w:p>
        </w:tc>
        <w:tc>
          <w:tcPr>
            <w:tcW w:w="2410" w:type="dxa"/>
          </w:tcPr>
          <w:p w14:paraId="428206C4" w14:textId="77777777" w:rsidR="003B31DC" w:rsidRDefault="00913CBE">
            <w:pPr>
              <w:tabs>
                <w:tab w:val="left" w:pos="9071"/>
              </w:tabs>
              <w:rPr>
                <w:rFonts w:eastAsia="Calibri"/>
                <w:lang w:val="en-GB" w:eastAsia="en-US"/>
              </w:rPr>
            </w:pPr>
            <w:r>
              <w:rPr>
                <w:rFonts w:eastAsia="Calibri"/>
                <w:lang w:val="en-GB" w:eastAsia="en-US"/>
              </w:rPr>
              <w:t>0,84</w:t>
            </w:r>
            <w:r>
              <w:rPr>
                <w:rFonts w:eastAsia="Calibri"/>
                <w:spacing w:val="-5"/>
                <w:lang w:val="en-GB" w:eastAsia="en-US"/>
              </w:rPr>
              <w:t xml:space="preserve"> </w:t>
            </w:r>
            <w:r>
              <w:rPr>
                <w:rFonts w:eastAsia="Calibri"/>
                <w:lang w:val="en-GB" w:eastAsia="en-US"/>
              </w:rPr>
              <w:t>(0,60,</w:t>
            </w:r>
            <w:r>
              <w:rPr>
                <w:rFonts w:eastAsia="Calibri"/>
                <w:spacing w:val="-5"/>
                <w:lang w:val="en-GB" w:eastAsia="en-US"/>
              </w:rPr>
              <w:t xml:space="preserve"> </w:t>
            </w:r>
            <w:r>
              <w:rPr>
                <w:rFonts w:eastAsia="Calibri"/>
                <w:spacing w:val="-2"/>
                <w:lang w:val="en-GB" w:eastAsia="en-US"/>
              </w:rPr>
              <w:t>1,16)</w:t>
            </w:r>
          </w:p>
        </w:tc>
      </w:tr>
    </w:tbl>
    <w:p w14:paraId="6D23B0E4"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ŠK = širdies ir kraujagyslių, MI = miokardo infarktas</w:t>
      </w:r>
    </w:p>
    <w:p w14:paraId="0D46138B"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a</w:t>
      </w:r>
      <w:r>
        <w:rPr>
          <w:rFonts w:eastAsiaTheme="minorHAnsi"/>
          <w:color w:val="000000"/>
          <w:sz w:val="20"/>
          <w:szCs w:val="20"/>
          <w:lang w:eastAsia="en-US"/>
        </w:rPr>
        <w:t xml:space="preserve"> Gydyta grupė, t. y. pacientai, kurie gavo bent vieną tiriamojo vaistinio preparato dozę</w:t>
      </w:r>
    </w:p>
    <w:p w14:paraId="54686096"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b</w:t>
      </w:r>
      <w:r>
        <w:rPr>
          <w:rFonts w:eastAsiaTheme="minorHAnsi"/>
          <w:color w:val="000000"/>
          <w:sz w:val="20"/>
          <w:szCs w:val="20"/>
          <w:lang w:eastAsia="en-US"/>
        </w:rPr>
        <w:t xml:space="preserve"> Suminės </w:t>
      </w:r>
      <w:proofErr w:type="spellStart"/>
      <w:r>
        <w:rPr>
          <w:rFonts w:eastAsiaTheme="minorHAnsi"/>
          <w:color w:val="000000"/>
          <w:sz w:val="20"/>
          <w:szCs w:val="20"/>
          <w:lang w:eastAsia="en-US"/>
        </w:rPr>
        <w:t>empagliflozino</w:t>
      </w:r>
      <w:proofErr w:type="spellEnd"/>
      <w:r>
        <w:rPr>
          <w:rFonts w:eastAsiaTheme="minorHAnsi"/>
          <w:color w:val="000000"/>
          <w:sz w:val="20"/>
          <w:szCs w:val="20"/>
          <w:lang w:eastAsia="en-US"/>
        </w:rPr>
        <w:t xml:space="preserve"> 10 mg ir 25 mg dozės</w:t>
      </w:r>
    </w:p>
    <w:p w14:paraId="434E30F6" w14:textId="77777777" w:rsidR="003B31DC" w:rsidRDefault="00913CBE">
      <w:pPr>
        <w:autoSpaceDE w:val="0"/>
        <w:autoSpaceDN w:val="0"/>
        <w:adjustRightInd w:val="0"/>
        <w:rPr>
          <w:rFonts w:eastAsiaTheme="minorHAnsi"/>
          <w:color w:val="000000"/>
          <w:sz w:val="20"/>
          <w:szCs w:val="20"/>
          <w:lang w:eastAsia="en-US"/>
        </w:rPr>
      </w:pPr>
      <w:r>
        <w:rPr>
          <w:sz w:val="20"/>
          <w:szCs w:val="20"/>
        </w:rPr>
        <w:t xml:space="preserve">* Kadangi tyrimo duomenys buvo įtraukti į tarpinę analizę, buvo </w:t>
      </w:r>
      <w:proofErr w:type="spellStart"/>
      <w:r>
        <w:rPr>
          <w:sz w:val="20"/>
          <w:szCs w:val="20"/>
        </w:rPr>
        <w:t>pritakytas</w:t>
      </w:r>
      <w:proofErr w:type="spellEnd"/>
      <w:r>
        <w:rPr>
          <w:sz w:val="20"/>
          <w:szCs w:val="20"/>
        </w:rPr>
        <w:t xml:space="preserve"> dvipusis 95,02 % </w:t>
      </w:r>
      <w:proofErr w:type="spellStart"/>
      <w:r>
        <w:rPr>
          <w:sz w:val="20"/>
          <w:szCs w:val="20"/>
        </w:rPr>
        <w:t>pasiklautinasis</w:t>
      </w:r>
      <w:proofErr w:type="spellEnd"/>
      <w:r>
        <w:rPr>
          <w:sz w:val="20"/>
          <w:szCs w:val="20"/>
        </w:rPr>
        <w:t xml:space="preserve"> intervalas, kuris atitinka mažesnę nei 0,0498 reikšmingumo p vertę.</w:t>
      </w:r>
    </w:p>
    <w:p w14:paraId="29B9185F" w14:textId="77777777" w:rsidR="003B31DC" w:rsidRDefault="003B31DC">
      <w:pPr>
        <w:widowControl w:val="0"/>
        <w:tabs>
          <w:tab w:val="left" w:pos="567"/>
        </w:tabs>
        <w:ind w:left="567" w:hanging="567"/>
        <w:outlineLvl w:val="2"/>
        <w:rPr>
          <w:b/>
          <w:kern w:val="28"/>
          <w:sz w:val="22"/>
          <w:szCs w:val="22"/>
          <w:lang w:eastAsia="en-US"/>
        </w:rPr>
      </w:pPr>
    </w:p>
    <w:p w14:paraId="3CE8C788" w14:textId="607A974B" w:rsidR="003B31DC" w:rsidRDefault="00913CBE">
      <w:pPr>
        <w:widowControl w:val="0"/>
        <w:tabs>
          <w:tab w:val="left" w:pos="567"/>
        </w:tabs>
        <w:ind w:left="567" w:hanging="567"/>
        <w:outlineLvl w:val="2"/>
        <w:rPr>
          <w:b/>
          <w:kern w:val="28"/>
          <w:sz w:val="22"/>
          <w:szCs w:val="22"/>
          <w:lang w:eastAsia="en-US"/>
        </w:rPr>
      </w:pPr>
      <w:r>
        <w:rPr>
          <w:sz w:val="22"/>
          <w:szCs w:val="22"/>
        </w:rPr>
        <w:t xml:space="preserve">1 pav. Laikas iki mirties nuo širdies ir kraujagyslių </w:t>
      </w:r>
      <w:r w:rsidR="00D37C06">
        <w:rPr>
          <w:sz w:val="22"/>
          <w:szCs w:val="22"/>
        </w:rPr>
        <w:t xml:space="preserve">ligų </w:t>
      </w:r>
      <w:r>
        <w:rPr>
          <w:sz w:val="22"/>
          <w:szCs w:val="22"/>
        </w:rPr>
        <w:t>EMPA-REG OUTCOME tyrime</w:t>
      </w:r>
    </w:p>
    <w:p w14:paraId="493B9023" w14:textId="77777777" w:rsidR="003B31DC" w:rsidRDefault="003B31DC">
      <w:pPr>
        <w:widowControl w:val="0"/>
        <w:tabs>
          <w:tab w:val="left" w:pos="567"/>
        </w:tabs>
        <w:ind w:left="567" w:hanging="567"/>
        <w:outlineLvl w:val="2"/>
        <w:rPr>
          <w:b/>
          <w:kern w:val="28"/>
          <w:sz w:val="22"/>
          <w:szCs w:val="22"/>
          <w:lang w:eastAsia="en-US"/>
        </w:rPr>
      </w:pPr>
    </w:p>
    <w:p w14:paraId="0D155F7E" w14:textId="77777777" w:rsidR="003B31DC" w:rsidRDefault="00913CBE">
      <w:pPr>
        <w:widowControl w:val="0"/>
        <w:tabs>
          <w:tab w:val="left" w:pos="567"/>
        </w:tabs>
        <w:ind w:left="567" w:hanging="567"/>
        <w:outlineLvl w:val="2"/>
        <w:rPr>
          <w:b/>
          <w:kern w:val="28"/>
          <w:sz w:val="22"/>
          <w:szCs w:val="22"/>
          <w:lang w:eastAsia="en-US"/>
        </w:rPr>
      </w:pPr>
      <w:r>
        <w:rPr>
          <w:b/>
          <w:noProof/>
          <w:kern w:val="28"/>
          <w:sz w:val="22"/>
          <w:szCs w:val="22"/>
          <w:lang w:val="sl-SI" w:eastAsia="sl-SI"/>
        </w:rPr>
        <w:lastRenderedPageBreak/>
        <w:drawing>
          <wp:inline distT="0" distB="0" distL="0" distR="0" wp14:anchorId="41C5E697" wp14:editId="602C1907">
            <wp:extent cx="6127750" cy="4240530"/>
            <wp:effectExtent l="0" t="0" r="6350" b="7620"/>
            <wp:docPr id="1723512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0" cy="4240530"/>
                    </a:xfrm>
                    <a:prstGeom prst="rect">
                      <a:avLst/>
                    </a:prstGeom>
                    <a:noFill/>
                    <a:ln>
                      <a:noFill/>
                    </a:ln>
                  </pic:spPr>
                </pic:pic>
              </a:graphicData>
            </a:graphic>
          </wp:inline>
        </w:drawing>
      </w:r>
    </w:p>
    <w:p w14:paraId="07FD10E9" w14:textId="77777777" w:rsidR="003B31DC" w:rsidRDefault="003B31DC">
      <w:pPr>
        <w:widowControl w:val="0"/>
        <w:tabs>
          <w:tab w:val="left" w:pos="567"/>
        </w:tabs>
        <w:ind w:left="567" w:hanging="567"/>
        <w:outlineLvl w:val="2"/>
        <w:rPr>
          <w:b/>
          <w:kern w:val="28"/>
          <w:sz w:val="22"/>
          <w:szCs w:val="22"/>
          <w:lang w:eastAsia="en-US"/>
        </w:rPr>
      </w:pPr>
    </w:p>
    <w:p w14:paraId="127E6D99" w14:textId="72FB7062" w:rsidR="003B31DC" w:rsidRDefault="00913CB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Širdies nepakankamumas, dėl kurio </w:t>
      </w:r>
      <w:r w:rsidR="0075538C">
        <w:rPr>
          <w:rFonts w:eastAsiaTheme="minorHAnsi"/>
          <w:i/>
          <w:iCs/>
          <w:color w:val="000000"/>
          <w:sz w:val="22"/>
          <w:szCs w:val="22"/>
          <w:lang w:eastAsia="en-US"/>
        </w:rPr>
        <w:t>re</w:t>
      </w:r>
      <w:r w:rsidR="00B05D0C">
        <w:rPr>
          <w:rFonts w:eastAsiaTheme="minorHAnsi"/>
          <w:i/>
          <w:iCs/>
          <w:color w:val="000000"/>
          <w:sz w:val="22"/>
          <w:szCs w:val="22"/>
          <w:lang w:eastAsia="en-US"/>
        </w:rPr>
        <w:t>ikalinga</w:t>
      </w:r>
      <w:r w:rsidR="0075538C">
        <w:rPr>
          <w:rFonts w:eastAsiaTheme="minorHAnsi"/>
          <w:i/>
          <w:iCs/>
          <w:color w:val="000000"/>
          <w:sz w:val="22"/>
          <w:szCs w:val="22"/>
          <w:lang w:eastAsia="en-US"/>
        </w:rPr>
        <w:t xml:space="preserve"> </w:t>
      </w:r>
      <w:r>
        <w:rPr>
          <w:rFonts w:eastAsiaTheme="minorHAnsi"/>
          <w:i/>
          <w:iCs/>
          <w:color w:val="000000"/>
          <w:sz w:val="22"/>
          <w:szCs w:val="22"/>
          <w:lang w:eastAsia="en-US"/>
        </w:rPr>
        <w:t>hospitalizacij</w:t>
      </w:r>
      <w:r w:rsidR="00B05D0C">
        <w:rPr>
          <w:rFonts w:eastAsiaTheme="minorHAnsi"/>
          <w:i/>
          <w:iCs/>
          <w:color w:val="000000"/>
          <w:sz w:val="22"/>
          <w:szCs w:val="22"/>
          <w:lang w:eastAsia="en-US"/>
        </w:rPr>
        <w:t>a</w:t>
      </w:r>
    </w:p>
    <w:p w14:paraId="173F4DD7"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EMPA-REG OUTCOME tyrimo metu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sumažino širdies nepakankamumo, dėl kurio reikėjo hospitalizacijos, riziką, palyginti su placebu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 2,7 %; placebo – 4,1 %; RS 0,65; 95 % PI 0,50; 0,85).</w:t>
      </w:r>
    </w:p>
    <w:p w14:paraId="729A00FA" w14:textId="77777777" w:rsidR="003B31DC" w:rsidRDefault="003B31DC">
      <w:pPr>
        <w:autoSpaceDE w:val="0"/>
        <w:autoSpaceDN w:val="0"/>
        <w:adjustRightInd w:val="0"/>
        <w:rPr>
          <w:rFonts w:eastAsiaTheme="minorHAnsi"/>
          <w:color w:val="000000"/>
          <w:sz w:val="22"/>
          <w:szCs w:val="22"/>
          <w:lang w:eastAsia="en-US"/>
        </w:rPr>
      </w:pPr>
    </w:p>
    <w:p w14:paraId="192468CA"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i/>
          <w:iCs/>
          <w:color w:val="000000"/>
          <w:sz w:val="22"/>
          <w:szCs w:val="22"/>
          <w:lang w:eastAsia="en-US"/>
        </w:rPr>
        <w:t>Nefropatija</w:t>
      </w:r>
      <w:proofErr w:type="spellEnd"/>
    </w:p>
    <w:p w14:paraId="24D4CB80" w14:textId="33135278"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EMPA-REG OUTCOME tyrime vertinant laiką iki pirmojo </w:t>
      </w:r>
      <w:proofErr w:type="spellStart"/>
      <w:r>
        <w:rPr>
          <w:rFonts w:eastAsiaTheme="minorHAnsi"/>
          <w:color w:val="000000"/>
          <w:sz w:val="22"/>
          <w:szCs w:val="22"/>
          <w:lang w:eastAsia="en-US"/>
        </w:rPr>
        <w:t>nefropatijos</w:t>
      </w:r>
      <w:proofErr w:type="spellEnd"/>
      <w:r>
        <w:rPr>
          <w:rFonts w:eastAsiaTheme="minorHAnsi"/>
          <w:color w:val="000000"/>
          <w:sz w:val="22"/>
          <w:szCs w:val="22"/>
          <w:lang w:eastAsia="en-US"/>
        </w:rPr>
        <w:t xml:space="preserve"> </w:t>
      </w:r>
      <w:r w:rsidR="004E4127">
        <w:rPr>
          <w:rFonts w:eastAsiaTheme="minorHAnsi"/>
          <w:color w:val="000000"/>
          <w:sz w:val="22"/>
          <w:szCs w:val="22"/>
          <w:lang w:eastAsia="en-US"/>
        </w:rPr>
        <w:t>reiškinio</w:t>
      </w:r>
      <w:r>
        <w:rPr>
          <w:rFonts w:eastAsiaTheme="minorHAnsi"/>
          <w:color w:val="000000"/>
          <w:sz w:val="22"/>
          <w:szCs w:val="22"/>
          <w:lang w:eastAsia="en-US"/>
        </w:rPr>
        <w:t xml:space="preserve">, RS buvo 0,61 (95 % PI 0,53; 0,70)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grupėje (12,7 %), palyginti su placebu (18,8 %).</w:t>
      </w:r>
    </w:p>
    <w:p w14:paraId="128FB73C" w14:textId="61C77028"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Be to, </w:t>
      </w:r>
      <w:r w:rsidR="005B34FA">
        <w:rPr>
          <w:rFonts w:eastAsiaTheme="minorHAnsi"/>
          <w:color w:val="000000"/>
          <w:sz w:val="22"/>
          <w:szCs w:val="22"/>
          <w:lang w:eastAsia="en-US"/>
        </w:rPr>
        <w:t xml:space="preserve">pacientams, kuriems </w:t>
      </w:r>
      <w:r>
        <w:rPr>
          <w:rFonts w:eastAsiaTheme="minorHAnsi"/>
          <w:color w:val="000000"/>
          <w:sz w:val="22"/>
          <w:szCs w:val="22"/>
          <w:lang w:eastAsia="en-US"/>
        </w:rPr>
        <w:t xml:space="preserve">pradinio </w:t>
      </w:r>
      <w:r w:rsidR="009D0919">
        <w:rPr>
          <w:rFonts w:eastAsiaTheme="minorHAnsi"/>
          <w:color w:val="000000"/>
          <w:sz w:val="22"/>
          <w:szCs w:val="22"/>
          <w:lang w:eastAsia="en-US"/>
        </w:rPr>
        <w:t xml:space="preserve">tyrimo </w:t>
      </w:r>
      <w:r w:rsidR="00A057E9">
        <w:rPr>
          <w:rFonts w:eastAsiaTheme="minorHAnsi"/>
          <w:color w:val="000000"/>
          <w:sz w:val="22"/>
          <w:szCs w:val="22"/>
          <w:lang w:eastAsia="en-US"/>
        </w:rPr>
        <w:t xml:space="preserve">etapo </w:t>
      </w:r>
      <w:r>
        <w:rPr>
          <w:rFonts w:eastAsiaTheme="minorHAnsi"/>
          <w:color w:val="000000"/>
          <w:sz w:val="22"/>
          <w:szCs w:val="22"/>
          <w:lang w:eastAsia="en-US"/>
        </w:rPr>
        <w:t>metu</w:t>
      </w:r>
      <w:r w:rsidR="00A057E9">
        <w:rPr>
          <w:rFonts w:eastAsiaTheme="minorHAnsi"/>
          <w:color w:val="000000"/>
          <w:sz w:val="22"/>
          <w:szCs w:val="22"/>
          <w:lang w:eastAsia="en-US"/>
        </w:rPr>
        <w:t xml:space="preserve"> nustatyta</w:t>
      </w:r>
      <w:r>
        <w:rPr>
          <w:rFonts w:eastAsiaTheme="minorHAnsi"/>
          <w:color w:val="000000"/>
          <w:sz w:val="22"/>
          <w:szCs w:val="22"/>
          <w:lang w:eastAsia="en-US"/>
        </w:rPr>
        <w:t xml:space="preserve"> </w:t>
      </w:r>
      <w:proofErr w:type="spellStart"/>
      <w:r>
        <w:rPr>
          <w:rFonts w:eastAsiaTheme="minorHAnsi"/>
          <w:color w:val="000000"/>
          <w:sz w:val="22"/>
          <w:szCs w:val="22"/>
          <w:lang w:eastAsia="en-US"/>
        </w:rPr>
        <w:t>makroalbuminurij</w:t>
      </w:r>
      <w:r w:rsidR="00A057E9">
        <w:rPr>
          <w:rFonts w:eastAsiaTheme="minorHAnsi"/>
          <w:color w:val="000000"/>
          <w:sz w:val="22"/>
          <w:szCs w:val="22"/>
          <w:lang w:eastAsia="en-US"/>
        </w:rPr>
        <w:t>a</w:t>
      </w:r>
      <w:proofErr w:type="spellEnd"/>
      <w:r w:rsidR="00A057E9">
        <w:rPr>
          <w:rFonts w:eastAsiaTheme="minorHAnsi"/>
          <w:color w:val="000000"/>
          <w:sz w:val="22"/>
          <w:szCs w:val="22"/>
          <w:lang w:eastAsia="en-US"/>
        </w:rPr>
        <w:t>,</w:t>
      </w:r>
      <w:r>
        <w:rPr>
          <w:rFonts w:eastAsiaTheme="minorHAnsi"/>
          <w:color w:val="000000"/>
          <w:sz w:val="22"/>
          <w:szCs w:val="22"/>
          <w:lang w:eastAsia="en-US"/>
        </w:rPr>
        <w:t xml:space="preserve"> </w:t>
      </w:r>
      <w:r w:rsidR="00502042">
        <w:rPr>
          <w:rFonts w:eastAsiaTheme="minorHAnsi"/>
          <w:color w:val="000000"/>
          <w:sz w:val="22"/>
          <w:szCs w:val="22"/>
          <w:lang w:eastAsia="en-US"/>
        </w:rPr>
        <w:t xml:space="preserve">vartojant </w:t>
      </w:r>
      <w:proofErr w:type="spellStart"/>
      <w:r w:rsidR="002C3DB5">
        <w:rPr>
          <w:rFonts w:eastAsiaTheme="minorHAnsi"/>
          <w:color w:val="000000"/>
          <w:sz w:val="22"/>
          <w:szCs w:val="22"/>
          <w:lang w:eastAsia="en-US"/>
        </w:rPr>
        <w:t>empaglifloziną</w:t>
      </w:r>
      <w:proofErr w:type="spellEnd"/>
      <w:r w:rsidR="002C3DB5">
        <w:rPr>
          <w:rFonts w:eastAsiaTheme="minorHAnsi"/>
          <w:color w:val="000000"/>
          <w:sz w:val="22"/>
          <w:szCs w:val="22"/>
          <w:lang w:eastAsia="en-US"/>
        </w:rPr>
        <w:t xml:space="preserve"> </w:t>
      </w:r>
      <w:r w:rsidR="0060184E">
        <w:rPr>
          <w:rFonts w:eastAsiaTheme="minorHAnsi"/>
          <w:color w:val="000000"/>
          <w:sz w:val="22"/>
          <w:szCs w:val="22"/>
          <w:lang w:eastAsia="en-US"/>
        </w:rPr>
        <w:t xml:space="preserve">stebėtas </w:t>
      </w:r>
      <w:r w:rsidR="004A5C7D">
        <w:rPr>
          <w:rFonts w:eastAsiaTheme="minorHAnsi"/>
          <w:color w:val="000000"/>
          <w:sz w:val="22"/>
          <w:szCs w:val="22"/>
          <w:lang w:eastAsia="en-US"/>
        </w:rPr>
        <w:t xml:space="preserve">dažnesnis </w:t>
      </w:r>
      <w:r>
        <w:rPr>
          <w:rFonts w:eastAsiaTheme="minorHAnsi"/>
          <w:color w:val="000000"/>
          <w:sz w:val="22"/>
          <w:szCs w:val="22"/>
          <w:lang w:eastAsia="en-US"/>
        </w:rPr>
        <w:t xml:space="preserve">, (RS 1,82, 95 % PI 1,40; 2,37) </w:t>
      </w:r>
      <w:r w:rsidR="004A5C7D">
        <w:rPr>
          <w:rFonts w:eastAsiaTheme="minorHAnsi"/>
          <w:color w:val="000000"/>
          <w:sz w:val="22"/>
          <w:szCs w:val="22"/>
          <w:lang w:eastAsia="en-US"/>
        </w:rPr>
        <w:t>išliekančios</w:t>
      </w:r>
      <w:r>
        <w:rPr>
          <w:rFonts w:eastAsiaTheme="minorHAnsi"/>
          <w:color w:val="000000"/>
          <w:sz w:val="22"/>
          <w:szCs w:val="22"/>
          <w:lang w:eastAsia="en-US"/>
        </w:rPr>
        <w:t xml:space="preserve"> </w:t>
      </w:r>
      <w:proofErr w:type="spellStart"/>
      <w:r>
        <w:rPr>
          <w:rFonts w:eastAsiaTheme="minorHAnsi"/>
          <w:color w:val="000000"/>
          <w:sz w:val="22"/>
          <w:szCs w:val="22"/>
          <w:lang w:eastAsia="en-US"/>
        </w:rPr>
        <w:t>normoalbuminurij</w:t>
      </w:r>
      <w:r w:rsidR="004A5C7D">
        <w:rPr>
          <w:rFonts w:eastAsiaTheme="minorHAnsi"/>
          <w:color w:val="000000"/>
          <w:sz w:val="22"/>
          <w:szCs w:val="22"/>
          <w:lang w:eastAsia="en-US"/>
        </w:rPr>
        <w:t>os</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mikroalbuminurij</w:t>
      </w:r>
      <w:r w:rsidR="004A5C7D">
        <w:rPr>
          <w:rFonts w:eastAsiaTheme="minorHAnsi"/>
          <w:color w:val="000000"/>
          <w:sz w:val="22"/>
          <w:szCs w:val="22"/>
          <w:lang w:eastAsia="en-US"/>
        </w:rPr>
        <w:t>os</w:t>
      </w:r>
      <w:proofErr w:type="spellEnd"/>
      <w:r w:rsidR="004A5C7D">
        <w:rPr>
          <w:rFonts w:eastAsiaTheme="minorHAnsi"/>
          <w:color w:val="000000"/>
          <w:sz w:val="22"/>
          <w:szCs w:val="22"/>
          <w:lang w:eastAsia="en-US"/>
        </w:rPr>
        <w:t xml:space="preserve"> pasireiškimas</w:t>
      </w:r>
      <w:r>
        <w:rPr>
          <w:rFonts w:eastAsiaTheme="minorHAnsi"/>
          <w:color w:val="000000"/>
          <w:sz w:val="22"/>
          <w:szCs w:val="22"/>
          <w:lang w:eastAsia="en-US"/>
        </w:rPr>
        <w:t xml:space="preserve"> (49,7 %), palyginti su placeb</w:t>
      </w:r>
      <w:r w:rsidR="00832549">
        <w:rPr>
          <w:rFonts w:eastAsiaTheme="minorHAnsi"/>
          <w:color w:val="000000"/>
          <w:sz w:val="22"/>
          <w:szCs w:val="22"/>
          <w:lang w:eastAsia="en-US"/>
        </w:rPr>
        <w:t>o grupe</w:t>
      </w:r>
      <w:r>
        <w:rPr>
          <w:rFonts w:eastAsiaTheme="minorHAnsi"/>
          <w:color w:val="000000"/>
          <w:sz w:val="22"/>
          <w:szCs w:val="22"/>
          <w:lang w:eastAsia="en-US"/>
        </w:rPr>
        <w:t xml:space="preserve"> (28,8 %).</w:t>
      </w:r>
    </w:p>
    <w:p w14:paraId="2E752215" w14:textId="77777777" w:rsidR="003B31DC" w:rsidRDefault="003B31DC">
      <w:pPr>
        <w:autoSpaceDE w:val="0"/>
        <w:autoSpaceDN w:val="0"/>
        <w:adjustRightInd w:val="0"/>
        <w:rPr>
          <w:rFonts w:eastAsiaTheme="minorHAnsi"/>
          <w:color w:val="000000"/>
          <w:sz w:val="22"/>
          <w:szCs w:val="22"/>
          <w:lang w:eastAsia="en-US"/>
        </w:rPr>
      </w:pPr>
    </w:p>
    <w:p w14:paraId="5EA95CB0" w14:textId="77777777" w:rsidR="003B31DC" w:rsidRDefault="00913CBE">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Gliukozės kiekis kraujyje praėjus 2 valandoms po valgio</w:t>
      </w:r>
    </w:p>
    <w:p w14:paraId="2255BCB5" w14:textId="77777777" w:rsidR="003B31DC" w:rsidRDefault="003B31DC">
      <w:pPr>
        <w:autoSpaceDE w:val="0"/>
        <w:autoSpaceDN w:val="0"/>
        <w:adjustRightInd w:val="0"/>
        <w:rPr>
          <w:rFonts w:eastAsiaTheme="minorHAnsi"/>
          <w:color w:val="000000"/>
          <w:sz w:val="22"/>
          <w:szCs w:val="22"/>
          <w:lang w:eastAsia="en-US"/>
        </w:rPr>
      </w:pPr>
    </w:p>
    <w:p w14:paraId="4E352D64" w14:textId="4F06E4A8"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Gydymą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darinio deriniu papildžius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24-tą savaitę kliniškai reikšmingai sumažėjo gliukozės kiekis kraujuje, praėjus 2 valandoms po valgio (</w:t>
      </w:r>
      <w:r w:rsidR="00FA180D">
        <w:rPr>
          <w:rFonts w:eastAsiaTheme="minorHAnsi"/>
          <w:color w:val="000000"/>
          <w:sz w:val="22"/>
          <w:szCs w:val="22"/>
          <w:lang w:eastAsia="en-US"/>
        </w:rPr>
        <w:t xml:space="preserve">atliekant </w:t>
      </w:r>
      <w:r>
        <w:rPr>
          <w:rFonts w:eastAsiaTheme="minorHAnsi"/>
          <w:color w:val="000000"/>
          <w:sz w:val="22"/>
          <w:szCs w:val="22"/>
          <w:lang w:eastAsia="en-US"/>
        </w:rPr>
        <w:t xml:space="preserve">valgio </w:t>
      </w:r>
      <w:r w:rsidR="00FA180D">
        <w:rPr>
          <w:rFonts w:eastAsiaTheme="minorHAnsi"/>
          <w:color w:val="000000"/>
          <w:sz w:val="22"/>
          <w:szCs w:val="22"/>
          <w:lang w:eastAsia="en-US"/>
        </w:rPr>
        <w:t xml:space="preserve">toleravimo </w:t>
      </w:r>
      <w:r>
        <w:rPr>
          <w:rFonts w:eastAsiaTheme="minorHAnsi"/>
          <w:color w:val="000000"/>
          <w:sz w:val="22"/>
          <w:szCs w:val="22"/>
          <w:lang w:eastAsia="en-US"/>
        </w:rPr>
        <w:t>test</w:t>
      </w:r>
      <w:r w:rsidR="00FA180D">
        <w:rPr>
          <w:rFonts w:eastAsiaTheme="minorHAnsi"/>
          <w:color w:val="000000"/>
          <w:sz w:val="22"/>
          <w:szCs w:val="22"/>
          <w:lang w:eastAsia="en-US"/>
        </w:rPr>
        <w:t>ą</w:t>
      </w:r>
      <w:r>
        <w:rPr>
          <w:rFonts w:eastAsiaTheme="minorHAnsi"/>
          <w:color w:val="000000"/>
          <w:sz w:val="22"/>
          <w:szCs w:val="22"/>
          <w:lang w:eastAsia="en-US"/>
        </w:rPr>
        <w:t>)</w:t>
      </w:r>
      <w:r w:rsidR="00CC0F7F">
        <w:rPr>
          <w:rFonts w:eastAsiaTheme="minorHAnsi"/>
          <w:color w:val="000000"/>
          <w:sz w:val="22"/>
          <w:szCs w:val="22"/>
          <w:lang w:eastAsia="en-US"/>
        </w:rPr>
        <w:t>:</w:t>
      </w:r>
      <w:r>
        <w:rPr>
          <w:rFonts w:eastAsiaTheme="minorHAnsi"/>
          <w:color w:val="000000"/>
          <w:sz w:val="22"/>
          <w:szCs w:val="22"/>
          <w:lang w:eastAsia="en-US"/>
        </w:rPr>
        <w:t xml:space="preserve"> </w:t>
      </w:r>
      <w:r w:rsidR="00392BE8">
        <w:rPr>
          <w:rFonts w:eastAsiaTheme="minorHAnsi"/>
          <w:color w:val="000000"/>
          <w:sz w:val="22"/>
          <w:szCs w:val="22"/>
          <w:lang w:eastAsia="en-US"/>
        </w:rPr>
        <w:t xml:space="preserve">papildomas gydymas prie </w:t>
      </w:r>
      <w:r>
        <w:rPr>
          <w:rFonts w:eastAsiaTheme="minorHAnsi"/>
          <w:color w:val="000000"/>
          <w:sz w:val="22"/>
          <w:szCs w:val="22"/>
          <w:lang w:eastAsia="en-US"/>
        </w:rPr>
        <w:t xml:space="preserve"> </w:t>
      </w:r>
      <w:proofErr w:type="spellStart"/>
      <w:r>
        <w:rPr>
          <w:rFonts w:eastAsiaTheme="minorHAnsi"/>
          <w:color w:val="000000"/>
          <w:sz w:val="22"/>
          <w:szCs w:val="22"/>
          <w:lang w:eastAsia="en-US"/>
        </w:rPr>
        <w:t>metformin</w:t>
      </w:r>
      <w:r w:rsidR="00392BE8">
        <w:rPr>
          <w:rFonts w:eastAsiaTheme="minorHAnsi"/>
          <w:color w:val="000000"/>
          <w:sz w:val="22"/>
          <w:szCs w:val="22"/>
          <w:lang w:eastAsia="en-US"/>
        </w:rPr>
        <w:t>o</w:t>
      </w:r>
      <w:proofErr w:type="spellEnd"/>
      <w:r w:rsidR="00446BD2">
        <w:rPr>
          <w:rFonts w:eastAsiaTheme="minorHAnsi"/>
          <w:color w:val="000000"/>
          <w:sz w:val="22"/>
          <w:szCs w:val="22"/>
          <w:lang w:eastAsia="en-US"/>
        </w:rPr>
        <w:t>- placebo</w:t>
      </w:r>
      <w:r w:rsidR="00170DF6">
        <w:rPr>
          <w:rFonts w:eastAsiaTheme="minorHAnsi"/>
          <w:color w:val="000000"/>
          <w:sz w:val="22"/>
          <w:szCs w:val="22"/>
          <w:lang w:eastAsia="en-US"/>
        </w:rPr>
        <w:t xml:space="preserve"> grupėje</w:t>
      </w:r>
      <w:r>
        <w:rPr>
          <w:rFonts w:eastAsiaTheme="minorHAnsi"/>
          <w:color w:val="000000"/>
          <w:sz w:val="22"/>
          <w:szCs w:val="22"/>
          <w:lang w:eastAsia="en-US"/>
        </w:rPr>
        <w:t xml:space="preserve"> +5,9 mg/dl,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doze: -46 mg/dl, 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doze: -44,6 mg/dl</w:t>
      </w:r>
      <w:r w:rsidR="00FB0A50">
        <w:rPr>
          <w:rFonts w:eastAsiaTheme="minorHAnsi"/>
          <w:color w:val="000000"/>
          <w:sz w:val="22"/>
          <w:szCs w:val="22"/>
          <w:lang w:eastAsia="en-US"/>
        </w:rPr>
        <w:t>.</w:t>
      </w:r>
      <w:r>
        <w:rPr>
          <w:rFonts w:eastAsiaTheme="minorHAnsi"/>
          <w:color w:val="000000"/>
          <w:sz w:val="22"/>
          <w:szCs w:val="22"/>
          <w:lang w:eastAsia="en-US"/>
        </w:rPr>
        <w:t xml:space="preserve"> </w:t>
      </w:r>
      <w:r w:rsidR="00FB0A50">
        <w:rPr>
          <w:rFonts w:eastAsiaTheme="minorHAnsi"/>
          <w:color w:val="000000"/>
          <w:sz w:val="22"/>
          <w:szCs w:val="22"/>
          <w:lang w:eastAsia="en-US"/>
        </w:rPr>
        <w:t xml:space="preserve">Papildomas </w:t>
      </w:r>
      <w:r>
        <w:rPr>
          <w:rFonts w:eastAsiaTheme="minorHAnsi"/>
          <w:color w:val="000000"/>
          <w:sz w:val="22"/>
          <w:szCs w:val="22"/>
          <w:lang w:eastAsia="en-US"/>
        </w:rPr>
        <w:t>gydym</w:t>
      </w:r>
      <w:r w:rsidR="00FB0A50">
        <w:rPr>
          <w:rFonts w:eastAsiaTheme="minorHAnsi"/>
          <w:color w:val="000000"/>
          <w:sz w:val="22"/>
          <w:szCs w:val="22"/>
          <w:lang w:eastAsia="en-US"/>
        </w:rPr>
        <w:t>as prie</w:t>
      </w:r>
      <w:r>
        <w:rPr>
          <w:rFonts w:eastAsiaTheme="minorHAnsi"/>
          <w:color w:val="000000"/>
          <w:sz w:val="22"/>
          <w:szCs w:val="22"/>
          <w:lang w:eastAsia="en-US"/>
        </w:rPr>
        <w:t xml:space="preserve">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darinio placeb</w:t>
      </w:r>
      <w:r w:rsidR="00D36DD1">
        <w:rPr>
          <w:rFonts w:eastAsiaTheme="minorHAnsi"/>
          <w:color w:val="000000"/>
          <w:sz w:val="22"/>
          <w:szCs w:val="22"/>
          <w:lang w:eastAsia="en-US"/>
        </w:rPr>
        <w:t>o grupėje</w:t>
      </w:r>
      <w:r>
        <w:rPr>
          <w:rFonts w:eastAsiaTheme="minorHAnsi"/>
          <w:color w:val="000000"/>
          <w:sz w:val="22"/>
          <w:szCs w:val="22"/>
          <w:lang w:eastAsia="en-US"/>
        </w:rPr>
        <w:t xml:space="preserve">: -2,3 mg/dl,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doze: -35,7 mg/dl, 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doze: -36,6 mg/dl).</w:t>
      </w:r>
    </w:p>
    <w:p w14:paraId="691B33A9" w14:textId="77777777" w:rsidR="003B31DC" w:rsidRDefault="003B31DC">
      <w:pPr>
        <w:autoSpaceDE w:val="0"/>
        <w:autoSpaceDN w:val="0"/>
        <w:adjustRightInd w:val="0"/>
        <w:rPr>
          <w:rFonts w:eastAsiaTheme="minorHAnsi"/>
          <w:color w:val="000000"/>
          <w:sz w:val="22"/>
          <w:szCs w:val="22"/>
          <w:lang w:eastAsia="en-US"/>
        </w:rPr>
      </w:pPr>
    </w:p>
    <w:p w14:paraId="5399CE88" w14:textId="77777777" w:rsidR="003B31DC" w:rsidRDefault="00913CBE">
      <w:pPr>
        <w:autoSpaceDE w:val="0"/>
        <w:autoSpaceDN w:val="0"/>
        <w:adjustRightInd w:val="0"/>
        <w:rPr>
          <w:sz w:val="22"/>
          <w:szCs w:val="22"/>
        </w:rPr>
      </w:pPr>
      <w:r>
        <w:rPr>
          <w:rFonts w:eastAsiaTheme="minorHAnsi"/>
          <w:i/>
          <w:iCs/>
          <w:color w:val="000000"/>
          <w:sz w:val="22"/>
          <w:szCs w:val="22"/>
          <w:u w:val="single"/>
          <w:lang w:eastAsia="en-US"/>
        </w:rPr>
        <w:t>Pacientai, kurių pradinis HbA1c kiekis ≥ 9 %</w:t>
      </w:r>
    </w:p>
    <w:p w14:paraId="4E952613" w14:textId="77777777" w:rsidR="003B31DC" w:rsidRDefault="003B31DC">
      <w:pPr>
        <w:autoSpaceDE w:val="0"/>
        <w:autoSpaceDN w:val="0"/>
        <w:adjustRightInd w:val="0"/>
        <w:rPr>
          <w:sz w:val="22"/>
          <w:szCs w:val="22"/>
        </w:rPr>
      </w:pPr>
    </w:p>
    <w:p w14:paraId="4AE28B9B" w14:textId="77777777" w:rsidR="003B31DC" w:rsidRPr="00A02B90" w:rsidRDefault="00913CBE">
      <w:pPr>
        <w:pStyle w:val="Default"/>
        <w:rPr>
          <w:sz w:val="22"/>
          <w:szCs w:val="22"/>
          <w:lang w:val="lt-LT"/>
        </w:rPr>
      </w:pPr>
      <w:r w:rsidRPr="00A02B90">
        <w:rPr>
          <w:sz w:val="22"/>
          <w:szCs w:val="22"/>
          <w:lang w:val="lt-LT"/>
        </w:rPr>
        <w:t xml:space="preserve">Iš anksto apibrėžtos pacientų, kurių pradinis HbA1c kiekis ≥ 9 %, analizės duomenimis, gydymo </w:t>
      </w:r>
      <w:proofErr w:type="spellStart"/>
      <w:r w:rsidRPr="00A02B90">
        <w:rPr>
          <w:sz w:val="22"/>
          <w:szCs w:val="22"/>
          <w:lang w:val="lt-LT"/>
        </w:rPr>
        <w:t>metforminu</w:t>
      </w:r>
      <w:proofErr w:type="spellEnd"/>
      <w:r w:rsidRPr="00A02B90">
        <w:rPr>
          <w:sz w:val="22"/>
          <w:szCs w:val="22"/>
          <w:lang w:val="lt-LT"/>
        </w:rPr>
        <w:t xml:space="preserve"> papildymas 10 mg ar 25 mg </w:t>
      </w:r>
      <w:proofErr w:type="spellStart"/>
      <w:r w:rsidRPr="00A02B90">
        <w:rPr>
          <w:sz w:val="22"/>
          <w:szCs w:val="22"/>
          <w:lang w:val="lt-LT"/>
        </w:rPr>
        <w:t>empagliflozino</w:t>
      </w:r>
      <w:proofErr w:type="spellEnd"/>
      <w:r w:rsidRPr="00A02B90">
        <w:rPr>
          <w:sz w:val="22"/>
          <w:szCs w:val="22"/>
          <w:lang w:val="lt-LT"/>
        </w:rPr>
        <w:t xml:space="preserve"> doze 24-tą gydymo savaitę lėmė statistiškai reikšmingą HbA1c kiekio sumažėjimą (vartojant 25 mg </w:t>
      </w:r>
      <w:proofErr w:type="spellStart"/>
      <w:r w:rsidRPr="00A02B90">
        <w:rPr>
          <w:sz w:val="22"/>
          <w:szCs w:val="22"/>
          <w:lang w:val="lt-LT"/>
        </w:rPr>
        <w:t>empagliflozino</w:t>
      </w:r>
      <w:proofErr w:type="spellEnd"/>
      <w:r w:rsidRPr="00A02B90">
        <w:rPr>
          <w:sz w:val="22"/>
          <w:szCs w:val="22"/>
          <w:lang w:val="lt-LT"/>
        </w:rPr>
        <w:t xml:space="preserve"> dozę, pakoreguotas vidutinis pokytis, palyginti su pradiniu, buvo -1,49 %, vartojant 10 mg </w:t>
      </w:r>
      <w:proofErr w:type="spellStart"/>
      <w:r w:rsidRPr="00A02B90">
        <w:rPr>
          <w:sz w:val="22"/>
          <w:szCs w:val="22"/>
          <w:lang w:val="lt-LT"/>
        </w:rPr>
        <w:t>empagliflozino</w:t>
      </w:r>
      <w:proofErr w:type="spellEnd"/>
      <w:r w:rsidRPr="00A02B90">
        <w:rPr>
          <w:sz w:val="22"/>
          <w:szCs w:val="22"/>
          <w:lang w:val="lt-LT"/>
        </w:rPr>
        <w:t xml:space="preserve"> dozę: -1,40 %, vartojant placebą: -0,44 %).</w:t>
      </w:r>
    </w:p>
    <w:p w14:paraId="701297F1" w14:textId="77777777" w:rsidR="003B31DC" w:rsidRPr="00A02B90" w:rsidRDefault="003B31DC">
      <w:pPr>
        <w:pStyle w:val="Default"/>
        <w:rPr>
          <w:sz w:val="22"/>
          <w:szCs w:val="22"/>
          <w:lang w:val="lt-LT"/>
        </w:rPr>
      </w:pPr>
    </w:p>
    <w:p w14:paraId="145BE234" w14:textId="77777777" w:rsidR="003B31DC" w:rsidRDefault="00913CBE">
      <w:pPr>
        <w:pStyle w:val="Default"/>
        <w:rPr>
          <w:rFonts w:eastAsiaTheme="minorHAnsi"/>
          <w:sz w:val="22"/>
          <w:szCs w:val="22"/>
          <w:u w:val="single"/>
          <w:lang w:val="lt-LT" w:eastAsia="en-US"/>
        </w:rPr>
      </w:pPr>
      <w:r>
        <w:rPr>
          <w:rFonts w:eastAsiaTheme="minorHAnsi"/>
          <w:i/>
          <w:iCs/>
          <w:sz w:val="22"/>
          <w:szCs w:val="22"/>
          <w:u w:val="single"/>
          <w:lang w:val="lt-LT" w:eastAsia="en-US"/>
        </w:rPr>
        <w:t>Kūno svoris</w:t>
      </w:r>
    </w:p>
    <w:p w14:paraId="24019CDD" w14:textId="567EEBA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 xml:space="preserve">4-ių placebu kontroliuojamųjų tyrimų iš anksto apibrėžtos bendros analizės duomenimis, gydymas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xml:space="preserve"> (68 % visų pacientų buvo taikomas foninis gydymas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24-tą gydymo savaitę lėmė kūno svorio sumažėjimą, palyginti su </w:t>
      </w:r>
      <w:r w:rsidR="00862CF6">
        <w:rPr>
          <w:rFonts w:eastAsiaTheme="minorHAnsi"/>
          <w:color w:val="000000"/>
          <w:sz w:val="22"/>
          <w:szCs w:val="22"/>
          <w:lang w:eastAsia="en-US"/>
        </w:rPr>
        <w:t>placebo grupe</w:t>
      </w:r>
      <w:r>
        <w:rPr>
          <w:rFonts w:eastAsiaTheme="minorHAnsi"/>
          <w:color w:val="000000"/>
          <w:sz w:val="22"/>
          <w:szCs w:val="22"/>
          <w:lang w:eastAsia="en-US"/>
        </w:rPr>
        <w:t xml:space="preserve"> (vartojusiems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-2,04 kg, vartojusiems 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-2,26 kg, vartojusiems placebą: -0,24 kg), kuris išliko iki 52-os savaitės (vartojusiems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-1,96 kg, vartojusiems 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-2,25 kg, vartojusiems placebą: -0,16 kg).</w:t>
      </w:r>
    </w:p>
    <w:p w14:paraId="6CEB980F" w14:textId="77777777" w:rsidR="003B31DC" w:rsidRDefault="003B31DC">
      <w:pPr>
        <w:autoSpaceDE w:val="0"/>
        <w:autoSpaceDN w:val="0"/>
        <w:adjustRightInd w:val="0"/>
        <w:rPr>
          <w:rFonts w:eastAsiaTheme="minorHAnsi"/>
          <w:i/>
          <w:iCs/>
          <w:color w:val="000000"/>
          <w:sz w:val="22"/>
          <w:szCs w:val="22"/>
          <w:lang w:eastAsia="en-US"/>
        </w:rPr>
      </w:pPr>
    </w:p>
    <w:p w14:paraId="2535661F" w14:textId="77777777" w:rsidR="003B31DC" w:rsidRDefault="00913CBE">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Kraujospūdis</w:t>
      </w:r>
    </w:p>
    <w:p w14:paraId="0C9B71AE" w14:textId="77777777" w:rsidR="003B31DC" w:rsidRDefault="003B31DC">
      <w:pPr>
        <w:autoSpaceDE w:val="0"/>
        <w:autoSpaceDN w:val="0"/>
        <w:adjustRightInd w:val="0"/>
        <w:rPr>
          <w:rFonts w:eastAsiaTheme="minorHAnsi"/>
          <w:color w:val="000000"/>
          <w:sz w:val="22"/>
          <w:szCs w:val="22"/>
          <w:lang w:eastAsia="en-US"/>
        </w:rPr>
      </w:pPr>
    </w:p>
    <w:p w14:paraId="4264DF73" w14:textId="0C02B07A" w:rsidR="003B31DC" w:rsidRDefault="00913CB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veiksmingumas ir saugumas buvo tiriami 12 savaičių trukmės dvigubai </w:t>
      </w:r>
      <w:r w:rsidR="00AB565D">
        <w:rPr>
          <w:rFonts w:eastAsiaTheme="minorHAnsi"/>
          <w:color w:val="000000"/>
          <w:sz w:val="22"/>
          <w:szCs w:val="22"/>
          <w:lang w:eastAsia="en-US"/>
        </w:rPr>
        <w:t>koduotame</w:t>
      </w:r>
      <w:r>
        <w:rPr>
          <w:rFonts w:eastAsiaTheme="minorHAnsi"/>
          <w:color w:val="000000"/>
          <w:sz w:val="22"/>
          <w:szCs w:val="22"/>
          <w:lang w:eastAsia="en-US"/>
        </w:rPr>
        <w:t xml:space="preserve">, placebu kontroliuojamu tyrimu su pacientais, kuriems nustatytas 2 tipo cukrinis diabetas ir </w:t>
      </w:r>
      <w:r w:rsidR="001C6712">
        <w:rPr>
          <w:rFonts w:eastAsiaTheme="minorHAnsi"/>
          <w:color w:val="000000"/>
          <w:sz w:val="22"/>
          <w:szCs w:val="22"/>
          <w:lang w:eastAsia="en-US"/>
        </w:rPr>
        <w:t xml:space="preserve">aukštas </w:t>
      </w:r>
      <w:r>
        <w:rPr>
          <w:rFonts w:eastAsiaTheme="minorHAnsi"/>
          <w:color w:val="000000"/>
          <w:sz w:val="22"/>
          <w:szCs w:val="22"/>
          <w:lang w:eastAsia="en-US"/>
        </w:rPr>
        <w:t xml:space="preserve">kraujospūdis, vartojančiais įvairių vaistinių preparatų nuo cukrinio diabeto ir ne daugiau nei 2 </w:t>
      </w:r>
      <w:proofErr w:type="spellStart"/>
      <w:r>
        <w:rPr>
          <w:rFonts w:eastAsiaTheme="minorHAnsi"/>
          <w:color w:val="000000"/>
          <w:sz w:val="22"/>
          <w:szCs w:val="22"/>
          <w:lang w:eastAsia="en-US"/>
        </w:rPr>
        <w:t>antihipertenzinius</w:t>
      </w:r>
      <w:proofErr w:type="spellEnd"/>
      <w:r>
        <w:rPr>
          <w:rFonts w:eastAsiaTheme="minorHAnsi"/>
          <w:color w:val="000000"/>
          <w:sz w:val="22"/>
          <w:szCs w:val="22"/>
          <w:lang w:eastAsia="en-US"/>
        </w:rPr>
        <w:t xml:space="preserve"> vaistinius preparatus. Gydymas kartą per parą vartojamu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xml:space="preserve"> lėmė statistiškai reikšmingą HbA1c kiekio ir vidutinio paros </w:t>
      </w:r>
      <w:proofErr w:type="spellStart"/>
      <w:r>
        <w:rPr>
          <w:rFonts w:eastAsiaTheme="minorHAnsi"/>
          <w:color w:val="000000"/>
          <w:sz w:val="22"/>
          <w:szCs w:val="22"/>
          <w:lang w:eastAsia="en-US"/>
        </w:rPr>
        <w:t>sistolinio</w:t>
      </w:r>
      <w:proofErr w:type="spellEnd"/>
      <w:r>
        <w:rPr>
          <w:rFonts w:eastAsiaTheme="minorHAnsi"/>
          <w:color w:val="000000"/>
          <w:sz w:val="22"/>
          <w:szCs w:val="22"/>
          <w:lang w:eastAsia="en-US"/>
        </w:rPr>
        <w:t xml:space="preserve"> bei </w:t>
      </w:r>
      <w:proofErr w:type="spellStart"/>
      <w:r>
        <w:rPr>
          <w:rFonts w:eastAsiaTheme="minorHAnsi"/>
          <w:color w:val="000000"/>
          <w:sz w:val="22"/>
          <w:szCs w:val="22"/>
          <w:lang w:eastAsia="en-US"/>
        </w:rPr>
        <w:t>diastolinis</w:t>
      </w:r>
      <w:proofErr w:type="spellEnd"/>
      <w:r>
        <w:rPr>
          <w:rFonts w:eastAsiaTheme="minorHAnsi"/>
          <w:color w:val="000000"/>
          <w:sz w:val="22"/>
          <w:szCs w:val="22"/>
          <w:lang w:eastAsia="en-US"/>
        </w:rPr>
        <w:t xml:space="preserve"> kraujospūdžių, pamatuotų ambulatorijoje, sumažėjimą (10 lentelė). Gydant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sumažėjo SKS ir DKS, išmatuoti sėdint.</w:t>
      </w:r>
    </w:p>
    <w:p w14:paraId="32DD244E" w14:textId="77777777" w:rsidR="003B31DC" w:rsidRDefault="003B31DC">
      <w:pPr>
        <w:widowControl w:val="0"/>
        <w:tabs>
          <w:tab w:val="left" w:pos="567"/>
        </w:tabs>
        <w:ind w:left="567" w:hanging="567"/>
        <w:outlineLvl w:val="2"/>
        <w:rPr>
          <w:b/>
          <w:kern w:val="28"/>
          <w:sz w:val="22"/>
          <w:szCs w:val="22"/>
          <w:lang w:eastAsia="en-US"/>
        </w:rPr>
      </w:pPr>
    </w:p>
    <w:p w14:paraId="68C6A2E5" w14:textId="4C0EBA9F" w:rsidR="003B31DC" w:rsidRPr="00A02B90" w:rsidRDefault="00913CBE">
      <w:pPr>
        <w:ind w:left="1118" w:right="11" w:hanging="1133"/>
        <w:rPr>
          <w:sz w:val="22"/>
          <w:szCs w:val="22"/>
          <w:lang w:eastAsia="sl-SI"/>
        </w:rPr>
      </w:pPr>
      <w:r w:rsidRPr="00A02B90">
        <w:rPr>
          <w:sz w:val="22"/>
          <w:szCs w:val="22"/>
          <w:lang w:eastAsia="sl-SI"/>
        </w:rPr>
        <w:t>10 len</w:t>
      </w:r>
      <w:r>
        <w:rPr>
          <w:sz w:val="22"/>
          <w:szCs w:val="22"/>
          <w:lang w:eastAsia="sl-SI"/>
        </w:rPr>
        <w:t>telė</w:t>
      </w:r>
      <w:r w:rsidRPr="00A02B90">
        <w:rPr>
          <w:sz w:val="22"/>
          <w:szCs w:val="22"/>
          <w:lang w:eastAsia="sl-SI"/>
        </w:rPr>
        <w:t>:</w:t>
      </w:r>
      <w:r w:rsidRPr="00A02B90">
        <w:rPr>
          <w:sz w:val="22"/>
          <w:szCs w:val="22"/>
          <w:lang w:eastAsia="sl-SI"/>
        </w:rPr>
        <w:tab/>
      </w:r>
      <w:r w:rsidR="00A415FE" w:rsidRPr="00FA2F7A">
        <w:rPr>
          <w:sz w:val="22"/>
          <w:szCs w:val="22"/>
        </w:rPr>
        <w:t xml:space="preserve">12 savaičių trukmės placebu kontroliuojamo tyrimo rezultatai pacientams, sergantiems II tipo cukriniu diabetu ir turintiems nekontroliuojamą kraujospūdį, vartojantiems </w:t>
      </w:r>
      <w:proofErr w:type="spellStart"/>
      <w:r w:rsidR="00A415FE" w:rsidRPr="00FA2F7A">
        <w:rPr>
          <w:sz w:val="22"/>
          <w:szCs w:val="22"/>
        </w:rPr>
        <w:t>empaglifloziną</w:t>
      </w:r>
      <w:proofErr w:type="spellEnd"/>
      <w:r w:rsidR="00A415FE" w:rsidRPr="00FA2F7A">
        <w:rPr>
          <w:sz w:val="22"/>
          <w:szCs w:val="22"/>
        </w:rPr>
        <w:t xml:space="preserve"> kartu su kitais antidiabetiniais </w:t>
      </w:r>
      <w:proofErr w:type="spellStart"/>
      <w:r w:rsidR="00A415FE" w:rsidRPr="00FA2F7A">
        <w:rPr>
          <w:sz w:val="22"/>
          <w:szCs w:val="22"/>
        </w:rPr>
        <w:t>vaistais</w:t>
      </w:r>
      <w:r w:rsidR="000A5D52">
        <w:rPr>
          <w:sz w:val="14"/>
          <w:szCs w:val="14"/>
        </w:rPr>
        <w:t>a</w:t>
      </w:r>
      <w:proofErr w:type="spellEnd"/>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9"/>
        <w:gridCol w:w="1985"/>
        <w:gridCol w:w="2127"/>
        <w:gridCol w:w="2129"/>
      </w:tblGrid>
      <w:tr w:rsidR="003B31DC" w14:paraId="49D48CAF" w14:textId="77777777">
        <w:trPr>
          <w:trHeight w:val="253"/>
        </w:trPr>
        <w:tc>
          <w:tcPr>
            <w:tcW w:w="2659" w:type="dxa"/>
            <w:vMerge w:val="restart"/>
          </w:tcPr>
          <w:p w14:paraId="27640DE0" w14:textId="77777777" w:rsidR="003B31DC" w:rsidRPr="00A02B90" w:rsidRDefault="003B31DC">
            <w:pPr>
              <w:tabs>
                <w:tab w:val="left" w:pos="9071"/>
              </w:tabs>
              <w:rPr>
                <w:rFonts w:eastAsia="Calibri"/>
                <w:lang w:val="lt-LT" w:eastAsia="en-US"/>
              </w:rPr>
            </w:pPr>
          </w:p>
        </w:tc>
        <w:tc>
          <w:tcPr>
            <w:tcW w:w="1985" w:type="dxa"/>
            <w:vMerge w:val="restart"/>
          </w:tcPr>
          <w:p w14:paraId="44750651" w14:textId="77777777" w:rsidR="003B31DC" w:rsidRDefault="00913CBE">
            <w:pPr>
              <w:tabs>
                <w:tab w:val="left" w:pos="9071"/>
              </w:tabs>
              <w:rPr>
                <w:rFonts w:eastAsia="Calibri"/>
                <w:b/>
                <w:lang w:val="en-GB" w:eastAsia="en-US"/>
              </w:rPr>
            </w:pPr>
            <w:proofErr w:type="spellStart"/>
            <w:r>
              <w:rPr>
                <w:rFonts w:eastAsia="Calibri"/>
                <w:b/>
                <w:spacing w:val="-2"/>
                <w:lang w:val="en-GB" w:eastAsia="en-US"/>
              </w:rPr>
              <w:t>Placebas</w:t>
            </w:r>
            <w:proofErr w:type="spellEnd"/>
          </w:p>
        </w:tc>
        <w:tc>
          <w:tcPr>
            <w:tcW w:w="4256" w:type="dxa"/>
            <w:gridSpan w:val="2"/>
          </w:tcPr>
          <w:p w14:paraId="58803741" w14:textId="77777777" w:rsidR="003B31DC" w:rsidRDefault="00913CBE">
            <w:pPr>
              <w:tabs>
                <w:tab w:val="left" w:pos="9071"/>
              </w:tabs>
              <w:jc w:val="center"/>
              <w:rPr>
                <w:rFonts w:eastAsia="Calibri"/>
                <w:b/>
                <w:lang w:val="en-GB" w:eastAsia="en-US"/>
              </w:rPr>
            </w:pPr>
            <w:proofErr w:type="spellStart"/>
            <w:r>
              <w:rPr>
                <w:rFonts w:eastAsia="Calibri"/>
                <w:b/>
                <w:spacing w:val="-2"/>
                <w:lang w:val="en-GB" w:eastAsia="en-US"/>
              </w:rPr>
              <w:t>Empagliflozinas</w:t>
            </w:r>
            <w:proofErr w:type="spellEnd"/>
          </w:p>
        </w:tc>
      </w:tr>
      <w:tr w:rsidR="003B31DC" w14:paraId="0ACA9A9B" w14:textId="77777777">
        <w:trPr>
          <w:trHeight w:val="251"/>
        </w:trPr>
        <w:tc>
          <w:tcPr>
            <w:tcW w:w="2659" w:type="dxa"/>
            <w:vMerge/>
            <w:tcBorders>
              <w:top w:val="nil"/>
            </w:tcBorders>
          </w:tcPr>
          <w:p w14:paraId="7A25E7C4" w14:textId="77777777" w:rsidR="003B31DC" w:rsidRDefault="003B31DC">
            <w:pPr>
              <w:tabs>
                <w:tab w:val="left" w:pos="9071"/>
              </w:tabs>
              <w:rPr>
                <w:rFonts w:eastAsia="Calibri"/>
                <w:sz w:val="24"/>
                <w:lang w:val="en-GB" w:eastAsia="en-US"/>
              </w:rPr>
            </w:pPr>
          </w:p>
        </w:tc>
        <w:tc>
          <w:tcPr>
            <w:tcW w:w="1985" w:type="dxa"/>
            <w:vMerge/>
            <w:tcBorders>
              <w:top w:val="nil"/>
            </w:tcBorders>
          </w:tcPr>
          <w:p w14:paraId="1B395460" w14:textId="77777777" w:rsidR="003B31DC" w:rsidRDefault="003B31DC">
            <w:pPr>
              <w:tabs>
                <w:tab w:val="left" w:pos="9071"/>
              </w:tabs>
              <w:rPr>
                <w:rFonts w:eastAsia="Calibri"/>
                <w:sz w:val="24"/>
                <w:lang w:val="en-GB" w:eastAsia="en-US"/>
              </w:rPr>
            </w:pPr>
          </w:p>
        </w:tc>
        <w:tc>
          <w:tcPr>
            <w:tcW w:w="2127" w:type="dxa"/>
          </w:tcPr>
          <w:p w14:paraId="01669842" w14:textId="77777777" w:rsidR="003B31DC" w:rsidRDefault="00913CBE">
            <w:pPr>
              <w:tabs>
                <w:tab w:val="left" w:pos="9071"/>
              </w:tabs>
              <w:ind w:right="2"/>
              <w:jc w:val="center"/>
              <w:rPr>
                <w:rFonts w:eastAsia="Calibri"/>
                <w:b/>
                <w:lang w:val="en-GB" w:eastAsia="en-US"/>
              </w:rPr>
            </w:pPr>
            <w:r>
              <w:rPr>
                <w:rFonts w:eastAsia="Calibri"/>
                <w:b/>
                <w:lang w:val="en-GB" w:eastAsia="en-US"/>
              </w:rPr>
              <w:t>10 mg</w:t>
            </w:r>
          </w:p>
        </w:tc>
        <w:tc>
          <w:tcPr>
            <w:tcW w:w="2129" w:type="dxa"/>
          </w:tcPr>
          <w:p w14:paraId="57EBC3FD" w14:textId="77777777" w:rsidR="003B31DC" w:rsidRDefault="00913CBE">
            <w:pPr>
              <w:tabs>
                <w:tab w:val="left" w:pos="9071"/>
              </w:tabs>
              <w:ind w:right="2"/>
              <w:jc w:val="center"/>
              <w:rPr>
                <w:rFonts w:eastAsia="Calibri"/>
                <w:b/>
                <w:lang w:val="en-GB" w:eastAsia="en-US"/>
              </w:rPr>
            </w:pPr>
            <w:r>
              <w:rPr>
                <w:rFonts w:eastAsia="Calibri"/>
                <w:b/>
                <w:lang w:val="en-GB" w:eastAsia="en-US"/>
              </w:rPr>
              <w:t>25 mg</w:t>
            </w:r>
          </w:p>
        </w:tc>
      </w:tr>
      <w:tr w:rsidR="003B31DC" w14:paraId="78666A65" w14:textId="77777777">
        <w:trPr>
          <w:trHeight w:val="253"/>
        </w:trPr>
        <w:tc>
          <w:tcPr>
            <w:tcW w:w="2659" w:type="dxa"/>
          </w:tcPr>
          <w:p w14:paraId="1999D526" w14:textId="77777777" w:rsidR="003B31DC" w:rsidRDefault="00913CBE">
            <w:pPr>
              <w:tabs>
                <w:tab w:val="left" w:pos="9071"/>
              </w:tabs>
              <w:rPr>
                <w:rFonts w:eastAsia="Calibri"/>
                <w:lang w:val="en-GB" w:eastAsia="en-US"/>
              </w:rPr>
            </w:pPr>
            <w:r>
              <w:rPr>
                <w:rFonts w:eastAsia="Calibri"/>
                <w:spacing w:val="-10"/>
                <w:lang w:val="en-GB" w:eastAsia="en-US"/>
              </w:rPr>
              <w:t>N</w:t>
            </w:r>
          </w:p>
        </w:tc>
        <w:tc>
          <w:tcPr>
            <w:tcW w:w="1985" w:type="dxa"/>
          </w:tcPr>
          <w:p w14:paraId="3D92C60E" w14:textId="77777777" w:rsidR="003B31DC" w:rsidRDefault="00913CBE">
            <w:pPr>
              <w:tabs>
                <w:tab w:val="left" w:pos="9071"/>
              </w:tabs>
              <w:ind w:right="2"/>
              <w:jc w:val="center"/>
              <w:rPr>
                <w:rFonts w:eastAsia="Calibri"/>
                <w:lang w:val="en-GB" w:eastAsia="en-US"/>
              </w:rPr>
            </w:pPr>
            <w:r>
              <w:rPr>
                <w:rFonts w:eastAsia="Calibri"/>
                <w:spacing w:val="-5"/>
                <w:lang w:val="en-GB" w:eastAsia="en-US"/>
              </w:rPr>
              <w:t>271</w:t>
            </w:r>
          </w:p>
        </w:tc>
        <w:tc>
          <w:tcPr>
            <w:tcW w:w="2127" w:type="dxa"/>
          </w:tcPr>
          <w:p w14:paraId="42C4EA37" w14:textId="77777777" w:rsidR="003B31DC" w:rsidRDefault="00913CBE">
            <w:pPr>
              <w:tabs>
                <w:tab w:val="left" w:pos="9071"/>
              </w:tabs>
              <w:ind w:right="2"/>
              <w:jc w:val="center"/>
              <w:rPr>
                <w:rFonts w:eastAsia="Calibri"/>
                <w:lang w:val="en-GB" w:eastAsia="en-US"/>
              </w:rPr>
            </w:pPr>
            <w:r>
              <w:rPr>
                <w:rFonts w:eastAsia="Calibri"/>
                <w:spacing w:val="-5"/>
                <w:lang w:val="en-GB" w:eastAsia="en-US"/>
              </w:rPr>
              <w:t>276</w:t>
            </w:r>
          </w:p>
        </w:tc>
        <w:tc>
          <w:tcPr>
            <w:tcW w:w="2129" w:type="dxa"/>
          </w:tcPr>
          <w:p w14:paraId="175A25BC" w14:textId="77777777" w:rsidR="003B31DC" w:rsidRDefault="00913CBE">
            <w:pPr>
              <w:tabs>
                <w:tab w:val="left" w:pos="9071"/>
              </w:tabs>
              <w:ind w:right="3"/>
              <w:jc w:val="center"/>
              <w:rPr>
                <w:rFonts w:eastAsia="Calibri"/>
                <w:lang w:val="en-GB" w:eastAsia="en-US"/>
              </w:rPr>
            </w:pPr>
            <w:r>
              <w:rPr>
                <w:rFonts w:eastAsia="Calibri"/>
                <w:spacing w:val="-5"/>
                <w:lang w:val="en-GB" w:eastAsia="en-US"/>
              </w:rPr>
              <w:t>276</w:t>
            </w:r>
          </w:p>
        </w:tc>
      </w:tr>
      <w:tr w:rsidR="003B31DC" w14:paraId="5B979CF1" w14:textId="77777777">
        <w:trPr>
          <w:trHeight w:val="253"/>
        </w:trPr>
        <w:tc>
          <w:tcPr>
            <w:tcW w:w="8900" w:type="dxa"/>
            <w:gridSpan w:val="4"/>
          </w:tcPr>
          <w:p w14:paraId="0C0CA160" w14:textId="77777777" w:rsidR="003B31DC" w:rsidRDefault="00913CBE">
            <w:pPr>
              <w:tabs>
                <w:tab w:val="left" w:pos="9071"/>
              </w:tabs>
              <w:rPr>
                <w:rFonts w:eastAsia="Calibri"/>
                <w:b/>
                <w:lang w:val="en-GB" w:eastAsia="en-US"/>
              </w:rPr>
            </w:pPr>
            <w:r>
              <w:rPr>
                <w:rFonts w:eastAsia="Calibri"/>
                <w:b/>
                <w:lang w:val="en-GB" w:eastAsia="en-US"/>
              </w:rPr>
              <w:t>HbA1c</w:t>
            </w:r>
            <w:r>
              <w:rPr>
                <w:rFonts w:eastAsia="Calibri"/>
                <w:b/>
                <w:spacing w:val="-4"/>
                <w:lang w:val="en-GB" w:eastAsia="en-US"/>
              </w:rPr>
              <w:t xml:space="preserve"> </w:t>
            </w:r>
            <w:proofErr w:type="spellStart"/>
            <w:r>
              <w:rPr>
                <w:rFonts w:eastAsia="Calibri"/>
                <w:b/>
                <w:spacing w:val="-4"/>
                <w:lang w:val="en-GB" w:eastAsia="en-US"/>
              </w:rPr>
              <w:t>kiekis</w:t>
            </w:r>
            <w:proofErr w:type="spellEnd"/>
            <w:r>
              <w:rPr>
                <w:rFonts w:eastAsia="Calibri"/>
                <w:b/>
                <w:spacing w:val="-4"/>
                <w:lang w:val="en-GB" w:eastAsia="en-US"/>
              </w:rPr>
              <w:t xml:space="preserve"> </w:t>
            </w:r>
            <w:r>
              <w:rPr>
                <w:rFonts w:eastAsia="Calibri"/>
                <w:b/>
                <w:lang w:val="en-GB" w:eastAsia="en-US"/>
              </w:rPr>
              <w:t>(%)</w:t>
            </w:r>
            <w:r>
              <w:rPr>
                <w:rFonts w:eastAsia="Calibri"/>
                <w:b/>
                <w:spacing w:val="-3"/>
                <w:lang w:val="en-GB" w:eastAsia="en-US"/>
              </w:rPr>
              <w:t xml:space="preserve"> </w:t>
            </w:r>
            <w:r>
              <w:rPr>
                <w:rFonts w:eastAsia="Calibri"/>
                <w:b/>
                <w:spacing w:val="-5"/>
                <w:lang w:val="en-GB" w:eastAsia="en-US"/>
              </w:rPr>
              <w:t>12-t</w:t>
            </w:r>
            <w:r>
              <w:rPr>
                <w:rFonts w:eastAsia="Calibri"/>
                <w:b/>
                <w:spacing w:val="-5"/>
                <w:lang w:val="lt-LT" w:eastAsia="en-US"/>
              </w:rPr>
              <w:t>ą savaitę</w:t>
            </w:r>
            <w:r>
              <w:rPr>
                <w:rFonts w:eastAsia="Calibri"/>
                <w:b/>
                <w:spacing w:val="-5"/>
                <w:vertAlign w:val="superscript"/>
                <w:lang w:val="en-GB" w:eastAsia="en-US"/>
              </w:rPr>
              <w:t>1</w:t>
            </w:r>
          </w:p>
        </w:tc>
      </w:tr>
      <w:tr w:rsidR="003B31DC" w14:paraId="157B9FCF" w14:textId="77777777">
        <w:trPr>
          <w:trHeight w:val="251"/>
        </w:trPr>
        <w:tc>
          <w:tcPr>
            <w:tcW w:w="2659" w:type="dxa"/>
          </w:tcPr>
          <w:p w14:paraId="626CA4D0" w14:textId="77777777" w:rsidR="003B31DC" w:rsidRDefault="00913CBE">
            <w:pPr>
              <w:tabs>
                <w:tab w:val="left" w:pos="9071"/>
              </w:tabs>
              <w:rPr>
                <w:lang w:val="en-GB" w:eastAsia="en-US"/>
              </w:rPr>
            </w:pPr>
            <w:proofErr w:type="spellStart"/>
            <w:r>
              <w:rPr>
                <w:spacing w:val="-2"/>
                <w:lang w:val="en-GB" w:eastAsia="en-US"/>
              </w:rPr>
              <w:t>Pradinis</w:t>
            </w:r>
            <w:proofErr w:type="spellEnd"/>
          </w:p>
          <w:p w14:paraId="7CFBA28A"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985" w:type="dxa"/>
          </w:tcPr>
          <w:p w14:paraId="5C978650" w14:textId="77777777" w:rsidR="003B31DC" w:rsidRDefault="00913CBE">
            <w:pPr>
              <w:tabs>
                <w:tab w:val="left" w:pos="9071"/>
              </w:tabs>
              <w:jc w:val="center"/>
              <w:rPr>
                <w:rFonts w:eastAsia="Calibri"/>
                <w:lang w:val="en-GB" w:eastAsia="en-US"/>
              </w:rPr>
            </w:pPr>
            <w:r>
              <w:rPr>
                <w:rFonts w:eastAsia="Calibri"/>
                <w:spacing w:val="-4"/>
                <w:lang w:val="en-GB" w:eastAsia="en-US"/>
              </w:rPr>
              <w:t>7,90</w:t>
            </w:r>
          </w:p>
        </w:tc>
        <w:tc>
          <w:tcPr>
            <w:tcW w:w="2127" w:type="dxa"/>
          </w:tcPr>
          <w:p w14:paraId="3C088068" w14:textId="77777777" w:rsidR="003B31DC" w:rsidRDefault="00913CBE">
            <w:pPr>
              <w:tabs>
                <w:tab w:val="left" w:pos="9071"/>
              </w:tabs>
              <w:jc w:val="center"/>
              <w:rPr>
                <w:rFonts w:eastAsia="Calibri"/>
                <w:lang w:val="en-GB" w:eastAsia="en-US"/>
              </w:rPr>
            </w:pPr>
            <w:r>
              <w:rPr>
                <w:rFonts w:eastAsia="Calibri"/>
                <w:spacing w:val="-4"/>
                <w:lang w:val="en-GB" w:eastAsia="en-US"/>
              </w:rPr>
              <w:t>7,87</w:t>
            </w:r>
          </w:p>
        </w:tc>
        <w:tc>
          <w:tcPr>
            <w:tcW w:w="2129" w:type="dxa"/>
          </w:tcPr>
          <w:p w14:paraId="2D32EB5A" w14:textId="77777777" w:rsidR="003B31DC" w:rsidRDefault="00913CBE">
            <w:pPr>
              <w:tabs>
                <w:tab w:val="left" w:pos="9071"/>
              </w:tabs>
              <w:jc w:val="center"/>
              <w:rPr>
                <w:rFonts w:eastAsia="Calibri"/>
                <w:lang w:val="en-GB" w:eastAsia="en-US"/>
              </w:rPr>
            </w:pPr>
            <w:r>
              <w:rPr>
                <w:rFonts w:eastAsia="Calibri"/>
                <w:spacing w:val="-4"/>
                <w:lang w:val="en-GB" w:eastAsia="en-US"/>
              </w:rPr>
              <w:t>7,92</w:t>
            </w:r>
          </w:p>
        </w:tc>
      </w:tr>
      <w:tr w:rsidR="003B31DC" w14:paraId="571265D5" w14:textId="77777777">
        <w:trPr>
          <w:trHeight w:val="254"/>
        </w:trPr>
        <w:tc>
          <w:tcPr>
            <w:tcW w:w="2659" w:type="dxa"/>
          </w:tcPr>
          <w:p w14:paraId="42AE7FF2"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3B6F4626" w14:textId="77777777" w:rsidR="003B31DC" w:rsidRDefault="00913CBE">
            <w:pPr>
              <w:tabs>
                <w:tab w:val="left" w:pos="9071"/>
              </w:tabs>
              <w:ind w:right="397"/>
              <w:rPr>
                <w:rFonts w:eastAsia="Calibri"/>
                <w:lang w:val="en-GB" w:eastAsia="en-US"/>
              </w:rPr>
            </w:pPr>
            <w:r>
              <w:rPr>
                <w:spacing w:val="-2"/>
                <w:lang w:val="en-GB" w:eastAsia="en-US"/>
              </w:rPr>
              <w:t>pradinio</w:t>
            </w:r>
            <w:r>
              <w:rPr>
                <w:spacing w:val="-2"/>
                <w:vertAlign w:val="superscript"/>
                <w:lang w:val="en-GB" w:eastAsia="en-US"/>
              </w:rPr>
              <w:t>1</w:t>
            </w:r>
          </w:p>
        </w:tc>
        <w:tc>
          <w:tcPr>
            <w:tcW w:w="1985" w:type="dxa"/>
          </w:tcPr>
          <w:p w14:paraId="36E2F479" w14:textId="77777777" w:rsidR="003B31DC" w:rsidRDefault="00913CBE">
            <w:pPr>
              <w:tabs>
                <w:tab w:val="left" w:pos="9071"/>
              </w:tabs>
              <w:jc w:val="center"/>
              <w:rPr>
                <w:rFonts w:eastAsia="Calibri"/>
                <w:lang w:val="en-GB" w:eastAsia="en-US"/>
              </w:rPr>
            </w:pPr>
            <w:r>
              <w:rPr>
                <w:rFonts w:eastAsia="Calibri"/>
                <w:spacing w:val="-4"/>
                <w:lang w:val="en-GB" w:eastAsia="en-US"/>
              </w:rPr>
              <w:t>0,03</w:t>
            </w:r>
          </w:p>
        </w:tc>
        <w:tc>
          <w:tcPr>
            <w:tcW w:w="2127" w:type="dxa"/>
          </w:tcPr>
          <w:p w14:paraId="3BC9A98A" w14:textId="77777777" w:rsidR="003B31DC" w:rsidRDefault="00913CBE">
            <w:pPr>
              <w:tabs>
                <w:tab w:val="left" w:pos="9071"/>
              </w:tabs>
              <w:ind w:right="7"/>
              <w:jc w:val="center"/>
              <w:rPr>
                <w:rFonts w:eastAsia="Calibri"/>
                <w:lang w:val="en-GB" w:eastAsia="en-US"/>
              </w:rPr>
            </w:pPr>
            <w:r>
              <w:rPr>
                <w:rFonts w:eastAsia="Calibri"/>
                <w:spacing w:val="-4"/>
                <w:lang w:val="en-GB" w:eastAsia="en-US"/>
              </w:rPr>
              <w:t>-0,59</w:t>
            </w:r>
          </w:p>
        </w:tc>
        <w:tc>
          <w:tcPr>
            <w:tcW w:w="2129" w:type="dxa"/>
          </w:tcPr>
          <w:p w14:paraId="4279D5F8" w14:textId="77777777" w:rsidR="003B31DC" w:rsidRDefault="00913CBE">
            <w:pPr>
              <w:tabs>
                <w:tab w:val="left" w:pos="9071"/>
              </w:tabs>
              <w:ind w:right="7"/>
              <w:jc w:val="center"/>
              <w:rPr>
                <w:rFonts w:eastAsia="Calibri"/>
                <w:lang w:val="en-GB" w:eastAsia="en-US"/>
              </w:rPr>
            </w:pPr>
            <w:r>
              <w:rPr>
                <w:rFonts w:eastAsia="Calibri"/>
                <w:spacing w:val="-4"/>
                <w:lang w:val="en-GB" w:eastAsia="en-US"/>
              </w:rPr>
              <w:t>-0,62</w:t>
            </w:r>
          </w:p>
        </w:tc>
      </w:tr>
      <w:tr w:rsidR="003B31DC" w14:paraId="180956FC" w14:textId="77777777">
        <w:trPr>
          <w:trHeight w:val="505"/>
        </w:trPr>
        <w:tc>
          <w:tcPr>
            <w:tcW w:w="2659" w:type="dxa"/>
          </w:tcPr>
          <w:p w14:paraId="77D974F1"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985" w:type="dxa"/>
          </w:tcPr>
          <w:p w14:paraId="6C683636" w14:textId="77777777" w:rsidR="003B31DC" w:rsidRDefault="003B31DC">
            <w:pPr>
              <w:tabs>
                <w:tab w:val="left" w:pos="9071"/>
              </w:tabs>
              <w:rPr>
                <w:rFonts w:eastAsia="Calibri"/>
                <w:lang w:val="en-GB" w:eastAsia="en-US"/>
              </w:rPr>
            </w:pPr>
          </w:p>
        </w:tc>
        <w:tc>
          <w:tcPr>
            <w:tcW w:w="2127" w:type="dxa"/>
          </w:tcPr>
          <w:p w14:paraId="74F4AEC6" w14:textId="77777777" w:rsidR="003B31DC" w:rsidRDefault="00913CBE">
            <w:pPr>
              <w:tabs>
                <w:tab w:val="left" w:pos="9071"/>
              </w:tabs>
              <w:ind w:right="6"/>
              <w:jc w:val="center"/>
              <w:rPr>
                <w:rFonts w:eastAsia="Calibri"/>
                <w:lang w:val="en-GB" w:eastAsia="en-US"/>
              </w:rPr>
            </w:pPr>
            <w:r>
              <w:rPr>
                <w:rFonts w:eastAsia="Calibri"/>
                <w:lang w:val="en-GB" w:eastAsia="en-US"/>
              </w:rPr>
              <w:t>-0,62*</w:t>
            </w:r>
            <w:r>
              <w:rPr>
                <w:rFonts w:eastAsia="Calibri"/>
                <w:spacing w:val="-5"/>
                <w:lang w:val="en-GB" w:eastAsia="en-US"/>
              </w:rPr>
              <w:t xml:space="preserve"> </w:t>
            </w:r>
            <w:r>
              <w:rPr>
                <w:rFonts w:eastAsia="Calibri"/>
                <w:lang w:val="en-GB" w:eastAsia="en-US"/>
              </w:rPr>
              <w:t>(-0,72,</w:t>
            </w:r>
            <w:r>
              <w:rPr>
                <w:rFonts w:eastAsia="Calibri"/>
                <w:spacing w:val="-2"/>
                <w:lang w:val="en-GB" w:eastAsia="en-US"/>
              </w:rPr>
              <w:t xml:space="preserve"> </w:t>
            </w:r>
            <w:r>
              <w:rPr>
                <w:rFonts w:eastAsia="Calibri"/>
                <w:lang w:val="en-GB" w:eastAsia="en-US"/>
              </w:rPr>
              <w:t>-</w:t>
            </w:r>
            <w:r>
              <w:rPr>
                <w:rFonts w:eastAsia="Calibri"/>
                <w:spacing w:val="-2"/>
                <w:lang w:val="en-GB" w:eastAsia="en-US"/>
              </w:rPr>
              <w:t>0,52)</w:t>
            </w:r>
          </w:p>
        </w:tc>
        <w:tc>
          <w:tcPr>
            <w:tcW w:w="2129" w:type="dxa"/>
          </w:tcPr>
          <w:p w14:paraId="69E1D731" w14:textId="77777777" w:rsidR="003B31DC" w:rsidRDefault="00913CBE">
            <w:pPr>
              <w:tabs>
                <w:tab w:val="left" w:pos="9071"/>
              </w:tabs>
              <w:ind w:right="6"/>
              <w:jc w:val="center"/>
              <w:rPr>
                <w:rFonts w:eastAsia="Calibri"/>
                <w:lang w:val="en-GB" w:eastAsia="en-US"/>
              </w:rPr>
            </w:pPr>
            <w:r>
              <w:rPr>
                <w:rFonts w:eastAsia="Calibri"/>
                <w:lang w:val="en-GB" w:eastAsia="en-US"/>
              </w:rPr>
              <w:t>-0,65*</w:t>
            </w:r>
            <w:r>
              <w:rPr>
                <w:rFonts w:eastAsia="Calibri"/>
                <w:spacing w:val="-5"/>
                <w:lang w:val="en-GB" w:eastAsia="en-US"/>
              </w:rPr>
              <w:t xml:space="preserve"> </w:t>
            </w:r>
            <w:r>
              <w:rPr>
                <w:rFonts w:eastAsia="Calibri"/>
                <w:lang w:val="en-GB" w:eastAsia="en-US"/>
              </w:rPr>
              <w:t>(-0,75,</w:t>
            </w:r>
            <w:r>
              <w:rPr>
                <w:rFonts w:eastAsia="Calibri"/>
                <w:spacing w:val="-2"/>
                <w:lang w:val="en-GB" w:eastAsia="en-US"/>
              </w:rPr>
              <w:t xml:space="preserve"> </w:t>
            </w:r>
            <w:r>
              <w:rPr>
                <w:rFonts w:eastAsia="Calibri"/>
                <w:lang w:val="en-GB" w:eastAsia="en-US"/>
              </w:rPr>
              <w:t>-</w:t>
            </w:r>
            <w:r>
              <w:rPr>
                <w:rFonts w:eastAsia="Calibri"/>
                <w:spacing w:val="-2"/>
                <w:lang w:val="en-GB" w:eastAsia="en-US"/>
              </w:rPr>
              <w:t>0,55)</w:t>
            </w:r>
          </w:p>
        </w:tc>
      </w:tr>
      <w:tr w:rsidR="003B31DC" w14:paraId="6707E28D" w14:textId="77777777">
        <w:trPr>
          <w:trHeight w:val="251"/>
        </w:trPr>
        <w:tc>
          <w:tcPr>
            <w:tcW w:w="8900" w:type="dxa"/>
            <w:gridSpan w:val="4"/>
          </w:tcPr>
          <w:p w14:paraId="395AAF67" w14:textId="77777777" w:rsidR="003B31DC" w:rsidRDefault="00913CBE">
            <w:pPr>
              <w:tabs>
                <w:tab w:val="left" w:pos="9071"/>
              </w:tabs>
              <w:rPr>
                <w:rFonts w:eastAsia="Calibri"/>
                <w:lang w:val="en-GB" w:eastAsia="en-US"/>
              </w:rPr>
            </w:pPr>
            <w:r>
              <w:rPr>
                <w:rFonts w:eastAsia="Calibri"/>
                <w:b/>
                <w:lang w:val="en-GB" w:eastAsia="en-US"/>
              </w:rPr>
              <w:t xml:space="preserve">Paros SKS 12-tą </w:t>
            </w:r>
            <w:proofErr w:type="spellStart"/>
            <w:r>
              <w:rPr>
                <w:rFonts w:eastAsia="Calibri"/>
                <w:b/>
                <w:lang w:val="en-GB" w:eastAsia="en-US"/>
              </w:rPr>
              <w:t>savaitę</w:t>
            </w:r>
            <w:proofErr w:type="spellEnd"/>
            <w:r>
              <w:rPr>
                <w:rFonts w:eastAsia="Calibri"/>
                <w:b/>
                <w:lang w:val="en-GB" w:eastAsia="en-US"/>
              </w:rPr>
              <w:t xml:space="preserve"> 3</w:t>
            </w:r>
          </w:p>
        </w:tc>
      </w:tr>
      <w:tr w:rsidR="003B31DC" w14:paraId="07A637D2" w14:textId="77777777">
        <w:trPr>
          <w:trHeight w:val="253"/>
        </w:trPr>
        <w:tc>
          <w:tcPr>
            <w:tcW w:w="2659" w:type="dxa"/>
          </w:tcPr>
          <w:p w14:paraId="348B16C9" w14:textId="77777777" w:rsidR="003B31DC" w:rsidRDefault="00913CBE">
            <w:pPr>
              <w:tabs>
                <w:tab w:val="left" w:pos="9071"/>
              </w:tabs>
              <w:rPr>
                <w:lang w:val="en-GB" w:eastAsia="en-US"/>
              </w:rPr>
            </w:pPr>
            <w:proofErr w:type="spellStart"/>
            <w:r>
              <w:rPr>
                <w:spacing w:val="-2"/>
                <w:lang w:val="en-GB" w:eastAsia="en-US"/>
              </w:rPr>
              <w:t>Pradinis</w:t>
            </w:r>
            <w:proofErr w:type="spellEnd"/>
          </w:p>
          <w:p w14:paraId="56F5F582"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985" w:type="dxa"/>
          </w:tcPr>
          <w:p w14:paraId="34D869EC" w14:textId="77777777" w:rsidR="003B31DC" w:rsidRDefault="00913CBE">
            <w:pPr>
              <w:tabs>
                <w:tab w:val="left" w:pos="9071"/>
              </w:tabs>
              <w:jc w:val="center"/>
              <w:rPr>
                <w:rFonts w:eastAsia="Calibri"/>
                <w:lang w:val="en-GB" w:eastAsia="en-US"/>
              </w:rPr>
            </w:pPr>
            <w:r>
              <w:rPr>
                <w:rFonts w:eastAsia="Calibri"/>
                <w:spacing w:val="-2"/>
                <w:lang w:val="en-GB" w:eastAsia="en-US"/>
              </w:rPr>
              <w:t>131,72</w:t>
            </w:r>
          </w:p>
        </w:tc>
        <w:tc>
          <w:tcPr>
            <w:tcW w:w="2127" w:type="dxa"/>
          </w:tcPr>
          <w:p w14:paraId="6D645993" w14:textId="77777777" w:rsidR="003B31DC" w:rsidRDefault="00913CBE">
            <w:pPr>
              <w:tabs>
                <w:tab w:val="left" w:pos="9071"/>
              </w:tabs>
              <w:jc w:val="center"/>
              <w:rPr>
                <w:rFonts w:eastAsia="Calibri"/>
                <w:lang w:val="en-GB" w:eastAsia="en-US"/>
              </w:rPr>
            </w:pPr>
            <w:r>
              <w:rPr>
                <w:rFonts w:eastAsia="Calibri"/>
                <w:spacing w:val="-2"/>
                <w:lang w:val="en-GB" w:eastAsia="en-US"/>
              </w:rPr>
              <w:t>131,34</w:t>
            </w:r>
          </w:p>
        </w:tc>
        <w:tc>
          <w:tcPr>
            <w:tcW w:w="2129" w:type="dxa"/>
          </w:tcPr>
          <w:p w14:paraId="3DCD4A3F" w14:textId="77777777" w:rsidR="003B31DC" w:rsidRDefault="00913CBE">
            <w:pPr>
              <w:tabs>
                <w:tab w:val="left" w:pos="9071"/>
              </w:tabs>
              <w:jc w:val="center"/>
              <w:rPr>
                <w:rFonts w:eastAsia="Calibri"/>
                <w:lang w:val="en-GB" w:eastAsia="en-US"/>
              </w:rPr>
            </w:pPr>
            <w:r>
              <w:rPr>
                <w:rFonts w:eastAsia="Calibri"/>
                <w:spacing w:val="-2"/>
                <w:lang w:val="en-GB" w:eastAsia="en-US"/>
              </w:rPr>
              <w:t>131,18</w:t>
            </w:r>
          </w:p>
        </w:tc>
      </w:tr>
      <w:tr w:rsidR="003B31DC" w14:paraId="0C059D6C" w14:textId="77777777">
        <w:trPr>
          <w:trHeight w:val="251"/>
        </w:trPr>
        <w:tc>
          <w:tcPr>
            <w:tcW w:w="2659" w:type="dxa"/>
          </w:tcPr>
          <w:p w14:paraId="0EB81A1B"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47CE34BB" w14:textId="77777777" w:rsidR="003B31DC" w:rsidRDefault="00913CBE">
            <w:pPr>
              <w:tabs>
                <w:tab w:val="left" w:pos="9071"/>
              </w:tabs>
              <w:ind w:right="397"/>
              <w:rPr>
                <w:rFonts w:eastAsia="Calibri"/>
                <w:lang w:val="en-GB" w:eastAsia="en-US"/>
              </w:rPr>
            </w:pPr>
            <w:r>
              <w:rPr>
                <w:spacing w:val="-2"/>
                <w:lang w:val="en-GB" w:eastAsia="en-US"/>
              </w:rPr>
              <w:t>pradinio</w:t>
            </w:r>
            <w:r>
              <w:rPr>
                <w:spacing w:val="-2"/>
                <w:vertAlign w:val="superscript"/>
                <w:lang w:val="en-GB" w:eastAsia="en-US"/>
              </w:rPr>
              <w:t>1</w:t>
            </w:r>
          </w:p>
        </w:tc>
        <w:tc>
          <w:tcPr>
            <w:tcW w:w="1985" w:type="dxa"/>
          </w:tcPr>
          <w:p w14:paraId="4CC9C93E" w14:textId="77777777" w:rsidR="003B31DC" w:rsidRDefault="00913CBE">
            <w:pPr>
              <w:tabs>
                <w:tab w:val="left" w:pos="9071"/>
              </w:tabs>
              <w:jc w:val="center"/>
              <w:rPr>
                <w:rFonts w:eastAsia="Calibri"/>
                <w:lang w:val="en-GB" w:eastAsia="en-US"/>
              </w:rPr>
            </w:pPr>
            <w:r>
              <w:rPr>
                <w:rFonts w:eastAsia="Calibri"/>
                <w:spacing w:val="-4"/>
                <w:lang w:val="en-GB" w:eastAsia="en-US"/>
              </w:rPr>
              <w:t>0,48</w:t>
            </w:r>
          </w:p>
        </w:tc>
        <w:tc>
          <w:tcPr>
            <w:tcW w:w="2127" w:type="dxa"/>
          </w:tcPr>
          <w:p w14:paraId="743A2B28" w14:textId="77777777" w:rsidR="003B31DC" w:rsidRDefault="00913CBE">
            <w:pPr>
              <w:tabs>
                <w:tab w:val="left" w:pos="9071"/>
              </w:tabs>
              <w:ind w:right="7"/>
              <w:jc w:val="center"/>
              <w:rPr>
                <w:rFonts w:eastAsia="Calibri"/>
                <w:lang w:val="en-GB" w:eastAsia="en-US"/>
              </w:rPr>
            </w:pPr>
            <w:r>
              <w:rPr>
                <w:rFonts w:eastAsia="Calibri"/>
                <w:spacing w:val="-4"/>
                <w:lang w:val="en-GB" w:eastAsia="en-US"/>
              </w:rPr>
              <w:t>-2,95</w:t>
            </w:r>
          </w:p>
        </w:tc>
        <w:tc>
          <w:tcPr>
            <w:tcW w:w="2129" w:type="dxa"/>
          </w:tcPr>
          <w:p w14:paraId="7696A35A" w14:textId="77777777" w:rsidR="003B31DC" w:rsidRDefault="00913CBE">
            <w:pPr>
              <w:tabs>
                <w:tab w:val="left" w:pos="9071"/>
              </w:tabs>
              <w:ind w:right="7"/>
              <w:jc w:val="center"/>
              <w:rPr>
                <w:rFonts w:eastAsia="Calibri"/>
                <w:lang w:val="en-GB" w:eastAsia="en-US"/>
              </w:rPr>
            </w:pPr>
            <w:r>
              <w:rPr>
                <w:rFonts w:eastAsia="Calibri"/>
                <w:spacing w:val="-4"/>
                <w:lang w:val="en-GB" w:eastAsia="en-US"/>
              </w:rPr>
              <w:t>-3,68</w:t>
            </w:r>
          </w:p>
        </w:tc>
      </w:tr>
      <w:tr w:rsidR="003B31DC" w14:paraId="09E1B83F" w14:textId="77777777">
        <w:trPr>
          <w:trHeight w:val="506"/>
        </w:trPr>
        <w:tc>
          <w:tcPr>
            <w:tcW w:w="2659" w:type="dxa"/>
          </w:tcPr>
          <w:p w14:paraId="4E74F719"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985" w:type="dxa"/>
          </w:tcPr>
          <w:p w14:paraId="78386321" w14:textId="77777777" w:rsidR="003B31DC" w:rsidRDefault="003B31DC">
            <w:pPr>
              <w:tabs>
                <w:tab w:val="left" w:pos="9071"/>
              </w:tabs>
              <w:rPr>
                <w:rFonts w:eastAsia="Calibri"/>
                <w:lang w:val="en-GB" w:eastAsia="en-US"/>
              </w:rPr>
            </w:pPr>
          </w:p>
        </w:tc>
        <w:tc>
          <w:tcPr>
            <w:tcW w:w="2127" w:type="dxa"/>
          </w:tcPr>
          <w:p w14:paraId="263FDC28" w14:textId="77777777" w:rsidR="003B31DC" w:rsidRDefault="00913CBE">
            <w:pPr>
              <w:tabs>
                <w:tab w:val="left" w:pos="9071"/>
              </w:tabs>
              <w:ind w:right="6"/>
              <w:jc w:val="center"/>
              <w:rPr>
                <w:rFonts w:eastAsia="Calibri"/>
                <w:lang w:val="en-GB" w:eastAsia="en-US"/>
              </w:rPr>
            </w:pPr>
            <w:r>
              <w:rPr>
                <w:rFonts w:eastAsia="Calibri"/>
                <w:lang w:val="en-GB" w:eastAsia="en-US"/>
              </w:rPr>
              <w:t>-3,44*</w:t>
            </w:r>
            <w:r>
              <w:rPr>
                <w:rFonts w:eastAsia="Calibri"/>
                <w:spacing w:val="-5"/>
                <w:lang w:val="en-GB" w:eastAsia="en-US"/>
              </w:rPr>
              <w:t xml:space="preserve"> </w:t>
            </w:r>
            <w:r>
              <w:rPr>
                <w:rFonts w:eastAsia="Calibri"/>
                <w:lang w:val="en-GB" w:eastAsia="en-US"/>
              </w:rPr>
              <w:t>(-4,78,</w:t>
            </w:r>
            <w:r>
              <w:rPr>
                <w:rFonts w:eastAsia="Calibri"/>
                <w:spacing w:val="-2"/>
                <w:lang w:val="en-GB" w:eastAsia="en-US"/>
              </w:rPr>
              <w:t xml:space="preserve"> </w:t>
            </w:r>
            <w:r>
              <w:rPr>
                <w:rFonts w:eastAsia="Calibri"/>
                <w:lang w:val="en-GB" w:eastAsia="en-US"/>
              </w:rPr>
              <w:t>-</w:t>
            </w:r>
            <w:r>
              <w:rPr>
                <w:rFonts w:eastAsia="Calibri"/>
                <w:spacing w:val="-2"/>
                <w:lang w:val="en-GB" w:eastAsia="en-US"/>
              </w:rPr>
              <w:t>2,09)</w:t>
            </w:r>
          </w:p>
        </w:tc>
        <w:tc>
          <w:tcPr>
            <w:tcW w:w="2129" w:type="dxa"/>
          </w:tcPr>
          <w:p w14:paraId="7AEDA50C" w14:textId="77777777" w:rsidR="003B31DC" w:rsidRDefault="00913CBE">
            <w:pPr>
              <w:tabs>
                <w:tab w:val="left" w:pos="9071"/>
              </w:tabs>
              <w:ind w:right="6"/>
              <w:jc w:val="center"/>
              <w:rPr>
                <w:rFonts w:eastAsia="Calibri"/>
                <w:lang w:val="en-GB" w:eastAsia="en-US"/>
              </w:rPr>
            </w:pPr>
            <w:r>
              <w:rPr>
                <w:rFonts w:eastAsia="Calibri"/>
                <w:lang w:val="en-GB" w:eastAsia="en-US"/>
              </w:rPr>
              <w:t>-4,16*</w:t>
            </w:r>
            <w:r>
              <w:rPr>
                <w:rFonts w:eastAsia="Calibri"/>
                <w:spacing w:val="-5"/>
                <w:lang w:val="en-GB" w:eastAsia="en-US"/>
              </w:rPr>
              <w:t xml:space="preserve"> </w:t>
            </w:r>
            <w:r>
              <w:rPr>
                <w:rFonts w:eastAsia="Calibri"/>
                <w:lang w:val="en-GB" w:eastAsia="en-US"/>
              </w:rPr>
              <w:t>(-5,50,</w:t>
            </w:r>
            <w:r>
              <w:rPr>
                <w:rFonts w:eastAsia="Calibri"/>
                <w:spacing w:val="-2"/>
                <w:lang w:val="en-GB" w:eastAsia="en-US"/>
              </w:rPr>
              <w:t xml:space="preserve"> </w:t>
            </w:r>
            <w:r>
              <w:rPr>
                <w:rFonts w:eastAsia="Calibri"/>
                <w:lang w:val="en-GB" w:eastAsia="en-US"/>
              </w:rPr>
              <w:t>-</w:t>
            </w:r>
            <w:r>
              <w:rPr>
                <w:rFonts w:eastAsia="Calibri"/>
                <w:spacing w:val="-2"/>
                <w:lang w:val="en-GB" w:eastAsia="en-US"/>
              </w:rPr>
              <w:t>2,83)</w:t>
            </w:r>
          </w:p>
        </w:tc>
      </w:tr>
      <w:tr w:rsidR="003B31DC" w14:paraId="69EE54B2" w14:textId="77777777">
        <w:trPr>
          <w:trHeight w:val="253"/>
        </w:trPr>
        <w:tc>
          <w:tcPr>
            <w:tcW w:w="8900" w:type="dxa"/>
            <w:gridSpan w:val="4"/>
          </w:tcPr>
          <w:p w14:paraId="3365F82B" w14:textId="77777777" w:rsidR="003B31DC" w:rsidRDefault="00913CBE">
            <w:pPr>
              <w:tabs>
                <w:tab w:val="left" w:pos="9071"/>
              </w:tabs>
              <w:rPr>
                <w:rFonts w:eastAsia="Calibri"/>
                <w:lang w:val="en-GB" w:eastAsia="en-US"/>
              </w:rPr>
            </w:pPr>
            <w:r>
              <w:rPr>
                <w:rFonts w:eastAsia="Calibri"/>
                <w:b/>
                <w:lang w:val="en-GB" w:eastAsia="en-US"/>
              </w:rPr>
              <w:t xml:space="preserve">Paros DKS 12-tą </w:t>
            </w:r>
            <w:proofErr w:type="spellStart"/>
            <w:r>
              <w:rPr>
                <w:rFonts w:eastAsia="Calibri"/>
                <w:b/>
                <w:lang w:val="en-GB" w:eastAsia="en-US"/>
              </w:rPr>
              <w:t>savaitę</w:t>
            </w:r>
            <w:proofErr w:type="spellEnd"/>
            <w:r>
              <w:rPr>
                <w:rFonts w:eastAsia="Calibri"/>
                <w:b/>
                <w:lang w:val="en-GB" w:eastAsia="en-US"/>
              </w:rPr>
              <w:t xml:space="preserve"> 3</w:t>
            </w:r>
          </w:p>
        </w:tc>
      </w:tr>
      <w:tr w:rsidR="003B31DC" w14:paraId="3240C058" w14:textId="77777777">
        <w:trPr>
          <w:trHeight w:val="253"/>
        </w:trPr>
        <w:tc>
          <w:tcPr>
            <w:tcW w:w="2659" w:type="dxa"/>
          </w:tcPr>
          <w:p w14:paraId="77343103" w14:textId="77777777" w:rsidR="003B31DC" w:rsidRDefault="00913CBE">
            <w:pPr>
              <w:tabs>
                <w:tab w:val="left" w:pos="9071"/>
              </w:tabs>
              <w:rPr>
                <w:lang w:val="en-GB" w:eastAsia="en-US"/>
              </w:rPr>
            </w:pPr>
            <w:proofErr w:type="spellStart"/>
            <w:r>
              <w:rPr>
                <w:spacing w:val="-2"/>
                <w:lang w:val="en-GB" w:eastAsia="en-US"/>
              </w:rPr>
              <w:t>Pradinis</w:t>
            </w:r>
            <w:proofErr w:type="spellEnd"/>
          </w:p>
          <w:p w14:paraId="28494610" w14:textId="77777777" w:rsidR="003B31DC" w:rsidRDefault="00913CBE">
            <w:pPr>
              <w:tabs>
                <w:tab w:val="left" w:pos="9071"/>
              </w:tabs>
              <w:rPr>
                <w:rFonts w:eastAsia="Calibri"/>
                <w:lang w:val="en-GB" w:eastAsia="en-US"/>
              </w:rPr>
            </w:pPr>
            <w:r>
              <w:rPr>
                <w:spacing w:val="-2"/>
                <w:lang w:val="en-GB" w:eastAsia="en-US"/>
              </w:rPr>
              <w:t>(</w:t>
            </w:r>
            <w:proofErr w:type="spellStart"/>
            <w:r>
              <w:rPr>
                <w:spacing w:val="-2"/>
                <w:lang w:val="en-GB" w:eastAsia="en-US"/>
              </w:rPr>
              <w:t>vidurkis</w:t>
            </w:r>
            <w:proofErr w:type="spellEnd"/>
            <w:r>
              <w:rPr>
                <w:spacing w:val="-2"/>
                <w:lang w:val="en-GB" w:eastAsia="en-US"/>
              </w:rPr>
              <w:t>)</w:t>
            </w:r>
          </w:p>
        </w:tc>
        <w:tc>
          <w:tcPr>
            <w:tcW w:w="1985" w:type="dxa"/>
          </w:tcPr>
          <w:p w14:paraId="1E11A4F6" w14:textId="77777777" w:rsidR="003B31DC" w:rsidRDefault="00913CBE">
            <w:pPr>
              <w:tabs>
                <w:tab w:val="left" w:pos="9071"/>
              </w:tabs>
              <w:jc w:val="center"/>
              <w:rPr>
                <w:rFonts w:eastAsia="Calibri"/>
                <w:lang w:val="en-GB" w:eastAsia="en-US"/>
              </w:rPr>
            </w:pPr>
            <w:r>
              <w:rPr>
                <w:rFonts w:eastAsia="Calibri"/>
                <w:spacing w:val="-2"/>
                <w:lang w:val="en-GB" w:eastAsia="en-US"/>
              </w:rPr>
              <w:t>75,16</w:t>
            </w:r>
          </w:p>
        </w:tc>
        <w:tc>
          <w:tcPr>
            <w:tcW w:w="2127" w:type="dxa"/>
          </w:tcPr>
          <w:p w14:paraId="25F24058" w14:textId="77777777" w:rsidR="003B31DC" w:rsidRDefault="00913CBE">
            <w:pPr>
              <w:tabs>
                <w:tab w:val="left" w:pos="9071"/>
              </w:tabs>
              <w:jc w:val="center"/>
              <w:rPr>
                <w:rFonts w:eastAsia="Calibri"/>
                <w:lang w:val="en-GB" w:eastAsia="en-US"/>
              </w:rPr>
            </w:pPr>
            <w:r>
              <w:rPr>
                <w:rFonts w:eastAsia="Calibri"/>
                <w:spacing w:val="-2"/>
                <w:lang w:val="en-GB" w:eastAsia="en-US"/>
              </w:rPr>
              <w:t>75,13</w:t>
            </w:r>
          </w:p>
        </w:tc>
        <w:tc>
          <w:tcPr>
            <w:tcW w:w="2129" w:type="dxa"/>
          </w:tcPr>
          <w:p w14:paraId="599B34AD" w14:textId="77777777" w:rsidR="003B31DC" w:rsidRDefault="00913CBE">
            <w:pPr>
              <w:tabs>
                <w:tab w:val="left" w:pos="9071"/>
              </w:tabs>
              <w:jc w:val="center"/>
              <w:rPr>
                <w:rFonts w:eastAsia="Calibri"/>
                <w:lang w:val="en-GB" w:eastAsia="en-US"/>
              </w:rPr>
            </w:pPr>
            <w:r>
              <w:rPr>
                <w:rFonts w:eastAsia="Calibri"/>
                <w:spacing w:val="-2"/>
                <w:lang w:val="en-GB" w:eastAsia="en-US"/>
              </w:rPr>
              <w:t>74,64</w:t>
            </w:r>
          </w:p>
        </w:tc>
      </w:tr>
      <w:tr w:rsidR="003B31DC" w14:paraId="054E0039" w14:textId="77777777">
        <w:trPr>
          <w:trHeight w:val="251"/>
        </w:trPr>
        <w:tc>
          <w:tcPr>
            <w:tcW w:w="2659" w:type="dxa"/>
          </w:tcPr>
          <w:p w14:paraId="791FAE3B" w14:textId="77777777" w:rsidR="003B31DC" w:rsidRDefault="00913CBE">
            <w:pPr>
              <w:tabs>
                <w:tab w:val="left" w:pos="9071"/>
              </w:tabs>
              <w:rPr>
                <w:lang w:val="en-GB" w:eastAsia="en-US"/>
              </w:rPr>
            </w:pPr>
            <w:proofErr w:type="spellStart"/>
            <w:r>
              <w:rPr>
                <w:lang w:val="en-GB" w:eastAsia="en-US"/>
              </w:rPr>
              <w:t>Pokytis</w:t>
            </w:r>
            <w:proofErr w:type="spellEnd"/>
            <w:r>
              <w:rPr>
                <w:lang w:val="en-GB" w:eastAsia="en-US"/>
              </w:rPr>
              <w:t xml:space="preserve"> </w:t>
            </w:r>
            <w:proofErr w:type="spellStart"/>
            <w:r>
              <w:rPr>
                <w:lang w:val="en-GB" w:eastAsia="en-US"/>
              </w:rPr>
              <w:t>nuo</w:t>
            </w:r>
            <w:proofErr w:type="spellEnd"/>
          </w:p>
          <w:p w14:paraId="4F6C0B76" w14:textId="77777777" w:rsidR="003B31DC" w:rsidRDefault="00913CBE">
            <w:pPr>
              <w:tabs>
                <w:tab w:val="left" w:pos="9071"/>
              </w:tabs>
              <w:ind w:right="397"/>
              <w:rPr>
                <w:rFonts w:eastAsia="Calibri"/>
                <w:lang w:val="en-GB" w:eastAsia="en-US"/>
              </w:rPr>
            </w:pPr>
            <w:r>
              <w:rPr>
                <w:spacing w:val="-2"/>
                <w:lang w:val="en-GB" w:eastAsia="en-US"/>
              </w:rPr>
              <w:t>pradinio</w:t>
            </w:r>
            <w:r>
              <w:rPr>
                <w:spacing w:val="-2"/>
                <w:vertAlign w:val="superscript"/>
                <w:lang w:val="en-GB" w:eastAsia="en-US"/>
              </w:rPr>
              <w:t>1</w:t>
            </w:r>
          </w:p>
        </w:tc>
        <w:tc>
          <w:tcPr>
            <w:tcW w:w="1985" w:type="dxa"/>
          </w:tcPr>
          <w:p w14:paraId="7F009BC9" w14:textId="77777777" w:rsidR="003B31DC" w:rsidRDefault="00913CBE">
            <w:pPr>
              <w:tabs>
                <w:tab w:val="left" w:pos="9071"/>
              </w:tabs>
              <w:jc w:val="center"/>
              <w:rPr>
                <w:rFonts w:eastAsia="Calibri"/>
                <w:lang w:val="en-GB" w:eastAsia="en-US"/>
              </w:rPr>
            </w:pPr>
            <w:r>
              <w:rPr>
                <w:rFonts w:eastAsia="Calibri"/>
                <w:spacing w:val="-4"/>
                <w:lang w:val="en-GB" w:eastAsia="en-US"/>
              </w:rPr>
              <w:t>0,32</w:t>
            </w:r>
          </w:p>
        </w:tc>
        <w:tc>
          <w:tcPr>
            <w:tcW w:w="2127" w:type="dxa"/>
          </w:tcPr>
          <w:p w14:paraId="556559C4" w14:textId="77777777" w:rsidR="003B31DC" w:rsidRDefault="00913CBE">
            <w:pPr>
              <w:tabs>
                <w:tab w:val="left" w:pos="9071"/>
              </w:tabs>
              <w:ind w:right="7"/>
              <w:jc w:val="center"/>
              <w:rPr>
                <w:rFonts w:eastAsia="Calibri"/>
                <w:lang w:val="en-GB" w:eastAsia="en-US"/>
              </w:rPr>
            </w:pPr>
            <w:r>
              <w:rPr>
                <w:rFonts w:eastAsia="Calibri"/>
                <w:spacing w:val="-4"/>
                <w:lang w:val="en-GB" w:eastAsia="en-US"/>
              </w:rPr>
              <w:t>-1,04</w:t>
            </w:r>
          </w:p>
        </w:tc>
        <w:tc>
          <w:tcPr>
            <w:tcW w:w="2129" w:type="dxa"/>
          </w:tcPr>
          <w:p w14:paraId="2C3195D6" w14:textId="77777777" w:rsidR="003B31DC" w:rsidRDefault="00913CBE">
            <w:pPr>
              <w:tabs>
                <w:tab w:val="left" w:pos="9071"/>
              </w:tabs>
              <w:ind w:right="7"/>
              <w:jc w:val="center"/>
              <w:rPr>
                <w:rFonts w:eastAsia="Calibri"/>
                <w:lang w:val="en-GB" w:eastAsia="en-US"/>
              </w:rPr>
            </w:pPr>
            <w:r>
              <w:rPr>
                <w:rFonts w:eastAsia="Calibri"/>
                <w:spacing w:val="-4"/>
                <w:lang w:val="en-GB" w:eastAsia="en-US"/>
              </w:rPr>
              <w:t>-1,40</w:t>
            </w:r>
          </w:p>
        </w:tc>
      </w:tr>
      <w:tr w:rsidR="003B31DC" w14:paraId="5037E762" w14:textId="77777777">
        <w:trPr>
          <w:trHeight w:val="505"/>
        </w:trPr>
        <w:tc>
          <w:tcPr>
            <w:tcW w:w="2659" w:type="dxa"/>
          </w:tcPr>
          <w:p w14:paraId="1C6B3724" w14:textId="77777777" w:rsidR="003B31DC" w:rsidRDefault="00913CBE">
            <w:pPr>
              <w:tabs>
                <w:tab w:val="left" w:pos="9071"/>
              </w:tabs>
              <w:rPr>
                <w:rFonts w:eastAsia="Calibri"/>
                <w:lang w:val="en-GB" w:eastAsia="en-US"/>
              </w:rPr>
            </w:pPr>
            <w:proofErr w:type="spellStart"/>
            <w:r>
              <w:rPr>
                <w:spacing w:val="-2"/>
                <w:lang w:val="en-GB" w:eastAsia="en-US"/>
              </w:rPr>
              <w:t>Skirtumas</w:t>
            </w:r>
            <w:proofErr w:type="spellEnd"/>
            <w:r>
              <w:rPr>
                <w:spacing w:val="-2"/>
                <w:lang w:val="en-GB" w:eastAsia="en-US"/>
              </w:rPr>
              <w:t xml:space="preserve"> </w:t>
            </w:r>
            <w:proofErr w:type="spellStart"/>
            <w:r>
              <w:rPr>
                <w:spacing w:val="-2"/>
                <w:lang w:val="en-GB" w:eastAsia="en-US"/>
              </w:rPr>
              <w:t>su</w:t>
            </w:r>
            <w:proofErr w:type="spellEnd"/>
            <w:r>
              <w:rPr>
                <w:spacing w:val="-2"/>
                <w:lang w:val="en-GB" w:eastAsia="en-US"/>
              </w:rPr>
              <w:t xml:space="preserve"> placebo</w:t>
            </w:r>
            <w:r>
              <w:rPr>
                <w:lang w:val="en-GB" w:eastAsia="en-US"/>
              </w:rPr>
              <w:t xml:space="preserve"> (95 % PI)</w:t>
            </w:r>
          </w:p>
        </w:tc>
        <w:tc>
          <w:tcPr>
            <w:tcW w:w="1985" w:type="dxa"/>
          </w:tcPr>
          <w:p w14:paraId="582F2EE7" w14:textId="77777777" w:rsidR="003B31DC" w:rsidRDefault="003B31DC">
            <w:pPr>
              <w:tabs>
                <w:tab w:val="left" w:pos="9071"/>
              </w:tabs>
              <w:rPr>
                <w:rFonts w:eastAsia="Calibri"/>
                <w:lang w:val="en-GB" w:eastAsia="en-US"/>
              </w:rPr>
            </w:pPr>
          </w:p>
        </w:tc>
        <w:tc>
          <w:tcPr>
            <w:tcW w:w="2127" w:type="dxa"/>
          </w:tcPr>
          <w:p w14:paraId="2527310E" w14:textId="77777777" w:rsidR="003B31DC" w:rsidRDefault="00913CBE">
            <w:pPr>
              <w:tabs>
                <w:tab w:val="left" w:pos="9071"/>
              </w:tabs>
              <w:ind w:right="3"/>
              <w:jc w:val="center"/>
              <w:rPr>
                <w:rFonts w:eastAsia="Calibri"/>
                <w:lang w:val="en-GB" w:eastAsia="en-US"/>
              </w:rPr>
            </w:pPr>
            <w:r>
              <w:rPr>
                <w:rFonts w:eastAsia="Calibri"/>
                <w:lang w:val="en-GB" w:eastAsia="en-US"/>
              </w:rPr>
              <w:t>-1,36**</w:t>
            </w:r>
            <w:r>
              <w:rPr>
                <w:rFonts w:eastAsia="Calibri"/>
                <w:spacing w:val="-5"/>
                <w:lang w:val="en-GB" w:eastAsia="en-US"/>
              </w:rPr>
              <w:t xml:space="preserve"> </w:t>
            </w:r>
            <w:r>
              <w:rPr>
                <w:rFonts w:eastAsia="Calibri"/>
                <w:lang w:val="en-GB" w:eastAsia="en-US"/>
              </w:rPr>
              <w:t>(-2,15,</w:t>
            </w:r>
            <w:r>
              <w:rPr>
                <w:rFonts w:eastAsia="Calibri"/>
                <w:spacing w:val="-4"/>
                <w:lang w:val="en-GB" w:eastAsia="en-US"/>
              </w:rPr>
              <w:t xml:space="preserve"> </w:t>
            </w:r>
            <w:r>
              <w:rPr>
                <w:rFonts w:eastAsia="Calibri"/>
                <w:lang w:val="en-GB" w:eastAsia="en-US"/>
              </w:rPr>
              <w:t>-</w:t>
            </w:r>
            <w:r>
              <w:rPr>
                <w:rFonts w:eastAsia="Calibri"/>
                <w:spacing w:val="-2"/>
                <w:lang w:val="en-GB" w:eastAsia="en-US"/>
              </w:rPr>
              <w:t>0,56)</w:t>
            </w:r>
          </w:p>
        </w:tc>
        <w:tc>
          <w:tcPr>
            <w:tcW w:w="2129" w:type="dxa"/>
          </w:tcPr>
          <w:p w14:paraId="6B91B775" w14:textId="77777777" w:rsidR="003B31DC" w:rsidRDefault="00913CBE">
            <w:pPr>
              <w:tabs>
                <w:tab w:val="left" w:pos="9071"/>
              </w:tabs>
              <w:ind w:right="6"/>
              <w:jc w:val="center"/>
              <w:rPr>
                <w:rFonts w:eastAsia="Calibri"/>
                <w:lang w:val="en-GB" w:eastAsia="en-US"/>
              </w:rPr>
            </w:pPr>
            <w:r>
              <w:rPr>
                <w:rFonts w:eastAsia="Calibri"/>
                <w:lang w:val="en-GB" w:eastAsia="en-US"/>
              </w:rPr>
              <w:t>-1,72*</w:t>
            </w:r>
            <w:r>
              <w:rPr>
                <w:rFonts w:eastAsia="Calibri"/>
                <w:spacing w:val="-5"/>
                <w:lang w:val="en-GB" w:eastAsia="en-US"/>
              </w:rPr>
              <w:t xml:space="preserve"> </w:t>
            </w:r>
            <w:r>
              <w:rPr>
                <w:rFonts w:eastAsia="Calibri"/>
                <w:lang w:val="en-GB" w:eastAsia="en-US"/>
              </w:rPr>
              <w:t>(-2,51,</w:t>
            </w:r>
            <w:r>
              <w:rPr>
                <w:rFonts w:eastAsia="Calibri"/>
                <w:spacing w:val="-2"/>
                <w:lang w:val="en-GB" w:eastAsia="en-US"/>
              </w:rPr>
              <w:t xml:space="preserve"> </w:t>
            </w:r>
            <w:r>
              <w:rPr>
                <w:rFonts w:eastAsia="Calibri"/>
                <w:lang w:val="en-GB" w:eastAsia="en-US"/>
              </w:rPr>
              <w:t>-</w:t>
            </w:r>
            <w:r>
              <w:rPr>
                <w:rFonts w:eastAsia="Calibri"/>
                <w:spacing w:val="-2"/>
                <w:lang w:val="en-GB" w:eastAsia="en-US"/>
              </w:rPr>
              <w:t>0,93)</w:t>
            </w:r>
          </w:p>
        </w:tc>
      </w:tr>
    </w:tbl>
    <w:p w14:paraId="0BB47964"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a</w:t>
      </w:r>
      <w:r>
        <w:rPr>
          <w:rFonts w:eastAsiaTheme="minorHAnsi"/>
          <w:color w:val="000000"/>
          <w:sz w:val="20"/>
          <w:szCs w:val="20"/>
          <w:lang w:eastAsia="en-US"/>
        </w:rPr>
        <w:t xml:space="preserve"> Visas analizės rinkinys (FAS)</w:t>
      </w:r>
    </w:p>
    <w:p w14:paraId="25A19C30"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1</w:t>
      </w:r>
      <w:r>
        <w:rPr>
          <w:rFonts w:eastAsiaTheme="minorHAnsi"/>
          <w:color w:val="000000"/>
          <w:sz w:val="20"/>
          <w:szCs w:val="20"/>
          <w:lang w:eastAsia="en-US"/>
        </w:rPr>
        <w:t xml:space="preserve"> LOCF, reikšmės, gautos paskyrus gelbstintįjį antidiabetinį gydymą, buvo cenzūruotos</w:t>
      </w:r>
    </w:p>
    <w:p w14:paraId="43F1B361"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2</w:t>
      </w:r>
      <w:r>
        <w:rPr>
          <w:rFonts w:eastAsiaTheme="minorHAnsi"/>
          <w:color w:val="000000"/>
          <w:sz w:val="20"/>
          <w:szCs w:val="20"/>
          <w:lang w:eastAsia="en-US"/>
        </w:rPr>
        <w:t xml:space="preserve"> Vidurkis, koreguotas pagal pradinį HbA1c kiekį, pradinį </w:t>
      </w:r>
      <w:proofErr w:type="spellStart"/>
      <w:r>
        <w:rPr>
          <w:rFonts w:eastAsiaTheme="minorHAnsi"/>
          <w:color w:val="000000"/>
          <w:sz w:val="20"/>
          <w:szCs w:val="20"/>
          <w:lang w:eastAsia="en-US"/>
        </w:rPr>
        <w:t>aGFG</w:t>
      </w:r>
      <w:proofErr w:type="spellEnd"/>
      <w:r>
        <w:rPr>
          <w:rFonts w:eastAsiaTheme="minorHAnsi"/>
          <w:color w:val="000000"/>
          <w:sz w:val="20"/>
          <w:szCs w:val="20"/>
          <w:lang w:eastAsia="en-US"/>
        </w:rPr>
        <w:t xml:space="preserve">, geografinį regioną ir </w:t>
      </w:r>
      <w:proofErr w:type="spellStart"/>
      <w:r>
        <w:rPr>
          <w:rFonts w:eastAsiaTheme="minorHAnsi"/>
          <w:color w:val="000000"/>
          <w:sz w:val="20"/>
          <w:szCs w:val="20"/>
          <w:lang w:eastAsia="en-US"/>
        </w:rPr>
        <w:t>antihipertenzinių</w:t>
      </w:r>
      <w:proofErr w:type="spellEnd"/>
      <w:r>
        <w:rPr>
          <w:rFonts w:eastAsiaTheme="minorHAnsi"/>
          <w:color w:val="000000"/>
          <w:sz w:val="20"/>
          <w:szCs w:val="20"/>
          <w:lang w:eastAsia="en-US"/>
        </w:rPr>
        <w:t xml:space="preserve"> vaistinių preparatų skaičių</w:t>
      </w:r>
    </w:p>
    <w:p w14:paraId="2A7B7731"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3</w:t>
      </w:r>
      <w:r>
        <w:rPr>
          <w:rFonts w:eastAsiaTheme="minorHAnsi"/>
          <w:color w:val="000000"/>
          <w:sz w:val="20"/>
          <w:szCs w:val="20"/>
          <w:lang w:eastAsia="en-US"/>
        </w:rPr>
        <w:t xml:space="preserve"> LOCF, reikšmės, gautos paskyrus gelbstintįjį antidiabetinį gydymą arba gelbstintįjį </w:t>
      </w:r>
      <w:proofErr w:type="spellStart"/>
      <w:r>
        <w:rPr>
          <w:rFonts w:eastAsiaTheme="minorHAnsi"/>
          <w:color w:val="000000"/>
          <w:sz w:val="20"/>
          <w:szCs w:val="20"/>
          <w:lang w:eastAsia="en-US"/>
        </w:rPr>
        <w:t>antihipertenzinį</w:t>
      </w:r>
      <w:proofErr w:type="spellEnd"/>
      <w:r>
        <w:rPr>
          <w:rFonts w:eastAsiaTheme="minorHAnsi"/>
          <w:color w:val="000000"/>
          <w:sz w:val="20"/>
          <w:szCs w:val="20"/>
          <w:lang w:eastAsia="en-US"/>
        </w:rPr>
        <w:t xml:space="preserve"> gydymą, buvo cenzūruotos</w:t>
      </w:r>
    </w:p>
    <w:p w14:paraId="5D985C4E"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4</w:t>
      </w:r>
      <w:r>
        <w:rPr>
          <w:rFonts w:eastAsiaTheme="minorHAnsi"/>
          <w:color w:val="000000"/>
          <w:sz w:val="20"/>
          <w:szCs w:val="20"/>
          <w:lang w:eastAsia="en-US"/>
        </w:rPr>
        <w:t xml:space="preserve"> Vidurkis, koreguotas pagal pradinį SKS, pradinį HbA1c kiekį, pradinį </w:t>
      </w:r>
      <w:proofErr w:type="spellStart"/>
      <w:r>
        <w:rPr>
          <w:rFonts w:eastAsiaTheme="minorHAnsi"/>
          <w:color w:val="000000"/>
          <w:sz w:val="20"/>
          <w:szCs w:val="20"/>
          <w:lang w:eastAsia="en-US"/>
        </w:rPr>
        <w:t>aGFG</w:t>
      </w:r>
      <w:proofErr w:type="spellEnd"/>
      <w:r>
        <w:rPr>
          <w:rFonts w:eastAsiaTheme="minorHAnsi"/>
          <w:color w:val="000000"/>
          <w:sz w:val="20"/>
          <w:szCs w:val="20"/>
          <w:lang w:eastAsia="en-US"/>
        </w:rPr>
        <w:t xml:space="preserve">, geografinį regioną ir </w:t>
      </w:r>
      <w:proofErr w:type="spellStart"/>
      <w:r>
        <w:rPr>
          <w:rFonts w:eastAsiaTheme="minorHAnsi"/>
          <w:color w:val="000000"/>
          <w:sz w:val="20"/>
          <w:szCs w:val="20"/>
          <w:lang w:eastAsia="en-US"/>
        </w:rPr>
        <w:t>antihipertenzinių</w:t>
      </w:r>
      <w:proofErr w:type="spellEnd"/>
      <w:r>
        <w:rPr>
          <w:rFonts w:eastAsiaTheme="minorHAnsi"/>
          <w:color w:val="000000"/>
          <w:sz w:val="20"/>
          <w:szCs w:val="20"/>
          <w:lang w:eastAsia="en-US"/>
        </w:rPr>
        <w:t xml:space="preserve"> vaistinių preparatų skaičių</w:t>
      </w:r>
    </w:p>
    <w:p w14:paraId="3919FD72"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vertAlign w:val="superscript"/>
          <w:lang w:eastAsia="en-US"/>
        </w:rPr>
        <w:t>5</w:t>
      </w:r>
      <w:r>
        <w:rPr>
          <w:rFonts w:eastAsiaTheme="minorHAnsi"/>
          <w:color w:val="000000"/>
          <w:sz w:val="20"/>
          <w:szCs w:val="20"/>
          <w:lang w:eastAsia="en-US"/>
        </w:rPr>
        <w:t xml:space="preserve"> Vidurkis, koreguotas pagal pradinį DKS, pradinį HbA1c kiekį, pradinį </w:t>
      </w:r>
      <w:proofErr w:type="spellStart"/>
      <w:r>
        <w:rPr>
          <w:rFonts w:eastAsiaTheme="minorHAnsi"/>
          <w:color w:val="000000"/>
          <w:sz w:val="20"/>
          <w:szCs w:val="20"/>
          <w:lang w:eastAsia="en-US"/>
        </w:rPr>
        <w:t>aGFG</w:t>
      </w:r>
      <w:proofErr w:type="spellEnd"/>
      <w:r>
        <w:rPr>
          <w:rFonts w:eastAsiaTheme="minorHAnsi"/>
          <w:color w:val="000000"/>
          <w:sz w:val="20"/>
          <w:szCs w:val="20"/>
          <w:lang w:eastAsia="en-US"/>
        </w:rPr>
        <w:t xml:space="preserve">, geografinį regioną ir </w:t>
      </w:r>
      <w:proofErr w:type="spellStart"/>
      <w:r>
        <w:rPr>
          <w:rFonts w:eastAsiaTheme="minorHAnsi"/>
          <w:color w:val="000000"/>
          <w:sz w:val="20"/>
          <w:szCs w:val="20"/>
          <w:lang w:eastAsia="en-US"/>
        </w:rPr>
        <w:t>antihipertenzinių</w:t>
      </w:r>
      <w:proofErr w:type="spellEnd"/>
      <w:r>
        <w:rPr>
          <w:rFonts w:eastAsiaTheme="minorHAnsi"/>
          <w:color w:val="000000"/>
          <w:sz w:val="20"/>
          <w:szCs w:val="20"/>
          <w:lang w:eastAsia="en-US"/>
        </w:rPr>
        <w:t xml:space="preserve"> vaistinių preparatų skaičių</w:t>
      </w:r>
    </w:p>
    <w:p w14:paraId="351CC17A" w14:textId="77777777" w:rsidR="003B31DC" w:rsidRDefault="00913CB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p reikšmė &lt; 0,0001</w:t>
      </w:r>
    </w:p>
    <w:p w14:paraId="2B372E9A" w14:textId="77777777" w:rsidR="003B31DC" w:rsidRDefault="00913CBE">
      <w:pPr>
        <w:widowControl w:val="0"/>
        <w:tabs>
          <w:tab w:val="left" w:pos="567"/>
        </w:tabs>
        <w:ind w:left="567" w:hanging="567"/>
        <w:outlineLvl w:val="2"/>
        <w:rPr>
          <w:b/>
          <w:kern w:val="28"/>
          <w:sz w:val="20"/>
          <w:szCs w:val="20"/>
          <w:lang w:eastAsia="en-US"/>
        </w:rPr>
      </w:pPr>
      <w:r>
        <w:rPr>
          <w:rFonts w:eastAsiaTheme="minorHAnsi"/>
          <w:color w:val="000000"/>
          <w:sz w:val="20"/>
          <w:szCs w:val="20"/>
          <w:lang w:eastAsia="en-US"/>
        </w:rPr>
        <w:t>** p reikšmė &lt; 0,001</w:t>
      </w:r>
    </w:p>
    <w:p w14:paraId="7F039625" w14:textId="77777777" w:rsidR="003B31DC" w:rsidRDefault="003B31DC">
      <w:pPr>
        <w:autoSpaceDE w:val="0"/>
        <w:autoSpaceDN w:val="0"/>
        <w:adjustRightInd w:val="0"/>
        <w:rPr>
          <w:rFonts w:eastAsiaTheme="minorHAnsi"/>
          <w:color w:val="000000"/>
          <w:sz w:val="22"/>
          <w:szCs w:val="22"/>
          <w:lang w:eastAsia="en-US"/>
        </w:rPr>
      </w:pPr>
    </w:p>
    <w:p w14:paraId="47A3FF3B" w14:textId="77777777" w:rsidR="003B31DC" w:rsidRDefault="00913CBE">
      <w:pPr>
        <w:autoSpaceDE w:val="0"/>
        <w:autoSpaceDN w:val="0"/>
        <w:adjustRightInd w:val="0"/>
        <w:rPr>
          <w:rFonts w:eastAsiaTheme="minorHAnsi"/>
          <w:color w:val="000000"/>
          <w:sz w:val="22"/>
          <w:szCs w:val="22"/>
          <w:lang w:eastAsia="en-US"/>
        </w:rPr>
      </w:pPr>
      <w:r>
        <w:rPr>
          <w:sz w:val="22"/>
          <w:szCs w:val="22"/>
        </w:rPr>
        <w:t xml:space="preserve">4-ių placebu kontroliuojamų tyrimų iš anksto apibrėžtos bendros analizės duomenimis, gydymas </w:t>
      </w:r>
      <w:proofErr w:type="spellStart"/>
      <w:r>
        <w:rPr>
          <w:sz w:val="22"/>
          <w:szCs w:val="22"/>
        </w:rPr>
        <w:t>empagliflozinu</w:t>
      </w:r>
      <w:proofErr w:type="spellEnd"/>
      <w:r>
        <w:rPr>
          <w:sz w:val="22"/>
          <w:szCs w:val="22"/>
        </w:rPr>
        <w:t xml:space="preserve"> (68 % visų pacientų buvo taikomas foninis gydymas </w:t>
      </w:r>
      <w:proofErr w:type="spellStart"/>
      <w:r>
        <w:rPr>
          <w:sz w:val="22"/>
          <w:szCs w:val="22"/>
        </w:rPr>
        <w:t>metforminu</w:t>
      </w:r>
      <w:proofErr w:type="spellEnd"/>
      <w:r>
        <w:rPr>
          <w:sz w:val="22"/>
          <w:szCs w:val="22"/>
        </w:rPr>
        <w:t xml:space="preserve">) 24-tą gydymo savaitę lėmė </w:t>
      </w:r>
      <w:proofErr w:type="spellStart"/>
      <w:r>
        <w:rPr>
          <w:sz w:val="22"/>
          <w:szCs w:val="22"/>
        </w:rPr>
        <w:lastRenderedPageBreak/>
        <w:t>sistolinio</w:t>
      </w:r>
      <w:proofErr w:type="spellEnd"/>
      <w:r>
        <w:rPr>
          <w:sz w:val="22"/>
          <w:szCs w:val="22"/>
        </w:rPr>
        <w:t xml:space="preserve"> kraujospūdžio sumažėjimą (vartojant 10 mg </w:t>
      </w:r>
      <w:proofErr w:type="spellStart"/>
      <w:r>
        <w:rPr>
          <w:sz w:val="22"/>
          <w:szCs w:val="22"/>
        </w:rPr>
        <w:t>empagliflozino</w:t>
      </w:r>
      <w:proofErr w:type="spellEnd"/>
      <w:r>
        <w:rPr>
          <w:sz w:val="22"/>
          <w:szCs w:val="22"/>
        </w:rPr>
        <w:t xml:space="preserve"> dozę: -3,9 </w:t>
      </w:r>
      <w:proofErr w:type="spellStart"/>
      <w:r>
        <w:rPr>
          <w:sz w:val="22"/>
          <w:szCs w:val="22"/>
        </w:rPr>
        <w:t>mmHg</w:t>
      </w:r>
      <w:proofErr w:type="spellEnd"/>
      <w:r>
        <w:rPr>
          <w:sz w:val="22"/>
          <w:szCs w:val="22"/>
        </w:rPr>
        <w:t xml:space="preserve">, vartojant 25 mg </w:t>
      </w:r>
      <w:proofErr w:type="spellStart"/>
      <w:r>
        <w:rPr>
          <w:sz w:val="22"/>
          <w:szCs w:val="22"/>
        </w:rPr>
        <w:t>empagliflozino</w:t>
      </w:r>
      <w:proofErr w:type="spellEnd"/>
      <w:r>
        <w:rPr>
          <w:sz w:val="22"/>
          <w:szCs w:val="22"/>
        </w:rPr>
        <w:t xml:space="preserve"> dozę: -4,3 </w:t>
      </w:r>
      <w:proofErr w:type="spellStart"/>
      <w:r>
        <w:rPr>
          <w:sz w:val="22"/>
          <w:szCs w:val="22"/>
        </w:rPr>
        <w:t>mmHg</w:t>
      </w:r>
      <w:proofErr w:type="spellEnd"/>
      <w:r>
        <w:rPr>
          <w:sz w:val="22"/>
          <w:szCs w:val="22"/>
        </w:rPr>
        <w:t>), palyginti su placebu (-0,5 </w:t>
      </w:r>
      <w:proofErr w:type="spellStart"/>
      <w:r>
        <w:rPr>
          <w:sz w:val="22"/>
          <w:szCs w:val="22"/>
        </w:rPr>
        <w:t>mmHg</w:t>
      </w:r>
      <w:proofErr w:type="spellEnd"/>
      <w:r>
        <w:rPr>
          <w:sz w:val="22"/>
          <w:szCs w:val="22"/>
        </w:rPr>
        <w:t xml:space="preserve">), ir </w:t>
      </w:r>
      <w:proofErr w:type="spellStart"/>
      <w:r>
        <w:rPr>
          <w:sz w:val="22"/>
          <w:szCs w:val="22"/>
        </w:rPr>
        <w:t>diastolinio</w:t>
      </w:r>
      <w:proofErr w:type="spellEnd"/>
      <w:r>
        <w:rPr>
          <w:sz w:val="22"/>
          <w:szCs w:val="22"/>
        </w:rPr>
        <w:t xml:space="preserve"> kraujospūdžio sumažėjimą (10 mg </w:t>
      </w:r>
      <w:proofErr w:type="spellStart"/>
      <w:r>
        <w:rPr>
          <w:sz w:val="22"/>
          <w:szCs w:val="22"/>
        </w:rPr>
        <w:t>empagliflozino</w:t>
      </w:r>
      <w:proofErr w:type="spellEnd"/>
      <w:r>
        <w:rPr>
          <w:sz w:val="22"/>
          <w:szCs w:val="22"/>
        </w:rPr>
        <w:t xml:space="preserve"> dozė: -1,8 </w:t>
      </w:r>
      <w:proofErr w:type="spellStart"/>
      <w:r>
        <w:rPr>
          <w:sz w:val="22"/>
          <w:szCs w:val="22"/>
        </w:rPr>
        <w:t>mmHg</w:t>
      </w:r>
      <w:proofErr w:type="spellEnd"/>
      <w:r>
        <w:rPr>
          <w:sz w:val="22"/>
          <w:szCs w:val="22"/>
        </w:rPr>
        <w:t xml:space="preserve">; 25 mg </w:t>
      </w:r>
      <w:proofErr w:type="spellStart"/>
      <w:r>
        <w:rPr>
          <w:sz w:val="22"/>
          <w:szCs w:val="22"/>
        </w:rPr>
        <w:t>empagliflozino</w:t>
      </w:r>
      <w:proofErr w:type="spellEnd"/>
      <w:r>
        <w:rPr>
          <w:sz w:val="22"/>
          <w:szCs w:val="22"/>
        </w:rPr>
        <w:t xml:space="preserve"> dozė: -2,0 </w:t>
      </w:r>
      <w:proofErr w:type="spellStart"/>
      <w:r>
        <w:rPr>
          <w:sz w:val="22"/>
          <w:szCs w:val="22"/>
        </w:rPr>
        <w:t>mmHg</w:t>
      </w:r>
      <w:proofErr w:type="spellEnd"/>
      <w:r>
        <w:rPr>
          <w:sz w:val="22"/>
          <w:szCs w:val="22"/>
        </w:rPr>
        <w:t>), palyginti su placebu (-0,5 </w:t>
      </w:r>
      <w:proofErr w:type="spellStart"/>
      <w:r>
        <w:rPr>
          <w:sz w:val="22"/>
          <w:szCs w:val="22"/>
        </w:rPr>
        <w:t>mmHg</w:t>
      </w:r>
      <w:proofErr w:type="spellEnd"/>
      <w:r>
        <w:rPr>
          <w:sz w:val="22"/>
          <w:szCs w:val="22"/>
        </w:rPr>
        <w:t>), kraujospūdžio sumažėjimas išliko iki 52-os savaitės.</w:t>
      </w:r>
    </w:p>
    <w:p w14:paraId="79834296" w14:textId="77777777" w:rsidR="003B31DC" w:rsidRDefault="003B31DC">
      <w:pPr>
        <w:widowControl w:val="0"/>
        <w:tabs>
          <w:tab w:val="left" w:pos="567"/>
        </w:tabs>
        <w:ind w:left="567" w:hanging="567"/>
        <w:outlineLvl w:val="2"/>
        <w:rPr>
          <w:b/>
          <w:kern w:val="28"/>
          <w:sz w:val="22"/>
          <w:szCs w:val="22"/>
          <w:lang w:eastAsia="en-US"/>
        </w:rPr>
      </w:pPr>
    </w:p>
    <w:p w14:paraId="3B9E719F" w14:textId="77777777" w:rsidR="003B31DC" w:rsidRDefault="00913CBE">
      <w:pPr>
        <w:pStyle w:val="Default"/>
        <w:rPr>
          <w:rFonts w:eastAsiaTheme="minorHAnsi"/>
          <w:sz w:val="22"/>
          <w:szCs w:val="22"/>
          <w:u w:val="single"/>
          <w:lang w:val="lt-LT" w:eastAsia="en-US"/>
        </w:rPr>
      </w:pPr>
      <w:r>
        <w:rPr>
          <w:rFonts w:eastAsiaTheme="minorHAnsi"/>
          <w:i/>
          <w:iCs/>
          <w:sz w:val="22"/>
          <w:szCs w:val="22"/>
          <w:u w:val="single"/>
          <w:lang w:val="lt-LT" w:eastAsia="en-US"/>
        </w:rPr>
        <w:t>Metforminas</w:t>
      </w:r>
    </w:p>
    <w:p w14:paraId="4879C7CA" w14:textId="6C1A4179"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Intensyvios gliukozės kiekio kraujyje kontrolės 2 tipo cukriniu diabetu sergantiems pacientams ilgalaikė nauda buvo vertinama </w:t>
      </w:r>
      <w:proofErr w:type="spellStart"/>
      <w:r w:rsidR="00A6446E">
        <w:rPr>
          <w:rFonts w:eastAsiaTheme="minorHAnsi"/>
          <w:color w:val="000000"/>
          <w:sz w:val="22"/>
          <w:szCs w:val="22"/>
          <w:lang w:eastAsia="en-US"/>
        </w:rPr>
        <w:t>prospektyviniu</w:t>
      </w:r>
      <w:proofErr w:type="spellEnd"/>
      <w:r w:rsidR="00A6446E">
        <w:rPr>
          <w:rFonts w:eastAsiaTheme="minorHAnsi"/>
          <w:color w:val="000000"/>
          <w:sz w:val="22"/>
          <w:szCs w:val="22"/>
          <w:lang w:eastAsia="en-US"/>
        </w:rPr>
        <w:t xml:space="preserve"> </w:t>
      </w:r>
      <w:r>
        <w:rPr>
          <w:rFonts w:eastAsiaTheme="minorHAnsi"/>
          <w:color w:val="000000"/>
          <w:sz w:val="22"/>
          <w:szCs w:val="22"/>
          <w:lang w:eastAsia="en-US"/>
        </w:rPr>
        <w:t xml:space="preserve">atsitiktinių imčių tyrimu (UKPDS). Antsvorio turinčių pacientų gydymo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po to, kai gydymas vien dieta buvo neveiksmingas, rezultatų analizė parodė:</w:t>
      </w:r>
    </w:p>
    <w:p w14:paraId="02F260DC" w14:textId="522B8621" w:rsidR="003B31DC" w:rsidRPr="00A02B90" w:rsidRDefault="00096FB0">
      <w:pPr>
        <w:numPr>
          <w:ilvl w:val="0"/>
          <w:numId w:val="16"/>
        </w:numPr>
        <w:spacing w:after="35"/>
        <w:ind w:left="567" w:right="11" w:hanging="567"/>
        <w:contextualSpacing/>
        <w:rPr>
          <w:sz w:val="22"/>
          <w:szCs w:val="22"/>
          <w:lang w:eastAsia="sl-SI"/>
        </w:rPr>
      </w:pPr>
      <w:r w:rsidRPr="00FA2F7A">
        <w:rPr>
          <w:rFonts w:eastAsiaTheme="minorHAnsi"/>
          <w:color w:val="000000"/>
          <w:sz w:val="22"/>
          <w:szCs w:val="22"/>
          <w:lang w:eastAsia="en-US"/>
        </w:rPr>
        <w:t xml:space="preserve"> Statistiškai reikšmingą absoliučios rizikos sumažėjimą bet kokioms su diabetu susijusioms komplikacijoms </w:t>
      </w:r>
      <w:proofErr w:type="spellStart"/>
      <w:r w:rsidRPr="00FA2F7A">
        <w:rPr>
          <w:rFonts w:eastAsiaTheme="minorHAnsi"/>
          <w:color w:val="000000"/>
          <w:sz w:val="22"/>
          <w:szCs w:val="22"/>
          <w:lang w:eastAsia="en-US"/>
        </w:rPr>
        <w:t>metformino</w:t>
      </w:r>
      <w:proofErr w:type="spellEnd"/>
      <w:r w:rsidRPr="00FA2F7A">
        <w:rPr>
          <w:rFonts w:eastAsiaTheme="minorHAnsi"/>
          <w:color w:val="000000"/>
          <w:sz w:val="22"/>
          <w:szCs w:val="22"/>
          <w:lang w:eastAsia="en-US"/>
        </w:rPr>
        <w:t xml:space="preserve"> grupėje</w:t>
      </w:r>
      <w:r w:rsidR="00913CBE" w:rsidRPr="00FA2F7A">
        <w:rPr>
          <w:rFonts w:eastAsiaTheme="minorHAnsi"/>
          <w:color w:val="000000"/>
          <w:sz w:val="22"/>
          <w:szCs w:val="22"/>
          <w:lang w:eastAsia="en-US"/>
        </w:rPr>
        <w:t xml:space="preserve"> (29,8 reiškinio /</w:t>
      </w:r>
      <w:r w:rsidR="00913CBE">
        <w:rPr>
          <w:rFonts w:eastAsiaTheme="minorHAnsi"/>
          <w:sz w:val="22"/>
          <w:szCs w:val="22"/>
          <w:lang w:eastAsia="en-US"/>
        </w:rPr>
        <w:t xml:space="preserve"> 1 000 paciento metų), palyginti su vien dieta gydomos grupės pacientais (43,3 reiškinio / 1 000 paciento metų), p = 0,0023 ir palyginti su grupių, gydomų vien </w:t>
      </w:r>
      <w:proofErr w:type="spellStart"/>
      <w:r w:rsidR="00913CBE">
        <w:rPr>
          <w:rFonts w:eastAsiaTheme="minorHAnsi"/>
          <w:sz w:val="22"/>
          <w:szCs w:val="22"/>
          <w:lang w:eastAsia="en-US"/>
        </w:rPr>
        <w:t>sulfonilurėjos</w:t>
      </w:r>
      <w:proofErr w:type="spellEnd"/>
      <w:r w:rsidR="00913CBE">
        <w:rPr>
          <w:rFonts w:eastAsiaTheme="minorHAnsi"/>
          <w:sz w:val="22"/>
          <w:szCs w:val="22"/>
          <w:lang w:eastAsia="en-US"/>
        </w:rPr>
        <w:t xml:space="preserve"> dariniu bei vien insulinu (40,1 reiškinio / 1 000 paciento metų), bendrais duomenimis, p = 0,0034;</w:t>
      </w:r>
    </w:p>
    <w:p w14:paraId="277A8E8C" w14:textId="3594A38A" w:rsidR="003B31DC" w:rsidRPr="00A02B90" w:rsidRDefault="00927FFE">
      <w:pPr>
        <w:numPr>
          <w:ilvl w:val="0"/>
          <w:numId w:val="16"/>
        </w:numPr>
        <w:spacing w:after="35"/>
        <w:ind w:left="567" w:right="11" w:hanging="567"/>
        <w:contextualSpacing/>
        <w:rPr>
          <w:sz w:val="22"/>
          <w:szCs w:val="22"/>
          <w:lang w:eastAsia="sl-SI"/>
        </w:rPr>
      </w:pPr>
      <w:r w:rsidRPr="00FA2F7A">
        <w:rPr>
          <w:rFonts w:eastAsiaTheme="minorHAnsi"/>
          <w:sz w:val="22"/>
          <w:szCs w:val="22"/>
          <w:lang w:eastAsia="en-US"/>
        </w:rPr>
        <w:t xml:space="preserve"> Statistiškai reikšmingą absoliučios rizikos sumažėjimą bet kokiam su diabetu susijusiam mirštamumui</w:t>
      </w:r>
      <w:r w:rsidR="00913CBE" w:rsidRPr="00FA2F7A">
        <w:rPr>
          <w:rFonts w:eastAsiaTheme="minorHAnsi"/>
          <w:sz w:val="22"/>
          <w:szCs w:val="22"/>
          <w:lang w:eastAsia="en-US"/>
        </w:rPr>
        <w:t>:</w:t>
      </w:r>
      <w:r w:rsidR="00913CBE">
        <w:rPr>
          <w:rFonts w:eastAsiaTheme="minorHAnsi"/>
          <w:color w:val="000000"/>
          <w:sz w:val="22"/>
          <w:szCs w:val="22"/>
          <w:lang w:eastAsia="en-US"/>
        </w:rPr>
        <w:t xml:space="preserve"> </w:t>
      </w:r>
      <w:proofErr w:type="spellStart"/>
      <w:r w:rsidR="00913CBE">
        <w:rPr>
          <w:rFonts w:eastAsiaTheme="minorHAnsi"/>
          <w:color w:val="000000"/>
          <w:sz w:val="22"/>
          <w:szCs w:val="22"/>
          <w:lang w:eastAsia="en-US"/>
        </w:rPr>
        <w:t>metforminu</w:t>
      </w:r>
      <w:proofErr w:type="spellEnd"/>
      <w:r w:rsidR="00913CBE">
        <w:rPr>
          <w:rFonts w:eastAsiaTheme="minorHAnsi"/>
          <w:color w:val="000000"/>
          <w:sz w:val="22"/>
          <w:szCs w:val="22"/>
          <w:lang w:eastAsia="en-US"/>
        </w:rPr>
        <w:t xml:space="preserve"> gydomos grupės pacientams 7,5 reiškinio / 1 000 paciento metų, vien dieta gydomos grupės pacientams 12,7 reiškinio / 1 000 paciento metų, p = 0,017;</w:t>
      </w:r>
    </w:p>
    <w:p w14:paraId="23BB544D" w14:textId="2252C784" w:rsidR="003B31DC" w:rsidRPr="00A02B90" w:rsidRDefault="00216A90">
      <w:pPr>
        <w:numPr>
          <w:ilvl w:val="0"/>
          <w:numId w:val="16"/>
        </w:numPr>
        <w:spacing w:after="35"/>
        <w:ind w:left="567" w:right="11" w:hanging="567"/>
        <w:contextualSpacing/>
        <w:rPr>
          <w:sz w:val="22"/>
          <w:szCs w:val="22"/>
          <w:lang w:eastAsia="sl-SI"/>
        </w:rPr>
      </w:pPr>
      <w:r w:rsidRPr="00216A90">
        <w:rPr>
          <w:b/>
          <w:bCs/>
        </w:rPr>
        <w:t xml:space="preserve"> </w:t>
      </w:r>
      <w:r w:rsidRPr="00FA2F7A">
        <w:rPr>
          <w:rFonts w:eastAsiaTheme="minorHAnsi"/>
          <w:color w:val="000000"/>
          <w:sz w:val="22"/>
          <w:szCs w:val="22"/>
          <w:lang w:eastAsia="en-US"/>
        </w:rPr>
        <w:t>Statistiškai reikšmingą absoliučios rizikos sumažėjimą bendrajam mirštamumui</w:t>
      </w:r>
      <w:r w:rsidR="00913CBE">
        <w:rPr>
          <w:rFonts w:eastAsiaTheme="minorHAnsi"/>
          <w:color w:val="000000"/>
          <w:sz w:val="22"/>
          <w:szCs w:val="22"/>
          <w:lang w:eastAsia="en-US"/>
        </w:rPr>
        <w:t xml:space="preserve">: </w:t>
      </w:r>
      <w:proofErr w:type="spellStart"/>
      <w:r w:rsidR="00913CBE">
        <w:rPr>
          <w:rFonts w:eastAsiaTheme="minorHAnsi"/>
          <w:color w:val="000000"/>
          <w:sz w:val="22"/>
          <w:szCs w:val="22"/>
          <w:lang w:eastAsia="en-US"/>
        </w:rPr>
        <w:t>metforminu</w:t>
      </w:r>
      <w:proofErr w:type="spellEnd"/>
      <w:r w:rsidR="00913CBE">
        <w:rPr>
          <w:rFonts w:eastAsiaTheme="minorHAnsi"/>
          <w:color w:val="000000"/>
          <w:sz w:val="22"/>
          <w:szCs w:val="22"/>
          <w:lang w:eastAsia="en-US"/>
        </w:rPr>
        <w:t xml:space="preserve"> gydomos grupės pacientams buvo 13,5 reiškinio / 1 000 paciento metų, vien dieta gydomos grupės pacientams 20,6 reiškinio / 1 000 paciento metų (p = 0,011), o vien </w:t>
      </w:r>
      <w:proofErr w:type="spellStart"/>
      <w:r w:rsidR="00913CBE">
        <w:rPr>
          <w:rFonts w:eastAsiaTheme="minorHAnsi"/>
          <w:color w:val="000000"/>
          <w:sz w:val="22"/>
          <w:szCs w:val="22"/>
          <w:lang w:eastAsia="en-US"/>
        </w:rPr>
        <w:t>sulfonilurėjos</w:t>
      </w:r>
      <w:proofErr w:type="spellEnd"/>
      <w:r w:rsidR="00913CBE">
        <w:rPr>
          <w:rFonts w:eastAsiaTheme="minorHAnsi"/>
          <w:color w:val="000000"/>
          <w:sz w:val="22"/>
          <w:szCs w:val="22"/>
          <w:lang w:eastAsia="en-US"/>
        </w:rPr>
        <w:t xml:space="preserve"> dariniu bei vien insulinu gydomų grupių pacientams bendrai nustatyta 18,9 reiškinio / 1 000 paciento metų (p = 0,021);</w:t>
      </w:r>
    </w:p>
    <w:p w14:paraId="649DC45E" w14:textId="5CBCD962" w:rsidR="003B31DC" w:rsidRPr="00A02B90" w:rsidRDefault="00486B6A">
      <w:pPr>
        <w:numPr>
          <w:ilvl w:val="0"/>
          <w:numId w:val="16"/>
        </w:numPr>
        <w:spacing w:after="35"/>
        <w:ind w:left="567" w:right="11" w:hanging="567"/>
        <w:contextualSpacing/>
        <w:rPr>
          <w:sz w:val="22"/>
          <w:szCs w:val="22"/>
          <w:lang w:eastAsia="sl-SI"/>
        </w:rPr>
      </w:pPr>
      <w:r w:rsidRPr="00486B6A">
        <w:rPr>
          <w:b/>
          <w:bCs/>
        </w:rPr>
        <w:t xml:space="preserve"> </w:t>
      </w:r>
      <w:r w:rsidRPr="00FA2F7A">
        <w:rPr>
          <w:rFonts w:eastAsiaTheme="minorHAnsi"/>
          <w:color w:val="000000"/>
          <w:sz w:val="22"/>
          <w:szCs w:val="22"/>
          <w:lang w:eastAsia="en-US"/>
        </w:rPr>
        <w:t>Statistiškai reikšmingą absoliučios rizikos sumažėjimą miokardo infarktui</w:t>
      </w:r>
      <w:r w:rsidR="00913CBE">
        <w:rPr>
          <w:rFonts w:eastAsiaTheme="minorHAnsi"/>
          <w:color w:val="000000"/>
          <w:sz w:val="22"/>
          <w:szCs w:val="22"/>
          <w:lang w:eastAsia="en-US"/>
        </w:rPr>
        <w:t xml:space="preserve">: </w:t>
      </w:r>
      <w:proofErr w:type="spellStart"/>
      <w:r w:rsidR="00913CBE">
        <w:rPr>
          <w:rFonts w:eastAsiaTheme="minorHAnsi"/>
          <w:color w:val="000000"/>
          <w:sz w:val="22"/>
          <w:szCs w:val="22"/>
          <w:lang w:eastAsia="en-US"/>
        </w:rPr>
        <w:t>metforminu</w:t>
      </w:r>
      <w:proofErr w:type="spellEnd"/>
      <w:r w:rsidR="00913CBE">
        <w:rPr>
          <w:rFonts w:eastAsiaTheme="minorHAnsi"/>
          <w:color w:val="000000"/>
          <w:sz w:val="22"/>
          <w:szCs w:val="22"/>
          <w:lang w:eastAsia="en-US"/>
        </w:rPr>
        <w:t xml:space="preserve"> gydomos grupės pacientams buvo 11 reiškinių / 1 000 paciento metų, vien dieta gydomos grupės pacientams 18 reiškinių / 1 000 paciento metų (p = 0,01).</w:t>
      </w:r>
    </w:p>
    <w:p w14:paraId="13834569" w14:textId="77777777" w:rsidR="003B31DC" w:rsidRDefault="003B31DC">
      <w:pPr>
        <w:widowControl w:val="0"/>
        <w:tabs>
          <w:tab w:val="left" w:pos="567"/>
        </w:tabs>
        <w:ind w:left="567" w:hanging="567"/>
        <w:outlineLvl w:val="2"/>
        <w:rPr>
          <w:b/>
          <w:kern w:val="28"/>
          <w:sz w:val="22"/>
          <w:szCs w:val="22"/>
          <w:lang w:eastAsia="en-US"/>
        </w:rPr>
      </w:pPr>
    </w:p>
    <w:p w14:paraId="2E0A78E7"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Vaikų populiacija</w:t>
      </w:r>
    </w:p>
    <w:p w14:paraId="62CD12C1" w14:textId="77777777" w:rsidR="003B31DC" w:rsidRDefault="003B31DC">
      <w:pPr>
        <w:autoSpaceDE w:val="0"/>
        <w:autoSpaceDN w:val="0"/>
        <w:adjustRightInd w:val="0"/>
        <w:rPr>
          <w:rFonts w:eastAsiaTheme="minorHAnsi"/>
          <w:color w:val="000000"/>
          <w:sz w:val="22"/>
          <w:szCs w:val="22"/>
          <w:u w:val="single"/>
          <w:lang w:eastAsia="en-US"/>
        </w:rPr>
      </w:pPr>
    </w:p>
    <w:p w14:paraId="705551F9" w14:textId="77777777" w:rsidR="003B31DC" w:rsidRPr="00A02B90" w:rsidRDefault="00913CBE">
      <w:pPr>
        <w:pStyle w:val="Default"/>
        <w:rPr>
          <w:rFonts w:eastAsiaTheme="minorHAnsi"/>
          <w:sz w:val="22"/>
          <w:szCs w:val="22"/>
          <w:lang w:val="lt-LT" w:eastAsia="en-US"/>
        </w:rPr>
      </w:pPr>
      <w:r w:rsidRPr="00A02B90">
        <w:rPr>
          <w:sz w:val="22"/>
          <w:szCs w:val="22"/>
          <w:lang w:val="lt-LT"/>
        </w:rPr>
        <w:t xml:space="preserve">Europos vaistų agentūra atleido nuo įpareigojimo pateikti </w:t>
      </w:r>
      <w:proofErr w:type="spellStart"/>
      <w:r w:rsidRPr="00A02B90">
        <w:rPr>
          <w:sz w:val="22"/>
          <w:szCs w:val="22"/>
          <w:lang w:val="lt-LT"/>
        </w:rPr>
        <w:t>Mempoglyn</w:t>
      </w:r>
      <w:proofErr w:type="spellEnd"/>
      <w:r w:rsidRPr="00A02B90">
        <w:rPr>
          <w:sz w:val="22"/>
          <w:szCs w:val="22"/>
          <w:lang w:val="lt-LT"/>
        </w:rPr>
        <w:t xml:space="preserve"> tyrimų su visais vaikų, sergančių 2 tipo cukriniu diabetu, kurių amžius nuo gimimo iki 10 metų, populiacijos pogrupiais duomenis (vartojimo vaikams informacija pateikiama 4.2 skyriuje).</w:t>
      </w:r>
    </w:p>
    <w:p w14:paraId="1436B1D3" w14:textId="7E23B010" w:rsidR="003B31DC" w:rsidRDefault="00913CBE">
      <w:pPr>
        <w:pStyle w:val="Default"/>
        <w:rPr>
          <w:rFonts w:eastAsiaTheme="minorHAnsi"/>
          <w:sz w:val="22"/>
          <w:szCs w:val="22"/>
          <w:lang w:val="lt-LT" w:eastAsia="en-US"/>
        </w:rPr>
      </w:pPr>
      <w:r>
        <w:rPr>
          <w:rFonts w:eastAsiaTheme="minorHAnsi"/>
          <w:sz w:val="22"/>
          <w:szCs w:val="22"/>
          <w:lang w:val="lt-LT" w:eastAsia="en-US"/>
        </w:rPr>
        <w:t xml:space="preserve">Atliekant 26 savaičių trukmės placebu kontroliuojamą veiksmingumo ir saugumo klinikinį tyrimą (DINAMO) su </w:t>
      </w:r>
      <w:r w:rsidR="00922AE6">
        <w:rPr>
          <w:rFonts w:eastAsiaTheme="minorHAnsi"/>
          <w:sz w:val="22"/>
          <w:szCs w:val="22"/>
          <w:lang w:val="lt-LT" w:eastAsia="en-US"/>
        </w:rPr>
        <w:t>pratęsimo laikotarpiu</w:t>
      </w:r>
      <w:r>
        <w:rPr>
          <w:rFonts w:eastAsiaTheme="minorHAnsi"/>
          <w:sz w:val="22"/>
          <w:szCs w:val="22"/>
          <w:lang w:val="lt-LT" w:eastAsia="en-US"/>
        </w:rPr>
        <w:t xml:space="preserve"> iki 52 savaičių trukmės saugumo periodu, tirtas </w:t>
      </w:r>
      <w:proofErr w:type="spellStart"/>
      <w:r>
        <w:rPr>
          <w:rFonts w:eastAsiaTheme="minorHAnsi"/>
          <w:sz w:val="22"/>
          <w:szCs w:val="22"/>
          <w:lang w:val="lt-LT" w:eastAsia="en-US"/>
        </w:rPr>
        <w:t>empagliflozino</w:t>
      </w:r>
      <w:proofErr w:type="spellEnd"/>
      <w:r>
        <w:rPr>
          <w:rFonts w:eastAsiaTheme="minorHAnsi"/>
          <w:sz w:val="22"/>
          <w:szCs w:val="22"/>
          <w:lang w:val="lt-LT" w:eastAsia="en-US"/>
        </w:rPr>
        <w:t xml:space="preserve"> (10 mg su galimybe dozę padidinti iki 25 mg) ir </w:t>
      </w:r>
      <w:proofErr w:type="spellStart"/>
      <w:r>
        <w:rPr>
          <w:rFonts w:eastAsiaTheme="minorHAnsi"/>
          <w:sz w:val="22"/>
          <w:szCs w:val="22"/>
          <w:lang w:val="lt-LT" w:eastAsia="en-US"/>
        </w:rPr>
        <w:t>linagliptino</w:t>
      </w:r>
      <w:proofErr w:type="spellEnd"/>
      <w:r>
        <w:rPr>
          <w:rFonts w:eastAsiaTheme="minorHAnsi"/>
          <w:sz w:val="22"/>
          <w:szCs w:val="22"/>
          <w:lang w:val="lt-LT" w:eastAsia="en-US"/>
        </w:rPr>
        <w:t xml:space="preserve"> (5 mg), vartojamų vieną kartą per parą, klinikinis veiksmingumas ir saugumas 10-17 metų vaikams ir paaugliams, sergantiems 2 tipo cukriniu diabetu. Papildomai </w:t>
      </w:r>
      <w:r w:rsidR="0006180D">
        <w:rPr>
          <w:rFonts w:eastAsiaTheme="minorHAnsi"/>
          <w:sz w:val="22"/>
          <w:szCs w:val="22"/>
          <w:lang w:val="lt-LT" w:eastAsia="en-US"/>
        </w:rPr>
        <w:t xml:space="preserve">prie </w:t>
      </w:r>
      <w:r>
        <w:rPr>
          <w:rFonts w:eastAsiaTheme="minorHAnsi"/>
          <w:sz w:val="22"/>
          <w:szCs w:val="22"/>
          <w:lang w:val="lt-LT" w:eastAsia="en-US"/>
        </w:rPr>
        <w:t>diet</w:t>
      </w:r>
      <w:r w:rsidR="00C8053D">
        <w:rPr>
          <w:rFonts w:eastAsiaTheme="minorHAnsi"/>
          <w:sz w:val="22"/>
          <w:szCs w:val="22"/>
          <w:lang w:val="lt-LT" w:eastAsia="en-US"/>
        </w:rPr>
        <w:t>os</w:t>
      </w:r>
      <w:r>
        <w:rPr>
          <w:rFonts w:eastAsiaTheme="minorHAnsi"/>
          <w:sz w:val="22"/>
          <w:szCs w:val="22"/>
          <w:lang w:val="lt-LT" w:eastAsia="en-US"/>
        </w:rPr>
        <w:t xml:space="preserve"> ir fizini</w:t>
      </w:r>
      <w:r w:rsidR="00C8053D">
        <w:rPr>
          <w:rFonts w:eastAsiaTheme="minorHAnsi"/>
          <w:sz w:val="22"/>
          <w:szCs w:val="22"/>
          <w:lang w:val="lt-LT" w:eastAsia="en-US"/>
        </w:rPr>
        <w:t>o</w:t>
      </w:r>
      <w:r>
        <w:rPr>
          <w:rFonts w:eastAsiaTheme="minorHAnsi"/>
          <w:sz w:val="22"/>
          <w:szCs w:val="22"/>
          <w:lang w:val="lt-LT" w:eastAsia="en-US"/>
        </w:rPr>
        <w:t xml:space="preserve"> krūvi</w:t>
      </w:r>
      <w:r w:rsidR="00C8053D">
        <w:rPr>
          <w:rFonts w:eastAsiaTheme="minorHAnsi"/>
          <w:sz w:val="22"/>
          <w:szCs w:val="22"/>
          <w:lang w:val="lt-LT" w:eastAsia="en-US"/>
        </w:rPr>
        <w:t>o</w:t>
      </w:r>
      <w:r>
        <w:rPr>
          <w:rFonts w:eastAsiaTheme="minorHAnsi"/>
          <w:sz w:val="22"/>
          <w:szCs w:val="22"/>
          <w:lang w:val="lt-LT" w:eastAsia="en-US"/>
        </w:rPr>
        <w:t xml:space="preserve"> skirtas gydymas </w:t>
      </w:r>
      <w:proofErr w:type="spellStart"/>
      <w:r>
        <w:rPr>
          <w:rFonts w:eastAsiaTheme="minorHAnsi"/>
          <w:sz w:val="22"/>
          <w:szCs w:val="22"/>
          <w:lang w:val="lt-LT" w:eastAsia="en-US"/>
        </w:rPr>
        <w:t>metforminu</w:t>
      </w:r>
      <w:proofErr w:type="spellEnd"/>
      <w:r>
        <w:rPr>
          <w:rFonts w:eastAsiaTheme="minorHAnsi"/>
          <w:sz w:val="22"/>
          <w:szCs w:val="22"/>
          <w:lang w:val="lt-LT" w:eastAsia="en-US"/>
        </w:rPr>
        <w:t xml:space="preserve"> (51 %),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ir insulino deriniu (40,1 %), insulinu (3,2 %) arba papildomo gydymo neskirta (5,7 %).</w:t>
      </w:r>
    </w:p>
    <w:p w14:paraId="1150A294" w14:textId="77777777" w:rsidR="003B31DC" w:rsidRDefault="00913CBE">
      <w:pPr>
        <w:autoSpaceDE w:val="0"/>
        <w:autoSpaceDN w:val="0"/>
        <w:adjustRightInd w:val="0"/>
        <w:rPr>
          <w:sz w:val="22"/>
          <w:szCs w:val="22"/>
        </w:rPr>
      </w:pPr>
      <w:r>
        <w:rPr>
          <w:rFonts w:eastAsiaTheme="minorHAnsi"/>
          <w:color w:val="000000"/>
          <w:sz w:val="22"/>
          <w:szCs w:val="22"/>
          <w:lang w:eastAsia="en-US"/>
        </w:rPr>
        <w:t xml:space="preserve">Koreguotas vidutinis -0,84 % HbA1c pokytis 26-ąją savaitę, lyginant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(N = 52) ir placebo (N = 53) grupes, buvo kliniškai ir statistiškai reikšmingas (95 % PI: -1,5; -0,19; p = 0,0116). Be to, lyginant gydymą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xml:space="preserve"> su placebu, nustatytas kliniškai reikšmingas pakoreguotas vidutinis SGN (sutrikusi </w:t>
      </w:r>
      <w:proofErr w:type="spellStart"/>
      <w:r>
        <w:rPr>
          <w:rFonts w:eastAsiaTheme="minorHAnsi"/>
          <w:color w:val="000000"/>
          <w:sz w:val="22"/>
          <w:szCs w:val="22"/>
          <w:lang w:eastAsia="en-US"/>
        </w:rPr>
        <w:t>glikemija</w:t>
      </w:r>
      <w:proofErr w:type="spellEnd"/>
      <w:r>
        <w:rPr>
          <w:rFonts w:eastAsiaTheme="minorHAnsi"/>
          <w:color w:val="000000"/>
          <w:sz w:val="22"/>
          <w:szCs w:val="22"/>
          <w:lang w:eastAsia="en-US"/>
        </w:rPr>
        <w:t xml:space="preserve"> nevalgius) pokytis, kurio vertė -35,2 mg/dl (95 % PI: -58,6; -11,7) (-1,95 </w:t>
      </w:r>
      <w:proofErr w:type="spellStart"/>
      <w:r>
        <w:rPr>
          <w:rFonts w:eastAsiaTheme="minorHAnsi"/>
          <w:color w:val="000000"/>
          <w:sz w:val="22"/>
          <w:szCs w:val="22"/>
          <w:lang w:eastAsia="en-US"/>
        </w:rPr>
        <w:t>mmol</w:t>
      </w:r>
      <w:proofErr w:type="spellEnd"/>
      <w:r>
        <w:rPr>
          <w:rFonts w:eastAsiaTheme="minorHAnsi"/>
          <w:color w:val="000000"/>
          <w:sz w:val="22"/>
          <w:szCs w:val="22"/>
          <w:lang w:eastAsia="en-US"/>
        </w:rPr>
        <w:t xml:space="preserve">/l [-3,25; -0,65]).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pogrupyje (N = 48 vartojo </w:t>
      </w:r>
      <w:proofErr w:type="spellStart"/>
      <w:r>
        <w:rPr>
          <w:rFonts w:eastAsiaTheme="minorHAnsi"/>
          <w:color w:val="000000"/>
          <w:sz w:val="22"/>
          <w:szCs w:val="22"/>
          <w:lang w:eastAsia="en-US"/>
        </w:rPr>
        <w:t>empaglifloziną</w:t>
      </w:r>
      <w:proofErr w:type="spellEnd"/>
      <w:r>
        <w:rPr>
          <w:rFonts w:eastAsiaTheme="minorHAnsi"/>
          <w:color w:val="000000"/>
          <w:sz w:val="22"/>
          <w:szCs w:val="22"/>
          <w:lang w:eastAsia="en-US"/>
        </w:rPr>
        <w:t xml:space="preserve">, N = 47 – </w:t>
      </w:r>
      <w:proofErr w:type="spellStart"/>
      <w:r>
        <w:rPr>
          <w:rFonts w:eastAsiaTheme="minorHAnsi"/>
          <w:color w:val="000000"/>
          <w:sz w:val="22"/>
          <w:szCs w:val="22"/>
          <w:lang w:eastAsia="en-US"/>
        </w:rPr>
        <w:t>placeb̀ą</w:t>
      </w:r>
      <w:proofErr w:type="spellEnd"/>
      <w:r>
        <w:rPr>
          <w:rFonts w:eastAsiaTheme="minorHAnsi"/>
          <w:color w:val="000000"/>
          <w:sz w:val="22"/>
          <w:szCs w:val="22"/>
          <w:lang w:eastAsia="en-US"/>
        </w:rPr>
        <w:t>) tai buvo -0,76 % (95 % PI: -1,45 %, -0,08 %), vertinant HbA1c, ir -38.28 mg/dl (95 % PI: nuo -60,47 iki -16,10), vertinant gliukozės kiekį plazmoje nevalgius.</w:t>
      </w:r>
    </w:p>
    <w:p w14:paraId="5D79C0B6" w14:textId="77777777" w:rsidR="003B31DC" w:rsidRDefault="003B31DC">
      <w:pPr>
        <w:widowControl w:val="0"/>
        <w:tabs>
          <w:tab w:val="left" w:pos="567"/>
        </w:tabs>
        <w:ind w:left="567" w:hanging="567"/>
        <w:outlineLvl w:val="2"/>
        <w:rPr>
          <w:b/>
          <w:kern w:val="28"/>
          <w:sz w:val="22"/>
          <w:szCs w:val="22"/>
          <w:lang w:eastAsia="en-US"/>
        </w:rPr>
      </w:pPr>
    </w:p>
    <w:p w14:paraId="22E2E1C2" w14:textId="77777777" w:rsidR="003B31DC" w:rsidRDefault="00913CBE">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74FB8892" w14:textId="77777777" w:rsidR="003B31DC" w:rsidRDefault="003B31DC">
      <w:pPr>
        <w:widowControl w:val="0"/>
        <w:ind w:left="567" w:hanging="567"/>
        <w:rPr>
          <w:bCs/>
          <w:sz w:val="22"/>
          <w:szCs w:val="22"/>
          <w:lang w:eastAsia="en-US"/>
        </w:rPr>
      </w:pPr>
    </w:p>
    <w:p w14:paraId="70B3329C" w14:textId="77777777" w:rsidR="003B31DC" w:rsidRPr="00A02B90" w:rsidRDefault="00913CBE">
      <w:pPr>
        <w:pStyle w:val="Default"/>
        <w:rPr>
          <w:rFonts w:eastAsiaTheme="minorHAnsi"/>
          <w:sz w:val="22"/>
          <w:szCs w:val="22"/>
          <w:u w:val="single"/>
          <w:lang w:val="lt-LT" w:eastAsia="en-US"/>
        </w:rPr>
      </w:pPr>
      <w:proofErr w:type="spellStart"/>
      <w:r w:rsidRPr="00A02B90">
        <w:rPr>
          <w:rFonts w:eastAsiaTheme="minorHAnsi"/>
          <w:sz w:val="22"/>
          <w:szCs w:val="22"/>
          <w:u w:val="single"/>
          <w:lang w:val="lt-LT" w:eastAsia="en-US"/>
        </w:rPr>
        <w:t>Empagliflozinas</w:t>
      </w:r>
      <w:proofErr w:type="spellEnd"/>
      <w:r w:rsidRPr="00A02B90">
        <w:rPr>
          <w:rFonts w:eastAsiaTheme="minorHAnsi"/>
          <w:sz w:val="22"/>
          <w:szCs w:val="22"/>
          <w:u w:val="single"/>
          <w:lang w:val="lt-LT" w:eastAsia="en-US"/>
        </w:rPr>
        <w:t>/</w:t>
      </w:r>
      <w:proofErr w:type="spellStart"/>
      <w:r w:rsidRPr="00A02B90">
        <w:rPr>
          <w:rFonts w:eastAsiaTheme="minorHAnsi"/>
          <w:sz w:val="22"/>
          <w:szCs w:val="22"/>
          <w:u w:val="single"/>
          <w:lang w:val="lt-LT" w:eastAsia="en-US"/>
        </w:rPr>
        <w:t>metforminas</w:t>
      </w:r>
      <w:proofErr w:type="spellEnd"/>
    </w:p>
    <w:p w14:paraId="25A98854" w14:textId="77777777" w:rsidR="003B31DC" w:rsidRPr="00A02B90" w:rsidRDefault="003B31DC">
      <w:pPr>
        <w:pStyle w:val="Default"/>
        <w:rPr>
          <w:rFonts w:eastAsiaTheme="minorHAnsi"/>
          <w:sz w:val="22"/>
          <w:szCs w:val="22"/>
          <w:lang w:val="lt-LT" w:eastAsia="en-US"/>
        </w:rPr>
      </w:pPr>
    </w:p>
    <w:p w14:paraId="73DFC984" w14:textId="3A264BFA" w:rsidR="003B31DC" w:rsidRPr="00A02B90" w:rsidRDefault="00913CBE">
      <w:pPr>
        <w:pStyle w:val="Default"/>
        <w:rPr>
          <w:rFonts w:eastAsiaTheme="minorHAnsi"/>
          <w:sz w:val="22"/>
          <w:szCs w:val="22"/>
          <w:lang w:val="lt-LT" w:eastAsia="en-US"/>
        </w:rPr>
      </w:pPr>
      <w:proofErr w:type="spellStart"/>
      <w:r w:rsidRPr="00A02B90">
        <w:rPr>
          <w:rFonts w:eastAsiaTheme="minorHAnsi"/>
          <w:sz w:val="22"/>
          <w:szCs w:val="22"/>
          <w:lang w:val="lt-LT" w:eastAsia="en-US"/>
        </w:rPr>
        <w:t>Bioekvivalentiškumo</w:t>
      </w:r>
      <w:proofErr w:type="spellEnd"/>
      <w:r w:rsidRPr="00A02B90">
        <w:rPr>
          <w:rFonts w:eastAsiaTheme="minorHAnsi"/>
          <w:sz w:val="22"/>
          <w:szCs w:val="22"/>
          <w:lang w:val="lt-LT" w:eastAsia="en-US"/>
        </w:rPr>
        <w:t xml:space="preserve"> tyrimai su sveikais asmenimis parodė, kad </w:t>
      </w:r>
      <w:proofErr w:type="spellStart"/>
      <w:r w:rsidRPr="00A02B90">
        <w:rPr>
          <w:rFonts w:eastAsiaTheme="minorHAnsi"/>
          <w:sz w:val="22"/>
          <w:szCs w:val="22"/>
          <w:lang w:val="lt-LT" w:eastAsia="en-US"/>
        </w:rPr>
        <w:t>Mempoglyn</w:t>
      </w:r>
      <w:proofErr w:type="spellEnd"/>
      <w:r w:rsidRPr="00A02B90">
        <w:rPr>
          <w:rFonts w:eastAsiaTheme="minorHAnsi"/>
          <w:sz w:val="22"/>
          <w:szCs w:val="22"/>
          <w:lang w:val="lt-LT" w:eastAsia="en-US"/>
        </w:rPr>
        <w:t xml:space="preserve"> (</w:t>
      </w:r>
      <w:proofErr w:type="spellStart"/>
      <w:r w:rsidRPr="00A02B90">
        <w:rPr>
          <w:rFonts w:eastAsiaTheme="minorHAnsi"/>
          <w:sz w:val="22"/>
          <w:szCs w:val="22"/>
          <w:lang w:val="lt-LT" w:eastAsia="en-US"/>
        </w:rPr>
        <w:t>empagliflozinas</w:t>
      </w:r>
      <w:proofErr w:type="spellEnd"/>
      <w:r w:rsidRPr="00A02B90">
        <w:rPr>
          <w:rFonts w:eastAsiaTheme="minorHAnsi"/>
          <w:sz w:val="22"/>
          <w:szCs w:val="22"/>
          <w:lang w:val="lt-LT" w:eastAsia="en-US"/>
        </w:rPr>
        <w:t xml:space="preserve"> / </w:t>
      </w:r>
      <w:proofErr w:type="spellStart"/>
      <w:r w:rsidRPr="00A02B90">
        <w:rPr>
          <w:rFonts w:eastAsiaTheme="minorHAnsi"/>
          <w:sz w:val="22"/>
          <w:szCs w:val="22"/>
          <w:lang w:val="lt-LT" w:eastAsia="en-US"/>
        </w:rPr>
        <w:t>metformino</w:t>
      </w:r>
      <w:proofErr w:type="spellEnd"/>
      <w:r w:rsidRPr="00A02B90">
        <w:rPr>
          <w:rFonts w:eastAsiaTheme="minorHAnsi"/>
          <w:sz w:val="22"/>
          <w:szCs w:val="22"/>
          <w:lang w:val="lt-LT" w:eastAsia="en-US"/>
        </w:rPr>
        <w:t xml:space="preserve"> hidrochloridas) 5 mg/850 mg, 5 mg/1 000 mg, 12,5 mg/850 mg ir 12,5 mg/1 000 mg sudėtinės tabletės yra </w:t>
      </w:r>
      <w:proofErr w:type="spellStart"/>
      <w:r w:rsidR="009A2ACF">
        <w:rPr>
          <w:rFonts w:eastAsiaTheme="minorHAnsi"/>
          <w:sz w:val="22"/>
          <w:szCs w:val="22"/>
          <w:lang w:val="lt-LT" w:eastAsia="en-US"/>
        </w:rPr>
        <w:t>bioekvivalentiškos</w:t>
      </w:r>
      <w:proofErr w:type="spellEnd"/>
      <w:r w:rsidRPr="00A02B90">
        <w:rPr>
          <w:rFonts w:eastAsiaTheme="minorHAnsi"/>
          <w:sz w:val="22"/>
          <w:szCs w:val="22"/>
          <w:lang w:val="lt-LT" w:eastAsia="en-US"/>
        </w:rPr>
        <w:t xml:space="preserve"> kartu vartojamoms atitinkamų dozių </w:t>
      </w:r>
      <w:proofErr w:type="spellStart"/>
      <w:r w:rsidRPr="00A02B90">
        <w:rPr>
          <w:rFonts w:eastAsiaTheme="minorHAnsi"/>
          <w:sz w:val="22"/>
          <w:szCs w:val="22"/>
          <w:lang w:val="lt-LT" w:eastAsia="en-US"/>
        </w:rPr>
        <w:t>empagliflozino</w:t>
      </w:r>
      <w:proofErr w:type="spellEnd"/>
      <w:r w:rsidRPr="00A02B90">
        <w:rPr>
          <w:rFonts w:eastAsiaTheme="minorHAnsi"/>
          <w:sz w:val="22"/>
          <w:szCs w:val="22"/>
          <w:lang w:val="lt-LT" w:eastAsia="en-US"/>
        </w:rPr>
        <w:t xml:space="preserve"> ir </w:t>
      </w:r>
      <w:proofErr w:type="spellStart"/>
      <w:r w:rsidRPr="00A02B90">
        <w:rPr>
          <w:rFonts w:eastAsiaTheme="minorHAnsi"/>
          <w:sz w:val="22"/>
          <w:szCs w:val="22"/>
          <w:lang w:val="lt-LT" w:eastAsia="en-US"/>
        </w:rPr>
        <w:t>metformino</w:t>
      </w:r>
      <w:proofErr w:type="spellEnd"/>
      <w:r w:rsidRPr="00A02B90">
        <w:rPr>
          <w:rFonts w:eastAsiaTheme="minorHAnsi"/>
          <w:sz w:val="22"/>
          <w:szCs w:val="22"/>
          <w:lang w:val="lt-LT" w:eastAsia="en-US"/>
        </w:rPr>
        <w:t xml:space="preserve"> tabletėms.</w:t>
      </w:r>
    </w:p>
    <w:p w14:paraId="6B42C656" w14:textId="77777777" w:rsidR="003B31DC" w:rsidRPr="00A02B90" w:rsidRDefault="003B31DC">
      <w:pPr>
        <w:pStyle w:val="Default"/>
        <w:rPr>
          <w:rFonts w:eastAsiaTheme="minorHAnsi"/>
          <w:sz w:val="22"/>
          <w:szCs w:val="22"/>
          <w:lang w:val="lt-LT" w:eastAsia="en-US"/>
        </w:rPr>
      </w:pPr>
    </w:p>
    <w:p w14:paraId="7BBFB4F8" w14:textId="6A3D7A87" w:rsidR="003B31DC" w:rsidRDefault="00913CBE">
      <w:pPr>
        <w:pStyle w:val="Default"/>
        <w:rPr>
          <w:rFonts w:eastAsiaTheme="minorHAnsi"/>
          <w:sz w:val="22"/>
          <w:szCs w:val="22"/>
          <w:lang w:val="lt-LT" w:eastAsia="en-US"/>
        </w:rPr>
      </w:pPr>
      <w:proofErr w:type="spellStart"/>
      <w:r>
        <w:rPr>
          <w:rFonts w:eastAsiaTheme="minorHAnsi"/>
          <w:sz w:val="22"/>
          <w:szCs w:val="22"/>
          <w:lang w:val="lt-LT" w:eastAsia="en-US"/>
        </w:rPr>
        <w:t>Empagliflozino</w:t>
      </w:r>
      <w:proofErr w:type="spellEnd"/>
      <w:r>
        <w:rPr>
          <w:rFonts w:eastAsiaTheme="minorHAnsi"/>
          <w:sz w:val="22"/>
          <w:szCs w:val="22"/>
          <w:lang w:val="lt-LT" w:eastAsia="en-US"/>
        </w:rPr>
        <w:t xml:space="preserve"> /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12,5 mg/1 000 mg vartojimas po valgio lėmė </w:t>
      </w:r>
      <w:proofErr w:type="spellStart"/>
      <w:r>
        <w:rPr>
          <w:rFonts w:eastAsiaTheme="minorHAnsi"/>
          <w:sz w:val="22"/>
          <w:szCs w:val="22"/>
          <w:lang w:val="lt-LT" w:eastAsia="en-US"/>
        </w:rPr>
        <w:t>empagliflozino</w:t>
      </w:r>
      <w:proofErr w:type="spellEnd"/>
      <w:r>
        <w:rPr>
          <w:rFonts w:eastAsiaTheme="minorHAnsi"/>
          <w:sz w:val="22"/>
          <w:szCs w:val="22"/>
          <w:lang w:val="lt-LT" w:eastAsia="en-US"/>
        </w:rPr>
        <w:t xml:space="preserve"> AUC sumažėjimą 9 % ir </w:t>
      </w:r>
      <w:proofErr w:type="spellStart"/>
      <w:r>
        <w:rPr>
          <w:rFonts w:eastAsiaTheme="minorHAnsi"/>
          <w:sz w:val="22"/>
          <w:szCs w:val="22"/>
          <w:lang w:val="lt-LT" w:eastAsia="en-US"/>
        </w:rPr>
        <w:t>C</w:t>
      </w:r>
      <w:r>
        <w:rPr>
          <w:rFonts w:eastAsiaTheme="minorHAnsi"/>
          <w:sz w:val="14"/>
          <w:szCs w:val="14"/>
          <w:lang w:val="lt-LT" w:eastAsia="en-US"/>
        </w:rPr>
        <w:t>max</w:t>
      </w:r>
      <w:proofErr w:type="spellEnd"/>
      <w:r>
        <w:rPr>
          <w:rFonts w:eastAsiaTheme="minorHAnsi"/>
          <w:sz w:val="14"/>
          <w:szCs w:val="14"/>
          <w:lang w:val="lt-LT" w:eastAsia="en-US"/>
        </w:rPr>
        <w:t xml:space="preserve"> </w:t>
      </w:r>
      <w:r>
        <w:rPr>
          <w:rFonts w:eastAsiaTheme="minorHAnsi"/>
          <w:sz w:val="22"/>
          <w:szCs w:val="22"/>
          <w:lang w:val="lt-LT" w:eastAsia="en-US"/>
        </w:rPr>
        <w:t xml:space="preserve">sumažėjimą 28 %, palyginti su vartojimu nevalgius.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AUC sumažėjo 12 %, o </w:t>
      </w:r>
      <w:proofErr w:type="spellStart"/>
      <w:r>
        <w:rPr>
          <w:rFonts w:eastAsiaTheme="minorHAnsi"/>
          <w:sz w:val="22"/>
          <w:szCs w:val="22"/>
          <w:lang w:val="lt-LT" w:eastAsia="en-US"/>
        </w:rPr>
        <w:t>C</w:t>
      </w:r>
      <w:r>
        <w:rPr>
          <w:rFonts w:eastAsiaTheme="minorHAnsi"/>
          <w:sz w:val="14"/>
          <w:szCs w:val="14"/>
          <w:lang w:val="lt-LT" w:eastAsia="en-US"/>
        </w:rPr>
        <w:t>max</w:t>
      </w:r>
      <w:proofErr w:type="spellEnd"/>
      <w:r>
        <w:rPr>
          <w:rFonts w:eastAsiaTheme="minorHAnsi"/>
          <w:sz w:val="14"/>
          <w:szCs w:val="14"/>
          <w:lang w:val="lt-LT" w:eastAsia="en-US"/>
        </w:rPr>
        <w:t xml:space="preserve"> </w:t>
      </w:r>
      <w:r>
        <w:rPr>
          <w:rFonts w:eastAsiaTheme="minorHAnsi"/>
          <w:sz w:val="22"/>
          <w:szCs w:val="22"/>
          <w:lang w:val="lt-LT" w:eastAsia="en-US"/>
        </w:rPr>
        <w:t xml:space="preserve">– 26 %, palyginti su vartojimu nevalgius. Manoma, kad pastebėtas maisto poveikis </w:t>
      </w:r>
      <w:proofErr w:type="spellStart"/>
      <w:r>
        <w:rPr>
          <w:rFonts w:eastAsiaTheme="minorHAnsi"/>
          <w:sz w:val="22"/>
          <w:szCs w:val="22"/>
          <w:lang w:val="lt-LT" w:eastAsia="en-US"/>
        </w:rPr>
        <w:t>empagliflozino</w:t>
      </w:r>
      <w:proofErr w:type="spellEnd"/>
      <w:r>
        <w:rPr>
          <w:rFonts w:eastAsiaTheme="minorHAnsi"/>
          <w:sz w:val="22"/>
          <w:szCs w:val="22"/>
          <w:lang w:val="lt-LT" w:eastAsia="en-US"/>
        </w:rPr>
        <w:t xml:space="preserve"> ir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farmakokinetikai yra kliniškai nereikšmingas. Tačiau kadangi </w:t>
      </w:r>
      <w:proofErr w:type="spellStart"/>
      <w:r>
        <w:rPr>
          <w:rFonts w:eastAsiaTheme="minorHAnsi"/>
          <w:sz w:val="22"/>
          <w:szCs w:val="22"/>
          <w:lang w:val="lt-LT" w:eastAsia="en-US"/>
        </w:rPr>
        <w:t>metforminą</w:t>
      </w:r>
      <w:proofErr w:type="spellEnd"/>
      <w:r>
        <w:rPr>
          <w:rFonts w:eastAsiaTheme="minorHAnsi"/>
          <w:sz w:val="22"/>
          <w:szCs w:val="22"/>
          <w:lang w:val="lt-LT" w:eastAsia="en-US"/>
        </w:rPr>
        <w:t xml:space="preserve"> rekomenduojama vartoti valgant, </w:t>
      </w:r>
      <w:proofErr w:type="spellStart"/>
      <w:r>
        <w:rPr>
          <w:rFonts w:eastAsiaTheme="minorHAnsi"/>
          <w:sz w:val="22"/>
          <w:szCs w:val="22"/>
          <w:lang w:val="lt-LT" w:eastAsia="en-US"/>
        </w:rPr>
        <w:t>Mempoglyn</w:t>
      </w:r>
      <w:proofErr w:type="spellEnd"/>
      <w:r>
        <w:rPr>
          <w:rFonts w:eastAsiaTheme="minorHAnsi"/>
          <w:sz w:val="22"/>
          <w:szCs w:val="22"/>
          <w:lang w:val="lt-LT" w:eastAsia="en-US"/>
        </w:rPr>
        <w:t xml:space="preserve"> taip pat siūloma </w:t>
      </w:r>
      <w:r w:rsidR="00205DFF">
        <w:rPr>
          <w:rFonts w:eastAsiaTheme="minorHAnsi"/>
          <w:sz w:val="22"/>
          <w:szCs w:val="22"/>
          <w:lang w:val="lt-LT" w:eastAsia="en-US"/>
        </w:rPr>
        <w:t xml:space="preserve">vartoti </w:t>
      </w:r>
      <w:r>
        <w:rPr>
          <w:rFonts w:eastAsiaTheme="minorHAnsi"/>
          <w:sz w:val="22"/>
          <w:szCs w:val="22"/>
          <w:lang w:val="lt-LT" w:eastAsia="en-US"/>
        </w:rPr>
        <w:t>valgio metu.</w:t>
      </w:r>
    </w:p>
    <w:p w14:paraId="048E854F" w14:textId="77777777" w:rsidR="003B31DC" w:rsidRDefault="003B31DC">
      <w:pPr>
        <w:pStyle w:val="Default"/>
        <w:rPr>
          <w:rFonts w:eastAsiaTheme="minorHAnsi"/>
          <w:sz w:val="22"/>
          <w:szCs w:val="22"/>
          <w:lang w:val="lt-LT" w:eastAsia="en-US"/>
        </w:rPr>
      </w:pPr>
    </w:p>
    <w:p w14:paraId="6A9CDADF"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Toliau pateikta informacija apie kiekvienos atskiros veikliosios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medžiagos </w:t>
      </w:r>
      <w:proofErr w:type="spellStart"/>
      <w:r>
        <w:rPr>
          <w:rFonts w:eastAsiaTheme="minorHAnsi"/>
          <w:color w:val="000000"/>
          <w:sz w:val="22"/>
          <w:szCs w:val="22"/>
          <w:lang w:eastAsia="en-US"/>
        </w:rPr>
        <w:t>farmakokinetines</w:t>
      </w:r>
      <w:proofErr w:type="spellEnd"/>
      <w:r>
        <w:rPr>
          <w:rFonts w:eastAsiaTheme="minorHAnsi"/>
          <w:color w:val="000000"/>
          <w:sz w:val="22"/>
          <w:szCs w:val="22"/>
          <w:lang w:eastAsia="en-US"/>
        </w:rPr>
        <w:t xml:space="preserve"> savybes.</w:t>
      </w:r>
    </w:p>
    <w:p w14:paraId="1E859F8A" w14:textId="77777777" w:rsidR="003B31DC" w:rsidRDefault="003B31DC">
      <w:pPr>
        <w:autoSpaceDE w:val="0"/>
        <w:autoSpaceDN w:val="0"/>
        <w:adjustRightInd w:val="0"/>
        <w:rPr>
          <w:rFonts w:eastAsiaTheme="minorHAnsi"/>
          <w:color w:val="000000"/>
          <w:sz w:val="22"/>
          <w:szCs w:val="22"/>
          <w:lang w:eastAsia="en-US"/>
        </w:rPr>
      </w:pPr>
    </w:p>
    <w:p w14:paraId="074634A6" w14:textId="77777777" w:rsidR="003B31DC" w:rsidRDefault="00913CB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Empagliflozinas</w:t>
      </w:r>
      <w:proofErr w:type="spellEnd"/>
    </w:p>
    <w:p w14:paraId="2B5E6AAB" w14:textId="77777777" w:rsidR="003B31DC" w:rsidRDefault="003B31DC">
      <w:pPr>
        <w:autoSpaceDE w:val="0"/>
        <w:autoSpaceDN w:val="0"/>
        <w:adjustRightInd w:val="0"/>
        <w:rPr>
          <w:rFonts w:eastAsiaTheme="minorHAnsi"/>
          <w:color w:val="000000"/>
          <w:sz w:val="22"/>
          <w:szCs w:val="22"/>
          <w:lang w:eastAsia="en-US"/>
        </w:rPr>
      </w:pPr>
    </w:p>
    <w:p w14:paraId="602EFBF5"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Absorbcija</w:t>
      </w:r>
    </w:p>
    <w:p w14:paraId="0584DE0B" w14:textId="6DE0AACF"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farmakokinetika buvo plačiai tirta sveikų savanorių ir 2 tipo cukriniu diabetu sergančių pacientų organizme. Per burną pavartotas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w:t>
      </w:r>
      <w:r w:rsidR="00BA09AC">
        <w:rPr>
          <w:rFonts w:eastAsiaTheme="minorHAnsi"/>
          <w:color w:val="000000"/>
          <w:sz w:val="22"/>
          <w:szCs w:val="22"/>
          <w:lang w:eastAsia="en-US"/>
        </w:rPr>
        <w:t xml:space="preserve">greitai </w:t>
      </w:r>
      <w:r>
        <w:rPr>
          <w:rFonts w:eastAsiaTheme="minorHAnsi"/>
          <w:color w:val="000000"/>
          <w:sz w:val="22"/>
          <w:szCs w:val="22"/>
          <w:lang w:eastAsia="en-US"/>
        </w:rPr>
        <w:t xml:space="preserve">absorbuojamas, </w:t>
      </w:r>
      <w:r w:rsidR="00BA09AC">
        <w:rPr>
          <w:rFonts w:eastAsiaTheme="minorHAnsi"/>
          <w:color w:val="000000"/>
          <w:sz w:val="22"/>
          <w:szCs w:val="22"/>
          <w:lang w:eastAsia="en-US"/>
        </w:rPr>
        <w:t xml:space="preserve">o </w:t>
      </w:r>
      <w:r>
        <w:rPr>
          <w:rFonts w:eastAsiaTheme="minorHAnsi"/>
          <w:color w:val="000000"/>
          <w:sz w:val="22"/>
          <w:szCs w:val="22"/>
          <w:lang w:eastAsia="en-US"/>
        </w:rPr>
        <w:t xml:space="preserve">didžiausia koncentracija kraujo plazmoje </w:t>
      </w:r>
      <w:r w:rsidR="00BA09AC">
        <w:rPr>
          <w:rFonts w:eastAsiaTheme="minorHAnsi"/>
          <w:color w:val="000000"/>
          <w:sz w:val="22"/>
          <w:szCs w:val="22"/>
          <w:lang w:eastAsia="en-US"/>
        </w:rPr>
        <w:t xml:space="preserve">pasiekiama praėjus </w:t>
      </w:r>
      <w:r>
        <w:rPr>
          <w:rFonts w:eastAsiaTheme="minorHAnsi"/>
          <w:color w:val="000000"/>
          <w:sz w:val="22"/>
          <w:szCs w:val="22"/>
          <w:lang w:eastAsia="en-US"/>
        </w:rPr>
        <w:t>vidutiniškai po 1,5 val. po dozės pavartojimo (</w:t>
      </w:r>
      <w:proofErr w:type="spellStart"/>
      <w:r>
        <w:rPr>
          <w:rFonts w:eastAsiaTheme="minorHAnsi"/>
          <w:color w:val="000000"/>
          <w:sz w:val="22"/>
          <w:szCs w:val="22"/>
          <w:lang w:eastAsia="en-US"/>
        </w:rPr>
        <w:t>t</w:t>
      </w:r>
      <w:r>
        <w:rPr>
          <w:rFonts w:eastAsiaTheme="minorHAnsi"/>
          <w:color w:val="000000"/>
          <w:sz w:val="14"/>
          <w:szCs w:val="14"/>
          <w:lang w:eastAsia="en-US"/>
        </w:rPr>
        <w:t>max</w:t>
      </w:r>
      <w:proofErr w:type="spellEnd"/>
      <w:r>
        <w:rPr>
          <w:rFonts w:eastAsiaTheme="minorHAnsi"/>
          <w:color w:val="000000"/>
          <w:sz w:val="22"/>
          <w:szCs w:val="22"/>
          <w:lang w:eastAsia="en-US"/>
        </w:rPr>
        <w:t>). Paskui koncentracij</w:t>
      </w:r>
      <w:r w:rsidR="00467AD4">
        <w:rPr>
          <w:rFonts w:eastAsiaTheme="minorHAnsi"/>
          <w:color w:val="000000"/>
          <w:sz w:val="22"/>
          <w:szCs w:val="22"/>
          <w:lang w:eastAsia="en-US"/>
        </w:rPr>
        <w:t>a</w:t>
      </w:r>
      <w:r>
        <w:rPr>
          <w:rFonts w:eastAsiaTheme="minorHAnsi"/>
          <w:color w:val="000000"/>
          <w:sz w:val="22"/>
          <w:szCs w:val="22"/>
          <w:lang w:eastAsia="en-US"/>
        </w:rPr>
        <w:t xml:space="preserve"> kraujo plazmoje mažėj</w:t>
      </w:r>
      <w:r w:rsidR="00754474">
        <w:rPr>
          <w:rFonts w:eastAsiaTheme="minorHAnsi"/>
          <w:color w:val="000000"/>
          <w:sz w:val="22"/>
          <w:szCs w:val="22"/>
          <w:lang w:eastAsia="en-US"/>
        </w:rPr>
        <w:t>a</w:t>
      </w:r>
      <w:r>
        <w:rPr>
          <w:rFonts w:eastAsiaTheme="minorHAnsi"/>
          <w:color w:val="000000"/>
          <w:sz w:val="22"/>
          <w:szCs w:val="22"/>
          <w:lang w:eastAsia="en-US"/>
        </w:rPr>
        <w:t xml:space="preserve"> </w:t>
      </w:r>
      <w:proofErr w:type="spellStart"/>
      <w:r>
        <w:rPr>
          <w:rFonts w:eastAsiaTheme="minorHAnsi"/>
          <w:color w:val="000000"/>
          <w:sz w:val="22"/>
          <w:szCs w:val="22"/>
          <w:lang w:eastAsia="en-US"/>
        </w:rPr>
        <w:t>dvifazi</w:t>
      </w:r>
      <w:r w:rsidR="00754474">
        <w:rPr>
          <w:rFonts w:eastAsiaTheme="minorHAnsi"/>
          <w:color w:val="000000"/>
          <w:sz w:val="22"/>
          <w:szCs w:val="22"/>
          <w:lang w:eastAsia="en-US"/>
        </w:rPr>
        <w:t>u</w:t>
      </w:r>
      <w:proofErr w:type="spellEnd"/>
      <w:r w:rsidR="00754474">
        <w:rPr>
          <w:rFonts w:eastAsiaTheme="minorHAnsi"/>
          <w:color w:val="000000"/>
          <w:sz w:val="22"/>
          <w:szCs w:val="22"/>
          <w:lang w:eastAsia="en-US"/>
        </w:rPr>
        <w:t xml:space="preserve"> būdu</w:t>
      </w:r>
      <w:r>
        <w:rPr>
          <w:rFonts w:eastAsiaTheme="minorHAnsi"/>
          <w:color w:val="000000"/>
          <w:sz w:val="22"/>
          <w:szCs w:val="22"/>
          <w:lang w:eastAsia="en-US"/>
        </w:rPr>
        <w:t xml:space="preserve"> – greita pasiskirstymo faz</w:t>
      </w:r>
      <w:r w:rsidR="00CC7ACA">
        <w:rPr>
          <w:rFonts w:eastAsiaTheme="minorHAnsi"/>
          <w:color w:val="000000"/>
          <w:sz w:val="22"/>
          <w:szCs w:val="22"/>
          <w:lang w:eastAsia="en-US"/>
        </w:rPr>
        <w:t>e</w:t>
      </w:r>
      <w:r>
        <w:rPr>
          <w:rFonts w:eastAsiaTheme="minorHAnsi"/>
          <w:color w:val="000000"/>
          <w:sz w:val="22"/>
          <w:szCs w:val="22"/>
          <w:lang w:eastAsia="en-US"/>
        </w:rPr>
        <w:t xml:space="preserve"> ir santykinai lėta galutin</w:t>
      </w:r>
      <w:r w:rsidR="00CC7ACA">
        <w:rPr>
          <w:rFonts w:eastAsiaTheme="minorHAnsi"/>
          <w:color w:val="000000"/>
          <w:sz w:val="22"/>
          <w:szCs w:val="22"/>
          <w:lang w:eastAsia="en-US"/>
        </w:rPr>
        <w:t>e eliminacijos</w:t>
      </w:r>
      <w:r>
        <w:rPr>
          <w:rFonts w:eastAsiaTheme="minorHAnsi"/>
          <w:color w:val="000000"/>
          <w:sz w:val="22"/>
          <w:szCs w:val="22"/>
          <w:lang w:eastAsia="en-US"/>
        </w:rPr>
        <w:t xml:space="preserve"> faz</w:t>
      </w:r>
      <w:r w:rsidR="00CC7ACA">
        <w:rPr>
          <w:rFonts w:eastAsiaTheme="minorHAnsi"/>
          <w:color w:val="000000"/>
          <w:sz w:val="22"/>
          <w:szCs w:val="22"/>
          <w:lang w:eastAsia="en-US"/>
        </w:rPr>
        <w:t>e</w:t>
      </w:r>
      <w:r>
        <w:rPr>
          <w:rFonts w:eastAsiaTheme="minorHAnsi"/>
          <w:color w:val="000000"/>
          <w:sz w:val="22"/>
          <w:szCs w:val="22"/>
          <w:lang w:eastAsia="en-US"/>
        </w:rPr>
        <w:t xml:space="preserve">. Vartojant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kartą per parą, </w:t>
      </w:r>
      <w:r w:rsidR="008F3AC6">
        <w:rPr>
          <w:rFonts w:eastAsiaTheme="minorHAnsi"/>
          <w:color w:val="000000"/>
          <w:sz w:val="22"/>
          <w:szCs w:val="22"/>
          <w:lang w:eastAsia="en-US"/>
        </w:rPr>
        <w:t xml:space="preserve">vidutinė </w:t>
      </w:r>
      <w:proofErr w:type="spellStart"/>
      <w:r w:rsidR="008F3AC6">
        <w:rPr>
          <w:rFonts w:eastAsiaTheme="minorHAnsi"/>
          <w:color w:val="000000"/>
          <w:sz w:val="22"/>
          <w:szCs w:val="22"/>
          <w:lang w:eastAsia="en-US"/>
        </w:rPr>
        <w:t>pusiausvyrinė</w:t>
      </w:r>
      <w:proofErr w:type="spellEnd"/>
      <w:r w:rsidR="008F3AC6">
        <w:rPr>
          <w:rFonts w:eastAsiaTheme="minorHAnsi"/>
          <w:color w:val="000000"/>
          <w:sz w:val="22"/>
          <w:szCs w:val="22"/>
          <w:lang w:eastAsia="en-US"/>
        </w:rPr>
        <w:t xml:space="preserve"> </w:t>
      </w:r>
      <w:r>
        <w:rPr>
          <w:rFonts w:eastAsiaTheme="minorHAnsi"/>
          <w:color w:val="000000"/>
          <w:sz w:val="22"/>
          <w:szCs w:val="22"/>
          <w:lang w:eastAsia="en-US"/>
        </w:rPr>
        <w:t xml:space="preserve">AUC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14"/>
          <w:szCs w:val="14"/>
          <w:lang w:eastAsia="en-US"/>
        </w:rPr>
        <w:t xml:space="preserve"> </w:t>
      </w:r>
      <w:r>
        <w:rPr>
          <w:rFonts w:eastAsiaTheme="minorHAnsi"/>
          <w:color w:val="000000"/>
          <w:sz w:val="22"/>
          <w:szCs w:val="22"/>
          <w:lang w:eastAsia="en-US"/>
        </w:rPr>
        <w:t xml:space="preserve">kraujo plazmoje atitinkamai </w:t>
      </w:r>
      <w:r w:rsidR="001E1030">
        <w:rPr>
          <w:rFonts w:eastAsiaTheme="minorHAnsi"/>
          <w:color w:val="000000"/>
          <w:sz w:val="22"/>
          <w:szCs w:val="22"/>
          <w:lang w:eastAsia="en-US"/>
        </w:rPr>
        <w:t xml:space="preserve">buvo </w:t>
      </w:r>
      <w:r>
        <w:rPr>
          <w:rFonts w:eastAsiaTheme="minorHAnsi"/>
          <w:color w:val="000000"/>
          <w:sz w:val="22"/>
          <w:szCs w:val="22"/>
          <w:lang w:eastAsia="en-US"/>
        </w:rPr>
        <w:t>1 870 </w:t>
      </w:r>
      <w:proofErr w:type="spellStart"/>
      <w:r>
        <w:rPr>
          <w:rFonts w:eastAsiaTheme="minorHAnsi"/>
          <w:color w:val="000000"/>
          <w:sz w:val="22"/>
          <w:szCs w:val="22"/>
          <w:lang w:eastAsia="en-US"/>
        </w:rPr>
        <w:t>nmol.val</w:t>
      </w:r>
      <w:proofErr w:type="spellEnd"/>
      <w:r>
        <w:rPr>
          <w:rFonts w:eastAsiaTheme="minorHAnsi"/>
          <w:color w:val="000000"/>
          <w:sz w:val="22"/>
          <w:szCs w:val="22"/>
          <w:lang w:eastAsia="en-US"/>
        </w:rPr>
        <w:t>./l ir 259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 xml:space="preserve">/l, vartojant 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kartą per parą – atitinkamai </w:t>
      </w:r>
      <w:r w:rsidR="001E1030">
        <w:rPr>
          <w:rFonts w:eastAsiaTheme="minorHAnsi"/>
          <w:color w:val="000000"/>
          <w:sz w:val="22"/>
          <w:szCs w:val="22"/>
          <w:lang w:eastAsia="en-US"/>
        </w:rPr>
        <w:t xml:space="preserve">buvo </w:t>
      </w:r>
      <w:r>
        <w:rPr>
          <w:rFonts w:eastAsiaTheme="minorHAnsi"/>
          <w:color w:val="000000"/>
          <w:sz w:val="22"/>
          <w:szCs w:val="22"/>
          <w:lang w:eastAsia="en-US"/>
        </w:rPr>
        <w:t>4 740 </w:t>
      </w:r>
      <w:proofErr w:type="spellStart"/>
      <w:r>
        <w:rPr>
          <w:rFonts w:eastAsiaTheme="minorHAnsi"/>
          <w:color w:val="000000"/>
          <w:sz w:val="22"/>
          <w:szCs w:val="22"/>
          <w:lang w:eastAsia="en-US"/>
        </w:rPr>
        <w:t>nmol.val</w:t>
      </w:r>
      <w:proofErr w:type="spellEnd"/>
      <w:r>
        <w:rPr>
          <w:rFonts w:eastAsiaTheme="minorHAnsi"/>
          <w:color w:val="000000"/>
          <w:sz w:val="22"/>
          <w:szCs w:val="22"/>
          <w:lang w:eastAsia="en-US"/>
        </w:rPr>
        <w:t>./l ir 687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/l.</w:t>
      </w:r>
    </w:p>
    <w:p w14:paraId="5546FF05" w14:textId="77777777" w:rsidR="003B31DC" w:rsidRDefault="003B31DC">
      <w:pPr>
        <w:autoSpaceDE w:val="0"/>
        <w:autoSpaceDN w:val="0"/>
        <w:adjustRightInd w:val="0"/>
        <w:rPr>
          <w:rFonts w:eastAsiaTheme="minorHAnsi"/>
          <w:color w:val="000000"/>
          <w:sz w:val="22"/>
          <w:szCs w:val="22"/>
          <w:lang w:eastAsia="en-US"/>
        </w:rPr>
      </w:pPr>
    </w:p>
    <w:p w14:paraId="1FB25768"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Sisteminė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ekspozicija didėjo proporcingai dozei. Vienkartinės dozės ir </w:t>
      </w:r>
      <w:proofErr w:type="spellStart"/>
      <w:r>
        <w:rPr>
          <w:rFonts w:eastAsiaTheme="minorHAnsi"/>
          <w:color w:val="000000"/>
          <w:sz w:val="22"/>
          <w:szCs w:val="22"/>
          <w:lang w:eastAsia="en-US"/>
        </w:rPr>
        <w:t>pusiausvyrinės</w:t>
      </w:r>
      <w:proofErr w:type="spellEnd"/>
      <w:r>
        <w:rPr>
          <w:rFonts w:eastAsiaTheme="minorHAnsi"/>
          <w:color w:val="000000"/>
          <w:sz w:val="22"/>
          <w:szCs w:val="22"/>
          <w:lang w:eastAsia="en-US"/>
        </w:rPr>
        <w:t xml:space="preserve"> apykaitos metu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farmakokinetikos parametrai buvo panašūs, kas rodo, jog jo farmakokinetika laiko atžvilgiu yra tiesinė.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farmakokinetika sveikų savanorių ir pacientų, sergančių 2 tipo cukrinių diabetu, organizme kliniškai reikšmingai nesiskyrė.</w:t>
      </w:r>
    </w:p>
    <w:p w14:paraId="17CFFC89" w14:textId="5F05C60D"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Buvo palyginta farmakokinetika, sveikiems savanoriams vartojant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du kartus per parą, su farmakokinetika, sveikiems savanoriams vartojant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kartą per parą. Vartojant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du kartus per parą, bendra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ekspozicija (</w:t>
      </w:r>
      <w:proofErr w:type="spellStart"/>
      <w:r>
        <w:rPr>
          <w:rFonts w:eastAsiaTheme="minorHAnsi"/>
          <w:color w:val="000000"/>
          <w:sz w:val="22"/>
          <w:szCs w:val="22"/>
          <w:lang w:eastAsia="en-US"/>
        </w:rPr>
        <w:t>AUC</w:t>
      </w:r>
      <w:r>
        <w:rPr>
          <w:rFonts w:eastAsiaTheme="minorHAnsi"/>
          <w:color w:val="000000"/>
          <w:sz w:val="14"/>
          <w:szCs w:val="14"/>
          <w:lang w:eastAsia="en-US"/>
        </w:rPr>
        <w:t>ss</w:t>
      </w:r>
      <w:proofErr w:type="spellEnd"/>
      <w:r>
        <w:rPr>
          <w:rFonts w:eastAsiaTheme="minorHAnsi"/>
          <w:color w:val="000000"/>
          <w:sz w:val="22"/>
          <w:szCs w:val="22"/>
          <w:lang w:eastAsia="en-US"/>
        </w:rPr>
        <w:t xml:space="preserve">) 24 valandų laikotarpiu buvo panaši į </w:t>
      </w:r>
      <w:proofErr w:type="spellStart"/>
      <w:r>
        <w:rPr>
          <w:rFonts w:eastAsiaTheme="minorHAnsi"/>
          <w:color w:val="000000"/>
          <w:sz w:val="22"/>
          <w:szCs w:val="22"/>
          <w:lang w:eastAsia="en-US"/>
        </w:rPr>
        <w:t>ekspociciją</w:t>
      </w:r>
      <w:proofErr w:type="spellEnd"/>
      <w:r>
        <w:rPr>
          <w:rFonts w:eastAsiaTheme="minorHAnsi"/>
          <w:color w:val="000000"/>
          <w:sz w:val="22"/>
          <w:szCs w:val="22"/>
          <w:lang w:eastAsia="en-US"/>
        </w:rPr>
        <w:t xml:space="preserve"> vartojant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kartą per parą. Kaip ir buvo tikėtasi, vartojant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du kartus per parą, buvo mažesnė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14"/>
          <w:szCs w:val="14"/>
          <w:lang w:eastAsia="en-US"/>
        </w:rPr>
        <w:t xml:space="preserve"> </w:t>
      </w:r>
      <w:r>
        <w:rPr>
          <w:rFonts w:eastAsiaTheme="minorHAnsi"/>
          <w:color w:val="000000"/>
          <w:sz w:val="22"/>
          <w:szCs w:val="22"/>
          <w:lang w:eastAsia="en-US"/>
        </w:rPr>
        <w:t>ir didesnė mažiausia koncentracija (</w:t>
      </w:r>
      <w:proofErr w:type="spellStart"/>
      <w:r>
        <w:rPr>
          <w:rFonts w:eastAsiaTheme="minorHAnsi"/>
          <w:color w:val="000000"/>
          <w:sz w:val="22"/>
          <w:szCs w:val="22"/>
          <w:lang w:eastAsia="en-US"/>
        </w:rPr>
        <w:t>C</w:t>
      </w:r>
      <w:r>
        <w:rPr>
          <w:rFonts w:eastAsiaTheme="minorHAnsi"/>
          <w:color w:val="000000"/>
          <w:sz w:val="14"/>
          <w:szCs w:val="14"/>
          <w:lang w:eastAsia="en-US"/>
        </w:rPr>
        <w:t>min</w:t>
      </w:r>
      <w:proofErr w:type="spellEnd"/>
      <w:r>
        <w:rPr>
          <w:rFonts w:eastAsiaTheme="minorHAnsi"/>
          <w:color w:val="000000"/>
          <w:sz w:val="22"/>
          <w:szCs w:val="22"/>
          <w:lang w:eastAsia="en-US"/>
        </w:rPr>
        <w:t xml:space="preserve">), palyginti su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dozės vartojimu kartą per parą.</w:t>
      </w:r>
    </w:p>
    <w:p w14:paraId="2117DFC0" w14:textId="7B8BCE7D"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Pavartojus 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po riebaus ir labai kaloringo </w:t>
      </w:r>
      <w:r w:rsidR="00DC0796">
        <w:rPr>
          <w:rFonts w:eastAsiaTheme="minorHAnsi"/>
          <w:color w:val="000000"/>
          <w:sz w:val="22"/>
          <w:szCs w:val="22"/>
          <w:lang w:eastAsia="en-US"/>
        </w:rPr>
        <w:t>maisto</w:t>
      </w:r>
      <w:r>
        <w:rPr>
          <w:rFonts w:eastAsiaTheme="minorHAnsi"/>
          <w:color w:val="000000"/>
          <w:sz w:val="22"/>
          <w:szCs w:val="22"/>
          <w:lang w:eastAsia="en-US"/>
        </w:rPr>
        <w:t xml:space="preserve">, šiek tiek sumažėjo ekspozicija: AUC sumažėjo apytiksliai 16 %,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14"/>
          <w:szCs w:val="14"/>
          <w:lang w:eastAsia="en-US"/>
        </w:rPr>
        <w:t xml:space="preserve"> </w:t>
      </w:r>
      <w:r>
        <w:rPr>
          <w:rFonts w:eastAsiaTheme="minorHAnsi"/>
          <w:color w:val="000000"/>
          <w:sz w:val="22"/>
          <w:szCs w:val="22"/>
          <w:lang w:eastAsia="en-US"/>
        </w:rPr>
        <w:t xml:space="preserve">apytiksliai 37 %, palyginti su vartojimu nevalgius. Manoma, kad pastebėtas maisto poveikis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farmakokinetikai yra kliniškai nereikšmingas, todėl </w:t>
      </w:r>
      <w:proofErr w:type="spellStart"/>
      <w:r>
        <w:rPr>
          <w:rFonts w:eastAsiaTheme="minorHAnsi"/>
          <w:color w:val="000000"/>
          <w:sz w:val="22"/>
          <w:szCs w:val="22"/>
          <w:lang w:eastAsia="en-US"/>
        </w:rPr>
        <w:t>empaglifloziną</w:t>
      </w:r>
      <w:proofErr w:type="spellEnd"/>
      <w:r>
        <w:rPr>
          <w:rFonts w:eastAsiaTheme="minorHAnsi"/>
          <w:color w:val="000000"/>
          <w:sz w:val="22"/>
          <w:szCs w:val="22"/>
          <w:lang w:eastAsia="en-US"/>
        </w:rPr>
        <w:t xml:space="preserve"> galima vartoti valgant ar nevalgius. Panašūs rezultatai gauti ir vartojant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sudėtines tabletes su riebiu bei kaloringu maistu.</w:t>
      </w:r>
    </w:p>
    <w:p w14:paraId="2BEF8345" w14:textId="77777777" w:rsidR="003B31DC" w:rsidRDefault="003B31DC">
      <w:pPr>
        <w:autoSpaceDE w:val="0"/>
        <w:autoSpaceDN w:val="0"/>
        <w:adjustRightInd w:val="0"/>
        <w:rPr>
          <w:rFonts w:eastAsiaTheme="minorHAnsi"/>
          <w:color w:val="000000"/>
          <w:sz w:val="22"/>
          <w:szCs w:val="22"/>
          <w:lang w:eastAsia="en-US"/>
        </w:rPr>
      </w:pPr>
    </w:p>
    <w:p w14:paraId="1E8BC296"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Pasiskirstymas</w:t>
      </w:r>
    </w:p>
    <w:p w14:paraId="72B4CA22"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Tariamasis pasiskirstymo tūris, tuo metu, kai apykaita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apskaičiuotas remiantis populiacijos farmakokinetikos analize, buvo 73,8 l. Sveikiems savanoriams per burną pavartojusiems žymėto [</w:t>
      </w:r>
      <w:r>
        <w:rPr>
          <w:rFonts w:eastAsiaTheme="minorHAnsi"/>
          <w:color w:val="000000"/>
          <w:sz w:val="14"/>
          <w:szCs w:val="14"/>
          <w:lang w:eastAsia="en-US"/>
        </w:rPr>
        <w:t>14</w:t>
      </w:r>
      <w:r>
        <w:rPr>
          <w:rFonts w:eastAsiaTheme="minorHAnsi"/>
          <w:color w:val="000000"/>
          <w:sz w:val="22"/>
          <w:szCs w:val="22"/>
          <w:lang w:eastAsia="en-US"/>
        </w:rPr>
        <w:t xml:space="preserve">C]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tirpalo, apytiksliai 37 % šios medžiagos pateko į eritrocitus ir 86 % prisijungė prie plazmos baltymų.</w:t>
      </w:r>
    </w:p>
    <w:p w14:paraId="1CBB6BCC" w14:textId="77777777" w:rsidR="003B31DC" w:rsidRDefault="003B31DC">
      <w:pPr>
        <w:autoSpaceDE w:val="0"/>
        <w:autoSpaceDN w:val="0"/>
        <w:adjustRightInd w:val="0"/>
        <w:rPr>
          <w:rFonts w:eastAsiaTheme="minorHAnsi"/>
          <w:color w:val="000000"/>
          <w:sz w:val="22"/>
          <w:szCs w:val="22"/>
          <w:lang w:eastAsia="en-US"/>
        </w:rPr>
      </w:pPr>
    </w:p>
    <w:p w14:paraId="5D2324E2" w14:textId="77777777" w:rsidR="003B31DC" w:rsidRDefault="00913CBE">
      <w:pPr>
        <w:autoSpaceDE w:val="0"/>
        <w:autoSpaceDN w:val="0"/>
        <w:adjustRightInd w:val="0"/>
        <w:rPr>
          <w:rFonts w:eastAsiaTheme="minorHAnsi"/>
          <w:color w:val="000000"/>
          <w:sz w:val="22"/>
          <w:szCs w:val="22"/>
          <w:u w:val="single"/>
          <w:lang w:eastAsia="en-US"/>
        </w:rPr>
      </w:pPr>
      <w:proofErr w:type="spellStart"/>
      <w:r>
        <w:rPr>
          <w:rFonts w:eastAsiaTheme="minorHAnsi"/>
          <w:i/>
          <w:iCs/>
          <w:color w:val="000000"/>
          <w:sz w:val="22"/>
          <w:szCs w:val="22"/>
          <w:u w:val="single"/>
          <w:lang w:eastAsia="en-US"/>
        </w:rPr>
        <w:t>Biotransformacija</w:t>
      </w:r>
      <w:proofErr w:type="spellEnd"/>
    </w:p>
    <w:p w14:paraId="284ADFA6" w14:textId="3297566A"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Žmogaus kraujo plazmoje neaptikta </w:t>
      </w:r>
      <w:r w:rsidR="00A83EFB">
        <w:rPr>
          <w:rFonts w:eastAsiaTheme="minorHAnsi"/>
          <w:color w:val="000000"/>
          <w:sz w:val="22"/>
          <w:szCs w:val="22"/>
          <w:lang w:eastAsia="en-US"/>
        </w:rPr>
        <w:t xml:space="preserve">pagrindinių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metabolitų, </w:t>
      </w:r>
      <w:r w:rsidR="00A83EFB">
        <w:rPr>
          <w:rFonts w:eastAsiaTheme="minorHAnsi"/>
          <w:color w:val="000000"/>
          <w:sz w:val="22"/>
          <w:szCs w:val="22"/>
          <w:lang w:eastAsia="en-US"/>
        </w:rPr>
        <w:t>kurie sudarytų bent</w:t>
      </w:r>
      <w:r>
        <w:rPr>
          <w:rFonts w:eastAsiaTheme="minorHAnsi"/>
          <w:color w:val="000000"/>
          <w:sz w:val="22"/>
          <w:szCs w:val="22"/>
          <w:lang w:eastAsia="en-US"/>
        </w:rPr>
        <w:t xml:space="preserve"> 10% </w:t>
      </w:r>
      <w:r w:rsidR="00405247">
        <w:rPr>
          <w:rFonts w:eastAsiaTheme="minorHAnsi"/>
          <w:color w:val="000000"/>
          <w:sz w:val="22"/>
          <w:szCs w:val="22"/>
          <w:lang w:eastAsia="en-US"/>
        </w:rPr>
        <w:t xml:space="preserve">visos </w:t>
      </w:r>
      <w:r>
        <w:rPr>
          <w:rFonts w:eastAsiaTheme="minorHAnsi"/>
          <w:color w:val="000000"/>
          <w:sz w:val="22"/>
          <w:szCs w:val="22"/>
          <w:lang w:eastAsia="en-US"/>
        </w:rPr>
        <w:t>su vaistu susijusi</w:t>
      </w:r>
      <w:r w:rsidR="00405247">
        <w:rPr>
          <w:rFonts w:eastAsiaTheme="minorHAnsi"/>
          <w:color w:val="000000"/>
          <w:sz w:val="22"/>
          <w:szCs w:val="22"/>
          <w:lang w:eastAsia="en-US"/>
        </w:rPr>
        <w:t>os</w:t>
      </w:r>
      <w:r>
        <w:rPr>
          <w:rFonts w:eastAsiaTheme="minorHAnsi"/>
          <w:color w:val="000000"/>
          <w:sz w:val="22"/>
          <w:szCs w:val="22"/>
          <w:lang w:eastAsia="en-US"/>
        </w:rPr>
        <w:t xml:space="preserve"> medžiag</w:t>
      </w:r>
      <w:r w:rsidR="00405247">
        <w:rPr>
          <w:rFonts w:eastAsiaTheme="minorHAnsi"/>
          <w:color w:val="000000"/>
          <w:sz w:val="22"/>
          <w:szCs w:val="22"/>
          <w:lang w:eastAsia="en-US"/>
        </w:rPr>
        <w:t>os</w:t>
      </w:r>
      <w:r>
        <w:rPr>
          <w:rFonts w:eastAsiaTheme="minorHAnsi"/>
          <w:color w:val="000000"/>
          <w:sz w:val="22"/>
          <w:szCs w:val="22"/>
          <w:lang w:eastAsia="en-US"/>
        </w:rPr>
        <w:t xml:space="preserve">, gausiausi </w:t>
      </w:r>
      <w:r w:rsidR="007F6959">
        <w:rPr>
          <w:rFonts w:eastAsiaTheme="minorHAnsi"/>
          <w:color w:val="000000"/>
          <w:sz w:val="22"/>
          <w:szCs w:val="22"/>
          <w:lang w:eastAsia="en-US"/>
        </w:rPr>
        <w:t xml:space="preserve">metabolitai </w:t>
      </w:r>
      <w:r>
        <w:rPr>
          <w:rFonts w:eastAsiaTheme="minorHAnsi"/>
          <w:color w:val="000000"/>
          <w:sz w:val="22"/>
          <w:szCs w:val="22"/>
          <w:lang w:eastAsia="en-US"/>
        </w:rPr>
        <w:t xml:space="preserve">buvo trys </w:t>
      </w:r>
      <w:proofErr w:type="spellStart"/>
      <w:r>
        <w:rPr>
          <w:rFonts w:eastAsiaTheme="minorHAnsi"/>
          <w:color w:val="000000"/>
          <w:sz w:val="22"/>
          <w:szCs w:val="22"/>
          <w:lang w:eastAsia="en-US"/>
        </w:rPr>
        <w:t>gliukuronido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konjugatai</w:t>
      </w:r>
      <w:proofErr w:type="spellEnd"/>
      <w:r>
        <w:rPr>
          <w:rFonts w:eastAsiaTheme="minorHAnsi"/>
          <w:color w:val="000000"/>
          <w:sz w:val="22"/>
          <w:szCs w:val="22"/>
          <w:lang w:eastAsia="en-US"/>
        </w:rPr>
        <w:t xml:space="preserve"> (2-, 3- ir 6-O </w:t>
      </w:r>
      <w:proofErr w:type="spellStart"/>
      <w:r>
        <w:rPr>
          <w:rFonts w:eastAsiaTheme="minorHAnsi"/>
          <w:color w:val="000000"/>
          <w:sz w:val="22"/>
          <w:szCs w:val="22"/>
          <w:lang w:eastAsia="en-US"/>
        </w:rPr>
        <w:t>gliukuronidai</w:t>
      </w:r>
      <w:proofErr w:type="spellEnd"/>
      <w:r>
        <w:rPr>
          <w:rFonts w:eastAsiaTheme="minorHAnsi"/>
          <w:color w:val="000000"/>
          <w:sz w:val="22"/>
          <w:szCs w:val="22"/>
          <w:lang w:eastAsia="en-US"/>
        </w:rPr>
        <w:t xml:space="preserve">). Duomenys </w:t>
      </w:r>
      <w:proofErr w:type="spellStart"/>
      <w:r>
        <w:rPr>
          <w:rFonts w:eastAsiaTheme="minorHAnsi"/>
          <w:i/>
          <w:iCs/>
          <w:color w:val="000000"/>
          <w:sz w:val="22"/>
          <w:szCs w:val="22"/>
          <w:lang w:eastAsia="en-US"/>
        </w:rPr>
        <w:t>in</w:t>
      </w:r>
      <w:proofErr w:type="spellEnd"/>
      <w:r>
        <w:rPr>
          <w:rFonts w:eastAsiaTheme="minorHAnsi"/>
          <w:i/>
          <w:iCs/>
          <w:color w:val="000000"/>
          <w:sz w:val="22"/>
          <w:szCs w:val="22"/>
          <w:lang w:eastAsia="en-US"/>
        </w:rPr>
        <w:t xml:space="preserve"> </w:t>
      </w:r>
      <w:proofErr w:type="spellStart"/>
      <w:r>
        <w:rPr>
          <w:rFonts w:eastAsiaTheme="minorHAnsi"/>
          <w:i/>
          <w:iCs/>
          <w:color w:val="000000"/>
          <w:sz w:val="22"/>
          <w:szCs w:val="22"/>
          <w:lang w:eastAsia="en-US"/>
        </w:rPr>
        <w:t>vitro</w:t>
      </w:r>
      <w:proofErr w:type="spellEnd"/>
      <w:r>
        <w:rPr>
          <w:rFonts w:eastAsiaTheme="minorHAnsi"/>
          <w:i/>
          <w:iCs/>
          <w:color w:val="000000"/>
          <w:sz w:val="22"/>
          <w:szCs w:val="22"/>
          <w:lang w:eastAsia="en-US"/>
        </w:rPr>
        <w:t xml:space="preserve"> </w:t>
      </w:r>
      <w:r>
        <w:rPr>
          <w:rFonts w:eastAsiaTheme="minorHAnsi"/>
          <w:color w:val="000000"/>
          <w:sz w:val="22"/>
          <w:szCs w:val="22"/>
          <w:lang w:eastAsia="en-US"/>
        </w:rPr>
        <w:t xml:space="preserve">rodo, kad žmonių organizme pagrindinis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metabolizmo būdas yra </w:t>
      </w:r>
      <w:proofErr w:type="spellStart"/>
      <w:r>
        <w:rPr>
          <w:rFonts w:eastAsiaTheme="minorHAnsi"/>
          <w:color w:val="000000"/>
          <w:sz w:val="22"/>
          <w:szCs w:val="22"/>
          <w:lang w:eastAsia="en-US"/>
        </w:rPr>
        <w:t>gliukuronizavimas</w:t>
      </w:r>
      <w:proofErr w:type="spellEnd"/>
      <w:r>
        <w:rPr>
          <w:rFonts w:eastAsiaTheme="minorHAnsi"/>
          <w:color w:val="000000"/>
          <w:sz w:val="22"/>
          <w:szCs w:val="22"/>
          <w:lang w:eastAsia="en-US"/>
        </w:rPr>
        <w:t xml:space="preserve"> veikiant </w:t>
      </w:r>
      <w:proofErr w:type="spellStart"/>
      <w:r>
        <w:rPr>
          <w:rFonts w:eastAsiaTheme="minorHAnsi"/>
          <w:color w:val="000000"/>
          <w:sz w:val="22"/>
          <w:szCs w:val="22"/>
          <w:lang w:eastAsia="en-US"/>
        </w:rPr>
        <w:t>uridino</w:t>
      </w:r>
      <w:proofErr w:type="spellEnd"/>
      <w:r>
        <w:rPr>
          <w:rFonts w:eastAsiaTheme="minorHAnsi"/>
          <w:color w:val="000000"/>
          <w:sz w:val="22"/>
          <w:szCs w:val="22"/>
          <w:lang w:eastAsia="en-US"/>
        </w:rPr>
        <w:t xml:space="preserve"> 5‘-difosfogliukuronoziltransferazėms UGT2B7, UGT1A3, UGT1A8 ir UGT1A9.</w:t>
      </w:r>
    </w:p>
    <w:p w14:paraId="5B72AC35" w14:textId="77777777" w:rsidR="003B31DC" w:rsidRDefault="003B31DC">
      <w:pPr>
        <w:autoSpaceDE w:val="0"/>
        <w:autoSpaceDN w:val="0"/>
        <w:adjustRightInd w:val="0"/>
        <w:rPr>
          <w:rFonts w:eastAsiaTheme="minorHAnsi"/>
          <w:color w:val="000000"/>
          <w:sz w:val="22"/>
          <w:szCs w:val="22"/>
          <w:lang w:eastAsia="en-US"/>
        </w:rPr>
      </w:pPr>
    </w:p>
    <w:p w14:paraId="59456357"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Eliminacija</w:t>
      </w:r>
    </w:p>
    <w:p w14:paraId="5600E4A2" w14:textId="0C7DDAD4"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Tariamasis galutinės pusinės eliminacijos laikas, apskaičiuotas remiantis populiacijos farmakokinetikos analize, buvo 12,4 val., per burną pavartoto preparato tariamasis klirensas − 10,6 l/val. Per burną pavartoto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tariamasis klirensas atskirų asmenų organizme svyravo 39,1 %, likusieji svyravimai sudarė 35,8 %. Vartojant kartą per parą,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koncentracijos kraujo plazmoje tapo </w:t>
      </w:r>
      <w:proofErr w:type="spellStart"/>
      <w:r>
        <w:rPr>
          <w:rFonts w:eastAsiaTheme="minorHAnsi"/>
          <w:color w:val="000000"/>
          <w:sz w:val="22"/>
          <w:szCs w:val="22"/>
          <w:lang w:eastAsia="en-US"/>
        </w:rPr>
        <w:t>pusiausvyrinės</w:t>
      </w:r>
      <w:proofErr w:type="spellEnd"/>
      <w:r>
        <w:rPr>
          <w:rFonts w:eastAsiaTheme="minorHAnsi"/>
          <w:color w:val="000000"/>
          <w:sz w:val="22"/>
          <w:szCs w:val="22"/>
          <w:lang w:eastAsia="en-US"/>
        </w:rPr>
        <w:t xml:space="preserve"> po penktos</w:t>
      </w:r>
      <w:r w:rsidR="00F231F0">
        <w:rPr>
          <w:rFonts w:eastAsiaTheme="minorHAnsi"/>
          <w:color w:val="000000"/>
          <w:sz w:val="22"/>
          <w:szCs w:val="22"/>
          <w:lang w:eastAsia="en-US"/>
        </w:rPr>
        <w:t>ios</w:t>
      </w:r>
      <w:r>
        <w:rPr>
          <w:rFonts w:eastAsiaTheme="minorHAnsi"/>
          <w:color w:val="000000"/>
          <w:sz w:val="22"/>
          <w:szCs w:val="22"/>
          <w:lang w:eastAsia="en-US"/>
        </w:rPr>
        <w:t xml:space="preserve"> dozės. </w:t>
      </w:r>
      <w:proofErr w:type="spellStart"/>
      <w:r>
        <w:rPr>
          <w:rFonts w:eastAsiaTheme="minorHAnsi"/>
          <w:color w:val="000000"/>
          <w:sz w:val="22"/>
          <w:szCs w:val="22"/>
          <w:lang w:eastAsia="en-US"/>
        </w:rPr>
        <w:t>Pusiausvyrinės</w:t>
      </w:r>
      <w:proofErr w:type="spellEnd"/>
      <w:r>
        <w:rPr>
          <w:rFonts w:eastAsiaTheme="minorHAnsi"/>
          <w:color w:val="000000"/>
          <w:sz w:val="22"/>
          <w:szCs w:val="22"/>
          <w:lang w:eastAsia="en-US"/>
        </w:rPr>
        <w:t xml:space="preserve"> apykaitos metu nustatytas pusinės eliminacijos laiką atitinkantis mažesnis negu 22 % kaupimasis, atsižvelgiant į kraujo plazmos AUC. Iš sveikų savanorių, per burną pavartojusių žymėto [</w:t>
      </w:r>
      <w:r>
        <w:rPr>
          <w:rFonts w:eastAsiaTheme="minorHAnsi"/>
          <w:color w:val="000000"/>
          <w:sz w:val="14"/>
          <w:szCs w:val="14"/>
          <w:lang w:eastAsia="en-US"/>
        </w:rPr>
        <w:t>14</w:t>
      </w:r>
      <w:r>
        <w:rPr>
          <w:rFonts w:eastAsiaTheme="minorHAnsi"/>
          <w:color w:val="000000"/>
          <w:sz w:val="22"/>
          <w:szCs w:val="22"/>
          <w:lang w:eastAsia="en-US"/>
        </w:rPr>
        <w:t xml:space="preserve">C]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tirpalo, organizmo maždaug 96 % su vaistiniu preparatu susijusio radioaktyvumo išsiskyrė su išmatomis (41 %) arba šlapimu (54 %). Didžioji dalis su vaistiniu preparatu susijusio radioaktyvumo išmatose ir apytiksliai pusė su vaistiniu preparatu susijusio radioaktyvumo šlapime buvo nepakitusio vaistinio preparato pavidalu.</w:t>
      </w:r>
    </w:p>
    <w:p w14:paraId="7B50077F" w14:textId="77777777" w:rsidR="003B31DC" w:rsidRDefault="003B31DC">
      <w:pPr>
        <w:autoSpaceDE w:val="0"/>
        <w:autoSpaceDN w:val="0"/>
        <w:adjustRightInd w:val="0"/>
        <w:rPr>
          <w:rFonts w:eastAsiaTheme="minorHAnsi"/>
          <w:color w:val="000000"/>
          <w:sz w:val="22"/>
          <w:szCs w:val="22"/>
          <w:lang w:eastAsia="en-US"/>
        </w:rPr>
      </w:pPr>
    </w:p>
    <w:p w14:paraId="483C7B83" w14:textId="77777777" w:rsidR="003B31DC" w:rsidRDefault="00913CBE">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Ypatingos populiacijos</w:t>
      </w:r>
    </w:p>
    <w:p w14:paraId="535B2B7A" w14:textId="77777777" w:rsidR="003B31DC" w:rsidRDefault="003B31DC">
      <w:pPr>
        <w:autoSpaceDE w:val="0"/>
        <w:autoSpaceDN w:val="0"/>
        <w:adjustRightInd w:val="0"/>
        <w:rPr>
          <w:rFonts w:eastAsiaTheme="minorHAnsi"/>
          <w:color w:val="000000"/>
          <w:sz w:val="22"/>
          <w:szCs w:val="22"/>
          <w:lang w:eastAsia="en-US"/>
        </w:rPr>
      </w:pPr>
    </w:p>
    <w:p w14:paraId="6B9FCDD2" w14:textId="77777777" w:rsidR="003B31DC" w:rsidRDefault="00913CB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Sutrikusi inkstų funkcija</w:t>
      </w:r>
    </w:p>
    <w:p w14:paraId="6CA7DDB5"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Pacientų, kuriems buvo lengvas, vidutinio sunkumo ar sunkus inkstų funkcijos sutrikimas (kreatinino klirensas &lt; 30-&lt; 90 ml/min.), ir pacientų, sergančių inkstų nepakankamumu / galutinės stadijos inkstų liga (GSIL), organizme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AUC padidėjo atitinkamai apie 18 %, 20 %, 66 % ir 48 %, palyginti su asmenimis, kurių inkstų funkcija buvo normali. Palyginti su pacientais, kurių inkstų funkcija normali, asmenų, sergančių vidutinio sunkumo inkstų funkcijos sutrikimu ar inkstų nepakankamumu (GSIL), kraujo plazmoje didžiausia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koncentracija buvo panaši. Palyginti su tiriamaisiais, kurių inkstų funkcija normali, asmenų, patiriančių vidutinio sunkumo ar sunkų inkstų funkcijos sutrikimą, kraujo plazmoje didžiausia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koncentracija buvo maždaug 20 % didesnė. Populiacijos farmakokinetikos analizė parodė, kad per burną pavartoto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tariamasis klirensas mažėjo, mažėjant kreatinino klirensui, ir dėl to padidėjo vaistinio preparato ekspozicija.</w:t>
      </w:r>
    </w:p>
    <w:p w14:paraId="7EF162A9" w14:textId="77777777" w:rsidR="003B31DC" w:rsidRDefault="003B31DC">
      <w:pPr>
        <w:autoSpaceDE w:val="0"/>
        <w:autoSpaceDN w:val="0"/>
        <w:adjustRightInd w:val="0"/>
        <w:rPr>
          <w:rFonts w:eastAsiaTheme="minorHAnsi"/>
          <w:color w:val="000000"/>
          <w:sz w:val="22"/>
          <w:szCs w:val="22"/>
          <w:lang w:eastAsia="en-US"/>
        </w:rPr>
      </w:pPr>
    </w:p>
    <w:p w14:paraId="0D62DB9E" w14:textId="77777777" w:rsidR="003B31DC" w:rsidRDefault="00913CBE">
      <w:pPr>
        <w:autoSpaceDE w:val="0"/>
        <w:autoSpaceDN w:val="0"/>
        <w:adjustRightInd w:val="0"/>
        <w:rPr>
          <w:rFonts w:eastAsiaTheme="minorHAnsi"/>
          <w:i/>
          <w:iCs/>
          <w:color w:val="000000"/>
          <w:sz w:val="22"/>
          <w:szCs w:val="22"/>
          <w:lang w:eastAsia="en-US"/>
        </w:rPr>
      </w:pPr>
      <w:r>
        <w:rPr>
          <w:rFonts w:eastAsiaTheme="minorHAnsi"/>
          <w:i/>
          <w:iCs/>
          <w:color w:val="000000"/>
          <w:sz w:val="22"/>
          <w:szCs w:val="22"/>
          <w:lang w:eastAsia="en-US"/>
        </w:rPr>
        <w:t>Sutrikusi kepenų funkcija</w:t>
      </w:r>
    </w:p>
    <w:p w14:paraId="248FF75E"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Asmenų, patiriančių lengvą, vidutinio sunkumo ar sunkų kepenų funkcijos sutrikimą pagal </w:t>
      </w:r>
      <w:proofErr w:type="spellStart"/>
      <w:r>
        <w:rPr>
          <w:rFonts w:eastAsiaTheme="minorHAnsi"/>
          <w:color w:val="000000"/>
          <w:sz w:val="22"/>
          <w:szCs w:val="22"/>
          <w:lang w:eastAsia="en-US"/>
        </w:rPr>
        <w:t>Child</w:t>
      </w:r>
      <w:r>
        <w:rPr>
          <w:rFonts w:eastAsiaTheme="minorHAnsi"/>
          <w:i/>
          <w:iCs/>
          <w:color w:val="000000"/>
          <w:sz w:val="22"/>
          <w:szCs w:val="22"/>
          <w:lang w:eastAsia="en-US"/>
        </w:rPr>
        <w:t>-</w:t>
      </w:r>
      <w:r>
        <w:rPr>
          <w:rFonts w:eastAsiaTheme="minorHAnsi"/>
          <w:color w:val="000000"/>
          <w:sz w:val="22"/>
          <w:szCs w:val="22"/>
          <w:lang w:eastAsia="en-US"/>
        </w:rPr>
        <w:t>Pugh</w:t>
      </w:r>
      <w:proofErr w:type="spellEnd"/>
      <w:r>
        <w:rPr>
          <w:rFonts w:eastAsiaTheme="minorHAnsi"/>
          <w:color w:val="000000"/>
          <w:sz w:val="22"/>
          <w:szCs w:val="22"/>
          <w:lang w:eastAsia="en-US"/>
        </w:rPr>
        <w:t xml:space="preserve"> klasifikaciją, organizme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AUC padidėjo atitinkamai maždaug 23 %, 47 % ir 75 %,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14"/>
          <w:szCs w:val="14"/>
          <w:lang w:eastAsia="en-US"/>
        </w:rPr>
        <w:t xml:space="preserve"> </w:t>
      </w:r>
      <w:r>
        <w:rPr>
          <w:rFonts w:eastAsiaTheme="minorHAnsi"/>
          <w:color w:val="000000"/>
          <w:sz w:val="22"/>
          <w:szCs w:val="22"/>
          <w:lang w:eastAsia="en-US"/>
        </w:rPr>
        <w:t>− maždaug 4 %, 23 % ir 48 %, palyginti su asmenimis, kurių kepenų funkcija normali.</w:t>
      </w:r>
    </w:p>
    <w:p w14:paraId="4211A91D" w14:textId="77777777" w:rsidR="003B31DC" w:rsidRDefault="003B31DC">
      <w:pPr>
        <w:autoSpaceDE w:val="0"/>
        <w:autoSpaceDN w:val="0"/>
        <w:adjustRightInd w:val="0"/>
        <w:rPr>
          <w:rFonts w:eastAsiaTheme="minorHAnsi"/>
          <w:color w:val="000000"/>
          <w:sz w:val="22"/>
          <w:szCs w:val="22"/>
          <w:lang w:eastAsia="en-US"/>
        </w:rPr>
      </w:pPr>
    </w:p>
    <w:p w14:paraId="3A91A0D1" w14:textId="77777777" w:rsidR="003B31DC" w:rsidRDefault="00913CB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Kūno masės indeksas</w:t>
      </w:r>
    </w:p>
    <w:p w14:paraId="7FD33F40"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Populiacijos farmakokinetikos analizės duomenimis, kūno masės indeksas kliniškai reikšmingos įtakos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farmakokinetikai neturi. Šioje analizėje apskaičiuotas AUC buvo 5,82 %, 10,4 %, ir 17,3 % mažesnis tiriamiesiems, kurių kūno masės indeksas (KMI) buvo atitinkamai 30, 35, ir 45 kg/m</w:t>
      </w:r>
      <w:r>
        <w:rPr>
          <w:rFonts w:eastAsiaTheme="minorHAnsi"/>
          <w:color w:val="000000"/>
          <w:sz w:val="22"/>
          <w:szCs w:val="22"/>
          <w:vertAlign w:val="superscript"/>
          <w:lang w:eastAsia="en-US"/>
        </w:rPr>
        <w:t>2</w:t>
      </w:r>
      <w:r>
        <w:rPr>
          <w:rFonts w:eastAsiaTheme="minorHAnsi"/>
          <w:color w:val="000000"/>
          <w:sz w:val="22"/>
          <w:szCs w:val="22"/>
          <w:lang w:eastAsia="en-US"/>
        </w:rPr>
        <w:t>, palyginti su tiriamaisiais, kurių kūno masės indeksas buvo 25 kg/m</w:t>
      </w:r>
      <w:r>
        <w:rPr>
          <w:rFonts w:eastAsiaTheme="minorHAnsi"/>
          <w:color w:val="000000"/>
          <w:sz w:val="22"/>
          <w:szCs w:val="22"/>
          <w:vertAlign w:val="superscript"/>
          <w:lang w:eastAsia="en-US"/>
        </w:rPr>
        <w:t>2</w:t>
      </w:r>
      <w:r>
        <w:rPr>
          <w:rFonts w:eastAsiaTheme="minorHAnsi"/>
          <w:color w:val="000000"/>
          <w:sz w:val="22"/>
          <w:szCs w:val="22"/>
          <w:lang w:eastAsia="en-US"/>
        </w:rPr>
        <w:t>.</w:t>
      </w:r>
    </w:p>
    <w:p w14:paraId="662E6578" w14:textId="77777777" w:rsidR="003B31DC" w:rsidRDefault="003B31DC">
      <w:pPr>
        <w:autoSpaceDE w:val="0"/>
        <w:autoSpaceDN w:val="0"/>
        <w:adjustRightInd w:val="0"/>
        <w:rPr>
          <w:rFonts w:eastAsiaTheme="minorHAnsi"/>
          <w:color w:val="000000"/>
          <w:sz w:val="22"/>
          <w:szCs w:val="22"/>
          <w:lang w:eastAsia="en-US"/>
        </w:rPr>
      </w:pPr>
    </w:p>
    <w:p w14:paraId="1CF7AA1A" w14:textId="77777777" w:rsidR="003B31DC" w:rsidRDefault="00913CB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Lytis</w:t>
      </w:r>
    </w:p>
    <w:p w14:paraId="6445646F"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Populiacijos farmakokinetikos analizės duomenimis, lytis kliniškai reikšmingos įtakos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farmakokinetikai neturėjo.</w:t>
      </w:r>
    </w:p>
    <w:p w14:paraId="552AF0FB" w14:textId="77777777" w:rsidR="003B31DC" w:rsidRDefault="003B31DC">
      <w:pPr>
        <w:autoSpaceDE w:val="0"/>
        <w:autoSpaceDN w:val="0"/>
        <w:adjustRightInd w:val="0"/>
        <w:rPr>
          <w:rFonts w:eastAsiaTheme="minorHAnsi"/>
          <w:color w:val="000000"/>
          <w:sz w:val="22"/>
          <w:szCs w:val="22"/>
          <w:lang w:eastAsia="en-US"/>
        </w:rPr>
      </w:pPr>
    </w:p>
    <w:p w14:paraId="6B6BB448" w14:textId="77777777" w:rsidR="003B31DC" w:rsidRDefault="00913CB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Rasė</w:t>
      </w:r>
    </w:p>
    <w:p w14:paraId="1DF02BF7" w14:textId="22EE3F15"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Populiacijos farmakokinetikos analizės </w:t>
      </w:r>
      <w:r w:rsidR="00720E23">
        <w:rPr>
          <w:rFonts w:eastAsiaTheme="minorHAnsi"/>
          <w:color w:val="000000"/>
          <w:sz w:val="22"/>
          <w:szCs w:val="22"/>
          <w:lang w:eastAsia="en-US"/>
        </w:rPr>
        <w:t>duomenimis</w:t>
      </w:r>
      <w:r w:rsidR="00C74642">
        <w:rPr>
          <w:rFonts w:eastAsiaTheme="minorHAnsi"/>
          <w:color w:val="000000"/>
          <w:sz w:val="22"/>
          <w:szCs w:val="22"/>
          <w:lang w:eastAsia="en-US"/>
        </w:rPr>
        <w:t>,</w:t>
      </w:r>
      <w:r w:rsidR="00720E23">
        <w:rPr>
          <w:rFonts w:eastAsiaTheme="minorHAnsi"/>
          <w:color w:val="000000"/>
          <w:sz w:val="22"/>
          <w:szCs w:val="22"/>
          <w:lang w:eastAsia="en-US"/>
        </w:rPr>
        <w:t xml:space="preserve"> </w:t>
      </w:r>
      <w:r>
        <w:rPr>
          <w:rFonts w:eastAsiaTheme="minorHAnsi"/>
          <w:color w:val="000000"/>
          <w:sz w:val="22"/>
          <w:szCs w:val="22"/>
          <w:lang w:eastAsia="en-US"/>
        </w:rPr>
        <w:t>azijieči</w:t>
      </w:r>
      <w:r w:rsidR="00C74642">
        <w:rPr>
          <w:rFonts w:eastAsiaTheme="minorHAnsi"/>
          <w:color w:val="000000"/>
          <w:sz w:val="22"/>
          <w:szCs w:val="22"/>
          <w:lang w:eastAsia="en-US"/>
        </w:rPr>
        <w:t>ų</w:t>
      </w:r>
      <w:r>
        <w:rPr>
          <w:rFonts w:eastAsiaTheme="minorHAnsi"/>
          <w:color w:val="000000"/>
          <w:sz w:val="22"/>
          <w:szCs w:val="22"/>
          <w:lang w:eastAsia="en-US"/>
        </w:rPr>
        <w:t>, kurių kūno masės indeksas 25 kg/m</w:t>
      </w:r>
      <w:r>
        <w:rPr>
          <w:rFonts w:eastAsiaTheme="minorHAnsi"/>
          <w:color w:val="000000"/>
          <w:sz w:val="22"/>
          <w:szCs w:val="22"/>
          <w:vertAlign w:val="superscript"/>
          <w:lang w:eastAsia="en-US"/>
        </w:rPr>
        <w:t>2</w:t>
      </w:r>
      <w:r>
        <w:rPr>
          <w:rFonts w:eastAsiaTheme="minorHAnsi"/>
          <w:color w:val="000000"/>
          <w:sz w:val="22"/>
          <w:szCs w:val="22"/>
          <w:lang w:eastAsia="en-US"/>
        </w:rPr>
        <w:t xml:space="preserve">, </w:t>
      </w:r>
      <w:r w:rsidR="00C74642">
        <w:rPr>
          <w:rFonts w:eastAsiaTheme="minorHAnsi"/>
          <w:color w:val="000000"/>
          <w:sz w:val="22"/>
          <w:szCs w:val="22"/>
          <w:lang w:eastAsia="en-US"/>
        </w:rPr>
        <w:t xml:space="preserve">apskaičiuotas AUC </w:t>
      </w:r>
      <w:r>
        <w:rPr>
          <w:rFonts w:eastAsiaTheme="minorHAnsi"/>
          <w:color w:val="000000"/>
          <w:sz w:val="22"/>
          <w:szCs w:val="22"/>
          <w:lang w:eastAsia="en-US"/>
        </w:rPr>
        <w:t>buvo 13,5 % didesnis, palyginti su ne azijieči</w:t>
      </w:r>
      <w:r w:rsidR="00FC39C8">
        <w:rPr>
          <w:rFonts w:eastAsiaTheme="minorHAnsi"/>
          <w:color w:val="000000"/>
          <w:sz w:val="22"/>
          <w:szCs w:val="22"/>
          <w:lang w:eastAsia="en-US"/>
        </w:rPr>
        <w:t>ų</w:t>
      </w:r>
      <w:r w:rsidR="00FF7708">
        <w:rPr>
          <w:rFonts w:eastAsiaTheme="minorHAnsi"/>
          <w:color w:val="000000"/>
          <w:sz w:val="22"/>
          <w:szCs w:val="22"/>
          <w:lang w:eastAsia="en-US"/>
        </w:rPr>
        <w:t xml:space="preserve"> kilmės asmenimis</w:t>
      </w:r>
      <w:r>
        <w:rPr>
          <w:rFonts w:eastAsiaTheme="minorHAnsi"/>
          <w:color w:val="000000"/>
          <w:sz w:val="22"/>
          <w:szCs w:val="22"/>
          <w:lang w:eastAsia="en-US"/>
        </w:rPr>
        <w:t>, kurių kūno masės indeksas 25 kg/m</w:t>
      </w:r>
      <w:r>
        <w:rPr>
          <w:rFonts w:eastAsiaTheme="minorHAnsi"/>
          <w:color w:val="000000"/>
          <w:sz w:val="22"/>
          <w:szCs w:val="22"/>
          <w:vertAlign w:val="superscript"/>
          <w:lang w:eastAsia="en-US"/>
        </w:rPr>
        <w:t>2</w:t>
      </w:r>
      <w:r>
        <w:rPr>
          <w:rFonts w:eastAsiaTheme="minorHAnsi"/>
          <w:color w:val="000000"/>
          <w:sz w:val="22"/>
          <w:szCs w:val="22"/>
          <w:lang w:eastAsia="en-US"/>
        </w:rPr>
        <w:t>.</w:t>
      </w:r>
    </w:p>
    <w:p w14:paraId="21D3554F" w14:textId="77777777" w:rsidR="003B31DC" w:rsidRDefault="003B31DC">
      <w:pPr>
        <w:autoSpaceDE w:val="0"/>
        <w:autoSpaceDN w:val="0"/>
        <w:adjustRightInd w:val="0"/>
        <w:rPr>
          <w:rFonts w:eastAsiaTheme="minorHAnsi"/>
          <w:color w:val="000000"/>
          <w:sz w:val="22"/>
          <w:szCs w:val="22"/>
          <w:lang w:eastAsia="en-US"/>
        </w:rPr>
      </w:pPr>
    </w:p>
    <w:p w14:paraId="437C827A" w14:textId="28F6CD7D" w:rsidR="003B31DC" w:rsidRDefault="00913CB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 xml:space="preserve">Senyvi </w:t>
      </w:r>
      <w:r w:rsidR="00BE016A">
        <w:rPr>
          <w:rFonts w:eastAsiaTheme="minorHAnsi"/>
          <w:i/>
          <w:iCs/>
          <w:color w:val="000000"/>
          <w:sz w:val="22"/>
          <w:szCs w:val="22"/>
          <w:lang w:eastAsia="en-US"/>
        </w:rPr>
        <w:t>pacientai</w:t>
      </w:r>
    </w:p>
    <w:p w14:paraId="1AA666CD"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Populiacijos farmakokinetikos analizės duomenimis, amžius kliniškai reikšmingos įtakos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farmakokinetikai neturėjo.</w:t>
      </w:r>
    </w:p>
    <w:p w14:paraId="7CC29033" w14:textId="77777777" w:rsidR="003B31DC" w:rsidRDefault="003B31DC">
      <w:pPr>
        <w:autoSpaceDE w:val="0"/>
        <w:autoSpaceDN w:val="0"/>
        <w:adjustRightInd w:val="0"/>
        <w:rPr>
          <w:rFonts w:eastAsiaTheme="minorHAnsi"/>
          <w:color w:val="000000"/>
          <w:sz w:val="22"/>
          <w:szCs w:val="22"/>
          <w:lang w:eastAsia="en-US"/>
        </w:rPr>
      </w:pPr>
    </w:p>
    <w:p w14:paraId="4F22EA8A" w14:textId="77777777" w:rsidR="003B31DC" w:rsidRDefault="00913CB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Vaikų populiacija</w:t>
      </w:r>
    </w:p>
    <w:p w14:paraId="098C8D46" w14:textId="1F360B7B" w:rsidR="003B31DC" w:rsidRDefault="001D5FD9">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Vaikų populiacijos </w:t>
      </w:r>
      <w:r w:rsidR="00913CBE">
        <w:rPr>
          <w:rFonts w:eastAsiaTheme="minorHAnsi"/>
          <w:color w:val="000000"/>
          <w:sz w:val="22"/>
          <w:szCs w:val="22"/>
          <w:lang w:eastAsia="en-US"/>
        </w:rPr>
        <w:t xml:space="preserve">1 fazės tyrimo metu buvo tiriama </w:t>
      </w:r>
      <w:proofErr w:type="spellStart"/>
      <w:r w:rsidR="00913CBE">
        <w:rPr>
          <w:rFonts w:eastAsiaTheme="minorHAnsi"/>
          <w:color w:val="000000"/>
          <w:sz w:val="22"/>
          <w:szCs w:val="22"/>
          <w:lang w:eastAsia="en-US"/>
        </w:rPr>
        <w:t>empagliflozino</w:t>
      </w:r>
      <w:proofErr w:type="spellEnd"/>
      <w:r w:rsidR="00913CBE">
        <w:rPr>
          <w:rFonts w:eastAsiaTheme="minorHAnsi"/>
          <w:color w:val="000000"/>
          <w:sz w:val="22"/>
          <w:szCs w:val="22"/>
          <w:lang w:eastAsia="en-US"/>
        </w:rPr>
        <w:t xml:space="preserve"> (5 mg, 10 mg ir 25 mg) farmakokinetika ir farmakodinamika 2 tipo cukriniu diabetu sergantiems vaikams ir paaugliams, kurių amžius buvo nuo ≥ 10 metų iki &lt; 18 metų. Gauti farmakokinetikos ir farmakodinamikos duomenys atitiko suaugusiems tiriamiesiems nustatytus duomenis.</w:t>
      </w:r>
    </w:p>
    <w:p w14:paraId="70146170" w14:textId="315DAF2C" w:rsidR="003B31DC" w:rsidRDefault="000B269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Vaikų populiacijos </w:t>
      </w:r>
      <w:r w:rsidR="00913CBE">
        <w:rPr>
          <w:rFonts w:eastAsiaTheme="minorHAnsi"/>
          <w:color w:val="000000"/>
          <w:sz w:val="22"/>
          <w:szCs w:val="22"/>
          <w:lang w:eastAsia="en-US"/>
        </w:rPr>
        <w:t xml:space="preserve">3 fazės tyrimo metu buvo tiriama 10 mg </w:t>
      </w:r>
      <w:proofErr w:type="spellStart"/>
      <w:r w:rsidR="00913CBE">
        <w:rPr>
          <w:rFonts w:eastAsiaTheme="minorHAnsi"/>
          <w:color w:val="000000"/>
          <w:sz w:val="22"/>
          <w:szCs w:val="22"/>
          <w:lang w:eastAsia="en-US"/>
        </w:rPr>
        <w:t>empagliflozino</w:t>
      </w:r>
      <w:proofErr w:type="spellEnd"/>
      <w:r w:rsidR="00913CBE">
        <w:rPr>
          <w:rFonts w:eastAsiaTheme="minorHAnsi"/>
          <w:color w:val="000000"/>
          <w:sz w:val="22"/>
          <w:szCs w:val="22"/>
          <w:lang w:eastAsia="en-US"/>
        </w:rPr>
        <w:t xml:space="preserve"> (su galimu dozės padidinimu iki 25 mg) farmakokinetika ir farmakodinamika (HbA1c pokytis nuo pradinio vertinimo) 2 tipo cukriniu diabetu sergantiems vaikams ir paaugliams, kurių amžius buvo nuo 10 iki 17 metų. </w:t>
      </w:r>
      <w:r w:rsidR="00013BE7" w:rsidRPr="00FA2F7A">
        <w:rPr>
          <w:rFonts w:eastAsiaTheme="minorHAnsi"/>
          <w:color w:val="000000"/>
          <w:sz w:val="22"/>
          <w:szCs w:val="22"/>
          <w:lang w:eastAsia="en-US"/>
        </w:rPr>
        <w:t>Pastebėtas santykis tarp ekspozicijos ir atsako apskritai buvo panašus į suaugusiųjų, vaikų ir paauglių</w:t>
      </w:r>
      <w:r w:rsidR="00913CBE">
        <w:rPr>
          <w:rFonts w:eastAsiaTheme="minorHAnsi"/>
          <w:color w:val="000000"/>
          <w:sz w:val="22"/>
          <w:szCs w:val="22"/>
          <w:lang w:eastAsia="en-US"/>
        </w:rPr>
        <w:t xml:space="preserve">. Per burną vartojant </w:t>
      </w:r>
      <w:proofErr w:type="spellStart"/>
      <w:r w:rsidR="00913CBE">
        <w:rPr>
          <w:rFonts w:eastAsiaTheme="minorHAnsi"/>
          <w:color w:val="000000"/>
          <w:sz w:val="22"/>
          <w:szCs w:val="22"/>
          <w:lang w:eastAsia="en-US"/>
        </w:rPr>
        <w:t>empaglifloziną</w:t>
      </w:r>
      <w:proofErr w:type="spellEnd"/>
      <w:r w:rsidR="00913CBE">
        <w:rPr>
          <w:rFonts w:eastAsiaTheme="minorHAnsi"/>
          <w:color w:val="000000"/>
          <w:sz w:val="22"/>
          <w:szCs w:val="22"/>
          <w:lang w:eastAsia="en-US"/>
        </w:rPr>
        <w:t xml:space="preserve"> susidarė ekspozicija, kuri pateko į diapazoną, stebėtą suaugusiems pacientams. </w:t>
      </w:r>
    </w:p>
    <w:p w14:paraId="58EAE991"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Stebėtas geometrinis mažiausios koncentracijos vidurkis ir geometrinis koncentracijos vidurkis po vartojimo praėjus 1,5 val., esant pusiausvyros būsenai, atitinkamai buvo 26,6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/l bei 308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 xml:space="preserve">/l, vartojant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vieną kartą per parą, ir 67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/l bei 525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 xml:space="preserve">/l, vartojant 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vieną kartą per parą.</w:t>
      </w:r>
    </w:p>
    <w:p w14:paraId="470F3E76" w14:textId="77777777" w:rsidR="003B31DC" w:rsidRDefault="003B31DC">
      <w:pPr>
        <w:autoSpaceDE w:val="0"/>
        <w:autoSpaceDN w:val="0"/>
        <w:adjustRightInd w:val="0"/>
        <w:rPr>
          <w:rFonts w:eastAsiaTheme="minorHAnsi"/>
          <w:color w:val="000000"/>
          <w:sz w:val="22"/>
          <w:szCs w:val="22"/>
          <w:lang w:eastAsia="en-US"/>
        </w:rPr>
      </w:pPr>
    </w:p>
    <w:p w14:paraId="2EDC0617"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Metforminas</w:t>
      </w:r>
    </w:p>
    <w:p w14:paraId="49E2764C" w14:textId="77777777" w:rsidR="003B31DC" w:rsidRDefault="003B31DC">
      <w:pPr>
        <w:autoSpaceDE w:val="0"/>
        <w:autoSpaceDN w:val="0"/>
        <w:adjustRightInd w:val="0"/>
        <w:rPr>
          <w:rFonts w:eastAsiaTheme="minorHAnsi"/>
          <w:color w:val="000000"/>
          <w:sz w:val="22"/>
          <w:szCs w:val="22"/>
          <w:u w:val="single"/>
          <w:lang w:eastAsia="en-US"/>
        </w:rPr>
      </w:pPr>
    </w:p>
    <w:p w14:paraId="0FE12890"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Absorbcija</w:t>
      </w:r>
    </w:p>
    <w:p w14:paraId="4BDDE5D1" w14:textId="6D967ADD" w:rsidR="003B31DC" w:rsidRDefault="00A37447">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Išgėrus </w:t>
      </w:r>
      <w:proofErr w:type="spellStart"/>
      <w:r>
        <w:rPr>
          <w:rFonts w:eastAsiaTheme="minorHAnsi"/>
          <w:color w:val="000000"/>
          <w:sz w:val="22"/>
          <w:szCs w:val="22"/>
          <w:lang w:eastAsia="en-US"/>
        </w:rPr>
        <w:t>m</w:t>
      </w:r>
      <w:r w:rsidR="00913CBE">
        <w:rPr>
          <w:rFonts w:eastAsiaTheme="minorHAnsi"/>
          <w:color w:val="000000"/>
          <w:sz w:val="22"/>
          <w:szCs w:val="22"/>
          <w:lang w:eastAsia="en-US"/>
        </w:rPr>
        <w:t>etformino</w:t>
      </w:r>
      <w:proofErr w:type="spellEnd"/>
      <w:r w:rsidR="00913CBE">
        <w:rPr>
          <w:rFonts w:eastAsiaTheme="minorHAnsi"/>
          <w:color w:val="000000"/>
          <w:sz w:val="22"/>
          <w:szCs w:val="22"/>
          <w:lang w:eastAsia="en-US"/>
        </w:rPr>
        <w:t xml:space="preserve"> dozę, laikas, per kurį koncentracija kraujo plazmoje tampa didžiausia (</w:t>
      </w:r>
      <w:proofErr w:type="spellStart"/>
      <w:r w:rsidR="00913CBE">
        <w:rPr>
          <w:rFonts w:eastAsiaTheme="minorHAnsi"/>
          <w:color w:val="000000"/>
          <w:sz w:val="22"/>
          <w:szCs w:val="22"/>
          <w:lang w:eastAsia="en-US"/>
        </w:rPr>
        <w:t>T</w:t>
      </w:r>
      <w:r w:rsidR="00913CBE">
        <w:rPr>
          <w:rFonts w:eastAsiaTheme="minorHAnsi"/>
          <w:color w:val="000000"/>
          <w:sz w:val="22"/>
          <w:szCs w:val="22"/>
          <w:vertAlign w:val="subscript"/>
          <w:lang w:eastAsia="en-US"/>
        </w:rPr>
        <w:t>max</w:t>
      </w:r>
      <w:proofErr w:type="spellEnd"/>
      <w:r w:rsidR="00913CBE">
        <w:rPr>
          <w:rFonts w:eastAsiaTheme="minorHAnsi"/>
          <w:color w:val="000000"/>
          <w:sz w:val="22"/>
          <w:szCs w:val="22"/>
          <w:lang w:eastAsia="en-US"/>
        </w:rPr>
        <w:t xml:space="preserve">), yra 2,5 val. Sveikų asmenų organizme 500 mg arba 850 mg </w:t>
      </w:r>
      <w:proofErr w:type="spellStart"/>
      <w:r w:rsidR="00913CBE">
        <w:rPr>
          <w:rFonts w:eastAsiaTheme="minorHAnsi"/>
          <w:color w:val="000000"/>
          <w:sz w:val="22"/>
          <w:szCs w:val="22"/>
          <w:lang w:eastAsia="en-US"/>
        </w:rPr>
        <w:t>metformino</w:t>
      </w:r>
      <w:proofErr w:type="spellEnd"/>
      <w:r w:rsidR="00913CBE">
        <w:rPr>
          <w:rFonts w:eastAsiaTheme="minorHAnsi"/>
          <w:color w:val="000000"/>
          <w:sz w:val="22"/>
          <w:szCs w:val="22"/>
          <w:lang w:eastAsia="en-US"/>
        </w:rPr>
        <w:t xml:space="preserve"> hidrochlorido tablečių dozės absoliutus </w:t>
      </w:r>
      <w:r w:rsidR="00913CBE">
        <w:rPr>
          <w:rFonts w:eastAsiaTheme="minorHAnsi"/>
          <w:color w:val="000000"/>
          <w:sz w:val="22"/>
          <w:szCs w:val="22"/>
          <w:lang w:eastAsia="en-US"/>
        </w:rPr>
        <w:lastRenderedPageBreak/>
        <w:t>biologinis prieinamumas yra maždaug 50-60 </w:t>
      </w:r>
      <w:r w:rsidR="00913CBE" w:rsidRPr="00A02B90">
        <w:rPr>
          <w:sz w:val="22"/>
          <w:szCs w:val="22"/>
          <w:lang w:eastAsia="en-US"/>
        </w:rPr>
        <w:t>%</w:t>
      </w:r>
      <w:r w:rsidR="00913CBE">
        <w:rPr>
          <w:rFonts w:eastAsiaTheme="minorHAnsi"/>
          <w:color w:val="000000"/>
          <w:sz w:val="22"/>
          <w:szCs w:val="22"/>
          <w:lang w:eastAsia="en-US"/>
        </w:rPr>
        <w:t>. Per burną pavartotos dozės neabsorbuota frakcija, išsiskyrusi su išmatomis, buvo 20-30 </w:t>
      </w:r>
      <w:r w:rsidR="00913CBE" w:rsidRPr="00A02B90">
        <w:rPr>
          <w:sz w:val="22"/>
          <w:szCs w:val="22"/>
          <w:lang w:eastAsia="en-US"/>
        </w:rPr>
        <w:t>%</w:t>
      </w:r>
      <w:r w:rsidR="00913CBE">
        <w:rPr>
          <w:rFonts w:eastAsiaTheme="minorHAnsi"/>
          <w:color w:val="000000"/>
          <w:sz w:val="22"/>
          <w:szCs w:val="22"/>
          <w:lang w:eastAsia="en-US"/>
        </w:rPr>
        <w:t xml:space="preserve">. Per burną pavartoto </w:t>
      </w:r>
      <w:proofErr w:type="spellStart"/>
      <w:r w:rsidR="00913CBE">
        <w:rPr>
          <w:rFonts w:eastAsiaTheme="minorHAnsi"/>
          <w:color w:val="000000"/>
          <w:sz w:val="22"/>
          <w:szCs w:val="22"/>
          <w:lang w:eastAsia="en-US"/>
        </w:rPr>
        <w:t>metformino</w:t>
      </w:r>
      <w:proofErr w:type="spellEnd"/>
      <w:r w:rsidR="00913CBE">
        <w:rPr>
          <w:rFonts w:eastAsiaTheme="minorHAnsi"/>
          <w:color w:val="000000"/>
          <w:sz w:val="22"/>
          <w:szCs w:val="22"/>
          <w:lang w:eastAsia="en-US"/>
        </w:rPr>
        <w:t xml:space="preserve"> hidrochlorido absorbcija yra įsotinamoji ir nevisiška. Manoma, kad </w:t>
      </w:r>
      <w:proofErr w:type="spellStart"/>
      <w:r w:rsidR="00913CBE">
        <w:rPr>
          <w:rFonts w:eastAsiaTheme="minorHAnsi"/>
          <w:color w:val="000000"/>
          <w:sz w:val="22"/>
          <w:szCs w:val="22"/>
          <w:lang w:eastAsia="en-US"/>
        </w:rPr>
        <w:t>metformino</w:t>
      </w:r>
      <w:proofErr w:type="spellEnd"/>
      <w:r w:rsidR="00913CBE">
        <w:rPr>
          <w:rFonts w:eastAsiaTheme="minorHAnsi"/>
          <w:color w:val="000000"/>
          <w:sz w:val="22"/>
          <w:szCs w:val="22"/>
          <w:lang w:eastAsia="en-US"/>
        </w:rPr>
        <w:t xml:space="preserve"> hidrochlorido absorbcijos farmakokinetika yra netiesinė. </w:t>
      </w:r>
      <w:r w:rsidR="00913CBE">
        <w:rPr>
          <w:rFonts w:eastAsiaTheme="minorHAnsi"/>
          <w:sz w:val="22"/>
          <w:szCs w:val="22"/>
          <w:lang w:eastAsia="en-US"/>
        </w:rPr>
        <w:t xml:space="preserve">Rekomenduojamą </w:t>
      </w:r>
      <w:proofErr w:type="spellStart"/>
      <w:r w:rsidR="00913CBE">
        <w:rPr>
          <w:rFonts w:eastAsiaTheme="minorHAnsi"/>
          <w:sz w:val="22"/>
          <w:szCs w:val="22"/>
          <w:lang w:eastAsia="en-US"/>
        </w:rPr>
        <w:t>metformino</w:t>
      </w:r>
      <w:proofErr w:type="spellEnd"/>
      <w:r w:rsidR="00913CBE">
        <w:rPr>
          <w:rFonts w:eastAsiaTheme="minorHAnsi"/>
          <w:sz w:val="22"/>
          <w:szCs w:val="22"/>
          <w:lang w:eastAsia="en-US"/>
        </w:rPr>
        <w:t xml:space="preserve"> hidrochlorido dozę vartojant nustatyta tvarka, </w:t>
      </w:r>
      <w:proofErr w:type="spellStart"/>
      <w:r w:rsidR="00913CBE">
        <w:rPr>
          <w:rFonts w:eastAsiaTheme="minorHAnsi"/>
          <w:sz w:val="22"/>
          <w:szCs w:val="22"/>
          <w:lang w:eastAsia="en-US"/>
        </w:rPr>
        <w:t>pusiausvyrinė</w:t>
      </w:r>
      <w:proofErr w:type="spellEnd"/>
      <w:r w:rsidR="00913CBE">
        <w:rPr>
          <w:rFonts w:eastAsiaTheme="minorHAnsi"/>
          <w:sz w:val="22"/>
          <w:szCs w:val="22"/>
          <w:lang w:eastAsia="en-US"/>
        </w:rPr>
        <w:t xml:space="preserve"> koncentracija kraujo plazmoje </w:t>
      </w:r>
      <w:r w:rsidR="00E32B79">
        <w:rPr>
          <w:rFonts w:eastAsiaTheme="minorHAnsi"/>
          <w:sz w:val="22"/>
          <w:szCs w:val="22"/>
          <w:lang w:eastAsia="en-US"/>
        </w:rPr>
        <w:t xml:space="preserve">pasiekiama </w:t>
      </w:r>
      <w:r w:rsidR="00913CBE">
        <w:rPr>
          <w:rFonts w:eastAsiaTheme="minorHAnsi"/>
          <w:sz w:val="22"/>
          <w:szCs w:val="22"/>
          <w:lang w:eastAsia="en-US"/>
        </w:rPr>
        <w:t>per 24-48 valandas ir paprastai būna mažesnė negu 1 </w:t>
      </w:r>
      <w:proofErr w:type="spellStart"/>
      <w:r w:rsidR="00913CBE">
        <w:rPr>
          <w:rFonts w:eastAsiaTheme="minorHAnsi"/>
          <w:sz w:val="22"/>
          <w:szCs w:val="22"/>
          <w:lang w:eastAsia="en-US"/>
        </w:rPr>
        <w:t>mikrogramas</w:t>
      </w:r>
      <w:proofErr w:type="spellEnd"/>
      <w:r w:rsidR="00913CBE">
        <w:rPr>
          <w:rFonts w:eastAsiaTheme="minorHAnsi"/>
          <w:sz w:val="22"/>
          <w:szCs w:val="22"/>
          <w:lang w:eastAsia="en-US"/>
        </w:rPr>
        <w:t xml:space="preserve">/ml. Kontroliuojamų klinikinių tyrimų metu didžiausia </w:t>
      </w:r>
      <w:proofErr w:type="spellStart"/>
      <w:r w:rsidR="00913CBE">
        <w:rPr>
          <w:rFonts w:eastAsiaTheme="minorHAnsi"/>
          <w:sz w:val="22"/>
          <w:szCs w:val="22"/>
          <w:lang w:eastAsia="en-US"/>
        </w:rPr>
        <w:t>metformino</w:t>
      </w:r>
      <w:proofErr w:type="spellEnd"/>
      <w:r w:rsidR="00913CBE">
        <w:rPr>
          <w:rFonts w:eastAsiaTheme="minorHAnsi"/>
          <w:sz w:val="22"/>
          <w:szCs w:val="22"/>
          <w:lang w:eastAsia="en-US"/>
        </w:rPr>
        <w:t xml:space="preserve"> hidrochlorido koncentracija kraujo plazmoje (</w:t>
      </w:r>
      <w:proofErr w:type="spellStart"/>
      <w:r w:rsidR="00913CBE">
        <w:rPr>
          <w:rFonts w:eastAsiaTheme="minorHAnsi"/>
          <w:sz w:val="22"/>
          <w:szCs w:val="22"/>
          <w:lang w:eastAsia="en-US"/>
        </w:rPr>
        <w:t>C</w:t>
      </w:r>
      <w:r w:rsidR="00913CBE">
        <w:rPr>
          <w:rFonts w:eastAsiaTheme="minorHAnsi"/>
          <w:sz w:val="22"/>
          <w:szCs w:val="22"/>
          <w:vertAlign w:val="subscript"/>
          <w:lang w:eastAsia="en-US"/>
        </w:rPr>
        <w:t>max</w:t>
      </w:r>
      <w:proofErr w:type="spellEnd"/>
      <w:r w:rsidR="00913CBE">
        <w:rPr>
          <w:rFonts w:eastAsiaTheme="minorHAnsi"/>
          <w:sz w:val="22"/>
          <w:szCs w:val="22"/>
          <w:lang w:eastAsia="en-US"/>
        </w:rPr>
        <w:t>) nebuvo didesnė negu 5 </w:t>
      </w:r>
      <w:proofErr w:type="spellStart"/>
      <w:r w:rsidR="00913CBE">
        <w:rPr>
          <w:rFonts w:eastAsiaTheme="minorHAnsi"/>
          <w:sz w:val="22"/>
          <w:szCs w:val="22"/>
          <w:lang w:eastAsia="en-US"/>
        </w:rPr>
        <w:t>mikrogramai</w:t>
      </w:r>
      <w:proofErr w:type="spellEnd"/>
      <w:r w:rsidR="00913CBE">
        <w:rPr>
          <w:rFonts w:eastAsiaTheme="minorHAnsi"/>
          <w:sz w:val="22"/>
          <w:szCs w:val="22"/>
          <w:lang w:eastAsia="en-US"/>
        </w:rPr>
        <w:t>/ml, net didžiausios dozės vartojimo metu.</w:t>
      </w:r>
    </w:p>
    <w:p w14:paraId="1AC66409" w14:textId="6080E44D" w:rsidR="003B31DC" w:rsidRDefault="00913CBE">
      <w:pPr>
        <w:pStyle w:val="Default"/>
        <w:rPr>
          <w:rFonts w:eastAsiaTheme="minorHAnsi"/>
          <w:sz w:val="22"/>
          <w:szCs w:val="22"/>
          <w:lang w:val="lt-LT" w:eastAsia="en-US"/>
        </w:rPr>
      </w:pPr>
      <w:r>
        <w:rPr>
          <w:rFonts w:eastAsiaTheme="minorHAnsi"/>
          <w:sz w:val="22"/>
          <w:szCs w:val="22"/>
          <w:lang w:val="lt-LT" w:eastAsia="en-US"/>
        </w:rPr>
        <w:t xml:space="preserve">Maistas mažina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hidrochlorido absorbcijos dydį ir šiek tiek ją </w:t>
      </w:r>
      <w:r w:rsidR="00E32B79">
        <w:rPr>
          <w:rFonts w:eastAsiaTheme="minorHAnsi"/>
          <w:sz w:val="22"/>
          <w:szCs w:val="22"/>
          <w:lang w:val="lt-LT" w:eastAsia="en-US"/>
        </w:rPr>
        <w:t>sulėtina</w:t>
      </w:r>
      <w:r>
        <w:rPr>
          <w:rFonts w:eastAsiaTheme="minorHAnsi"/>
          <w:sz w:val="22"/>
          <w:szCs w:val="22"/>
          <w:lang w:val="lt-LT" w:eastAsia="en-US"/>
        </w:rPr>
        <w:t>: išgėrus 850 mg dozę, didžiausia koncentracija kraujo plazmoje būna 40 </w:t>
      </w:r>
      <w:r w:rsidRPr="00A02B90">
        <w:rPr>
          <w:rFonts w:eastAsia="Times New Roman"/>
          <w:color w:val="auto"/>
          <w:sz w:val="22"/>
          <w:szCs w:val="22"/>
          <w:lang w:val="lt-LT" w:eastAsia="en-US"/>
        </w:rPr>
        <w:t>%</w:t>
      </w:r>
      <w:r>
        <w:rPr>
          <w:rFonts w:eastAsiaTheme="minorHAnsi"/>
          <w:sz w:val="22"/>
          <w:szCs w:val="22"/>
          <w:lang w:val="lt-LT" w:eastAsia="en-US"/>
        </w:rPr>
        <w:t xml:space="preserve"> mažesnė, plotas po koncentracijos kraujo plazmoje priklausomai nuo laiko kreiv</w:t>
      </w:r>
      <w:r w:rsidR="0052190A">
        <w:rPr>
          <w:rFonts w:eastAsiaTheme="minorHAnsi"/>
          <w:sz w:val="22"/>
          <w:szCs w:val="22"/>
          <w:lang w:val="lt-LT" w:eastAsia="en-US"/>
        </w:rPr>
        <w:t>ės</w:t>
      </w:r>
      <w:r>
        <w:rPr>
          <w:rFonts w:eastAsiaTheme="minorHAnsi"/>
          <w:sz w:val="22"/>
          <w:szCs w:val="22"/>
          <w:lang w:val="lt-LT" w:eastAsia="en-US"/>
        </w:rPr>
        <w:t xml:space="preserve"> (AUC) – 25 </w:t>
      </w:r>
      <w:r w:rsidRPr="00A02B90">
        <w:rPr>
          <w:rFonts w:eastAsia="Times New Roman"/>
          <w:color w:val="auto"/>
          <w:sz w:val="22"/>
          <w:szCs w:val="22"/>
          <w:lang w:val="lt-LT" w:eastAsia="en-US"/>
        </w:rPr>
        <w:t>%</w:t>
      </w:r>
      <w:r>
        <w:rPr>
          <w:rFonts w:eastAsiaTheme="minorHAnsi"/>
          <w:sz w:val="22"/>
          <w:szCs w:val="22"/>
          <w:lang w:val="lt-LT" w:eastAsia="en-US"/>
        </w:rPr>
        <w:t xml:space="preserve"> mažesnis ir 35 minutėmis </w:t>
      </w:r>
      <w:r w:rsidR="008407D2">
        <w:rPr>
          <w:rFonts w:eastAsiaTheme="minorHAnsi"/>
          <w:sz w:val="22"/>
          <w:szCs w:val="22"/>
          <w:lang w:val="lt-LT" w:eastAsia="en-US"/>
        </w:rPr>
        <w:t xml:space="preserve">ilgesnis </w:t>
      </w:r>
      <w:r>
        <w:rPr>
          <w:rFonts w:eastAsiaTheme="minorHAnsi"/>
          <w:sz w:val="22"/>
          <w:szCs w:val="22"/>
          <w:lang w:val="lt-LT" w:eastAsia="en-US"/>
        </w:rPr>
        <w:t>laikas, per kurį koncentracija kraujo plazmoje tampa didžiausia. Klinikinė šių pokyčių reikšmė nežinoma.</w:t>
      </w:r>
    </w:p>
    <w:p w14:paraId="47F87055" w14:textId="77777777" w:rsidR="003B31DC" w:rsidRDefault="003B31DC">
      <w:pPr>
        <w:pStyle w:val="Default"/>
        <w:rPr>
          <w:rFonts w:eastAsiaTheme="minorHAnsi"/>
          <w:sz w:val="22"/>
          <w:szCs w:val="22"/>
          <w:lang w:val="lt-LT" w:eastAsia="en-US"/>
        </w:rPr>
      </w:pPr>
    </w:p>
    <w:p w14:paraId="20FA3629"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Pasiskirstymas</w:t>
      </w:r>
    </w:p>
    <w:p w14:paraId="39FC8F19" w14:textId="647A52EF" w:rsidR="003B31DC" w:rsidRDefault="00913CBE">
      <w:pPr>
        <w:autoSpaceDE w:val="0"/>
        <w:autoSpaceDN w:val="0"/>
        <w:adjustRightInd w:val="0"/>
        <w:rPr>
          <w:sz w:val="22"/>
          <w:szCs w:val="22"/>
        </w:rPr>
      </w:pPr>
      <w:r>
        <w:rPr>
          <w:sz w:val="22"/>
          <w:szCs w:val="22"/>
        </w:rPr>
        <w:t xml:space="preserve">Prisijungimas prie kraujo plazmos baltymų yra nereikšmingas. Dalis </w:t>
      </w:r>
      <w:proofErr w:type="spellStart"/>
      <w:r>
        <w:rPr>
          <w:sz w:val="22"/>
          <w:szCs w:val="22"/>
        </w:rPr>
        <w:t>metformino</w:t>
      </w:r>
      <w:proofErr w:type="spellEnd"/>
      <w:r>
        <w:rPr>
          <w:sz w:val="22"/>
          <w:szCs w:val="22"/>
        </w:rPr>
        <w:t xml:space="preserve"> </w:t>
      </w:r>
      <w:r w:rsidR="00EE60FD">
        <w:rPr>
          <w:sz w:val="22"/>
          <w:szCs w:val="22"/>
        </w:rPr>
        <w:t xml:space="preserve">patenka į </w:t>
      </w:r>
      <w:r>
        <w:rPr>
          <w:sz w:val="22"/>
          <w:szCs w:val="22"/>
        </w:rPr>
        <w:t>eritrocitu</w:t>
      </w:r>
      <w:r w:rsidR="00EE60FD">
        <w:rPr>
          <w:sz w:val="22"/>
          <w:szCs w:val="22"/>
        </w:rPr>
        <w:t>s</w:t>
      </w:r>
      <w:r>
        <w:rPr>
          <w:sz w:val="22"/>
          <w:szCs w:val="22"/>
        </w:rPr>
        <w:t xml:space="preserve">. Didžiausia koncentracija kraujyje yra mažesnė nei plazmoje ir susidaro beveik tuo pačiu metu. </w:t>
      </w:r>
      <w:r w:rsidR="00C63736">
        <w:rPr>
          <w:sz w:val="22"/>
          <w:szCs w:val="22"/>
        </w:rPr>
        <w:t>Tikėtina, kad e</w:t>
      </w:r>
      <w:r>
        <w:rPr>
          <w:sz w:val="22"/>
          <w:szCs w:val="22"/>
        </w:rPr>
        <w:t xml:space="preserve">ritrocitai </w:t>
      </w:r>
      <w:r w:rsidR="00C63736">
        <w:rPr>
          <w:sz w:val="22"/>
          <w:szCs w:val="22"/>
        </w:rPr>
        <w:t xml:space="preserve">yra </w:t>
      </w:r>
      <w:r w:rsidR="008A7D98">
        <w:rPr>
          <w:sz w:val="22"/>
          <w:szCs w:val="22"/>
        </w:rPr>
        <w:t xml:space="preserve">antrinis </w:t>
      </w:r>
      <w:r>
        <w:rPr>
          <w:sz w:val="22"/>
          <w:szCs w:val="22"/>
        </w:rPr>
        <w:t xml:space="preserve"> pasiskirstymo skyri</w:t>
      </w:r>
      <w:r w:rsidR="008A7D98">
        <w:rPr>
          <w:sz w:val="22"/>
          <w:szCs w:val="22"/>
        </w:rPr>
        <w:t>us</w:t>
      </w:r>
      <w:r>
        <w:rPr>
          <w:sz w:val="22"/>
          <w:szCs w:val="22"/>
        </w:rPr>
        <w:t>. Vidutinis pasiskirstymo tūris (</w:t>
      </w:r>
      <w:proofErr w:type="spellStart"/>
      <w:r>
        <w:rPr>
          <w:sz w:val="22"/>
          <w:szCs w:val="22"/>
        </w:rPr>
        <w:t>Vd</w:t>
      </w:r>
      <w:proofErr w:type="spellEnd"/>
      <w:r>
        <w:rPr>
          <w:sz w:val="22"/>
          <w:szCs w:val="22"/>
        </w:rPr>
        <w:t>) svyruoja nuo 63 iki 276 l.</w:t>
      </w:r>
    </w:p>
    <w:p w14:paraId="290A8182" w14:textId="77777777" w:rsidR="003B31DC" w:rsidRDefault="003B31DC">
      <w:pPr>
        <w:autoSpaceDE w:val="0"/>
        <w:autoSpaceDN w:val="0"/>
        <w:adjustRightInd w:val="0"/>
        <w:rPr>
          <w:rFonts w:eastAsiaTheme="minorHAnsi"/>
          <w:color w:val="000000"/>
          <w:sz w:val="22"/>
          <w:szCs w:val="22"/>
          <w:lang w:eastAsia="en-US"/>
        </w:rPr>
      </w:pPr>
    </w:p>
    <w:p w14:paraId="13172063" w14:textId="77777777" w:rsidR="003B31DC" w:rsidRDefault="00913CBE">
      <w:pPr>
        <w:autoSpaceDE w:val="0"/>
        <w:autoSpaceDN w:val="0"/>
        <w:adjustRightInd w:val="0"/>
        <w:rPr>
          <w:rFonts w:eastAsiaTheme="minorHAnsi"/>
          <w:i/>
          <w:iCs/>
          <w:color w:val="000000"/>
          <w:sz w:val="22"/>
          <w:szCs w:val="22"/>
          <w:u w:val="single"/>
          <w:lang w:eastAsia="en-US"/>
        </w:rPr>
      </w:pPr>
      <w:proofErr w:type="spellStart"/>
      <w:r>
        <w:rPr>
          <w:rFonts w:eastAsiaTheme="minorHAnsi"/>
          <w:i/>
          <w:iCs/>
          <w:color w:val="000000"/>
          <w:sz w:val="22"/>
          <w:szCs w:val="22"/>
          <w:u w:val="single"/>
          <w:lang w:eastAsia="en-US"/>
        </w:rPr>
        <w:t>Biotransformacija</w:t>
      </w:r>
      <w:proofErr w:type="spellEnd"/>
    </w:p>
    <w:p w14:paraId="7942265E"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Iš organizmo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hidrochloridas išsiskiria nepakitęs su šlapimu. Žmogaus organizme metabolitų nenustatyta.</w:t>
      </w:r>
    </w:p>
    <w:p w14:paraId="79C6CB06" w14:textId="77777777" w:rsidR="003B31DC" w:rsidRDefault="003B31DC">
      <w:pPr>
        <w:autoSpaceDE w:val="0"/>
        <w:autoSpaceDN w:val="0"/>
        <w:adjustRightInd w:val="0"/>
        <w:rPr>
          <w:rFonts w:eastAsiaTheme="minorHAnsi"/>
          <w:color w:val="000000"/>
          <w:sz w:val="22"/>
          <w:szCs w:val="22"/>
          <w:lang w:eastAsia="en-US"/>
        </w:rPr>
      </w:pPr>
    </w:p>
    <w:p w14:paraId="5A678E27"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Eliminacija</w:t>
      </w:r>
    </w:p>
    <w:p w14:paraId="51C55A70"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klirensas inkstuose yra </w:t>
      </w:r>
      <w:r w:rsidRPr="00A02B90">
        <w:rPr>
          <w:sz w:val="22"/>
          <w:szCs w:val="22"/>
          <w:lang w:eastAsia="en-US"/>
        </w:rPr>
        <w:t>&gt; </w:t>
      </w:r>
      <w:r>
        <w:rPr>
          <w:rFonts w:eastAsiaTheme="minorHAnsi"/>
          <w:color w:val="000000"/>
          <w:sz w:val="22"/>
          <w:szCs w:val="22"/>
          <w:lang w:eastAsia="en-US"/>
        </w:rPr>
        <w:t xml:space="preserve">400 ml/min. Tai rodo, kad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hidrochloridas eliminuojamas </w:t>
      </w:r>
      <w:proofErr w:type="spellStart"/>
      <w:r>
        <w:rPr>
          <w:rFonts w:eastAsiaTheme="minorHAnsi"/>
          <w:color w:val="000000"/>
          <w:sz w:val="22"/>
          <w:szCs w:val="22"/>
          <w:lang w:eastAsia="en-US"/>
        </w:rPr>
        <w:t>glomerulų</w:t>
      </w:r>
      <w:proofErr w:type="spellEnd"/>
      <w:r>
        <w:rPr>
          <w:rFonts w:eastAsiaTheme="minorHAnsi"/>
          <w:color w:val="000000"/>
          <w:sz w:val="22"/>
          <w:szCs w:val="22"/>
          <w:lang w:eastAsia="en-US"/>
        </w:rPr>
        <w:t xml:space="preserve"> filtracijos ir sekrecijos į inkstų kanalėlius būdais. Per burną pavartotos dozės tariamosios galutinės pusinės eliminacijos laikas yra maždaug 6,5 val.</w:t>
      </w:r>
    </w:p>
    <w:p w14:paraId="1B2B6696" w14:textId="77777777" w:rsidR="003B31DC" w:rsidRDefault="003B31DC">
      <w:pPr>
        <w:autoSpaceDE w:val="0"/>
        <w:autoSpaceDN w:val="0"/>
        <w:adjustRightInd w:val="0"/>
        <w:rPr>
          <w:rFonts w:eastAsiaTheme="minorHAnsi"/>
          <w:color w:val="000000"/>
          <w:sz w:val="22"/>
          <w:szCs w:val="22"/>
          <w:lang w:eastAsia="en-US"/>
        </w:rPr>
      </w:pPr>
    </w:p>
    <w:p w14:paraId="6B0B518C" w14:textId="77777777" w:rsidR="003B31DC" w:rsidRDefault="00913CBE">
      <w:pPr>
        <w:autoSpaceDE w:val="0"/>
        <w:autoSpaceDN w:val="0"/>
        <w:adjustRightInd w:val="0"/>
        <w:rPr>
          <w:rFonts w:eastAsiaTheme="minorHAnsi"/>
          <w:i/>
          <w:iCs/>
          <w:color w:val="000000"/>
          <w:sz w:val="22"/>
          <w:szCs w:val="22"/>
          <w:u w:val="single"/>
          <w:lang w:eastAsia="en-US"/>
        </w:rPr>
      </w:pPr>
      <w:r>
        <w:rPr>
          <w:rFonts w:eastAsiaTheme="minorHAnsi"/>
          <w:i/>
          <w:iCs/>
          <w:color w:val="000000"/>
          <w:sz w:val="22"/>
          <w:szCs w:val="22"/>
          <w:u w:val="single"/>
          <w:lang w:eastAsia="en-US"/>
        </w:rPr>
        <w:t>Inkstų funkcijos sutrikimas</w:t>
      </w:r>
    </w:p>
    <w:p w14:paraId="2C444585"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Kai inkstų funkcija sutrikusi, inkstų klirensas mažėja proporcingai kreatinino klirensui, todėl pailgėja pusinės eliminacijos laikas ir dėl to padidėja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koncentracija kraujo plazmoje.</w:t>
      </w:r>
    </w:p>
    <w:p w14:paraId="522BDB41" w14:textId="77777777" w:rsidR="003B31DC" w:rsidRDefault="003B31DC">
      <w:pPr>
        <w:autoSpaceDE w:val="0"/>
        <w:autoSpaceDN w:val="0"/>
        <w:adjustRightInd w:val="0"/>
        <w:rPr>
          <w:i/>
          <w:iCs/>
          <w:sz w:val="22"/>
          <w:szCs w:val="22"/>
        </w:rPr>
      </w:pPr>
    </w:p>
    <w:p w14:paraId="77872194" w14:textId="77777777" w:rsidR="003B31DC" w:rsidRDefault="00913CBE">
      <w:pPr>
        <w:autoSpaceDE w:val="0"/>
        <w:autoSpaceDN w:val="0"/>
        <w:adjustRightInd w:val="0"/>
        <w:rPr>
          <w:sz w:val="22"/>
          <w:szCs w:val="22"/>
        </w:rPr>
      </w:pPr>
      <w:r>
        <w:rPr>
          <w:sz w:val="22"/>
          <w:szCs w:val="22"/>
        </w:rPr>
        <w:t>Ypatingos populiacijos</w:t>
      </w:r>
    </w:p>
    <w:p w14:paraId="16202A39" w14:textId="77777777" w:rsidR="003B31DC" w:rsidRDefault="003B31DC">
      <w:pPr>
        <w:autoSpaceDE w:val="0"/>
        <w:autoSpaceDN w:val="0"/>
        <w:adjustRightInd w:val="0"/>
        <w:rPr>
          <w:rFonts w:eastAsiaTheme="minorHAnsi"/>
          <w:color w:val="000000"/>
          <w:sz w:val="22"/>
          <w:szCs w:val="22"/>
          <w:lang w:eastAsia="en-US"/>
        </w:rPr>
      </w:pPr>
    </w:p>
    <w:p w14:paraId="6B007F22"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Vaikų populiacija</w:t>
      </w:r>
    </w:p>
    <w:p w14:paraId="0D1A1E8F" w14:textId="17CC569A"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Vien</w:t>
      </w:r>
      <w:r w:rsidR="00DB48F4">
        <w:rPr>
          <w:rFonts w:eastAsiaTheme="minorHAnsi"/>
          <w:color w:val="000000"/>
          <w:sz w:val="22"/>
          <w:szCs w:val="22"/>
          <w:lang w:eastAsia="en-US"/>
        </w:rPr>
        <w:t>kartinės</w:t>
      </w:r>
      <w:r>
        <w:rPr>
          <w:rFonts w:eastAsiaTheme="minorHAnsi"/>
          <w:color w:val="000000"/>
          <w:sz w:val="22"/>
          <w:szCs w:val="22"/>
          <w:lang w:eastAsia="en-US"/>
        </w:rPr>
        <w:t xml:space="preserve"> dozės tyrimas. Vaikų ir paauglių organizme vien</w:t>
      </w:r>
      <w:r w:rsidR="00181FAC">
        <w:rPr>
          <w:rFonts w:eastAsiaTheme="minorHAnsi"/>
          <w:color w:val="000000"/>
          <w:sz w:val="22"/>
          <w:szCs w:val="22"/>
          <w:lang w:eastAsia="en-US"/>
        </w:rPr>
        <w:t>kartinės</w:t>
      </w:r>
      <w:r>
        <w:rPr>
          <w:rFonts w:eastAsiaTheme="minorHAnsi"/>
          <w:color w:val="000000"/>
          <w:sz w:val="22"/>
          <w:szCs w:val="22"/>
          <w:lang w:eastAsia="en-US"/>
        </w:rPr>
        <w:t xml:space="preserve"> 500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dozės farmakokinetika buvo panaši į nustatytą sveikų suaugusių žmonių organizme.</w:t>
      </w:r>
    </w:p>
    <w:p w14:paraId="3E131A4F" w14:textId="1523135C" w:rsidR="003B31DC" w:rsidRDefault="00181FAC">
      <w:pPr>
        <w:keepNext/>
        <w:tabs>
          <w:tab w:val="left" w:pos="567"/>
        </w:tabs>
        <w:outlineLvl w:val="3"/>
        <w:rPr>
          <w:sz w:val="22"/>
          <w:szCs w:val="22"/>
        </w:rPr>
      </w:pPr>
      <w:r>
        <w:rPr>
          <w:rFonts w:eastAsiaTheme="minorHAnsi"/>
          <w:color w:val="000000"/>
          <w:sz w:val="22"/>
          <w:szCs w:val="22"/>
          <w:lang w:eastAsia="en-US"/>
        </w:rPr>
        <w:t xml:space="preserve">Kartotinių </w:t>
      </w:r>
      <w:r w:rsidR="00913CBE">
        <w:rPr>
          <w:rFonts w:eastAsiaTheme="minorHAnsi"/>
          <w:color w:val="000000"/>
          <w:sz w:val="22"/>
          <w:szCs w:val="22"/>
          <w:lang w:eastAsia="en-US"/>
        </w:rPr>
        <w:t>dozių tyrimas. Turimi duomenys yra tik vieno tyrimo. Vaikų ir paauglių, 7 paras kartotinai vartojusių 500 mg dozę 2 kartus per parą, didžiausia koncentracija kraujo plazmoje (</w:t>
      </w:r>
      <w:proofErr w:type="spellStart"/>
      <w:r w:rsidR="00913CBE">
        <w:rPr>
          <w:rFonts w:eastAsiaTheme="minorHAnsi"/>
          <w:color w:val="000000"/>
          <w:sz w:val="22"/>
          <w:szCs w:val="22"/>
          <w:lang w:eastAsia="en-US"/>
        </w:rPr>
        <w:t>Cmax</w:t>
      </w:r>
      <w:proofErr w:type="spellEnd"/>
      <w:r w:rsidR="00913CBE">
        <w:rPr>
          <w:rFonts w:eastAsiaTheme="minorHAnsi"/>
          <w:color w:val="000000"/>
          <w:sz w:val="22"/>
          <w:szCs w:val="22"/>
          <w:lang w:eastAsia="en-US"/>
        </w:rPr>
        <w:t>) ir sisteminė ekspozicija (AUC0-t) buvo mažesnės atitinkamai 33 </w:t>
      </w:r>
      <w:r w:rsidR="00913CBE" w:rsidRPr="00A02B90">
        <w:rPr>
          <w:sz w:val="22"/>
          <w:szCs w:val="22"/>
          <w:lang w:eastAsia="en-US"/>
        </w:rPr>
        <w:t>%</w:t>
      </w:r>
      <w:r w:rsidR="00913CBE">
        <w:rPr>
          <w:rFonts w:eastAsiaTheme="minorHAnsi"/>
          <w:color w:val="000000"/>
          <w:sz w:val="22"/>
          <w:szCs w:val="22"/>
          <w:lang w:eastAsia="en-US"/>
        </w:rPr>
        <w:t xml:space="preserve"> ir 40 </w:t>
      </w:r>
      <w:r w:rsidR="00913CBE" w:rsidRPr="00A02B90">
        <w:rPr>
          <w:sz w:val="22"/>
          <w:szCs w:val="22"/>
          <w:lang w:eastAsia="en-US"/>
        </w:rPr>
        <w:t>%</w:t>
      </w:r>
      <w:r w:rsidR="00913CBE">
        <w:rPr>
          <w:rFonts w:eastAsiaTheme="minorHAnsi"/>
          <w:color w:val="000000"/>
          <w:sz w:val="22"/>
          <w:szCs w:val="22"/>
          <w:lang w:eastAsia="en-US"/>
        </w:rPr>
        <w:t xml:space="preserve">, palyginti su nustatytomis cukriniu diabetu sergančių suaugusių žmonių, 14 parų kartotinai vartojusių 500 mg dozę 2 kartus per parą, organizme. Kadangi dozė yra nustatoma kiekvienam pacientui atskirai, atsižvelgiant į </w:t>
      </w:r>
      <w:proofErr w:type="spellStart"/>
      <w:r w:rsidR="00913CBE">
        <w:rPr>
          <w:rFonts w:eastAsiaTheme="minorHAnsi"/>
          <w:color w:val="000000"/>
          <w:sz w:val="22"/>
          <w:szCs w:val="22"/>
          <w:lang w:eastAsia="en-US"/>
        </w:rPr>
        <w:t>glikemijos</w:t>
      </w:r>
      <w:proofErr w:type="spellEnd"/>
      <w:r w:rsidR="00913CBE">
        <w:rPr>
          <w:rFonts w:eastAsiaTheme="minorHAnsi"/>
          <w:color w:val="000000"/>
          <w:sz w:val="22"/>
          <w:szCs w:val="22"/>
          <w:lang w:eastAsia="en-US"/>
        </w:rPr>
        <w:t xml:space="preserve"> kontrolę, šių duomenų klinikinė reikšmė yra ribota.</w:t>
      </w:r>
    </w:p>
    <w:p w14:paraId="7DE511AD" w14:textId="77777777" w:rsidR="003B31DC" w:rsidRDefault="003B31DC">
      <w:pPr>
        <w:keepNext/>
        <w:tabs>
          <w:tab w:val="left" w:pos="567"/>
        </w:tabs>
        <w:outlineLvl w:val="3"/>
        <w:rPr>
          <w:rFonts w:eastAsiaTheme="minorHAnsi"/>
          <w:color w:val="000000"/>
          <w:sz w:val="22"/>
          <w:szCs w:val="22"/>
          <w:lang w:eastAsia="en-US"/>
        </w:rPr>
      </w:pPr>
    </w:p>
    <w:p w14:paraId="57E416E7" w14:textId="77777777" w:rsidR="003B31DC" w:rsidRDefault="00913CBE">
      <w:pPr>
        <w:keepNext/>
        <w:tabs>
          <w:tab w:val="left" w:pos="567"/>
        </w:tabs>
        <w:outlineLvl w:val="3"/>
        <w:rPr>
          <w:b/>
          <w:bCs/>
          <w:snapToGrid w:val="0"/>
          <w:sz w:val="22"/>
          <w:szCs w:val="22"/>
          <w:lang w:eastAsia="x-none"/>
        </w:rPr>
      </w:pPr>
      <w:r>
        <w:rPr>
          <w:b/>
          <w:bCs/>
          <w:snapToGrid w:val="0"/>
          <w:sz w:val="22"/>
          <w:szCs w:val="22"/>
          <w:lang w:eastAsia="x-none"/>
        </w:rPr>
        <w:t>5.3</w:t>
      </w:r>
      <w:r>
        <w:rPr>
          <w:b/>
          <w:bCs/>
          <w:snapToGrid w:val="0"/>
          <w:sz w:val="22"/>
          <w:szCs w:val="22"/>
          <w:lang w:eastAsia="x-none"/>
        </w:rPr>
        <w:tab/>
      </w:r>
      <w:proofErr w:type="spellStart"/>
      <w:r>
        <w:rPr>
          <w:b/>
          <w:bCs/>
          <w:snapToGrid w:val="0"/>
          <w:sz w:val="22"/>
          <w:szCs w:val="22"/>
          <w:lang w:eastAsia="x-none"/>
        </w:rPr>
        <w:t>Ikiklinikinių</w:t>
      </w:r>
      <w:proofErr w:type="spellEnd"/>
      <w:r>
        <w:rPr>
          <w:b/>
          <w:bCs/>
          <w:snapToGrid w:val="0"/>
          <w:sz w:val="22"/>
          <w:szCs w:val="22"/>
          <w:lang w:eastAsia="x-none"/>
        </w:rPr>
        <w:t xml:space="preserve"> saugumo tyrimų duomenys</w:t>
      </w:r>
    </w:p>
    <w:p w14:paraId="644F7BE6" w14:textId="77777777" w:rsidR="003B31DC" w:rsidRDefault="003B31DC">
      <w:pPr>
        <w:rPr>
          <w:snapToGrid w:val="0"/>
          <w:sz w:val="22"/>
          <w:szCs w:val="22"/>
          <w:lang w:eastAsia="en-US"/>
        </w:rPr>
      </w:pPr>
    </w:p>
    <w:p w14:paraId="58511A8B" w14:textId="77777777" w:rsidR="003B31DC" w:rsidRDefault="00913CB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Empagliflozinas</w:t>
      </w:r>
      <w:proofErr w:type="spellEnd"/>
      <w:r>
        <w:rPr>
          <w:rFonts w:eastAsiaTheme="minorHAnsi"/>
          <w:color w:val="000000"/>
          <w:sz w:val="22"/>
          <w:szCs w:val="22"/>
          <w:u w:val="single"/>
          <w:lang w:eastAsia="en-US"/>
        </w:rPr>
        <w:t xml:space="preserve"> ir </w:t>
      </w:r>
      <w:proofErr w:type="spellStart"/>
      <w:r>
        <w:rPr>
          <w:rFonts w:eastAsiaTheme="minorHAnsi"/>
          <w:color w:val="000000"/>
          <w:sz w:val="22"/>
          <w:szCs w:val="22"/>
          <w:u w:val="single"/>
          <w:lang w:eastAsia="en-US"/>
        </w:rPr>
        <w:t>metforminas</w:t>
      </w:r>
      <w:proofErr w:type="spellEnd"/>
    </w:p>
    <w:p w14:paraId="3A74273B" w14:textId="77777777" w:rsidR="003B31DC" w:rsidRDefault="003B31DC">
      <w:pPr>
        <w:autoSpaceDE w:val="0"/>
        <w:autoSpaceDN w:val="0"/>
        <w:adjustRightInd w:val="0"/>
        <w:rPr>
          <w:rFonts w:eastAsiaTheme="minorHAnsi"/>
          <w:color w:val="000000"/>
          <w:sz w:val="22"/>
          <w:szCs w:val="22"/>
          <w:u w:val="single"/>
          <w:lang w:eastAsia="en-US"/>
        </w:rPr>
      </w:pPr>
    </w:p>
    <w:p w14:paraId="1511C905"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derinio bendro toksinio poveikio tyrimai, trukę iki 13 savaičių, buvo atlikti su žiurkėmis. Jų metu papildomų organų taikinių nenustatyta, palyginti su vienu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xml:space="preserve"> ar vienu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Kai kuris poveikis sudėtinio gydymo metu sustiprėjo, pvz., poveikis inkstų fiziologijai, elektrolitų pusiausvyrai ir rūgščių / šarmų būsenai. Tačiau tik </w:t>
      </w:r>
      <w:proofErr w:type="spellStart"/>
      <w:r>
        <w:rPr>
          <w:rFonts w:eastAsiaTheme="minorHAnsi"/>
          <w:color w:val="000000"/>
          <w:sz w:val="22"/>
          <w:szCs w:val="22"/>
          <w:lang w:eastAsia="en-US"/>
        </w:rPr>
        <w:t>hipochloremija</w:t>
      </w:r>
      <w:proofErr w:type="spellEnd"/>
      <w:r>
        <w:rPr>
          <w:rFonts w:eastAsiaTheme="minorHAnsi"/>
          <w:color w:val="000000"/>
          <w:sz w:val="22"/>
          <w:szCs w:val="22"/>
          <w:lang w:eastAsia="en-US"/>
        </w:rPr>
        <w:t xml:space="preserve"> buvo laikoma nepageidaujama tada, kai ekspozicija buvo atitinkamai apie 9 ir 3 kartus didesnė negu klinikinė AUC ekspozicija vartojant didžiausias rekomenduojamas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dozes.</w:t>
      </w:r>
    </w:p>
    <w:p w14:paraId="66597C56" w14:textId="77777777" w:rsidR="003B31DC" w:rsidRDefault="003B31DC">
      <w:pPr>
        <w:autoSpaceDE w:val="0"/>
        <w:autoSpaceDN w:val="0"/>
        <w:adjustRightInd w:val="0"/>
        <w:rPr>
          <w:rFonts w:eastAsiaTheme="minorHAnsi"/>
          <w:color w:val="000000"/>
          <w:sz w:val="22"/>
          <w:szCs w:val="22"/>
          <w:lang w:eastAsia="en-US"/>
        </w:rPr>
      </w:pPr>
    </w:p>
    <w:p w14:paraId="1203DFF0"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Embriono ir vaisiaus vystymosi tyrimas, atliktas su vaikingomis žiurkėmis, neparodė </w:t>
      </w:r>
      <w:proofErr w:type="spellStart"/>
      <w:r>
        <w:rPr>
          <w:rFonts w:eastAsiaTheme="minorHAnsi"/>
          <w:color w:val="000000"/>
          <w:sz w:val="22"/>
          <w:szCs w:val="22"/>
          <w:lang w:eastAsia="en-US"/>
        </w:rPr>
        <w:t>teratogeninio</w:t>
      </w:r>
      <w:proofErr w:type="spellEnd"/>
      <w:r>
        <w:rPr>
          <w:rFonts w:eastAsiaTheme="minorHAnsi"/>
          <w:color w:val="000000"/>
          <w:sz w:val="22"/>
          <w:szCs w:val="22"/>
          <w:lang w:eastAsia="en-US"/>
        </w:rPr>
        <w:t xml:space="preserve"> poveikio, susijusio su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vartojimu kartu, esant maždaug 14 kartų didesnei ekspozicijai už klinikinę AUC ekspoziciją, atsirandančią vartojant didžiausią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dozę, ir 4 kartus didesnei už klinikinę AUC ekspoziciją, atsirandančią vartojant 2 000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dozę.</w:t>
      </w:r>
    </w:p>
    <w:p w14:paraId="39B2B4DB" w14:textId="77777777" w:rsidR="003B31DC" w:rsidRDefault="003B31DC">
      <w:pPr>
        <w:autoSpaceDE w:val="0"/>
        <w:autoSpaceDN w:val="0"/>
        <w:adjustRightInd w:val="0"/>
        <w:rPr>
          <w:rFonts w:eastAsiaTheme="minorHAnsi"/>
          <w:color w:val="000000"/>
          <w:sz w:val="22"/>
          <w:szCs w:val="22"/>
          <w:lang w:eastAsia="en-US"/>
        </w:rPr>
      </w:pPr>
    </w:p>
    <w:p w14:paraId="17D11804" w14:textId="77777777" w:rsidR="003B31DC" w:rsidRDefault="00913CB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Empagliflozinas</w:t>
      </w:r>
      <w:proofErr w:type="spellEnd"/>
    </w:p>
    <w:p w14:paraId="4B931EDB" w14:textId="77777777" w:rsidR="003B31DC" w:rsidRDefault="003B31DC">
      <w:pPr>
        <w:autoSpaceDE w:val="0"/>
        <w:autoSpaceDN w:val="0"/>
        <w:adjustRightInd w:val="0"/>
        <w:rPr>
          <w:rFonts w:eastAsiaTheme="minorHAnsi"/>
          <w:color w:val="000000"/>
          <w:sz w:val="22"/>
          <w:szCs w:val="22"/>
          <w:lang w:eastAsia="en-US"/>
        </w:rPr>
      </w:pPr>
    </w:p>
    <w:p w14:paraId="66138362"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Įprastų farmakologinio saugumo, </w:t>
      </w:r>
      <w:proofErr w:type="spellStart"/>
      <w:r>
        <w:rPr>
          <w:rFonts w:eastAsiaTheme="minorHAnsi"/>
          <w:color w:val="000000"/>
          <w:sz w:val="22"/>
          <w:szCs w:val="22"/>
          <w:lang w:eastAsia="en-US"/>
        </w:rPr>
        <w:t>genotoksiškumo</w:t>
      </w:r>
      <w:proofErr w:type="spellEnd"/>
      <w:r>
        <w:rPr>
          <w:rFonts w:eastAsiaTheme="minorHAnsi"/>
          <w:color w:val="000000"/>
          <w:sz w:val="22"/>
          <w:szCs w:val="22"/>
          <w:lang w:eastAsia="en-US"/>
        </w:rPr>
        <w:t xml:space="preserve">, toksinio poveikio vaisingumui ir ankstyvajam embriono vystymuisi </w:t>
      </w:r>
      <w:proofErr w:type="spellStart"/>
      <w:r>
        <w:rPr>
          <w:rFonts w:eastAsiaTheme="minorHAnsi"/>
          <w:color w:val="000000"/>
          <w:sz w:val="22"/>
          <w:szCs w:val="22"/>
          <w:lang w:eastAsia="en-US"/>
        </w:rPr>
        <w:t>ikiklinikinių</w:t>
      </w:r>
      <w:proofErr w:type="spellEnd"/>
      <w:r>
        <w:rPr>
          <w:rFonts w:eastAsiaTheme="minorHAnsi"/>
          <w:color w:val="000000"/>
          <w:sz w:val="22"/>
          <w:szCs w:val="22"/>
          <w:lang w:eastAsia="en-US"/>
        </w:rPr>
        <w:t xml:space="preserve"> tyrimų duomenys specifinio pavojaus žmogui nerodo.</w:t>
      </w:r>
    </w:p>
    <w:p w14:paraId="15A43FEA"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Ilgalaikių toksiškumo tyrimų, atliktų su graužikais ir šunimis metu toksinio poveikio požymiai pastebėti, kai ekspozicija 10 kartų ar daugiau viršijo klinikinės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dozės ekspoziciją. Didžioji toksinio poveikio dalis atitiko antrinį farmakologinį poveikį, susijusį su gliukozės išskyrimu su šlapimu, elektrolitų pusiausvyros sutrikimu, įskaitant kūno svorio ir kūno riebalų kiekio sumažėjimą, padidėjusį ėdalo suvartojimą, viduriavimą, dehidrataciją, sumažėjusią gliukozės koncentraciją kraujo serume ir kitų kraujo serumo parametrų, atspindinčių sustiprėjusį baltymų metabolizmą ir </w:t>
      </w:r>
      <w:proofErr w:type="spellStart"/>
      <w:r>
        <w:rPr>
          <w:rFonts w:eastAsiaTheme="minorHAnsi"/>
          <w:color w:val="000000"/>
          <w:sz w:val="22"/>
          <w:szCs w:val="22"/>
          <w:lang w:eastAsia="en-US"/>
        </w:rPr>
        <w:t>gliukoneogenezę</w:t>
      </w:r>
      <w:proofErr w:type="spellEnd"/>
      <w:r>
        <w:rPr>
          <w:rFonts w:eastAsiaTheme="minorHAnsi"/>
          <w:color w:val="000000"/>
          <w:sz w:val="22"/>
          <w:szCs w:val="22"/>
          <w:lang w:eastAsia="en-US"/>
        </w:rPr>
        <w:t xml:space="preserve">, padidėjimą, šlapimo pokyčius (pvz., </w:t>
      </w:r>
      <w:proofErr w:type="spellStart"/>
      <w:r>
        <w:rPr>
          <w:rFonts w:eastAsiaTheme="minorHAnsi"/>
          <w:color w:val="000000"/>
          <w:sz w:val="22"/>
          <w:szCs w:val="22"/>
          <w:lang w:eastAsia="en-US"/>
        </w:rPr>
        <w:t>poliuriją</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gliukozuriją</w:t>
      </w:r>
      <w:proofErr w:type="spellEnd"/>
      <w:r>
        <w:rPr>
          <w:rFonts w:eastAsiaTheme="minorHAnsi"/>
          <w:color w:val="000000"/>
          <w:sz w:val="22"/>
          <w:szCs w:val="22"/>
          <w:lang w:eastAsia="en-US"/>
        </w:rPr>
        <w:t xml:space="preserve">) bei mikroskopinius pokyčius, įskaitant inkstų ir kai kurių minkštųjų bei kraujagyslinių audinių mineralizaciją. Mikroskopiniai nenormaliai sustiprėjusio farmakologinio poveikio kai kurių rūšių gyvūnų inkstams požymiai buvo kanalėlių išsiplėtimas, kanalėlių ir geldelių mineralizacija, kai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AUC ekspozicija maždaug 4 kartus viršijo klinikinės 25 mg dozės ekspoziciją.</w:t>
      </w:r>
    </w:p>
    <w:p w14:paraId="5934AA68" w14:textId="77777777" w:rsidR="003B31DC" w:rsidRDefault="003B31DC">
      <w:pPr>
        <w:autoSpaceDE w:val="0"/>
        <w:autoSpaceDN w:val="0"/>
        <w:adjustRightInd w:val="0"/>
        <w:rPr>
          <w:rFonts w:eastAsiaTheme="minorHAnsi"/>
          <w:color w:val="000000"/>
          <w:sz w:val="22"/>
          <w:szCs w:val="22"/>
          <w:lang w:eastAsia="en-US"/>
        </w:rPr>
      </w:pPr>
    </w:p>
    <w:p w14:paraId="547A2CAD"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nėra </w:t>
      </w:r>
      <w:proofErr w:type="spellStart"/>
      <w:r>
        <w:rPr>
          <w:rFonts w:eastAsiaTheme="minorHAnsi"/>
          <w:color w:val="000000"/>
          <w:sz w:val="22"/>
          <w:szCs w:val="22"/>
          <w:lang w:eastAsia="en-US"/>
        </w:rPr>
        <w:t>genotoksiškas</w:t>
      </w:r>
      <w:proofErr w:type="spellEnd"/>
      <w:r>
        <w:rPr>
          <w:rFonts w:eastAsiaTheme="minorHAnsi"/>
          <w:color w:val="000000"/>
          <w:sz w:val="22"/>
          <w:szCs w:val="22"/>
          <w:lang w:eastAsia="en-US"/>
        </w:rPr>
        <w:t>.</w:t>
      </w:r>
    </w:p>
    <w:p w14:paraId="6E10BAF7" w14:textId="77777777" w:rsidR="003B31DC" w:rsidRDefault="003B31DC">
      <w:pPr>
        <w:autoSpaceDE w:val="0"/>
        <w:autoSpaceDN w:val="0"/>
        <w:adjustRightInd w:val="0"/>
        <w:rPr>
          <w:rFonts w:eastAsiaTheme="minorHAnsi"/>
          <w:color w:val="000000"/>
          <w:sz w:val="22"/>
          <w:szCs w:val="22"/>
          <w:lang w:eastAsia="en-US"/>
        </w:rPr>
      </w:pPr>
    </w:p>
    <w:p w14:paraId="12E198EF"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2 metų trukmės </w:t>
      </w:r>
      <w:proofErr w:type="spellStart"/>
      <w:r>
        <w:rPr>
          <w:rFonts w:eastAsiaTheme="minorHAnsi"/>
          <w:color w:val="000000"/>
          <w:sz w:val="22"/>
          <w:szCs w:val="22"/>
          <w:lang w:eastAsia="en-US"/>
        </w:rPr>
        <w:t>kancerogeniškumo</w:t>
      </w:r>
      <w:proofErr w:type="spellEnd"/>
      <w:r>
        <w:rPr>
          <w:rFonts w:eastAsiaTheme="minorHAnsi"/>
          <w:color w:val="000000"/>
          <w:sz w:val="22"/>
          <w:szCs w:val="22"/>
          <w:lang w:eastAsia="en-US"/>
        </w:rPr>
        <w:t xml:space="preserve"> tyrimo metu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žiurkių patelėms auglių dažnio nepadidino, duodant didžiausią iki 700 mg/kg paros dozę, kuri maždaug 72 kartus viršijo maksimalią klinikinę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AUC ekspoziciją. Duodant didžiausias dozes, žiurkių patinams buvo nustatyti su gydymu susiję gerybiniai </w:t>
      </w:r>
      <w:proofErr w:type="spellStart"/>
      <w:r>
        <w:rPr>
          <w:rFonts w:eastAsiaTheme="minorHAnsi"/>
          <w:color w:val="000000"/>
          <w:sz w:val="22"/>
          <w:szCs w:val="22"/>
          <w:lang w:eastAsia="en-US"/>
        </w:rPr>
        <w:t>mezenterinių</w:t>
      </w:r>
      <w:proofErr w:type="spellEnd"/>
      <w:r>
        <w:rPr>
          <w:rFonts w:eastAsiaTheme="minorHAnsi"/>
          <w:color w:val="000000"/>
          <w:sz w:val="22"/>
          <w:szCs w:val="22"/>
          <w:lang w:eastAsia="en-US"/>
        </w:rPr>
        <w:t xml:space="preserve"> limfmazgių kraujagysliniai </w:t>
      </w:r>
      <w:proofErr w:type="spellStart"/>
      <w:r>
        <w:rPr>
          <w:rFonts w:eastAsiaTheme="minorHAnsi"/>
          <w:color w:val="000000"/>
          <w:sz w:val="22"/>
          <w:szCs w:val="22"/>
          <w:lang w:eastAsia="en-US"/>
        </w:rPr>
        <w:t>proliferaciniai</w:t>
      </w:r>
      <w:proofErr w:type="spellEnd"/>
      <w:r>
        <w:rPr>
          <w:rFonts w:eastAsiaTheme="minorHAnsi"/>
          <w:color w:val="000000"/>
          <w:sz w:val="22"/>
          <w:szCs w:val="22"/>
          <w:lang w:eastAsia="en-US"/>
        </w:rPr>
        <w:t xml:space="preserve"> pakitimai (</w:t>
      </w:r>
      <w:proofErr w:type="spellStart"/>
      <w:r>
        <w:rPr>
          <w:rFonts w:eastAsiaTheme="minorHAnsi"/>
          <w:color w:val="000000"/>
          <w:sz w:val="22"/>
          <w:szCs w:val="22"/>
          <w:lang w:eastAsia="en-US"/>
        </w:rPr>
        <w:t>hemangiomos</w:t>
      </w:r>
      <w:proofErr w:type="spellEnd"/>
      <w:r>
        <w:rPr>
          <w:rFonts w:eastAsiaTheme="minorHAnsi"/>
          <w:color w:val="000000"/>
          <w:sz w:val="22"/>
          <w:szCs w:val="22"/>
          <w:lang w:eastAsia="en-US"/>
        </w:rPr>
        <w:t xml:space="preserve">), kurių neatsirado duodant 300 mg/kg paros dozę, kuri maždaug 26 kartus viršijo maksimalią klinikinę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ekspoziciją. Sėklidžių </w:t>
      </w:r>
      <w:proofErr w:type="spellStart"/>
      <w:r>
        <w:rPr>
          <w:rFonts w:eastAsiaTheme="minorHAnsi"/>
          <w:color w:val="000000"/>
          <w:sz w:val="22"/>
          <w:szCs w:val="22"/>
          <w:lang w:eastAsia="en-US"/>
        </w:rPr>
        <w:t>intersticinių</w:t>
      </w:r>
      <w:proofErr w:type="spellEnd"/>
      <w:r>
        <w:rPr>
          <w:rFonts w:eastAsiaTheme="minorHAnsi"/>
          <w:color w:val="000000"/>
          <w:sz w:val="22"/>
          <w:szCs w:val="22"/>
          <w:lang w:eastAsia="en-US"/>
        </w:rPr>
        <w:t xml:space="preserve"> ląstelių auglių dažnis žiurkėms padidėjo nuo 300 mg/kg ar didesnių paros dozių, bet ne nuo 100 mg/kg paros dozės, kuri maždaug 18 kartų viršija maksimalią klinikinę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ekspoziciją. Abiejų minėtų rūšių augliai yra dažni žiurkėms, jų reikšmė žmonėms nėra tikėtina.</w:t>
      </w:r>
    </w:p>
    <w:p w14:paraId="73B4BE65" w14:textId="77777777" w:rsidR="003B31DC" w:rsidRDefault="003B31DC">
      <w:pPr>
        <w:autoSpaceDE w:val="0"/>
        <w:autoSpaceDN w:val="0"/>
        <w:adjustRightInd w:val="0"/>
        <w:rPr>
          <w:rFonts w:eastAsiaTheme="minorHAnsi"/>
          <w:color w:val="000000"/>
          <w:sz w:val="22"/>
          <w:szCs w:val="22"/>
          <w:lang w:eastAsia="en-US"/>
        </w:rPr>
      </w:pPr>
    </w:p>
    <w:p w14:paraId="77F92405"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nepadidino auglių dažnio pelių patelėms, kurioms buvo duodamos mažesnės negu 1 000 mg/kg paros dozės, kurios atitinka maždaug 62 kartus didesnę didžiausią klinikinę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ekspoziciją. Pelių patinams inkstų auglių atsirado nuo 1 000 mg/kg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paros dozės, bet ne nuo 300 mg/kg paros dozės, kuri maždaug 11 kartų viršija didžiausią klinikinę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ekspoziciją. Veikimo būdas šių auglių atsiradimui priklauso nuo pelių patinų natūralaus polinkio į inkstų patologiją ir nuo metabolizmo pobūdžio, kuris skiriasi nuo žmonių metabolizmo. Manoma, kad duomenys apie pelių patinų inkstų auglius žmonėms yra nereikšmingi.</w:t>
      </w:r>
    </w:p>
    <w:p w14:paraId="2BE7D36C" w14:textId="77777777" w:rsidR="003B31DC" w:rsidRDefault="003B31DC">
      <w:pPr>
        <w:autoSpaceDE w:val="0"/>
        <w:autoSpaceDN w:val="0"/>
        <w:adjustRightInd w:val="0"/>
        <w:rPr>
          <w:rFonts w:eastAsiaTheme="minorHAnsi"/>
          <w:color w:val="000000"/>
          <w:sz w:val="22"/>
          <w:szCs w:val="22"/>
          <w:lang w:eastAsia="en-US"/>
        </w:rPr>
      </w:pPr>
    </w:p>
    <w:p w14:paraId="77A69698"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Kai ekspozicija buvo tokia, kuri pakankamai viršija ekspoziciją terapinę dozę vartojančiam žmogui, nepageidaujamo poveikio vaisingumui ar ankstyvajam embriono vystymuisi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nedarė. </w:t>
      </w:r>
      <w:proofErr w:type="spellStart"/>
      <w:r>
        <w:rPr>
          <w:rFonts w:eastAsiaTheme="minorHAnsi"/>
          <w:color w:val="000000"/>
          <w:sz w:val="22"/>
          <w:szCs w:val="22"/>
          <w:lang w:eastAsia="en-US"/>
        </w:rPr>
        <w:t>Organogenezės</w:t>
      </w:r>
      <w:proofErr w:type="spellEnd"/>
      <w:r>
        <w:rPr>
          <w:rFonts w:eastAsiaTheme="minorHAnsi"/>
          <w:color w:val="000000"/>
          <w:sz w:val="22"/>
          <w:szCs w:val="22"/>
          <w:lang w:eastAsia="en-US"/>
        </w:rPr>
        <w:t xml:space="preserve"> laikotarpiu vartojamas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nebuvo </w:t>
      </w:r>
      <w:proofErr w:type="spellStart"/>
      <w:r>
        <w:rPr>
          <w:rFonts w:eastAsiaTheme="minorHAnsi"/>
          <w:color w:val="000000"/>
          <w:sz w:val="22"/>
          <w:szCs w:val="22"/>
          <w:lang w:eastAsia="en-US"/>
        </w:rPr>
        <w:t>teratogeniškas</w:t>
      </w:r>
      <w:proofErr w:type="spellEnd"/>
      <w:r>
        <w:rPr>
          <w:rFonts w:eastAsiaTheme="minorHAnsi"/>
          <w:color w:val="000000"/>
          <w:sz w:val="22"/>
          <w:szCs w:val="22"/>
          <w:lang w:eastAsia="en-US"/>
        </w:rPr>
        <w:t xml:space="preserve">. Tik tokios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dozės, kurios patelėms darė toksinį poveikį, taip pat sukėlė galūnių kaulų iškrypimus žiurkėms ir dažnesnį embriono ir (arba) vaisiaus praradimą triušiams.</w:t>
      </w:r>
    </w:p>
    <w:p w14:paraId="4CEC468B" w14:textId="77777777" w:rsidR="003B31DC" w:rsidRDefault="003B31DC">
      <w:pPr>
        <w:autoSpaceDE w:val="0"/>
        <w:autoSpaceDN w:val="0"/>
        <w:adjustRightInd w:val="0"/>
        <w:rPr>
          <w:rFonts w:eastAsiaTheme="minorHAnsi"/>
          <w:color w:val="000000"/>
          <w:sz w:val="22"/>
          <w:szCs w:val="22"/>
          <w:lang w:eastAsia="en-US"/>
        </w:rPr>
      </w:pPr>
    </w:p>
    <w:p w14:paraId="1F5B301E"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Prenatalinio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postnatalinio</w:t>
      </w:r>
      <w:proofErr w:type="spellEnd"/>
      <w:r>
        <w:rPr>
          <w:rFonts w:eastAsiaTheme="minorHAnsi"/>
          <w:color w:val="000000"/>
          <w:sz w:val="22"/>
          <w:szCs w:val="22"/>
          <w:lang w:eastAsia="en-US"/>
        </w:rPr>
        <w:t xml:space="preserve"> toksiškumo tyrimų, atliktų su žiurkėmis, metu nustatytas jauniklių kūno svorio </w:t>
      </w:r>
      <w:proofErr w:type="spellStart"/>
      <w:r>
        <w:rPr>
          <w:rFonts w:eastAsiaTheme="minorHAnsi"/>
          <w:color w:val="000000"/>
          <w:sz w:val="22"/>
          <w:szCs w:val="22"/>
          <w:lang w:eastAsia="en-US"/>
        </w:rPr>
        <w:t>pieaugio</w:t>
      </w:r>
      <w:proofErr w:type="spellEnd"/>
      <w:r>
        <w:rPr>
          <w:rFonts w:eastAsiaTheme="minorHAnsi"/>
          <w:color w:val="000000"/>
          <w:sz w:val="22"/>
          <w:szCs w:val="22"/>
          <w:lang w:eastAsia="en-US"/>
        </w:rPr>
        <w:t xml:space="preserve"> sumažėjimas, kai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ekspozicija patelėms maždaug 4 kartus viršijo </w:t>
      </w:r>
      <w:proofErr w:type="spellStart"/>
      <w:r>
        <w:rPr>
          <w:rFonts w:eastAsiaTheme="minorHAnsi"/>
          <w:color w:val="000000"/>
          <w:sz w:val="22"/>
          <w:szCs w:val="22"/>
          <w:lang w:eastAsia="en-US"/>
        </w:rPr>
        <w:t>didžiausą</w:t>
      </w:r>
      <w:proofErr w:type="spellEnd"/>
      <w:r>
        <w:rPr>
          <w:rFonts w:eastAsiaTheme="minorHAnsi"/>
          <w:color w:val="000000"/>
          <w:sz w:val="22"/>
          <w:szCs w:val="22"/>
          <w:lang w:eastAsia="en-US"/>
        </w:rPr>
        <w:t xml:space="preserve"> klinikinę ekspoziciją. Esant sisteminei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ekspozicijai, prilygstančiai didžiausiai klinikinei ekspozicijai, tokio poveikio atvejų nebuvo. Šių duomenų svarba žmogui neaiški.</w:t>
      </w:r>
    </w:p>
    <w:p w14:paraId="0851BEC7" w14:textId="77777777" w:rsidR="003B31DC" w:rsidRDefault="003B31DC">
      <w:pPr>
        <w:autoSpaceDE w:val="0"/>
        <w:autoSpaceDN w:val="0"/>
        <w:adjustRightInd w:val="0"/>
        <w:rPr>
          <w:rFonts w:eastAsiaTheme="minorHAnsi"/>
          <w:color w:val="000000"/>
          <w:sz w:val="22"/>
          <w:szCs w:val="22"/>
          <w:lang w:eastAsia="en-US"/>
        </w:rPr>
      </w:pPr>
    </w:p>
    <w:p w14:paraId="43107D88"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Toksinio poveikio tyrime su žiurkių jaunikliais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buvo skiriamas nuo 21 dienos po atsivedimo iki 90 dienos. Tiktai skiriant 100 mg/kg/per parą dozę, kuri maždaug 11 kartų viršijo didžiausią 25 mg klinikinę dozę, žiurkių jaunikliams buvo pastebėtas nekenksmingas labai menkas ar nedidelis inkstų kanalėlių ir geldelių išsiplėtimas. Šie reiškiniai pranyko po 13 savaičių nebeskiriant vaisto.</w:t>
      </w:r>
    </w:p>
    <w:p w14:paraId="6AACAECF" w14:textId="77777777" w:rsidR="003B31DC" w:rsidRDefault="003B31DC">
      <w:pPr>
        <w:autoSpaceDE w:val="0"/>
        <w:autoSpaceDN w:val="0"/>
        <w:adjustRightInd w:val="0"/>
        <w:rPr>
          <w:rFonts w:eastAsiaTheme="minorHAnsi"/>
          <w:color w:val="000000"/>
          <w:sz w:val="22"/>
          <w:szCs w:val="22"/>
          <w:lang w:eastAsia="en-US"/>
        </w:rPr>
      </w:pPr>
    </w:p>
    <w:p w14:paraId="7DBB2452"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Metforminas</w:t>
      </w:r>
    </w:p>
    <w:p w14:paraId="0F6D57ED" w14:textId="77777777" w:rsidR="003B31DC" w:rsidRDefault="003B31DC">
      <w:pPr>
        <w:autoSpaceDE w:val="0"/>
        <w:autoSpaceDN w:val="0"/>
        <w:adjustRightInd w:val="0"/>
        <w:rPr>
          <w:rFonts w:eastAsiaTheme="minorHAnsi"/>
          <w:color w:val="000000"/>
          <w:sz w:val="22"/>
          <w:szCs w:val="22"/>
          <w:u w:val="single"/>
          <w:lang w:eastAsia="en-US"/>
        </w:rPr>
      </w:pPr>
    </w:p>
    <w:p w14:paraId="70D2D591" w14:textId="77777777" w:rsidR="003B31DC" w:rsidRDefault="00913CBE">
      <w:pPr>
        <w:rPr>
          <w:rFonts w:eastAsiaTheme="minorHAnsi"/>
          <w:color w:val="000000"/>
          <w:sz w:val="22"/>
          <w:szCs w:val="22"/>
          <w:lang w:eastAsia="en-US"/>
        </w:rPr>
      </w:pPr>
      <w:r>
        <w:rPr>
          <w:sz w:val="22"/>
          <w:szCs w:val="22"/>
        </w:rPr>
        <w:t xml:space="preserve">Įprastų farmakologinio saugumo, kartotinių dozių toksiškumo, </w:t>
      </w:r>
      <w:proofErr w:type="spellStart"/>
      <w:r>
        <w:rPr>
          <w:sz w:val="22"/>
          <w:szCs w:val="22"/>
        </w:rPr>
        <w:t>genotoksiškumo</w:t>
      </w:r>
      <w:proofErr w:type="spellEnd"/>
      <w:r>
        <w:rPr>
          <w:sz w:val="22"/>
          <w:szCs w:val="22"/>
        </w:rPr>
        <w:t xml:space="preserve">, galimo </w:t>
      </w:r>
      <w:proofErr w:type="spellStart"/>
      <w:r>
        <w:rPr>
          <w:sz w:val="22"/>
          <w:szCs w:val="22"/>
        </w:rPr>
        <w:t>kancerogeniškumo</w:t>
      </w:r>
      <w:proofErr w:type="spellEnd"/>
      <w:r>
        <w:rPr>
          <w:sz w:val="22"/>
          <w:szCs w:val="22"/>
        </w:rPr>
        <w:t xml:space="preserve">, toksinio poveikio reprodukcijai </w:t>
      </w:r>
      <w:proofErr w:type="spellStart"/>
      <w:r>
        <w:rPr>
          <w:sz w:val="22"/>
          <w:szCs w:val="22"/>
        </w:rPr>
        <w:t>ikiklinikinių</w:t>
      </w:r>
      <w:proofErr w:type="spellEnd"/>
      <w:r>
        <w:rPr>
          <w:sz w:val="22"/>
          <w:szCs w:val="22"/>
        </w:rPr>
        <w:t xml:space="preserve"> </w:t>
      </w:r>
      <w:proofErr w:type="spellStart"/>
      <w:r>
        <w:rPr>
          <w:sz w:val="22"/>
          <w:szCs w:val="22"/>
        </w:rPr>
        <w:t>metformino</w:t>
      </w:r>
      <w:proofErr w:type="spellEnd"/>
      <w:r>
        <w:rPr>
          <w:sz w:val="22"/>
          <w:szCs w:val="22"/>
        </w:rPr>
        <w:t xml:space="preserve"> tyrimų duomenys specifinio pavojaus žmogui nerodo. Vartojant 500 mg/kg </w:t>
      </w:r>
      <w:proofErr w:type="spellStart"/>
      <w:r>
        <w:rPr>
          <w:sz w:val="22"/>
          <w:szCs w:val="22"/>
        </w:rPr>
        <w:t>metformino</w:t>
      </w:r>
      <w:proofErr w:type="spellEnd"/>
      <w:r>
        <w:rPr>
          <w:sz w:val="22"/>
          <w:szCs w:val="22"/>
        </w:rPr>
        <w:t xml:space="preserve"> paros dozes, 7 kartus viršijančias didžiausią rekomenduojamą dozę </w:t>
      </w:r>
      <w:r>
        <w:rPr>
          <w:sz w:val="22"/>
          <w:szCs w:val="22"/>
        </w:rPr>
        <w:lastRenderedPageBreak/>
        <w:t xml:space="preserve">žmonėms (DRDŽ), pastebėtas </w:t>
      </w:r>
      <w:proofErr w:type="spellStart"/>
      <w:r>
        <w:rPr>
          <w:sz w:val="22"/>
          <w:szCs w:val="22"/>
        </w:rPr>
        <w:t>teratogeninis</w:t>
      </w:r>
      <w:proofErr w:type="spellEnd"/>
      <w:r>
        <w:rPr>
          <w:sz w:val="22"/>
          <w:szCs w:val="22"/>
        </w:rPr>
        <w:t xml:space="preserve"> </w:t>
      </w:r>
      <w:proofErr w:type="spellStart"/>
      <w:r>
        <w:rPr>
          <w:sz w:val="22"/>
          <w:szCs w:val="22"/>
        </w:rPr>
        <w:t>metformino</w:t>
      </w:r>
      <w:proofErr w:type="spellEnd"/>
      <w:r>
        <w:rPr>
          <w:sz w:val="22"/>
          <w:szCs w:val="22"/>
        </w:rPr>
        <w:t xml:space="preserve"> poveikis </w:t>
      </w:r>
      <w:proofErr w:type="spellStart"/>
      <w:r>
        <w:rPr>
          <w:sz w:val="22"/>
          <w:szCs w:val="22"/>
        </w:rPr>
        <w:t>Wistar</w:t>
      </w:r>
      <w:proofErr w:type="spellEnd"/>
      <w:r>
        <w:rPr>
          <w:sz w:val="22"/>
          <w:szCs w:val="22"/>
        </w:rPr>
        <w:t xml:space="preserve"> </w:t>
      </w:r>
      <w:proofErr w:type="spellStart"/>
      <w:r>
        <w:rPr>
          <w:sz w:val="22"/>
          <w:szCs w:val="22"/>
        </w:rPr>
        <w:t>Hannover</w:t>
      </w:r>
      <w:proofErr w:type="spellEnd"/>
      <w:r>
        <w:rPr>
          <w:sz w:val="22"/>
          <w:szCs w:val="22"/>
        </w:rPr>
        <w:t xml:space="preserve"> žiurkėms, daugiausiai pasireiškiantis kaip skeleto raidos defektų padaugėjimas.</w:t>
      </w:r>
    </w:p>
    <w:p w14:paraId="63581DE6" w14:textId="77777777" w:rsidR="003B31DC" w:rsidRDefault="003B31DC">
      <w:pPr>
        <w:rPr>
          <w:rFonts w:eastAsia="Calibri"/>
          <w:lang w:eastAsia="en-US"/>
        </w:rPr>
      </w:pPr>
    </w:p>
    <w:p w14:paraId="7AF6B86D" w14:textId="77777777" w:rsidR="00A02B90" w:rsidRDefault="00A02B90">
      <w:pPr>
        <w:rPr>
          <w:rFonts w:eastAsia="Calibri"/>
          <w:lang w:eastAsia="en-US"/>
        </w:rPr>
      </w:pPr>
    </w:p>
    <w:p w14:paraId="467FF511" w14:textId="77777777" w:rsidR="003B31DC" w:rsidRDefault="00913CBE">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35E97853" w14:textId="77777777" w:rsidR="003B31DC" w:rsidRDefault="003B31DC">
      <w:pPr>
        <w:widowControl w:val="0"/>
        <w:rPr>
          <w:snapToGrid w:val="0"/>
          <w:sz w:val="22"/>
          <w:szCs w:val="22"/>
          <w:lang w:eastAsia="en-US"/>
        </w:rPr>
      </w:pPr>
    </w:p>
    <w:p w14:paraId="58B9D840" w14:textId="77777777" w:rsidR="003B31DC" w:rsidRDefault="00913CBE">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6CA9EFC1" w14:textId="77777777" w:rsidR="003B31DC" w:rsidRDefault="003B31DC">
      <w:pPr>
        <w:widowControl w:val="0"/>
        <w:rPr>
          <w:snapToGrid w:val="0"/>
          <w:sz w:val="22"/>
          <w:szCs w:val="22"/>
          <w:lang w:eastAsia="en-US"/>
        </w:rPr>
      </w:pPr>
    </w:p>
    <w:p w14:paraId="4E5FBD84" w14:textId="77777777" w:rsidR="003B31DC" w:rsidRDefault="00913CBE">
      <w:pPr>
        <w:widowControl w:val="0"/>
        <w:rPr>
          <w:sz w:val="22"/>
          <w:szCs w:val="22"/>
          <w:u w:val="single"/>
          <w:lang w:eastAsia="en-US"/>
        </w:rPr>
      </w:pPr>
      <w:bookmarkStart w:id="5" w:name="_Hlk200456107"/>
      <w:bookmarkStart w:id="6" w:name="_Hlk224553631"/>
      <w:r>
        <w:rPr>
          <w:sz w:val="22"/>
          <w:szCs w:val="22"/>
          <w:u w:val="single"/>
          <w:lang w:eastAsia="en-US"/>
        </w:rPr>
        <w:t>Tabletės šerdis</w:t>
      </w:r>
    </w:p>
    <w:p w14:paraId="49F65B47" w14:textId="77777777" w:rsidR="003B31DC" w:rsidRDefault="00913CBE">
      <w:pPr>
        <w:widowControl w:val="0"/>
        <w:rPr>
          <w:sz w:val="22"/>
          <w:szCs w:val="22"/>
          <w:lang w:eastAsia="en-US"/>
        </w:rPr>
      </w:pPr>
      <w:bookmarkStart w:id="7" w:name="_Hlk223009894"/>
      <w:proofErr w:type="spellStart"/>
      <w:r>
        <w:rPr>
          <w:sz w:val="22"/>
          <w:szCs w:val="22"/>
          <w:lang w:eastAsia="en-US"/>
        </w:rPr>
        <w:t>Hidroksipropilceliuliozė</w:t>
      </w:r>
      <w:proofErr w:type="spellEnd"/>
    </w:p>
    <w:p w14:paraId="0B1882F8" w14:textId="77777777" w:rsidR="003B31DC" w:rsidRDefault="00913CBE">
      <w:pPr>
        <w:widowControl w:val="0"/>
        <w:rPr>
          <w:sz w:val="22"/>
          <w:szCs w:val="22"/>
          <w:lang w:eastAsia="en-US"/>
        </w:rPr>
      </w:pPr>
      <w:r>
        <w:rPr>
          <w:sz w:val="22"/>
          <w:szCs w:val="22"/>
          <w:lang w:eastAsia="en-US"/>
        </w:rPr>
        <w:t xml:space="preserve">Mažai pakeista </w:t>
      </w:r>
      <w:proofErr w:type="spellStart"/>
      <w:r>
        <w:rPr>
          <w:sz w:val="22"/>
          <w:szCs w:val="22"/>
          <w:lang w:eastAsia="en-US"/>
        </w:rPr>
        <w:t>hidroksipropilceliuliozė</w:t>
      </w:r>
      <w:proofErr w:type="spellEnd"/>
    </w:p>
    <w:p w14:paraId="46652535" w14:textId="77777777" w:rsidR="003B31DC" w:rsidRDefault="00913CBE">
      <w:pPr>
        <w:widowControl w:val="0"/>
        <w:rPr>
          <w:sz w:val="22"/>
          <w:szCs w:val="22"/>
          <w:lang w:eastAsia="en-US"/>
        </w:rPr>
      </w:pPr>
      <w:r>
        <w:rPr>
          <w:sz w:val="22"/>
          <w:szCs w:val="22"/>
          <w:lang w:eastAsia="en-US"/>
        </w:rPr>
        <w:t xml:space="preserve">Magnio </w:t>
      </w:r>
      <w:proofErr w:type="spellStart"/>
      <w:r>
        <w:rPr>
          <w:sz w:val="22"/>
          <w:szCs w:val="22"/>
          <w:lang w:eastAsia="en-US"/>
        </w:rPr>
        <w:t>stearatas</w:t>
      </w:r>
      <w:proofErr w:type="spellEnd"/>
    </w:p>
    <w:p w14:paraId="3151362D" w14:textId="77777777" w:rsidR="003B31DC" w:rsidRDefault="003B31DC">
      <w:pPr>
        <w:widowControl w:val="0"/>
        <w:rPr>
          <w:sz w:val="22"/>
          <w:szCs w:val="22"/>
          <w:highlight w:val="yellow"/>
          <w:u w:val="single"/>
          <w:lang w:eastAsia="en-US"/>
        </w:rPr>
      </w:pPr>
    </w:p>
    <w:p w14:paraId="1398209C" w14:textId="77777777" w:rsidR="003B31DC" w:rsidRDefault="00913CBE">
      <w:pPr>
        <w:widowControl w:val="0"/>
        <w:rPr>
          <w:sz w:val="22"/>
          <w:szCs w:val="22"/>
          <w:u w:val="single"/>
          <w:lang w:eastAsia="en-US"/>
        </w:rPr>
      </w:pPr>
      <w:r>
        <w:rPr>
          <w:sz w:val="22"/>
          <w:szCs w:val="22"/>
          <w:u w:val="single"/>
          <w:lang w:eastAsia="en-US"/>
        </w:rPr>
        <w:t>Tabletės plėvelė</w:t>
      </w:r>
    </w:p>
    <w:p w14:paraId="4E27C65B" w14:textId="10117A56" w:rsidR="003B31DC" w:rsidRDefault="00913CBE">
      <w:pPr>
        <w:widowControl w:val="0"/>
        <w:rPr>
          <w:sz w:val="22"/>
          <w:szCs w:val="22"/>
          <w:lang w:eastAsia="en-US"/>
        </w:rPr>
      </w:pPr>
      <w:r>
        <w:rPr>
          <w:sz w:val="22"/>
          <w:szCs w:val="22"/>
          <w:lang w:eastAsia="en-US"/>
        </w:rPr>
        <w:t>Polivinilo alkoholis</w:t>
      </w:r>
    </w:p>
    <w:p w14:paraId="66F1680C" w14:textId="77777777" w:rsidR="003B31DC" w:rsidRDefault="00913CBE">
      <w:pPr>
        <w:widowControl w:val="0"/>
        <w:rPr>
          <w:sz w:val="22"/>
          <w:szCs w:val="22"/>
          <w:lang w:eastAsia="en-US"/>
        </w:rPr>
      </w:pPr>
      <w:r>
        <w:rPr>
          <w:sz w:val="22"/>
          <w:szCs w:val="22"/>
          <w:lang w:eastAsia="en-US"/>
        </w:rPr>
        <w:t>Kalcio karbonatas</w:t>
      </w:r>
    </w:p>
    <w:p w14:paraId="56319024" w14:textId="77777777" w:rsidR="003B31DC" w:rsidRDefault="00913CBE">
      <w:pPr>
        <w:widowControl w:val="0"/>
        <w:rPr>
          <w:sz w:val="22"/>
          <w:szCs w:val="22"/>
          <w:lang w:eastAsia="en-US"/>
        </w:rPr>
      </w:pPr>
      <w:r>
        <w:rPr>
          <w:sz w:val="22"/>
          <w:szCs w:val="22"/>
          <w:lang w:eastAsia="en-US"/>
        </w:rPr>
        <w:t>Makrogolis</w:t>
      </w:r>
    </w:p>
    <w:p w14:paraId="4673919D" w14:textId="77777777" w:rsidR="003B31DC" w:rsidRDefault="00913CBE">
      <w:pPr>
        <w:widowControl w:val="0"/>
        <w:rPr>
          <w:sz w:val="22"/>
          <w:szCs w:val="22"/>
          <w:lang w:eastAsia="en-US"/>
        </w:rPr>
      </w:pPr>
      <w:r>
        <w:rPr>
          <w:sz w:val="22"/>
          <w:szCs w:val="22"/>
          <w:lang w:eastAsia="en-US"/>
        </w:rPr>
        <w:t>Talkas</w:t>
      </w:r>
    </w:p>
    <w:p w14:paraId="5AA61A63" w14:textId="77777777" w:rsidR="003B31DC" w:rsidRDefault="00913CBE">
      <w:pPr>
        <w:widowControl w:val="0"/>
        <w:rPr>
          <w:sz w:val="22"/>
          <w:szCs w:val="22"/>
          <w:lang w:eastAsia="en-US"/>
        </w:rPr>
      </w:pPr>
      <w:bookmarkStart w:id="8" w:name="_Hlk224214762"/>
      <w:r>
        <w:rPr>
          <w:sz w:val="22"/>
          <w:szCs w:val="22"/>
          <w:lang w:eastAsia="en-US"/>
        </w:rPr>
        <w:t>Geltonasis geležies oksidas (E172)</w:t>
      </w:r>
      <w:bookmarkEnd w:id="5"/>
      <w:r>
        <w:rPr>
          <w:sz w:val="22"/>
          <w:szCs w:val="22"/>
          <w:lang w:eastAsia="en-US"/>
        </w:rPr>
        <w:t xml:space="preserve"> – </w:t>
      </w:r>
      <w:r>
        <w:rPr>
          <w:i/>
          <w:iCs/>
          <w:sz w:val="22"/>
          <w:szCs w:val="22"/>
          <w:lang w:eastAsia="en-US"/>
        </w:rPr>
        <w:t xml:space="preserve">tik </w:t>
      </w:r>
      <w:r>
        <w:rPr>
          <w:rFonts w:eastAsiaTheme="minorHAnsi"/>
          <w:i/>
          <w:iCs/>
          <w:color w:val="000000"/>
          <w:sz w:val="22"/>
          <w:szCs w:val="22"/>
          <w:lang w:eastAsia="en-US"/>
        </w:rPr>
        <w:t>5 mg/850 mg ir 5 mg/1 000 mg plėvele dengtos tabletės</w:t>
      </w:r>
    </w:p>
    <w:bookmarkEnd w:id="7"/>
    <w:bookmarkEnd w:id="8"/>
    <w:p w14:paraId="314F2673" w14:textId="77777777" w:rsidR="003B31DC" w:rsidRDefault="00913CBE">
      <w:pPr>
        <w:widowControl w:val="0"/>
        <w:rPr>
          <w:sz w:val="22"/>
          <w:szCs w:val="22"/>
          <w:lang w:eastAsia="en-US"/>
        </w:rPr>
      </w:pPr>
      <w:r>
        <w:rPr>
          <w:sz w:val="22"/>
          <w:szCs w:val="22"/>
          <w:lang w:eastAsia="en-US"/>
        </w:rPr>
        <w:t xml:space="preserve">Raudonasis geležies oksidas (E172) – </w:t>
      </w:r>
      <w:r>
        <w:rPr>
          <w:i/>
          <w:iCs/>
          <w:sz w:val="22"/>
          <w:szCs w:val="22"/>
          <w:lang w:eastAsia="en-US"/>
        </w:rPr>
        <w:t>tik 12,</w:t>
      </w:r>
      <w:r>
        <w:rPr>
          <w:rFonts w:eastAsiaTheme="minorHAnsi"/>
          <w:i/>
          <w:iCs/>
          <w:color w:val="000000"/>
          <w:sz w:val="22"/>
          <w:szCs w:val="22"/>
          <w:lang w:eastAsia="en-US"/>
        </w:rPr>
        <w:t>5 mg/850 mg ir 12,5 mg/1 000 mg plėvele dengtos tabletės</w:t>
      </w:r>
    </w:p>
    <w:p w14:paraId="4482E57D" w14:textId="77777777" w:rsidR="003B31DC" w:rsidRDefault="00913CBE">
      <w:pPr>
        <w:widowControl w:val="0"/>
        <w:rPr>
          <w:sz w:val="22"/>
          <w:szCs w:val="22"/>
          <w:lang w:eastAsia="en-US"/>
        </w:rPr>
      </w:pPr>
      <w:r>
        <w:rPr>
          <w:sz w:val="22"/>
          <w:szCs w:val="22"/>
          <w:lang w:eastAsia="en-US"/>
        </w:rPr>
        <w:t xml:space="preserve">Juodasis geležies oksidas (E172) – </w:t>
      </w:r>
      <w:r>
        <w:rPr>
          <w:i/>
          <w:iCs/>
          <w:sz w:val="22"/>
          <w:szCs w:val="22"/>
          <w:lang w:eastAsia="en-US"/>
        </w:rPr>
        <w:t>tik 12,</w:t>
      </w:r>
      <w:r>
        <w:rPr>
          <w:rFonts w:eastAsiaTheme="minorHAnsi"/>
          <w:i/>
          <w:iCs/>
          <w:color w:val="000000"/>
          <w:sz w:val="22"/>
          <w:szCs w:val="22"/>
          <w:lang w:eastAsia="en-US"/>
        </w:rPr>
        <w:t>5 mg/850 mg ir 12,5 mg/1 000 mg plėvele dengtos tabletės</w:t>
      </w:r>
    </w:p>
    <w:bookmarkEnd w:id="6"/>
    <w:p w14:paraId="6CAAD2D6" w14:textId="77777777" w:rsidR="003B31DC" w:rsidRDefault="003B31DC">
      <w:pPr>
        <w:widowControl w:val="0"/>
        <w:rPr>
          <w:sz w:val="22"/>
          <w:szCs w:val="22"/>
          <w:lang w:eastAsia="en-US"/>
        </w:rPr>
      </w:pPr>
    </w:p>
    <w:p w14:paraId="70674131" w14:textId="77777777" w:rsidR="003B31DC" w:rsidRDefault="00913CBE" w:rsidP="00FA2F7A">
      <w:pPr>
        <w:keepNext/>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443CF2E8" w14:textId="77777777" w:rsidR="003B31DC" w:rsidRDefault="003B31DC" w:rsidP="00FA2F7A">
      <w:pPr>
        <w:keepNext/>
        <w:widowControl w:val="0"/>
        <w:rPr>
          <w:snapToGrid w:val="0"/>
          <w:sz w:val="22"/>
          <w:szCs w:val="22"/>
          <w:lang w:eastAsia="en-US"/>
        </w:rPr>
      </w:pPr>
    </w:p>
    <w:p w14:paraId="713F7CBA" w14:textId="77777777" w:rsidR="003B31DC" w:rsidRDefault="00913CBE" w:rsidP="00FA2F7A">
      <w:pPr>
        <w:keepNext/>
        <w:widowControl w:val="0"/>
        <w:rPr>
          <w:snapToGrid w:val="0"/>
          <w:sz w:val="22"/>
          <w:szCs w:val="22"/>
          <w:lang w:eastAsia="en-US"/>
        </w:rPr>
      </w:pPr>
      <w:r>
        <w:rPr>
          <w:snapToGrid w:val="0"/>
          <w:sz w:val="22"/>
          <w:szCs w:val="22"/>
          <w:lang w:eastAsia="en-US"/>
        </w:rPr>
        <w:t>Duomenys nebūtini.</w:t>
      </w:r>
    </w:p>
    <w:p w14:paraId="2BA0F298" w14:textId="77777777" w:rsidR="003B31DC" w:rsidRDefault="003B31DC">
      <w:pPr>
        <w:widowControl w:val="0"/>
        <w:rPr>
          <w:snapToGrid w:val="0"/>
          <w:sz w:val="22"/>
          <w:szCs w:val="22"/>
          <w:lang w:eastAsia="en-US"/>
        </w:rPr>
      </w:pPr>
    </w:p>
    <w:p w14:paraId="588770FB" w14:textId="77777777" w:rsidR="003B31DC" w:rsidRDefault="00913CBE">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5F063D20" w14:textId="77777777" w:rsidR="003B31DC" w:rsidRDefault="003B31DC">
      <w:pPr>
        <w:widowControl w:val="0"/>
        <w:rPr>
          <w:snapToGrid w:val="0"/>
          <w:sz w:val="22"/>
          <w:szCs w:val="22"/>
          <w:lang w:eastAsia="en-US"/>
        </w:rPr>
      </w:pPr>
    </w:p>
    <w:p w14:paraId="0D63DCB4" w14:textId="77777777" w:rsidR="003B31DC" w:rsidRDefault="00913CBE">
      <w:pPr>
        <w:widowControl w:val="0"/>
        <w:rPr>
          <w:snapToGrid w:val="0"/>
          <w:sz w:val="22"/>
          <w:szCs w:val="22"/>
          <w:lang w:eastAsia="en-US"/>
        </w:rPr>
      </w:pPr>
      <w:r>
        <w:rPr>
          <w:snapToGrid w:val="0"/>
          <w:sz w:val="22"/>
          <w:szCs w:val="22"/>
          <w:lang w:eastAsia="en-US"/>
        </w:rPr>
        <w:t>2 metai</w:t>
      </w:r>
    </w:p>
    <w:p w14:paraId="4B16A454" w14:textId="77777777" w:rsidR="003B31DC" w:rsidRDefault="003B31DC">
      <w:pPr>
        <w:widowControl w:val="0"/>
        <w:rPr>
          <w:snapToGrid w:val="0"/>
          <w:sz w:val="22"/>
          <w:szCs w:val="22"/>
          <w:lang w:eastAsia="en-US"/>
        </w:rPr>
      </w:pPr>
    </w:p>
    <w:p w14:paraId="3EAB1A89" w14:textId="77777777" w:rsidR="003B31DC" w:rsidRDefault="00913CBE">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4525C273" w14:textId="77777777" w:rsidR="003B31DC" w:rsidRDefault="003B31DC">
      <w:pPr>
        <w:widowControl w:val="0"/>
        <w:rPr>
          <w:snapToGrid w:val="0"/>
          <w:sz w:val="22"/>
          <w:szCs w:val="22"/>
          <w:lang w:eastAsia="en-US"/>
        </w:rPr>
      </w:pPr>
    </w:p>
    <w:p w14:paraId="54A196F5" w14:textId="098EFC81" w:rsidR="003B31DC" w:rsidRDefault="002465E4">
      <w:pPr>
        <w:tabs>
          <w:tab w:val="left" w:pos="567"/>
        </w:tabs>
        <w:spacing w:line="260" w:lineRule="exact"/>
        <w:rPr>
          <w:rFonts w:eastAsia="Calibri"/>
          <w:sz w:val="22"/>
          <w:szCs w:val="22"/>
          <w:lang w:eastAsia="en-US"/>
        </w:rPr>
      </w:pPr>
      <w:r>
        <w:rPr>
          <w:snapToGrid w:val="0"/>
          <w:sz w:val="22"/>
          <w:szCs w:val="20"/>
          <w:lang w:eastAsia="en-US"/>
        </w:rPr>
        <w:t>Šiam vaistiniam preparatui specialių laikymo sąlygų nereikia</w:t>
      </w:r>
      <w:r w:rsidR="00913CBE">
        <w:rPr>
          <w:snapToGrid w:val="0"/>
          <w:sz w:val="22"/>
          <w:szCs w:val="20"/>
          <w:lang w:eastAsia="en-US"/>
        </w:rPr>
        <w:t>.</w:t>
      </w:r>
    </w:p>
    <w:p w14:paraId="56292565" w14:textId="77777777" w:rsidR="003B31DC" w:rsidRDefault="003B31DC">
      <w:pPr>
        <w:widowControl w:val="0"/>
        <w:rPr>
          <w:snapToGrid w:val="0"/>
          <w:sz w:val="22"/>
          <w:szCs w:val="22"/>
          <w:lang w:eastAsia="en-US"/>
        </w:rPr>
      </w:pPr>
    </w:p>
    <w:p w14:paraId="038C7F38" w14:textId="77777777" w:rsidR="003B31DC" w:rsidRDefault="00913CBE">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3FF92D8F" w14:textId="77777777" w:rsidR="003B31DC" w:rsidRDefault="003B31DC">
      <w:pPr>
        <w:widowControl w:val="0"/>
        <w:rPr>
          <w:snapToGrid w:val="0"/>
          <w:sz w:val="22"/>
          <w:szCs w:val="22"/>
          <w:lang w:eastAsia="en-US"/>
        </w:rPr>
      </w:pPr>
    </w:p>
    <w:p w14:paraId="555592DA" w14:textId="381586A7" w:rsidR="003B31DC" w:rsidRDefault="00913CBE">
      <w:pPr>
        <w:widowControl w:val="0"/>
        <w:rPr>
          <w:sz w:val="22"/>
          <w:szCs w:val="22"/>
          <w:lang w:eastAsia="sl-SI"/>
        </w:rPr>
      </w:pPr>
      <w:bookmarkStart w:id="9" w:name="_Hlk190775593"/>
      <w:r>
        <w:rPr>
          <w:snapToGrid w:val="0"/>
          <w:sz w:val="22"/>
          <w:szCs w:val="22"/>
          <w:lang w:eastAsia="en-US"/>
        </w:rPr>
        <w:t>Lizdinė plokštelė (</w:t>
      </w:r>
      <w:r w:rsidR="00A424AD">
        <w:rPr>
          <w:snapToGrid w:val="0"/>
          <w:sz w:val="22"/>
          <w:szCs w:val="22"/>
          <w:lang w:eastAsia="en-US"/>
        </w:rPr>
        <w:t>balt</w:t>
      </w:r>
      <w:r w:rsidR="007928F2">
        <w:rPr>
          <w:snapToGrid w:val="0"/>
          <w:sz w:val="22"/>
          <w:szCs w:val="22"/>
          <w:lang w:eastAsia="en-US"/>
        </w:rPr>
        <w:t>o</w:t>
      </w:r>
      <w:r w:rsidR="00A424AD">
        <w:rPr>
          <w:snapToGrid w:val="0"/>
          <w:sz w:val="22"/>
          <w:szCs w:val="22"/>
          <w:lang w:eastAsia="en-US"/>
        </w:rPr>
        <w:t xml:space="preserve"> </w:t>
      </w:r>
      <w:r w:rsidRPr="00A02B90">
        <w:rPr>
          <w:sz w:val="22"/>
          <w:szCs w:val="22"/>
          <w:lang w:eastAsia="en-US"/>
        </w:rPr>
        <w:t>PVC/PVDC/PVC</w:t>
      </w:r>
      <w:r>
        <w:rPr>
          <w:snapToGrid w:val="0"/>
          <w:sz w:val="22"/>
          <w:szCs w:val="22"/>
          <w:lang w:eastAsia="en-US"/>
        </w:rPr>
        <w:t>//</w:t>
      </w:r>
      <w:r w:rsidR="00D456B5">
        <w:rPr>
          <w:snapToGrid w:val="0"/>
          <w:sz w:val="22"/>
          <w:szCs w:val="22"/>
          <w:lang w:eastAsia="en-US"/>
        </w:rPr>
        <w:t>Al</w:t>
      </w:r>
      <w:r>
        <w:rPr>
          <w:snapToGrid w:val="0"/>
          <w:sz w:val="22"/>
          <w:szCs w:val="22"/>
          <w:lang w:eastAsia="en-US"/>
        </w:rPr>
        <w:t xml:space="preserve"> su saulės/mėnulio simboli</w:t>
      </w:r>
      <w:r w:rsidR="007B2A1C">
        <w:rPr>
          <w:snapToGrid w:val="0"/>
          <w:sz w:val="22"/>
          <w:szCs w:val="22"/>
          <w:lang w:eastAsia="en-US"/>
        </w:rPr>
        <w:t>ais</w:t>
      </w:r>
      <w:r>
        <w:rPr>
          <w:snapToGrid w:val="0"/>
          <w:sz w:val="22"/>
          <w:szCs w:val="22"/>
          <w:lang w:eastAsia="en-US"/>
        </w:rPr>
        <w:t>):</w:t>
      </w:r>
      <w:r>
        <w:rPr>
          <w:sz w:val="22"/>
          <w:szCs w:val="22"/>
          <w:lang w:eastAsia="sl-SI"/>
        </w:rPr>
        <w:t xml:space="preserve"> </w:t>
      </w:r>
      <w:r w:rsidRPr="00A02B90">
        <w:rPr>
          <w:sz w:val="22"/>
          <w:szCs w:val="22"/>
          <w:lang w:eastAsia="en-US"/>
        </w:rPr>
        <w:t>10, 14, 28, 30, 56, 60, 90, 100, 120, 196</w:t>
      </w:r>
      <w:r>
        <w:rPr>
          <w:noProof/>
          <w:sz w:val="22"/>
          <w:szCs w:val="22"/>
          <w:lang w:eastAsia="sl-SI"/>
        </w:rPr>
        <w:t xml:space="preserve"> plėvele dengtos tabletės ir sudėtinė pakuotė, kurioje yra 180 (3 pakuotės po 60) arba 180 (2</w:t>
      </w:r>
      <w:r w:rsidR="000529EC">
        <w:rPr>
          <w:noProof/>
          <w:sz w:val="22"/>
          <w:szCs w:val="22"/>
          <w:lang w:eastAsia="sl-SI"/>
        </w:rPr>
        <w:t> </w:t>
      </w:r>
      <w:r>
        <w:rPr>
          <w:noProof/>
          <w:sz w:val="22"/>
          <w:szCs w:val="22"/>
          <w:lang w:eastAsia="sl-SI"/>
        </w:rPr>
        <w:t>pakuotės po 90) plėvele dengtų tablečių dėžutėje.</w:t>
      </w:r>
    </w:p>
    <w:bookmarkEnd w:id="9"/>
    <w:p w14:paraId="4EEF8F1C" w14:textId="77777777" w:rsidR="003B31DC" w:rsidRDefault="003B31DC">
      <w:pPr>
        <w:widowControl w:val="0"/>
        <w:rPr>
          <w:snapToGrid w:val="0"/>
          <w:sz w:val="22"/>
          <w:szCs w:val="22"/>
          <w:lang w:eastAsia="en-US"/>
        </w:rPr>
      </w:pPr>
    </w:p>
    <w:p w14:paraId="5751FDD0" w14:textId="77777777" w:rsidR="003B31DC" w:rsidRDefault="00913CBE">
      <w:pPr>
        <w:widowControl w:val="0"/>
        <w:rPr>
          <w:snapToGrid w:val="0"/>
          <w:sz w:val="22"/>
          <w:szCs w:val="22"/>
          <w:lang w:eastAsia="en-US"/>
        </w:rPr>
      </w:pPr>
      <w:r>
        <w:rPr>
          <w:snapToGrid w:val="0"/>
          <w:sz w:val="22"/>
          <w:szCs w:val="22"/>
          <w:lang w:eastAsia="en-US"/>
        </w:rPr>
        <w:t>Gali būti tiekiamos ne visų dydžių pakuotės.</w:t>
      </w:r>
    </w:p>
    <w:p w14:paraId="7F82E9D4" w14:textId="77777777" w:rsidR="003B31DC" w:rsidRDefault="003B31DC">
      <w:pPr>
        <w:widowControl w:val="0"/>
        <w:rPr>
          <w:snapToGrid w:val="0"/>
          <w:sz w:val="22"/>
          <w:szCs w:val="22"/>
          <w:lang w:eastAsia="en-US"/>
        </w:rPr>
      </w:pPr>
    </w:p>
    <w:p w14:paraId="5C515EFA" w14:textId="77777777" w:rsidR="003B31DC" w:rsidRDefault="00913CBE">
      <w:pPr>
        <w:widowControl w:val="0"/>
        <w:tabs>
          <w:tab w:val="left" w:pos="567"/>
        </w:tabs>
        <w:jc w:val="both"/>
        <w:outlineLvl w:val="3"/>
        <w:rPr>
          <w:b/>
          <w:bCs/>
          <w:snapToGrid w:val="0"/>
          <w:sz w:val="22"/>
          <w:szCs w:val="22"/>
          <w:lang w:eastAsia="lt-LT"/>
        </w:rPr>
      </w:pPr>
      <w:bookmarkStart w:id="10" w:name="OLE_LINK1"/>
      <w:r>
        <w:rPr>
          <w:b/>
          <w:bCs/>
          <w:snapToGrid w:val="0"/>
          <w:sz w:val="22"/>
          <w:szCs w:val="22"/>
          <w:lang w:eastAsia="lt-LT"/>
        </w:rPr>
        <w:t>6.6</w:t>
      </w:r>
      <w:r>
        <w:rPr>
          <w:b/>
          <w:bCs/>
          <w:snapToGrid w:val="0"/>
          <w:sz w:val="22"/>
          <w:szCs w:val="22"/>
          <w:lang w:eastAsia="lt-LT"/>
        </w:rPr>
        <w:tab/>
        <w:t>Specialūs reikalavimai atliekoms tvarkyti</w:t>
      </w:r>
    </w:p>
    <w:bookmarkEnd w:id="10"/>
    <w:p w14:paraId="38B58B7D" w14:textId="77777777" w:rsidR="003B31DC" w:rsidRDefault="003B31DC">
      <w:pPr>
        <w:widowControl w:val="0"/>
        <w:rPr>
          <w:snapToGrid w:val="0"/>
          <w:sz w:val="22"/>
          <w:szCs w:val="22"/>
          <w:lang w:eastAsia="en-US"/>
        </w:rPr>
      </w:pPr>
    </w:p>
    <w:p w14:paraId="27B51F1E" w14:textId="77777777" w:rsidR="003B31DC" w:rsidRDefault="00913CBE">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6A777A2B" w14:textId="77777777" w:rsidR="003B31DC" w:rsidRDefault="003B31DC">
      <w:pPr>
        <w:widowControl w:val="0"/>
        <w:rPr>
          <w:snapToGrid w:val="0"/>
          <w:sz w:val="22"/>
          <w:szCs w:val="22"/>
          <w:lang w:eastAsia="en-US"/>
        </w:rPr>
      </w:pPr>
    </w:p>
    <w:p w14:paraId="0496AD46" w14:textId="77777777" w:rsidR="003B31DC" w:rsidRDefault="003B31DC">
      <w:pPr>
        <w:widowControl w:val="0"/>
        <w:rPr>
          <w:snapToGrid w:val="0"/>
          <w:sz w:val="22"/>
          <w:szCs w:val="22"/>
          <w:lang w:eastAsia="en-US"/>
        </w:rPr>
      </w:pPr>
    </w:p>
    <w:p w14:paraId="23820E41" w14:textId="77777777" w:rsidR="003B31DC" w:rsidRDefault="00913CBE">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4F699374" w14:textId="77777777" w:rsidR="003B31DC" w:rsidRDefault="003B31DC">
      <w:pPr>
        <w:widowControl w:val="0"/>
        <w:rPr>
          <w:snapToGrid w:val="0"/>
          <w:sz w:val="22"/>
          <w:szCs w:val="22"/>
          <w:lang w:eastAsia="en-US"/>
        </w:rPr>
      </w:pPr>
    </w:p>
    <w:p w14:paraId="204A99B1" w14:textId="77777777" w:rsidR="003B31DC" w:rsidRDefault="00913CBE">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68F6D8E4" w14:textId="77777777" w:rsidR="003B31DC" w:rsidRDefault="00913CBE">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60EB8881" w14:textId="77777777" w:rsidR="003B31DC" w:rsidRDefault="00913CBE">
      <w:pPr>
        <w:widowControl w:val="0"/>
        <w:rPr>
          <w:sz w:val="22"/>
          <w:szCs w:val="22"/>
          <w:lang w:eastAsia="sl-SI"/>
        </w:rPr>
      </w:pPr>
      <w:r>
        <w:rPr>
          <w:sz w:val="22"/>
          <w:szCs w:val="22"/>
          <w:lang w:eastAsia="sl-SI"/>
        </w:rPr>
        <w:t>8501 Novo mesto</w:t>
      </w:r>
    </w:p>
    <w:p w14:paraId="46E0A95C" w14:textId="77777777" w:rsidR="003B31DC" w:rsidRDefault="00913CBE">
      <w:pPr>
        <w:widowControl w:val="0"/>
        <w:rPr>
          <w:sz w:val="22"/>
          <w:szCs w:val="22"/>
          <w:lang w:eastAsia="sl-SI"/>
        </w:rPr>
      </w:pPr>
      <w:r>
        <w:rPr>
          <w:sz w:val="22"/>
          <w:szCs w:val="22"/>
          <w:lang w:eastAsia="sl-SI"/>
        </w:rPr>
        <w:t>Slovėnija</w:t>
      </w:r>
    </w:p>
    <w:p w14:paraId="33CE08DD" w14:textId="77777777" w:rsidR="003B31DC" w:rsidRDefault="003B31DC">
      <w:pPr>
        <w:widowControl w:val="0"/>
        <w:rPr>
          <w:sz w:val="22"/>
          <w:szCs w:val="22"/>
          <w:lang w:eastAsia="sl-SI"/>
        </w:rPr>
      </w:pPr>
    </w:p>
    <w:p w14:paraId="0236C2FB" w14:textId="77777777" w:rsidR="003B31DC" w:rsidRDefault="003B31DC">
      <w:pPr>
        <w:widowControl w:val="0"/>
        <w:rPr>
          <w:snapToGrid w:val="0"/>
          <w:sz w:val="22"/>
          <w:szCs w:val="22"/>
          <w:lang w:eastAsia="en-US"/>
        </w:rPr>
      </w:pPr>
    </w:p>
    <w:p w14:paraId="09E2CF9C" w14:textId="77777777" w:rsidR="003B31DC" w:rsidRDefault="00913CBE">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5D433E88" w14:textId="77777777" w:rsidR="003B31DC" w:rsidRDefault="003B31DC">
      <w:pPr>
        <w:widowControl w:val="0"/>
        <w:tabs>
          <w:tab w:val="left" w:pos="567"/>
        </w:tabs>
        <w:outlineLvl w:val="2"/>
        <w:rPr>
          <w:b/>
          <w:bCs/>
          <w:snapToGrid w:val="0"/>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3C78E9" w14:paraId="0DBF6C68" w14:textId="77777777" w:rsidTr="003C78E9">
        <w:tc>
          <w:tcPr>
            <w:tcW w:w="4820" w:type="dxa"/>
          </w:tcPr>
          <w:p w14:paraId="1B5F257D" w14:textId="77777777" w:rsidR="003C78E9" w:rsidRPr="003C78E9" w:rsidRDefault="003C78E9">
            <w:pPr>
              <w:widowControl w:val="0"/>
              <w:tabs>
                <w:tab w:val="left" w:pos="567"/>
              </w:tabs>
              <w:outlineLvl w:val="2"/>
              <w:rPr>
                <w:snapToGrid w:val="0"/>
                <w:sz w:val="22"/>
                <w:szCs w:val="22"/>
                <w:u w:val="single"/>
                <w:lang w:val="it-CH" w:eastAsia="lt-LT"/>
              </w:rPr>
            </w:pPr>
            <w:r w:rsidRPr="003C78E9">
              <w:rPr>
                <w:snapToGrid w:val="0"/>
                <w:sz w:val="22"/>
                <w:szCs w:val="22"/>
                <w:u w:val="single"/>
                <w:lang w:val="it-CH" w:eastAsia="lt-LT"/>
              </w:rPr>
              <w:lastRenderedPageBreak/>
              <w:t>5 mg/850 mg</w:t>
            </w:r>
          </w:p>
          <w:p w14:paraId="69A8A15D"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LT/1/26/6014/001 – N10</w:t>
            </w:r>
          </w:p>
          <w:p w14:paraId="0543492D"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LT/1/26/6014/002 – N14</w:t>
            </w:r>
          </w:p>
          <w:p w14:paraId="015AF567"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LT/1/26/6014/003 – N28</w:t>
            </w:r>
          </w:p>
          <w:p w14:paraId="198530C9"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LT/1/26/6014/004 – N30</w:t>
            </w:r>
          </w:p>
          <w:p w14:paraId="25AD439F"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LT/1/26/6014/005 – N56</w:t>
            </w:r>
          </w:p>
          <w:p w14:paraId="0307FD60"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LT/1/26/6014/006 – N60</w:t>
            </w:r>
          </w:p>
          <w:p w14:paraId="648FF618"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LT/1/26/6014/007 – N90</w:t>
            </w:r>
          </w:p>
          <w:p w14:paraId="01E0F158"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LT/1/26/6014/008 – N100</w:t>
            </w:r>
          </w:p>
          <w:p w14:paraId="2D977E02"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LT/1/26/6014/009 – N120</w:t>
            </w:r>
          </w:p>
          <w:p w14:paraId="27C9DFAF"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LT/1/26/6014/010 – N196</w:t>
            </w:r>
          </w:p>
          <w:p w14:paraId="0696F599"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LT/1/26/6014/011 – N180 (3x60)</w:t>
            </w:r>
          </w:p>
          <w:p w14:paraId="393B255A" w14:textId="6858AAD2" w:rsidR="003C78E9" w:rsidRPr="003C78E9" w:rsidRDefault="003C78E9" w:rsidP="003C78E9">
            <w:pPr>
              <w:widowControl w:val="0"/>
              <w:tabs>
                <w:tab w:val="left" w:pos="567"/>
              </w:tabs>
              <w:spacing w:after="120"/>
              <w:outlineLvl w:val="2"/>
              <w:rPr>
                <w:snapToGrid w:val="0"/>
                <w:sz w:val="22"/>
                <w:szCs w:val="22"/>
                <w:lang w:val="it-CH" w:eastAsia="lt-LT"/>
              </w:rPr>
            </w:pPr>
            <w:r w:rsidRPr="003C78E9">
              <w:rPr>
                <w:snapToGrid w:val="0"/>
                <w:sz w:val="22"/>
                <w:szCs w:val="22"/>
                <w:lang w:val="it-CH" w:eastAsia="lt-LT"/>
              </w:rPr>
              <w:t>LT/1/26/6014/012 – N180 (2x90)</w:t>
            </w:r>
          </w:p>
        </w:tc>
        <w:tc>
          <w:tcPr>
            <w:tcW w:w="4820" w:type="dxa"/>
          </w:tcPr>
          <w:p w14:paraId="1E89B426" w14:textId="77777777" w:rsidR="003C78E9" w:rsidRPr="003C78E9" w:rsidRDefault="003C78E9">
            <w:pPr>
              <w:widowControl w:val="0"/>
              <w:tabs>
                <w:tab w:val="left" w:pos="567"/>
              </w:tabs>
              <w:outlineLvl w:val="2"/>
              <w:rPr>
                <w:snapToGrid w:val="0"/>
                <w:sz w:val="22"/>
                <w:szCs w:val="22"/>
                <w:u w:val="single"/>
                <w:lang w:val="it-CH" w:eastAsia="lt-LT"/>
              </w:rPr>
            </w:pPr>
            <w:r w:rsidRPr="003C78E9">
              <w:rPr>
                <w:snapToGrid w:val="0"/>
                <w:sz w:val="22"/>
                <w:szCs w:val="22"/>
                <w:u w:val="single"/>
                <w:lang w:val="it-CH" w:eastAsia="lt-LT"/>
              </w:rPr>
              <w:t>5 mg/1000 mg</w:t>
            </w:r>
          </w:p>
          <w:p w14:paraId="73EF9E60"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LT/1/26/6015/001 – N10</w:t>
            </w:r>
          </w:p>
          <w:p w14:paraId="4A9BBDC3"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LT/1/26/6015/002 – N14</w:t>
            </w:r>
          </w:p>
          <w:p w14:paraId="53CBC977"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LT/1/26/6015/003 – N28</w:t>
            </w:r>
          </w:p>
          <w:p w14:paraId="4BFCBC16"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LT/1/26/6015/004 – N30</w:t>
            </w:r>
          </w:p>
          <w:p w14:paraId="39C87A60"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LT/1/26/6015/005 – N56</w:t>
            </w:r>
          </w:p>
          <w:p w14:paraId="5B0B7B4E"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LT/1/26/6015/006 – N60</w:t>
            </w:r>
          </w:p>
          <w:p w14:paraId="628655A5"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LT/1/26/6015/007 – N90</w:t>
            </w:r>
          </w:p>
          <w:p w14:paraId="569093E0"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LT/1/26/6015/008 – N100</w:t>
            </w:r>
          </w:p>
          <w:p w14:paraId="0385D8A9"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LT/1/26/6015/009 – N120</w:t>
            </w:r>
          </w:p>
          <w:p w14:paraId="40D58E88"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LT/1/26/6015/010 – N196</w:t>
            </w:r>
          </w:p>
          <w:p w14:paraId="5BC9C7A7" w14:textId="77777777" w:rsidR="003C78E9" w:rsidRPr="003C78E9" w:rsidRDefault="003C78E9" w:rsidP="003C78E9">
            <w:pPr>
              <w:widowControl w:val="0"/>
              <w:tabs>
                <w:tab w:val="left" w:pos="567"/>
              </w:tabs>
              <w:outlineLvl w:val="2"/>
              <w:rPr>
                <w:snapToGrid w:val="0"/>
                <w:sz w:val="22"/>
                <w:szCs w:val="22"/>
                <w:lang w:val="it-CH" w:eastAsia="lt-LT"/>
              </w:rPr>
            </w:pPr>
            <w:r w:rsidRPr="003C78E9">
              <w:rPr>
                <w:snapToGrid w:val="0"/>
                <w:sz w:val="22"/>
                <w:szCs w:val="22"/>
                <w:lang w:val="it-CH" w:eastAsia="lt-LT"/>
              </w:rPr>
              <w:t>LT/1/26/6015/011 – N180 (3x60)</w:t>
            </w:r>
          </w:p>
          <w:p w14:paraId="2D14B062" w14:textId="66FD401C" w:rsidR="003C78E9" w:rsidRPr="003C78E9" w:rsidRDefault="003C78E9" w:rsidP="003C78E9">
            <w:pPr>
              <w:widowControl w:val="0"/>
              <w:tabs>
                <w:tab w:val="left" w:pos="567"/>
              </w:tabs>
              <w:outlineLvl w:val="2"/>
              <w:rPr>
                <w:snapToGrid w:val="0"/>
                <w:sz w:val="22"/>
                <w:szCs w:val="22"/>
                <w:lang w:val="it-CH" w:eastAsia="lt-LT"/>
              </w:rPr>
            </w:pPr>
            <w:r w:rsidRPr="003C78E9">
              <w:rPr>
                <w:snapToGrid w:val="0"/>
                <w:sz w:val="22"/>
                <w:szCs w:val="22"/>
                <w:lang w:val="it-CH" w:eastAsia="lt-LT"/>
              </w:rPr>
              <w:t>LT/1/26/6015/012 – N180 (2x90)</w:t>
            </w:r>
          </w:p>
        </w:tc>
      </w:tr>
      <w:tr w:rsidR="003C78E9" w14:paraId="580F5F86" w14:textId="77777777" w:rsidTr="003C78E9">
        <w:tc>
          <w:tcPr>
            <w:tcW w:w="4820" w:type="dxa"/>
          </w:tcPr>
          <w:p w14:paraId="742540D3" w14:textId="1FB837DE" w:rsidR="003C78E9" w:rsidRPr="003C78E9" w:rsidRDefault="003C78E9" w:rsidP="003C78E9">
            <w:pPr>
              <w:widowControl w:val="0"/>
              <w:tabs>
                <w:tab w:val="left" w:pos="567"/>
              </w:tabs>
              <w:outlineLvl w:val="2"/>
              <w:rPr>
                <w:snapToGrid w:val="0"/>
                <w:sz w:val="22"/>
                <w:szCs w:val="22"/>
                <w:u w:val="single"/>
                <w:lang w:val="it-CH" w:eastAsia="lt-LT"/>
              </w:rPr>
            </w:pPr>
            <w:r w:rsidRPr="003C78E9">
              <w:rPr>
                <w:snapToGrid w:val="0"/>
                <w:sz w:val="22"/>
                <w:szCs w:val="22"/>
                <w:u w:val="single"/>
                <w:lang w:val="it-CH" w:eastAsia="lt-LT"/>
              </w:rPr>
              <w:t>12,5 mg/850 mg</w:t>
            </w:r>
          </w:p>
          <w:p w14:paraId="019093D3" w14:textId="77777777" w:rsidR="003C78E9" w:rsidRPr="003C78E9" w:rsidRDefault="003C78E9" w:rsidP="003C78E9">
            <w:pPr>
              <w:widowControl w:val="0"/>
              <w:tabs>
                <w:tab w:val="left" w:pos="567"/>
              </w:tabs>
              <w:outlineLvl w:val="2"/>
              <w:rPr>
                <w:snapToGrid w:val="0"/>
                <w:sz w:val="22"/>
                <w:szCs w:val="22"/>
                <w:lang w:val="lt-LT" w:eastAsia="lt-LT"/>
              </w:rPr>
            </w:pPr>
            <w:r w:rsidRPr="003C78E9">
              <w:rPr>
                <w:snapToGrid w:val="0"/>
                <w:sz w:val="22"/>
                <w:szCs w:val="22"/>
                <w:lang w:val="lt-LT" w:eastAsia="lt-LT"/>
              </w:rPr>
              <w:t>LT/1/26/6016/001 – N10</w:t>
            </w:r>
          </w:p>
          <w:p w14:paraId="2283B9E2"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LT/1/26/6016/002 – N14</w:t>
            </w:r>
          </w:p>
          <w:p w14:paraId="327ECE5D"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LT/1/26/6016/003 – N28</w:t>
            </w:r>
          </w:p>
          <w:p w14:paraId="45BFA67B"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LT/1/26/6016/004 – N30</w:t>
            </w:r>
          </w:p>
          <w:p w14:paraId="646292F6"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LT/1/26/6016/005 – N56</w:t>
            </w:r>
          </w:p>
          <w:p w14:paraId="34ACDA75"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LT/1/26/6016/006 – N60</w:t>
            </w:r>
          </w:p>
          <w:p w14:paraId="66459457"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LT/1/26/6016/007 – N90</w:t>
            </w:r>
          </w:p>
          <w:p w14:paraId="1658C5A5"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LT/1/26/6016/008 – N100</w:t>
            </w:r>
          </w:p>
          <w:p w14:paraId="66A2FDF7"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LT/1/26/6016/009 – N120</w:t>
            </w:r>
          </w:p>
          <w:p w14:paraId="15F5E152"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LT/1/26/6016/010 – N196</w:t>
            </w:r>
          </w:p>
          <w:p w14:paraId="14D1D28B"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LT/1/26/6016/011 – N180 (3x60)</w:t>
            </w:r>
          </w:p>
          <w:p w14:paraId="03AE8C3B" w14:textId="5086EA79"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LT/1/26/6016/012 – N180 (2x90)</w:t>
            </w:r>
          </w:p>
        </w:tc>
        <w:tc>
          <w:tcPr>
            <w:tcW w:w="4820" w:type="dxa"/>
          </w:tcPr>
          <w:p w14:paraId="62E74443" w14:textId="468C69F2" w:rsidR="003C78E9" w:rsidRPr="003C78E9" w:rsidRDefault="003C78E9" w:rsidP="003C78E9">
            <w:pPr>
              <w:widowControl w:val="0"/>
              <w:tabs>
                <w:tab w:val="left" w:pos="567"/>
              </w:tabs>
              <w:outlineLvl w:val="2"/>
              <w:rPr>
                <w:snapToGrid w:val="0"/>
                <w:sz w:val="22"/>
                <w:szCs w:val="22"/>
                <w:u w:val="single"/>
                <w:lang w:val="it-CH" w:eastAsia="lt-LT"/>
              </w:rPr>
            </w:pPr>
            <w:r w:rsidRPr="003C78E9">
              <w:rPr>
                <w:snapToGrid w:val="0"/>
                <w:sz w:val="22"/>
                <w:szCs w:val="22"/>
                <w:u w:val="single"/>
                <w:lang w:val="it-CH" w:eastAsia="lt-LT"/>
              </w:rPr>
              <w:t>12,5 mg/1000 mg</w:t>
            </w:r>
          </w:p>
          <w:p w14:paraId="48441F30"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LT/1/26/6017/001 – N10</w:t>
            </w:r>
          </w:p>
          <w:p w14:paraId="786D52EB"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LT/1/26/6017/002 – N14</w:t>
            </w:r>
          </w:p>
          <w:p w14:paraId="15130373"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LT/1/26/6017/003 – N28</w:t>
            </w:r>
          </w:p>
          <w:p w14:paraId="157812D8"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LT/1/26/6017/004 – N30</w:t>
            </w:r>
          </w:p>
          <w:p w14:paraId="3A77A78F"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LT/1/26/6017/005 – N56</w:t>
            </w:r>
          </w:p>
          <w:p w14:paraId="1B63F08B"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LT/1/26/6017/006 – N60</w:t>
            </w:r>
          </w:p>
          <w:p w14:paraId="640FC4EF"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LT/1/26/6017/007 – N90</w:t>
            </w:r>
          </w:p>
          <w:p w14:paraId="4C02E6C1" w14:textId="77777777" w:rsidR="003C78E9" w:rsidRPr="003C78E9" w:rsidRDefault="003C78E9" w:rsidP="003C78E9">
            <w:pPr>
              <w:widowControl w:val="0"/>
              <w:tabs>
                <w:tab w:val="left" w:pos="567"/>
              </w:tabs>
              <w:outlineLvl w:val="2"/>
              <w:rPr>
                <w:snapToGrid w:val="0"/>
                <w:sz w:val="22"/>
                <w:szCs w:val="22"/>
                <w:lang w:eastAsia="lt-LT"/>
              </w:rPr>
            </w:pPr>
            <w:proofErr w:type="gramStart"/>
            <w:r w:rsidRPr="003C78E9">
              <w:rPr>
                <w:snapToGrid w:val="0"/>
                <w:sz w:val="22"/>
                <w:szCs w:val="22"/>
                <w:lang w:eastAsia="lt-LT"/>
              </w:rPr>
              <w:t>LT/1/26/6017/008 – N100</w:t>
            </w:r>
            <w:proofErr w:type="gramEnd"/>
          </w:p>
          <w:p w14:paraId="265B6377"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LT/1/26/6017/009 – N120</w:t>
            </w:r>
          </w:p>
          <w:p w14:paraId="1B038E8B" w14:textId="77777777" w:rsidR="003C78E9" w:rsidRPr="003C78E9" w:rsidRDefault="003C78E9" w:rsidP="003C78E9">
            <w:pPr>
              <w:widowControl w:val="0"/>
              <w:tabs>
                <w:tab w:val="left" w:pos="567"/>
              </w:tabs>
              <w:outlineLvl w:val="2"/>
              <w:rPr>
                <w:snapToGrid w:val="0"/>
                <w:sz w:val="22"/>
                <w:szCs w:val="22"/>
                <w:lang w:eastAsia="lt-LT"/>
              </w:rPr>
            </w:pPr>
            <w:r w:rsidRPr="003C78E9">
              <w:rPr>
                <w:snapToGrid w:val="0"/>
                <w:sz w:val="22"/>
                <w:szCs w:val="22"/>
                <w:lang w:eastAsia="lt-LT"/>
              </w:rPr>
              <w:t>LT/1/26/6017/010 – N196</w:t>
            </w:r>
          </w:p>
          <w:p w14:paraId="72803AD1" w14:textId="77777777" w:rsidR="003C78E9" w:rsidRPr="003C78E9" w:rsidRDefault="003C78E9" w:rsidP="003C78E9">
            <w:pPr>
              <w:widowControl w:val="0"/>
              <w:tabs>
                <w:tab w:val="left" w:pos="567"/>
              </w:tabs>
              <w:outlineLvl w:val="2"/>
              <w:rPr>
                <w:snapToGrid w:val="0"/>
                <w:sz w:val="22"/>
                <w:szCs w:val="22"/>
                <w:lang w:val="it-CH" w:eastAsia="lt-LT"/>
              </w:rPr>
            </w:pPr>
            <w:r w:rsidRPr="003C78E9">
              <w:rPr>
                <w:snapToGrid w:val="0"/>
                <w:sz w:val="22"/>
                <w:szCs w:val="22"/>
                <w:lang w:val="it-CH" w:eastAsia="lt-LT"/>
              </w:rPr>
              <w:t>LT/1/26/6017/011 – N180 (3x60)</w:t>
            </w:r>
          </w:p>
          <w:p w14:paraId="5A465A9F" w14:textId="3C5D5957" w:rsidR="003C78E9" w:rsidRPr="003C78E9" w:rsidRDefault="003C78E9" w:rsidP="003C78E9">
            <w:pPr>
              <w:widowControl w:val="0"/>
              <w:tabs>
                <w:tab w:val="left" w:pos="567"/>
              </w:tabs>
              <w:outlineLvl w:val="2"/>
              <w:rPr>
                <w:snapToGrid w:val="0"/>
                <w:sz w:val="22"/>
                <w:szCs w:val="22"/>
                <w:lang w:val="it-CH" w:eastAsia="lt-LT"/>
              </w:rPr>
            </w:pPr>
            <w:r w:rsidRPr="003C78E9">
              <w:rPr>
                <w:snapToGrid w:val="0"/>
                <w:sz w:val="22"/>
                <w:szCs w:val="22"/>
                <w:lang w:val="it-CH" w:eastAsia="lt-LT"/>
              </w:rPr>
              <w:t>LT/1/26/6017/012 – N180 (2x90)</w:t>
            </w:r>
          </w:p>
        </w:tc>
      </w:tr>
    </w:tbl>
    <w:p w14:paraId="77C2D457" w14:textId="77777777" w:rsidR="003B31DC" w:rsidRDefault="003B31DC">
      <w:pPr>
        <w:widowControl w:val="0"/>
        <w:tabs>
          <w:tab w:val="left" w:pos="567"/>
        </w:tabs>
        <w:outlineLvl w:val="2"/>
        <w:rPr>
          <w:b/>
          <w:bCs/>
          <w:snapToGrid w:val="0"/>
          <w:sz w:val="22"/>
          <w:szCs w:val="22"/>
          <w:lang w:eastAsia="lt-LT"/>
        </w:rPr>
      </w:pPr>
    </w:p>
    <w:p w14:paraId="08590292" w14:textId="77777777" w:rsidR="003B31DC" w:rsidRDefault="003B31DC">
      <w:pPr>
        <w:widowControl w:val="0"/>
        <w:rPr>
          <w:sz w:val="22"/>
          <w:szCs w:val="22"/>
          <w:lang w:eastAsia="en-US"/>
        </w:rPr>
      </w:pPr>
    </w:p>
    <w:p w14:paraId="59C46358" w14:textId="77777777" w:rsidR="003B31DC" w:rsidRDefault="00913CBE">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5E240BAC" w14:textId="77777777" w:rsidR="003B31DC" w:rsidRDefault="003B31DC">
      <w:pPr>
        <w:widowControl w:val="0"/>
        <w:rPr>
          <w:snapToGrid w:val="0"/>
          <w:sz w:val="22"/>
          <w:szCs w:val="22"/>
          <w:lang w:eastAsia="en-US"/>
        </w:rPr>
      </w:pPr>
    </w:p>
    <w:p w14:paraId="27E0A41F" w14:textId="39E45051" w:rsidR="003B31DC" w:rsidRDefault="00913CBE">
      <w:pPr>
        <w:widowControl w:val="0"/>
        <w:rPr>
          <w:snapToGrid w:val="0"/>
          <w:sz w:val="22"/>
          <w:szCs w:val="22"/>
          <w:lang w:eastAsia="en-US"/>
        </w:rPr>
      </w:pPr>
      <w:r>
        <w:rPr>
          <w:snapToGrid w:val="0"/>
          <w:sz w:val="22"/>
          <w:szCs w:val="22"/>
          <w:lang w:eastAsia="en-US"/>
        </w:rPr>
        <w:t>Registravimo data</w:t>
      </w:r>
      <w:r w:rsidR="003C78E9">
        <w:rPr>
          <w:snapToGrid w:val="0"/>
          <w:sz w:val="22"/>
          <w:szCs w:val="22"/>
          <w:lang w:eastAsia="en-US"/>
        </w:rPr>
        <w:t xml:space="preserve"> 2026 m. gegužės 4 d.</w:t>
      </w:r>
    </w:p>
    <w:p w14:paraId="7004FC8B" w14:textId="77777777" w:rsidR="003B31DC" w:rsidRDefault="003B31DC">
      <w:pPr>
        <w:rPr>
          <w:snapToGrid w:val="0"/>
          <w:sz w:val="22"/>
          <w:szCs w:val="22"/>
          <w:lang w:eastAsia="en-US"/>
        </w:rPr>
      </w:pPr>
    </w:p>
    <w:p w14:paraId="0A59650C" w14:textId="77777777" w:rsidR="003B31DC" w:rsidRDefault="003B31DC">
      <w:pPr>
        <w:widowControl w:val="0"/>
        <w:rPr>
          <w:snapToGrid w:val="0"/>
          <w:sz w:val="22"/>
          <w:szCs w:val="22"/>
          <w:lang w:eastAsia="en-US"/>
        </w:rPr>
      </w:pPr>
    </w:p>
    <w:p w14:paraId="22863D46" w14:textId="77777777" w:rsidR="003B31DC" w:rsidRDefault="00913CBE">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585FC5AA" w14:textId="77777777" w:rsidR="003C78E9" w:rsidRDefault="003C78E9">
      <w:pPr>
        <w:widowControl w:val="0"/>
        <w:tabs>
          <w:tab w:val="left" w:pos="567"/>
        </w:tabs>
        <w:outlineLvl w:val="2"/>
        <w:rPr>
          <w:b/>
          <w:bCs/>
          <w:snapToGrid w:val="0"/>
          <w:sz w:val="22"/>
          <w:szCs w:val="22"/>
          <w:lang w:eastAsia="lt-LT"/>
        </w:rPr>
      </w:pPr>
    </w:p>
    <w:p w14:paraId="3BAE2BA0" w14:textId="2EBF6CF5" w:rsidR="003C78E9" w:rsidRPr="003C78E9" w:rsidRDefault="003C78E9">
      <w:pPr>
        <w:widowControl w:val="0"/>
        <w:tabs>
          <w:tab w:val="left" w:pos="567"/>
        </w:tabs>
        <w:outlineLvl w:val="2"/>
        <w:rPr>
          <w:snapToGrid w:val="0"/>
          <w:sz w:val="22"/>
          <w:szCs w:val="22"/>
          <w:lang w:eastAsia="lt-LT"/>
        </w:rPr>
      </w:pPr>
      <w:r w:rsidRPr="003C78E9">
        <w:rPr>
          <w:snapToGrid w:val="0"/>
          <w:sz w:val="22"/>
          <w:szCs w:val="22"/>
          <w:lang w:eastAsia="lt-LT"/>
        </w:rPr>
        <w:t>2026 m. gegužės 4 d.</w:t>
      </w:r>
    </w:p>
    <w:p w14:paraId="12E97DF3" w14:textId="77777777" w:rsidR="003B31DC" w:rsidRDefault="003B31DC">
      <w:pPr>
        <w:widowControl w:val="0"/>
        <w:rPr>
          <w:snapToGrid w:val="0"/>
          <w:sz w:val="22"/>
          <w:szCs w:val="22"/>
          <w:lang w:eastAsia="en-US"/>
        </w:rPr>
      </w:pPr>
    </w:p>
    <w:p w14:paraId="22918CC0" w14:textId="77777777" w:rsidR="003B31DC" w:rsidRDefault="00913CBE">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44D16170" w14:textId="77777777" w:rsidR="003B31DC" w:rsidRDefault="00913CBE">
      <w:pPr>
        <w:widowControl w:val="0"/>
        <w:tabs>
          <w:tab w:val="left" w:pos="4962"/>
        </w:tabs>
        <w:rPr>
          <w:rFonts w:eastAsia="SimSun"/>
          <w:sz w:val="22"/>
          <w:szCs w:val="22"/>
          <w:lang w:eastAsia="en-US"/>
        </w:rPr>
      </w:pPr>
      <w:r>
        <w:rPr>
          <w:rFonts w:eastAsia="SimSun"/>
          <w:sz w:val="22"/>
          <w:szCs w:val="22"/>
          <w:lang w:eastAsia="en-US"/>
        </w:rPr>
        <w:br w:type="page"/>
      </w:r>
    </w:p>
    <w:p w14:paraId="2F93EEAA" w14:textId="77777777" w:rsidR="003B31DC" w:rsidRDefault="003B31DC">
      <w:pPr>
        <w:rPr>
          <w:rFonts w:eastAsia="Calibri"/>
          <w:sz w:val="22"/>
          <w:szCs w:val="22"/>
          <w:lang w:eastAsia="en-US"/>
        </w:rPr>
      </w:pPr>
    </w:p>
    <w:p w14:paraId="5937B597" w14:textId="77777777" w:rsidR="003B31DC" w:rsidRDefault="003B31DC">
      <w:pPr>
        <w:spacing w:line="259" w:lineRule="auto"/>
        <w:jc w:val="center"/>
        <w:rPr>
          <w:rFonts w:eastAsia="Calibri"/>
          <w:b/>
          <w:sz w:val="22"/>
          <w:szCs w:val="22"/>
          <w:lang w:eastAsia="en-US"/>
        </w:rPr>
      </w:pPr>
    </w:p>
    <w:p w14:paraId="493E46C9" w14:textId="77777777" w:rsidR="003B31DC" w:rsidRDefault="003B31DC">
      <w:pPr>
        <w:spacing w:line="259" w:lineRule="auto"/>
        <w:jc w:val="center"/>
        <w:rPr>
          <w:rFonts w:eastAsia="Calibri"/>
          <w:b/>
          <w:sz w:val="22"/>
          <w:szCs w:val="22"/>
          <w:lang w:eastAsia="en-US"/>
        </w:rPr>
      </w:pPr>
    </w:p>
    <w:p w14:paraId="752E5A31" w14:textId="77777777" w:rsidR="003B31DC" w:rsidRDefault="003B31DC">
      <w:pPr>
        <w:spacing w:line="259" w:lineRule="auto"/>
        <w:jc w:val="center"/>
        <w:rPr>
          <w:rFonts w:eastAsia="Calibri"/>
          <w:b/>
          <w:sz w:val="22"/>
          <w:szCs w:val="22"/>
          <w:lang w:eastAsia="en-US"/>
        </w:rPr>
      </w:pPr>
    </w:p>
    <w:p w14:paraId="0E470D74" w14:textId="77777777" w:rsidR="003B31DC" w:rsidRDefault="003B31DC">
      <w:pPr>
        <w:spacing w:line="259" w:lineRule="auto"/>
        <w:jc w:val="center"/>
        <w:rPr>
          <w:rFonts w:eastAsia="Calibri"/>
          <w:b/>
          <w:sz w:val="22"/>
          <w:szCs w:val="22"/>
          <w:lang w:eastAsia="en-US"/>
        </w:rPr>
      </w:pPr>
    </w:p>
    <w:p w14:paraId="56DBD429" w14:textId="77777777" w:rsidR="003B31DC" w:rsidRDefault="003B31DC">
      <w:pPr>
        <w:spacing w:line="259" w:lineRule="auto"/>
        <w:jc w:val="center"/>
        <w:rPr>
          <w:rFonts w:eastAsia="Calibri"/>
          <w:b/>
          <w:sz w:val="22"/>
          <w:szCs w:val="22"/>
          <w:lang w:eastAsia="en-US"/>
        </w:rPr>
      </w:pPr>
    </w:p>
    <w:p w14:paraId="4A670B80" w14:textId="77777777" w:rsidR="003B31DC" w:rsidRDefault="003B31DC">
      <w:pPr>
        <w:spacing w:line="259" w:lineRule="auto"/>
        <w:jc w:val="center"/>
        <w:rPr>
          <w:rFonts w:eastAsia="Calibri"/>
          <w:b/>
          <w:sz w:val="22"/>
          <w:szCs w:val="22"/>
          <w:lang w:eastAsia="en-US"/>
        </w:rPr>
      </w:pPr>
    </w:p>
    <w:p w14:paraId="6E3108D6" w14:textId="77777777" w:rsidR="003B31DC" w:rsidRDefault="003B31DC">
      <w:pPr>
        <w:spacing w:line="259" w:lineRule="auto"/>
        <w:jc w:val="center"/>
        <w:rPr>
          <w:rFonts w:eastAsia="Calibri"/>
          <w:b/>
          <w:sz w:val="22"/>
          <w:szCs w:val="22"/>
          <w:lang w:eastAsia="en-US"/>
        </w:rPr>
      </w:pPr>
    </w:p>
    <w:p w14:paraId="6A2CE3B0" w14:textId="77777777" w:rsidR="003B31DC" w:rsidRDefault="003B31DC">
      <w:pPr>
        <w:spacing w:line="259" w:lineRule="auto"/>
        <w:jc w:val="center"/>
        <w:rPr>
          <w:rFonts w:eastAsia="Calibri"/>
          <w:b/>
          <w:sz w:val="22"/>
          <w:szCs w:val="22"/>
          <w:lang w:eastAsia="en-US"/>
        </w:rPr>
      </w:pPr>
    </w:p>
    <w:p w14:paraId="5727D125" w14:textId="77777777" w:rsidR="003B31DC" w:rsidRDefault="003B31DC">
      <w:pPr>
        <w:spacing w:line="259" w:lineRule="auto"/>
        <w:jc w:val="center"/>
        <w:rPr>
          <w:rFonts w:eastAsia="Calibri"/>
          <w:b/>
          <w:sz w:val="22"/>
          <w:szCs w:val="22"/>
          <w:lang w:eastAsia="en-US"/>
        </w:rPr>
      </w:pPr>
    </w:p>
    <w:p w14:paraId="2D8F5C19" w14:textId="77777777" w:rsidR="003B31DC" w:rsidRDefault="003B31DC">
      <w:pPr>
        <w:spacing w:line="259" w:lineRule="auto"/>
        <w:jc w:val="center"/>
        <w:rPr>
          <w:rFonts w:eastAsia="Calibri"/>
          <w:b/>
          <w:sz w:val="22"/>
          <w:szCs w:val="22"/>
          <w:lang w:eastAsia="en-US"/>
        </w:rPr>
      </w:pPr>
    </w:p>
    <w:p w14:paraId="6FCCF4E2" w14:textId="77777777" w:rsidR="003B31DC" w:rsidRDefault="003B31DC">
      <w:pPr>
        <w:spacing w:line="259" w:lineRule="auto"/>
        <w:jc w:val="center"/>
        <w:rPr>
          <w:rFonts w:eastAsia="Calibri"/>
          <w:b/>
          <w:sz w:val="22"/>
          <w:szCs w:val="22"/>
          <w:lang w:eastAsia="en-US"/>
        </w:rPr>
      </w:pPr>
    </w:p>
    <w:p w14:paraId="24DB7F15" w14:textId="77777777" w:rsidR="003B31DC" w:rsidRDefault="003B31DC">
      <w:pPr>
        <w:spacing w:line="259" w:lineRule="auto"/>
        <w:jc w:val="center"/>
        <w:rPr>
          <w:rFonts w:eastAsia="Calibri"/>
          <w:b/>
          <w:sz w:val="22"/>
          <w:szCs w:val="22"/>
          <w:lang w:eastAsia="en-US"/>
        </w:rPr>
      </w:pPr>
    </w:p>
    <w:p w14:paraId="13A72192" w14:textId="77777777" w:rsidR="003B31DC" w:rsidRDefault="003B31DC">
      <w:pPr>
        <w:spacing w:line="259" w:lineRule="auto"/>
        <w:jc w:val="center"/>
        <w:rPr>
          <w:rFonts w:eastAsia="Calibri"/>
          <w:b/>
          <w:sz w:val="22"/>
          <w:szCs w:val="22"/>
          <w:lang w:eastAsia="en-US"/>
        </w:rPr>
      </w:pPr>
    </w:p>
    <w:p w14:paraId="0DBFA8D2" w14:textId="77777777" w:rsidR="003B31DC" w:rsidRDefault="003B31DC">
      <w:pPr>
        <w:spacing w:line="259" w:lineRule="auto"/>
        <w:jc w:val="center"/>
        <w:rPr>
          <w:rFonts w:eastAsia="Calibri"/>
          <w:b/>
          <w:sz w:val="22"/>
          <w:szCs w:val="22"/>
          <w:lang w:eastAsia="en-US"/>
        </w:rPr>
      </w:pPr>
    </w:p>
    <w:p w14:paraId="0CBC3E68" w14:textId="77777777" w:rsidR="003B31DC" w:rsidRDefault="003B31DC">
      <w:pPr>
        <w:spacing w:line="259" w:lineRule="auto"/>
        <w:jc w:val="center"/>
        <w:rPr>
          <w:rFonts w:eastAsia="Calibri"/>
          <w:b/>
          <w:sz w:val="22"/>
          <w:szCs w:val="22"/>
          <w:lang w:eastAsia="en-US"/>
        </w:rPr>
      </w:pPr>
    </w:p>
    <w:p w14:paraId="2CB2E583" w14:textId="77777777" w:rsidR="003B31DC" w:rsidRDefault="003B31DC">
      <w:pPr>
        <w:spacing w:line="259" w:lineRule="auto"/>
        <w:jc w:val="center"/>
        <w:rPr>
          <w:rFonts w:eastAsia="Calibri"/>
          <w:b/>
          <w:sz w:val="22"/>
          <w:szCs w:val="22"/>
          <w:lang w:eastAsia="en-US"/>
        </w:rPr>
      </w:pPr>
    </w:p>
    <w:p w14:paraId="661BA23D" w14:textId="77777777" w:rsidR="003B31DC" w:rsidRDefault="003B31DC">
      <w:pPr>
        <w:spacing w:line="259" w:lineRule="auto"/>
        <w:jc w:val="center"/>
        <w:rPr>
          <w:rFonts w:eastAsia="Calibri"/>
          <w:b/>
          <w:sz w:val="22"/>
          <w:szCs w:val="22"/>
          <w:lang w:eastAsia="en-US"/>
        </w:rPr>
      </w:pPr>
    </w:p>
    <w:p w14:paraId="4D2BDB38" w14:textId="77777777" w:rsidR="003B31DC" w:rsidRDefault="003B31DC">
      <w:pPr>
        <w:spacing w:line="259" w:lineRule="auto"/>
        <w:jc w:val="center"/>
        <w:rPr>
          <w:rFonts w:eastAsia="Calibri"/>
          <w:b/>
          <w:sz w:val="22"/>
          <w:szCs w:val="22"/>
          <w:lang w:eastAsia="en-US"/>
        </w:rPr>
      </w:pPr>
    </w:p>
    <w:p w14:paraId="2685E41D" w14:textId="77777777" w:rsidR="003B31DC" w:rsidRDefault="003B31DC">
      <w:pPr>
        <w:spacing w:line="259" w:lineRule="auto"/>
        <w:jc w:val="center"/>
        <w:rPr>
          <w:rFonts w:eastAsia="Calibri"/>
          <w:b/>
          <w:sz w:val="22"/>
          <w:szCs w:val="22"/>
          <w:lang w:eastAsia="en-US"/>
        </w:rPr>
      </w:pPr>
    </w:p>
    <w:p w14:paraId="798CEE2B" w14:textId="77777777" w:rsidR="003B31DC" w:rsidRDefault="003B31DC">
      <w:pPr>
        <w:spacing w:line="259" w:lineRule="auto"/>
        <w:jc w:val="center"/>
        <w:rPr>
          <w:rFonts w:eastAsia="Calibri"/>
          <w:b/>
          <w:sz w:val="22"/>
          <w:szCs w:val="22"/>
          <w:lang w:eastAsia="en-US"/>
        </w:rPr>
      </w:pPr>
    </w:p>
    <w:p w14:paraId="2E99EC52" w14:textId="77777777" w:rsidR="003B31DC" w:rsidRDefault="003B31DC">
      <w:pPr>
        <w:spacing w:line="259" w:lineRule="auto"/>
        <w:jc w:val="center"/>
        <w:rPr>
          <w:rFonts w:eastAsia="Calibri"/>
          <w:b/>
          <w:sz w:val="22"/>
          <w:szCs w:val="22"/>
          <w:lang w:eastAsia="en-US"/>
        </w:rPr>
      </w:pPr>
    </w:p>
    <w:p w14:paraId="620BD3A3" w14:textId="77777777" w:rsidR="003B31DC" w:rsidRDefault="003B31DC">
      <w:pPr>
        <w:spacing w:line="259" w:lineRule="auto"/>
        <w:jc w:val="center"/>
        <w:rPr>
          <w:rFonts w:eastAsia="Calibri"/>
          <w:b/>
          <w:sz w:val="22"/>
          <w:szCs w:val="22"/>
          <w:lang w:eastAsia="en-US"/>
        </w:rPr>
      </w:pPr>
    </w:p>
    <w:p w14:paraId="275DD0C8" w14:textId="77777777" w:rsidR="003B31DC" w:rsidRDefault="00913CBE">
      <w:pPr>
        <w:spacing w:line="259" w:lineRule="auto"/>
        <w:jc w:val="center"/>
        <w:rPr>
          <w:rFonts w:eastAsia="Calibri"/>
          <w:b/>
          <w:sz w:val="22"/>
          <w:szCs w:val="22"/>
          <w:lang w:eastAsia="en-US"/>
        </w:rPr>
      </w:pPr>
      <w:r>
        <w:rPr>
          <w:rFonts w:eastAsia="Calibri"/>
          <w:b/>
          <w:sz w:val="22"/>
          <w:szCs w:val="22"/>
          <w:lang w:eastAsia="en-US"/>
        </w:rPr>
        <w:t>II PRIEDAS</w:t>
      </w:r>
    </w:p>
    <w:p w14:paraId="551F4160" w14:textId="77777777" w:rsidR="003B31DC" w:rsidRDefault="003B31DC">
      <w:pPr>
        <w:spacing w:line="259" w:lineRule="auto"/>
        <w:ind w:hanging="567"/>
        <w:jc w:val="center"/>
        <w:rPr>
          <w:rFonts w:eastAsia="Calibri"/>
          <w:sz w:val="22"/>
          <w:szCs w:val="22"/>
          <w:lang w:eastAsia="en-US"/>
        </w:rPr>
      </w:pPr>
    </w:p>
    <w:p w14:paraId="2B1BECF9" w14:textId="77777777" w:rsidR="003B31DC" w:rsidRDefault="00913CBE">
      <w:pPr>
        <w:spacing w:line="259" w:lineRule="auto"/>
        <w:jc w:val="center"/>
        <w:rPr>
          <w:rFonts w:eastAsia="Calibri"/>
          <w:i/>
          <w:sz w:val="22"/>
          <w:szCs w:val="22"/>
          <w:lang w:eastAsia="en-US"/>
        </w:rPr>
      </w:pPr>
      <w:r>
        <w:rPr>
          <w:rFonts w:eastAsia="Calibri"/>
          <w:b/>
          <w:sz w:val="22"/>
          <w:szCs w:val="22"/>
          <w:lang w:eastAsia="en-US"/>
        </w:rPr>
        <w:t>REGISTRACIJOS SĄLYGOS</w:t>
      </w:r>
    </w:p>
    <w:p w14:paraId="695ED1EA" w14:textId="77777777" w:rsidR="003B31DC" w:rsidRDefault="003B31DC">
      <w:pPr>
        <w:spacing w:line="259" w:lineRule="auto"/>
        <w:rPr>
          <w:rFonts w:eastAsia="Calibri"/>
          <w:sz w:val="22"/>
          <w:szCs w:val="22"/>
          <w:lang w:eastAsia="en-US"/>
        </w:rPr>
      </w:pPr>
    </w:p>
    <w:p w14:paraId="75A7E674" w14:textId="77777777" w:rsidR="003B31DC" w:rsidRDefault="00913CBE">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4540F849" w14:textId="77777777" w:rsidR="003B31DC" w:rsidRDefault="003B31DC">
      <w:pPr>
        <w:tabs>
          <w:tab w:val="left" w:pos="1701"/>
        </w:tabs>
        <w:spacing w:line="259" w:lineRule="auto"/>
        <w:ind w:left="1701" w:hanging="567"/>
        <w:rPr>
          <w:rFonts w:eastAsia="Calibri"/>
          <w:noProof/>
          <w:sz w:val="22"/>
          <w:szCs w:val="22"/>
          <w:lang w:eastAsia="en-US"/>
        </w:rPr>
      </w:pPr>
    </w:p>
    <w:p w14:paraId="6881E401" w14:textId="77777777" w:rsidR="003B31DC" w:rsidRDefault="00913CBE">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5A14F23F" w14:textId="77777777" w:rsidR="003B31DC" w:rsidRDefault="00913CBE">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709E4CB3" w14:textId="77777777" w:rsidR="003B31DC" w:rsidRDefault="003B31DC">
      <w:pPr>
        <w:spacing w:line="259" w:lineRule="auto"/>
        <w:rPr>
          <w:rFonts w:eastAsia="Calibri"/>
          <w:sz w:val="22"/>
          <w:szCs w:val="22"/>
          <w:lang w:eastAsia="en-US"/>
        </w:rPr>
      </w:pPr>
    </w:p>
    <w:p w14:paraId="03F16BDD" w14:textId="77777777" w:rsidR="003B31DC" w:rsidRDefault="00913CBE">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5FC3A213" w14:textId="77777777" w:rsidR="003B31DC" w:rsidRDefault="003B31DC">
      <w:pPr>
        <w:spacing w:line="259" w:lineRule="auto"/>
        <w:rPr>
          <w:rFonts w:eastAsia="Calibri"/>
          <w:sz w:val="22"/>
          <w:szCs w:val="22"/>
          <w:lang w:eastAsia="en-US"/>
        </w:rPr>
      </w:pPr>
    </w:p>
    <w:p w14:paraId="6F2D93DB" w14:textId="77777777" w:rsidR="003B31DC" w:rsidRDefault="00913CBE">
      <w:pPr>
        <w:widowControl w:val="0"/>
        <w:rPr>
          <w:b/>
          <w:sz w:val="22"/>
          <w:szCs w:val="22"/>
          <w:lang w:eastAsia="sl-SI"/>
        </w:rPr>
      </w:pPr>
      <w:bookmarkStart w:id="11"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28E3A69" w14:textId="77777777" w:rsidR="003B31DC" w:rsidRDefault="00913CB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65639FBD" w14:textId="77777777" w:rsidR="003B31DC" w:rsidRDefault="00913CBE">
      <w:pPr>
        <w:widowControl w:val="0"/>
        <w:rPr>
          <w:b/>
          <w:sz w:val="22"/>
          <w:szCs w:val="22"/>
          <w:lang w:eastAsia="sl-SI"/>
        </w:rPr>
      </w:pPr>
      <w:r>
        <w:rPr>
          <w:sz w:val="22"/>
          <w:szCs w:val="22"/>
          <w:lang w:eastAsia="sl-SI"/>
        </w:rPr>
        <w:t>8501 Novo mesto</w:t>
      </w:r>
    </w:p>
    <w:p w14:paraId="39F40E72" w14:textId="77777777" w:rsidR="003B31DC" w:rsidRDefault="00913CBE">
      <w:pPr>
        <w:widowControl w:val="0"/>
        <w:rPr>
          <w:b/>
          <w:sz w:val="22"/>
          <w:szCs w:val="22"/>
          <w:lang w:eastAsia="sl-SI"/>
        </w:rPr>
      </w:pPr>
      <w:r>
        <w:rPr>
          <w:sz w:val="22"/>
          <w:szCs w:val="22"/>
          <w:lang w:eastAsia="sl-SI"/>
        </w:rPr>
        <w:t>Slovėnija</w:t>
      </w:r>
    </w:p>
    <w:bookmarkEnd w:id="11"/>
    <w:p w14:paraId="62DAFDC2" w14:textId="77777777" w:rsidR="003B31DC" w:rsidRDefault="003B31DC">
      <w:pPr>
        <w:spacing w:line="259" w:lineRule="auto"/>
        <w:rPr>
          <w:rFonts w:eastAsia="Calibri"/>
          <w:sz w:val="22"/>
          <w:szCs w:val="22"/>
          <w:lang w:eastAsia="en-US"/>
        </w:rPr>
      </w:pPr>
    </w:p>
    <w:p w14:paraId="7752C997" w14:textId="77777777" w:rsidR="003B31DC" w:rsidRDefault="003B31DC">
      <w:pPr>
        <w:spacing w:line="259" w:lineRule="auto"/>
        <w:rPr>
          <w:rFonts w:eastAsia="Calibri"/>
          <w:sz w:val="22"/>
          <w:szCs w:val="22"/>
          <w:lang w:eastAsia="en-US"/>
        </w:rPr>
      </w:pPr>
    </w:p>
    <w:p w14:paraId="3E0C9EDD" w14:textId="77777777" w:rsidR="003B31DC" w:rsidRDefault="00913CBE">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05376B9D" w14:textId="77777777" w:rsidR="003B31DC" w:rsidRDefault="003B31DC">
      <w:pPr>
        <w:spacing w:line="259" w:lineRule="auto"/>
        <w:rPr>
          <w:rFonts w:eastAsia="Calibri"/>
          <w:sz w:val="22"/>
          <w:szCs w:val="22"/>
          <w:lang w:eastAsia="en-US"/>
        </w:rPr>
      </w:pPr>
    </w:p>
    <w:p w14:paraId="3A282C05" w14:textId="77777777" w:rsidR="003B31DC" w:rsidRDefault="00913CBE">
      <w:pPr>
        <w:spacing w:line="259" w:lineRule="auto"/>
        <w:rPr>
          <w:rFonts w:eastAsia="Calibri"/>
          <w:sz w:val="22"/>
          <w:szCs w:val="22"/>
          <w:lang w:eastAsia="en-US"/>
        </w:rPr>
      </w:pPr>
      <w:r>
        <w:rPr>
          <w:rFonts w:eastAsia="Calibri"/>
          <w:sz w:val="22"/>
          <w:szCs w:val="22"/>
          <w:lang w:eastAsia="en-US"/>
        </w:rPr>
        <w:t>Receptinis vaistinis preparatas.</w:t>
      </w:r>
    </w:p>
    <w:p w14:paraId="322D8852" w14:textId="77777777" w:rsidR="003B31DC" w:rsidRDefault="00913CBE">
      <w:pPr>
        <w:spacing w:line="259" w:lineRule="auto"/>
        <w:rPr>
          <w:rFonts w:eastAsia="Calibri"/>
          <w:sz w:val="22"/>
          <w:szCs w:val="22"/>
          <w:lang w:eastAsia="en-US"/>
        </w:rPr>
      </w:pPr>
      <w:r>
        <w:rPr>
          <w:rFonts w:eastAsia="Calibri"/>
          <w:b/>
          <w:sz w:val="22"/>
          <w:szCs w:val="22"/>
          <w:lang w:eastAsia="en-US"/>
        </w:rPr>
        <w:br w:type="page"/>
      </w:r>
    </w:p>
    <w:p w14:paraId="17D376BA" w14:textId="77777777" w:rsidR="003B31DC" w:rsidRDefault="003B31DC">
      <w:pPr>
        <w:spacing w:line="259" w:lineRule="auto"/>
        <w:rPr>
          <w:rFonts w:eastAsia="Calibri"/>
          <w:sz w:val="22"/>
          <w:szCs w:val="22"/>
          <w:lang w:eastAsia="en-US"/>
        </w:rPr>
      </w:pPr>
    </w:p>
    <w:p w14:paraId="267E753E" w14:textId="77777777" w:rsidR="003B31DC" w:rsidRDefault="003B31DC">
      <w:pPr>
        <w:spacing w:line="259" w:lineRule="auto"/>
        <w:rPr>
          <w:rFonts w:eastAsia="Calibri"/>
          <w:sz w:val="22"/>
          <w:szCs w:val="22"/>
          <w:lang w:eastAsia="en-US"/>
        </w:rPr>
      </w:pPr>
    </w:p>
    <w:p w14:paraId="5C64A3CA" w14:textId="77777777" w:rsidR="003B31DC" w:rsidRDefault="003B31DC">
      <w:pPr>
        <w:spacing w:line="259" w:lineRule="auto"/>
        <w:rPr>
          <w:rFonts w:eastAsia="Calibri"/>
          <w:sz w:val="22"/>
          <w:szCs w:val="22"/>
          <w:lang w:eastAsia="en-US"/>
        </w:rPr>
      </w:pPr>
    </w:p>
    <w:p w14:paraId="1BEC552D" w14:textId="77777777" w:rsidR="003B31DC" w:rsidRDefault="003B31DC">
      <w:pPr>
        <w:spacing w:line="259" w:lineRule="auto"/>
        <w:rPr>
          <w:rFonts w:eastAsia="Calibri"/>
          <w:sz w:val="22"/>
          <w:szCs w:val="22"/>
          <w:lang w:eastAsia="en-US"/>
        </w:rPr>
      </w:pPr>
    </w:p>
    <w:p w14:paraId="548C5C30" w14:textId="77777777" w:rsidR="003B31DC" w:rsidRDefault="003B31DC">
      <w:pPr>
        <w:spacing w:line="259" w:lineRule="auto"/>
        <w:rPr>
          <w:rFonts w:eastAsia="Calibri"/>
          <w:sz w:val="22"/>
          <w:szCs w:val="22"/>
          <w:lang w:eastAsia="en-US"/>
        </w:rPr>
      </w:pPr>
    </w:p>
    <w:p w14:paraId="27B98A29" w14:textId="77777777" w:rsidR="003B31DC" w:rsidRDefault="003B31DC">
      <w:pPr>
        <w:spacing w:line="259" w:lineRule="auto"/>
        <w:rPr>
          <w:rFonts w:eastAsia="Calibri"/>
          <w:sz w:val="22"/>
          <w:szCs w:val="22"/>
          <w:lang w:eastAsia="en-US"/>
        </w:rPr>
      </w:pPr>
    </w:p>
    <w:p w14:paraId="13F60FE1" w14:textId="77777777" w:rsidR="003B31DC" w:rsidRDefault="003B31DC">
      <w:pPr>
        <w:spacing w:line="259" w:lineRule="auto"/>
        <w:rPr>
          <w:rFonts w:eastAsia="Calibri"/>
          <w:sz w:val="22"/>
          <w:szCs w:val="22"/>
          <w:lang w:eastAsia="en-US"/>
        </w:rPr>
      </w:pPr>
    </w:p>
    <w:p w14:paraId="61CBDB11" w14:textId="77777777" w:rsidR="003B31DC" w:rsidRDefault="003B31DC">
      <w:pPr>
        <w:spacing w:line="259" w:lineRule="auto"/>
        <w:rPr>
          <w:rFonts w:eastAsia="Calibri"/>
          <w:sz w:val="22"/>
          <w:szCs w:val="22"/>
          <w:lang w:eastAsia="en-US"/>
        </w:rPr>
      </w:pPr>
    </w:p>
    <w:p w14:paraId="649FFB15" w14:textId="77777777" w:rsidR="003B31DC" w:rsidRDefault="003B31DC">
      <w:pPr>
        <w:spacing w:line="259" w:lineRule="auto"/>
        <w:rPr>
          <w:rFonts w:eastAsia="Calibri"/>
          <w:sz w:val="22"/>
          <w:szCs w:val="22"/>
          <w:lang w:eastAsia="en-US"/>
        </w:rPr>
      </w:pPr>
    </w:p>
    <w:p w14:paraId="687041A6" w14:textId="77777777" w:rsidR="003B31DC" w:rsidRDefault="003B31DC">
      <w:pPr>
        <w:spacing w:line="259" w:lineRule="auto"/>
        <w:rPr>
          <w:rFonts w:eastAsia="Calibri"/>
          <w:sz w:val="22"/>
          <w:szCs w:val="22"/>
          <w:lang w:eastAsia="en-US"/>
        </w:rPr>
      </w:pPr>
    </w:p>
    <w:p w14:paraId="35936229" w14:textId="77777777" w:rsidR="003B31DC" w:rsidRDefault="003B31DC">
      <w:pPr>
        <w:spacing w:line="259" w:lineRule="auto"/>
        <w:rPr>
          <w:rFonts w:eastAsia="Calibri"/>
          <w:sz w:val="22"/>
          <w:szCs w:val="22"/>
          <w:lang w:eastAsia="en-US"/>
        </w:rPr>
      </w:pPr>
    </w:p>
    <w:p w14:paraId="72298519" w14:textId="77777777" w:rsidR="003B31DC" w:rsidRDefault="003B31DC">
      <w:pPr>
        <w:spacing w:line="259" w:lineRule="auto"/>
        <w:rPr>
          <w:rFonts w:eastAsia="Calibri"/>
          <w:sz w:val="22"/>
          <w:szCs w:val="22"/>
          <w:lang w:eastAsia="en-US"/>
        </w:rPr>
      </w:pPr>
    </w:p>
    <w:p w14:paraId="3DE417DA" w14:textId="77777777" w:rsidR="003B31DC" w:rsidRDefault="003B31DC">
      <w:pPr>
        <w:spacing w:line="259" w:lineRule="auto"/>
        <w:rPr>
          <w:rFonts w:eastAsia="Calibri"/>
          <w:sz w:val="22"/>
          <w:szCs w:val="22"/>
          <w:lang w:eastAsia="en-US"/>
        </w:rPr>
      </w:pPr>
    </w:p>
    <w:p w14:paraId="7273E520" w14:textId="77777777" w:rsidR="003B31DC" w:rsidRDefault="003B31DC">
      <w:pPr>
        <w:spacing w:line="259" w:lineRule="auto"/>
        <w:rPr>
          <w:rFonts w:eastAsia="Calibri"/>
          <w:sz w:val="22"/>
          <w:szCs w:val="22"/>
          <w:lang w:eastAsia="en-US"/>
        </w:rPr>
      </w:pPr>
    </w:p>
    <w:p w14:paraId="632A0225" w14:textId="77777777" w:rsidR="003B31DC" w:rsidRDefault="003B31DC">
      <w:pPr>
        <w:spacing w:line="259" w:lineRule="auto"/>
        <w:rPr>
          <w:rFonts w:eastAsia="Calibri"/>
          <w:sz w:val="22"/>
          <w:szCs w:val="22"/>
          <w:lang w:eastAsia="en-US"/>
        </w:rPr>
      </w:pPr>
    </w:p>
    <w:p w14:paraId="5DA139A7" w14:textId="77777777" w:rsidR="003B31DC" w:rsidRDefault="003B31DC">
      <w:pPr>
        <w:spacing w:line="259" w:lineRule="auto"/>
        <w:rPr>
          <w:rFonts w:eastAsia="Calibri"/>
          <w:sz w:val="22"/>
          <w:szCs w:val="22"/>
          <w:lang w:eastAsia="en-US"/>
        </w:rPr>
      </w:pPr>
    </w:p>
    <w:p w14:paraId="0D2DB14F" w14:textId="77777777" w:rsidR="003B31DC" w:rsidRDefault="003B31DC">
      <w:pPr>
        <w:spacing w:line="259" w:lineRule="auto"/>
        <w:outlineLvl w:val="0"/>
        <w:rPr>
          <w:rFonts w:eastAsia="Calibri"/>
          <w:b/>
          <w:sz w:val="22"/>
          <w:szCs w:val="22"/>
          <w:lang w:eastAsia="en-US"/>
        </w:rPr>
      </w:pPr>
    </w:p>
    <w:p w14:paraId="2CF7DDEC" w14:textId="77777777" w:rsidR="003B31DC" w:rsidRDefault="003B31DC">
      <w:pPr>
        <w:spacing w:line="259" w:lineRule="auto"/>
        <w:outlineLvl w:val="0"/>
        <w:rPr>
          <w:rFonts w:eastAsia="Calibri"/>
          <w:b/>
          <w:sz w:val="22"/>
          <w:szCs w:val="22"/>
          <w:lang w:eastAsia="en-US"/>
        </w:rPr>
      </w:pPr>
    </w:p>
    <w:p w14:paraId="3C095F61" w14:textId="77777777" w:rsidR="003B31DC" w:rsidRDefault="003B31DC">
      <w:pPr>
        <w:spacing w:line="259" w:lineRule="auto"/>
        <w:outlineLvl w:val="0"/>
        <w:rPr>
          <w:rFonts w:eastAsia="Calibri"/>
          <w:b/>
          <w:sz w:val="22"/>
          <w:szCs w:val="22"/>
          <w:lang w:eastAsia="en-US"/>
        </w:rPr>
      </w:pPr>
    </w:p>
    <w:p w14:paraId="4E9CF25D" w14:textId="77777777" w:rsidR="003B31DC" w:rsidRDefault="003B31DC">
      <w:pPr>
        <w:spacing w:line="259" w:lineRule="auto"/>
        <w:outlineLvl w:val="0"/>
        <w:rPr>
          <w:rFonts w:eastAsia="Calibri"/>
          <w:b/>
          <w:sz w:val="22"/>
          <w:szCs w:val="22"/>
          <w:lang w:eastAsia="en-US"/>
        </w:rPr>
      </w:pPr>
    </w:p>
    <w:p w14:paraId="760AC9BA" w14:textId="77777777" w:rsidR="003B31DC" w:rsidRDefault="003B31DC">
      <w:pPr>
        <w:spacing w:line="259" w:lineRule="auto"/>
        <w:outlineLvl w:val="0"/>
        <w:rPr>
          <w:rFonts w:eastAsia="Calibri"/>
          <w:b/>
          <w:sz w:val="22"/>
          <w:szCs w:val="22"/>
          <w:lang w:eastAsia="en-US"/>
        </w:rPr>
      </w:pPr>
    </w:p>
    <w:p w14:paraId="16E9CCA6" w14:textId="77777777" w:rsidR="003B31DC" w:rsidRDefault="003B31DC">
      <w:pPr>
        <w:spacing w:line="259" w:lineRule="auto"/>
        <w:outlineLvl w:val="0"/>
        <w:rPr>
          <w:rFonts w:eastAsia="Calibri"/>
          <w:b/>
          <w:sz w:val="22"/>
          <w:szCs w:val="22"/>
          <w:lang w:eastAsia="en-US"/>
        </w:rPr>
      </w:pPr>
    </w:p>
    <w:p w14:paraId="225CBB52" w14:textId="77777777" w:rsidR="003B31DC" w:rsidRDefault="003B31DC">
      <w:pPr>
        <w:keepNext/>
        <w:tabs>
          <w:tab w:val="left" w:pos="567"/>
        </w:tabs>
        <w:jc w:val="center"/>
        <w:outlineLvl w:val="1"/>
        <w:rPr>
          <w:b/>
          <w:bCs/>
          <w:iCs/>
          <w:snapToGrid w:val="0"/>
          <w:sz w:val="22"/>
          <w:szCs w:val="22"/>
          <w:lang w:eastAsia="x-none"/>
        </w:rPr>
      </w:pPr>
    </w:p>
    <w:p w14:paraId="5A8B0969" w14:textId="77777777" w:rsidR="003B31DC" w:rsidRDefault="00913CBE">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22F4EC12" w14:textId="77777777" w:rsidR="003B31DC" w:rsidRDefault="003B31DC">
      <w:pPr>
        <w:spacing w:line="259" w:lineRule="auto"/>
        <w:rPr>
          <w:rFonts w:eastAsia="Calibri"/>
          <w:sz w:val="22"/>
          <w:szCs w:val="22"/>
          <w:lang w:eastAsia="en-US"/>
        </w:rPr>
      </w:pPr>
    </w:p>
    <w:p w14:paraId="291129BC" w14:textId="77777777" w:rsidR="003B31DC" w:rsidRDefault="00913CBE">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127AD7CF" w14:textId="77777777" w:rsidR="003B31DC" w:rsidRDefault="00913CBE">
      <w:pPr>
        <w:spacing w:line="259" w:lineRule="auto"/>
        <w:rPr>
          <w:rFonts w:eastAsia="Calibri"/>
          <w:sz w:val="22"/>
          <w:szCs w:val="22"/>
          <w:lang w:eastAsia="en-US"/>
        </w:rPr>
      </w:pPr>
      <w:r>
        <w:rPr>
          <w:rFonts w:eastAsia="Calibri"/>
          <w:sz w:val="22"/>
          <w:szCs w:val="22"/>
          <w:lang w:eastAsia="en-US"/>
        </w:rPr>
        <w:br w:type="page"/>
      </w:r>
    </w:p>
    <w:p w14:paraId="0DB5D0C2" w14:textId="77777777" w:rsidR="003B31DC" w:rsidRDefault="003B31DC">
      <w:pPr>
        <w:spacing w:line="259" w:lineRule="auto"/>
        <w:rPr>
          <w:rFonts w:eastAsia="Calibri"/>
          <w:sz w:val="22"/>
          <w:szCs w:val="22"/>
          <w:lang w:eastAsia="en-US"/>
        </w:rPr>
      </w:pPr>
    </w:p>
    <w:p w14:paraId="13164A91" w14:textId="77777777" w:rsidR="003B31DC" w:rsidRDefault="003B31DC">
      <w:pPr>
        <w:spacing w:line="259" w:lineRule="auto"/>
        <w:rPr>
          <w:rFonts w:eastAsia="Calibri"/>
          <w:sz w:val="22"/>
          <w:szCs w:val="22"/>
          <w:lang w:eastAsia="en-US"/>
        </w:rPr>
      </w:pPr>
    </w:p>
    <w:p w14:paraId="593756F8" w14:textId="77777777" w:rsidR="003B31DC" w:rsidRDefault="003B31DC">
      <w:pPr>
        <w:spacing w:line="259" w:lineRule="auto"/>
        <w:rPr>
          <w:rFonts w:eastAsia="Calibri"/>
          <w:sz w:val="22"/>
          <w:szCs w:val="22"/>
          <w:lang w:eastAsia="en-US"/>
        </w:rPr>
      </w:pPr>
    </w:p>
    <w:p w14:paraId="3B104E12" w14:textId="77777777" w:rsidR="003B31DC" w:rsidRDefault="003B31DC">
      <w:pPr>
        <w:spacing w:line="259" w:lineRule="auto"/>
        <w:rPr>
          <w:rFonts w:eastAsia="Calibri"/>
          <w:sz w:val="22"/>
          <w:szCs w:val="22"/>
          <w:lang w:eastAsia="en-US"/>
        </w:rPr>
      </w:pPr>
    </w:p>
    <w:p w14:paraId="7B8FEA8B" w14:textId="77777777" w:rsidR="003B31DC" w:rsidRDefault="003B31DC">
      <w:pPr>
        <w:spacing w:line="259" w:lineRule="auto"/>
        <w:rPr>
          <w:rFonts w:eastAsia="Calibri"/>
          <w:sz w:val="22"/>
          <w:szCs w:val="22"/>
          <w:lang w:eastAsia="en-US"/>
        </w:rPr>
      </w:pPr>
    </w:p>
    <w:p w14:paraId="5B25C6D0" w14:textId="77777777" w:rsidR="003B31DC" w:rsidRDefault="003B31DC">
      <w:pPr>
        <w:spacing w:line="259" w:lineRule="auto"/>
        <w:rPr>
          <w:rFonts w:eastAsia="Calibri"/>
          <w:sz w:val="22"/>
          <w:szCs w:val="22"/>
          <w:lang w:eastAsia="en-US"/>
        </w:rPr>
      </w:pPr>
    </w:p>
    <w:p w14:paraId="5348FE31" w14:textId="77777777" w:rsidR="003B31DC" w:rsidRDefault="003B31DC">
      <w:pPr>
        <w:spacing w:line="259" w:lineRule="auto"/>
        <w:rPr>
          <w:rFonts w:eastAsia="Calibri"/>
          <w:sz w:val="22"/>
          <w:szCs w:val="22"/>
          <w:lang w:eastAsia="en-US"/>
        </w:rPr>
      </w:pPr>
    </w:p>
    <w:p w14:paraId="324C7578" w14:textId="77777777" w:rsidR="003B31DC" w:rsidRDefault="003B31DC">
      <w:pPr>
        <w:spacing w:line="259" w:lineRule="auto"/>
        <w:rPr>
          <w:rFonts w:eastAsia="Calibri"/>
          <w:sz w:val="22"/>
          <w:szCs w:val="22"/>
          <w:lang w:eastAsia="en-US"/>
        </w:rPr>
      </w:pPr>
    </w:p>
    <w:p w14:paraId="3A434400" w14:textId="77777777" w:rsidR="003B31DC" w:rsidRDefault="003B31DC">
      <w:pPr>
        <w:spacing w:line="259" w:lineRule="auto"/>
        <w:rPr>
          <w:rFonts w:eastAsia="Calibri"/>
          <w:sz w:val="22"/>
          <w:szCs w:val="22"/>
          <w:lang w:eastAsia="en-US"/>
        </w:rPr>
      </w:pPr>
    </w:p>
    <w:p w14:paraId="419491CF" w14:textId="77777777" w:rsidR="003B31DC" w:rsidRDefault="003B31DC">
      <w:pPr>
        <w:spacing w:line="259" w:lineRule="auto"/>
        <w:rPr>
          <w:rFonts w:eastAsia="Calibri"/>
          <w:sz w:val="22"/>
          <w:szCs w:val="22"/>
          <w:lang w:eastAsia="en-US"/>
        </w:rPr>
      </w:pPr>
    </w:p>
    <w:p w14:paraId="7BAA9BEB" w14:textId="77777777" w:rsidR="003B31DC" w:rsidRDefault="003B31DC">
      <w:pPr>
        <w:spacing w:line="259" w:lineRule="auto"/>
        <w:rPr>
          <w:rFonts w:eastAsia="Calibri"/>
          <w:sz w:val="22"/>
          <w:szCs w:val="22"/>
          <w:lang w:eastAsia="en-US"/>
        </w:rPr>
      </w:pPr>
    </w:p>
    <w:p w14:paraId="5B2C91E3" w14:textId="77777777" w:rsidR="003B31DC" w:rsidRDefault="003B31DC">
      <w:pPr>
        <w:spacing w:line="259" w:lineRule="auto"/>
        <w:rPr>
          <w:rFonts w:eastAsia="Calibri"/>
          <w:sz w:val="22"/>
          <w:szCs w:val="22"/>
          <w:lang w:eastAsia="en-US"/>
        </w:rPr>
      </w:pPr>
    </w:p>
    <w:p w14:paraId="57E593B2" w14:textId="77777777" w:rsidR="003B31DC" w:rsidRDefault="003B31DC">
      <w:pPr>
        <w:spacing w:line="259" w:lineRule="auto"/>
        <w:rPr>
          <w:rFonts w:eastAsia="Calibri"/>
          <w:sz w:val="22"/>
          <w:szCs w:val="22"/>
          <w:lang w:eastAsia="en-US"/>
        </w:rPr>
      </w:pPr>
    </w:p>
    <w:p w14:paraId="1D5FF287" w14:textId="77777777" w:rsidR="003B31DC" w:rsidRDefault="003B31DC">
      <w:pPr>
        <w:spacing w:line="259" w:lineRule="auto"/>
        <w:rPr>
          <w:rFonts w:eastAsia="Calibri"/>
          <w:sz w:val="22"/>
          <w:szCs w:val="22"/>
          <w:lang w:eastAsia="en-US"/>
        </w:rPr>
      </w:pPr>
    </w:p>
    <w:p w14:paraId="04E7D6E0" w14:textId="77777777" w:rsidR="003B31DC" w:rsidRDefault="003B31DC">
      <w:pPr>
        <w:spacing w:line="259" w:lineRule="auto"/>
        <w:rPr>
          <w:rFonts w:eastAsia="Calibri"/>
          <w:sz w:val="22"/>
          <w:szCs w:val="22"/>
          <w:lang w:eastAsia="en-US"/>
        </w:rPr>
      </w:pPr>
    </w:p>
    <w:p w14:paraId="4D2AFAD5" w14:textId="77777777" w:rsidR="003B31DC" w:rsidRDefault="003B31DC">
      <w:pPr>
        <w:spacing w:line="259" w:lineRule="auto"/>
        <w:rPr>
          <w:rFonts w:eastAsia="Calibri"/>
          <w:sz w:val="22"/>
          <w:szCs w:val="22"/>
          <w:lang w:eastAsia="en-US"/>
        </w:rPr>
      </w:pPr>
    </w:p>
    <w:p w14:paraId="04E5A4B5" w14:textId="77777777" w:rsidR="003B31DC" w:rsidRDefault="003B31DC">
      <w:pPr>
        <w:spacing w:line="259" w:lineRule="auto"/>
        <w:rPr>
          <w:rFonts w:eastAsia="Calibri"/>
          <w:sz w:val="22"/>
          <w:szCs w:val="22"/>
          <w:lang w:eastAsia="en-US"/>
        </w:rPr>
      </w:pPr>
    </w:p>
    <w:p w14:paraId="78EC79BC" w14:textId="77777777" w:rsidR="003B31DC" w:rsidRDefault="003B31DC">
      <w:pPr>
        <w:spacing w:line="259" w:lineRule="auto"/>
        <w:rPr>
          <w:rFonts w:eastAsia="Calibri"/>
          <w:sz w:val="22"/>
          <w:szCs w:val="22"/>
          <w:lang w:eastAsia="en-US"/>
        </w:rPr>
      </w:pPr>
    </w:p>
    <w:p w14:paraId="2307142A" w14:textId="77777777" w:rsidR="003B31DC" w:rsidRDefault="003B31DC">
      <w:pPr>
        <w:spacing w:line="259" w:lineRule="auto"/>
        <w:rPr>
          <w:rFonts w:eastAsia="Calibri"/>
          <w:sz w:val="22"/>
          <w:szCs w:val="22"/>
          <w:lang w:eastAsia="en-US"/>
        </w:rPr>
      </w:pPr>
    </w:p>
    <w:p w14:paraId="619D5444" w14:textId="77777777" w:rsidR="003B31DC" w:rsidRDefault="003B31DC">
      <w:pPr>
        <w:spacing w:line="259" w:lineRule="auto"/>
        <w:rPr>
          <w:rFonts w:eastAsia="Calibri"/>
          <w:sz w:val="22"/>
          <w:szCs w:val="22"/>
          <w:lang w:eastAsia="en-US"/>
        </w:rPr>
      </w:pPr>
    </w:p>
    <w:p w14:paraId="6BB699B4" w14:textId="77777777" w:rsidR="003B31DC" w:rsidRDefault="003B31DC">
      <w:pPr>
        <w:spacing w:line="259" w:lineRule="auto"/>
        <w:rPr>
          <w:rFonts w:eastAsia="Calibri"/>
          <w:sz w:val="22"/>
          <w:szCs w:val="22"/>
          <w:lang w:eastAsia="en-US"/>
        </w:rPr>
      </w:pPr>
    </w:p>
    <w:p w14:paraId="573388E6" w14:textId="77777777" w:rsidR="003B31DC" w:rsidRDefault="003B31DC">
      <w:pPr>
        <w:spacing w:line="259" w:lineRule="auto"/>
        <w:rPr>
          <w:rFonts w:eastAsia="Calibri"/>
          <w:sz w:val="22"/>
          <w:szCs w:val="22"/>
          <w:lang w:eastAsia="en-US"/>
        </w:rPr>
      </w:pPr>
    </w:p>
    <w:p w14:paraId="6F17B8CB" w14:textId="77777777" w:rsidR="003B31DC" w:rsidRDefault="003B31DC">
      <w:pPr>
        <w:keepNext/>
        <w:tabs>
          <w:tab w:val="left" w:pos="567"/>
        </w:tabs>
        <w:jc w:val="center"/>
        <w:outlineLvl w:val="1"/>
        <w:rPr>
          <w:b/>
          <w:bCs/>
          <w:iCs/>
          <w:snapToGrid w:val="0"/>
          <w:sz w:val="22"/>
          <w:szCs w:val="22"/>
          <w:lang w:eastAsia="x-none"/>
        </w:rPr>
      </w:pPr>
    </w:p>
    <w:p w14:paraId="7C192A65" w14:textId="77777777" w:rsidR="003B31DC" w:rsidRDefault="00913CBE">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6C7C5F32" w14:textId="77777777" w:rsidR="003B31DC" w:rsidRDefault="00913CB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bookmarkStart w:id="12" w:name="_Hlk223009402"/>
      <w:r>
        <w:rPr>
          <w:rFonts w:eastAsia="Calibri"/>
          <w:b/>
          <w:noProof/>
          <w:sz w:val="22"/>
          <w:szCs w:val="22"/>
          <w:lang w:eastAsia="en-US"/>
        </w:rPr>
        <w:lastRenderedPageBreak/>
        <w:t>INFORMACIJA ANT IŠORINĖS PAKUOTĖS</w:t>
      </w:r>
    </w:p>
    <w:p w14:paraId="7A5D00C4" w14:textId="77777777" w:rsidR="003B31DC" w:rsidRDefault="003B31DC">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5CF345EE" w14:textId="01C2C119" w:rsidR="003B31DC" w:rsidRDefault="00B32B03" w:rsidP="00FA2F7A">
      <w:pPr>
        <w:pBdr>
          <w:top w:val="single" w:sz="4" w:space="1" w:color="auto"/>
          <w:left w:val="single" w:sz="4" w:space="4" w:color="auto"/>
          <w:bottom w:val="single" w:sz="4" w:space="1" w:color="auto"/>
          <w:right w:val="single" w:sz="4" w:space="4" w:color="auto"/>
        </w:pBdr>
        <w:tabs>
          <w:tab w:val="left" w:pos="567"/>
        </w:tabs>
        <w:spacing w:line="260" w:lineRule="exact"/>
        <w:rPr>
          <w:b/>
          <w:noProof/>
          <w:sz w:val="22"/>
          <w:lang w:eastAsia="en-US"/>
        </w:rPr>
      </w:pPr>
      <w:r>
        <w:rPr>
          <w:b/>
          <w:noProof/>
          <w:sz w:val="22"/>
          <w:lang w:eastAsia="en-US"/>
        </w:rPr>
        <w:t>IŠORINĖ</w:t>
      </w:r>
      <w:r w:rsidR="00C178F1">
        <w:rPr>
          <w:b/>
          <w:noProof/>
          <w:sz w:val="22"/>
          <w:lang w:eastAsia="en-US"/>
        </w:rPr>
        <w:t xml:space="preserve"> </w:t>
      </w:r>
      <w:r w:rsidR="00913CBE">
        <w:rPr>
          <w:b/>
          <w:noProof/>
          <w:sz w:val="22"/>
          <w:lang w:eastAsia="en-US"/>
        </w:rPr>
        <w:t xml:space="preserve">DĖŽUTĖ </w:t>
      </w:r>
      <w:r w:rsidR="00C178F1">
        <w:rPr>
          <w:b/>
          <w:noProof/>
          <w:sz w:val="22"/>
          <w:lang w:eastAsia="en-US"/>
        </w:rPr>
        <w:t>–</w:t>
      </w:r>
      <w:r w:rsidR="00913CBE">
        <w:rPr>
          <w:b/>
          <w:noProof/>
          <w:sz w:val="22"/>
          <w:lang w:eastAsia="en-US"/>
        </w:rPr>
        <w:t xml:space="preserve">visas </w:t>
      </w:r>
      <w:r w:rsidR="00913CBE" w:rsidRPr="00FA2F7A">
        <w:rPr>
          <w:b/>
          <w:noProof/>
          <w:sz w:val="22"/>
          <w:highlight w:val="darkGray"/>
          <w:lang w:eastAsia="en-US"/>
        </w:rPr>
        <w:t xml:space="preserve">/ </w:t>
      </w:r>
      <w:r w:rsidR="00913CBE" w:rsidRPr="00FA2F7A">
        <w:rPr>
          <w:b/>
          <w:i/>
          <w:iCs/>
          <w:noProof/>
          <w:sz w:val="22"/>
          <w:highlight w:val="darkGray"/>
          <w:lang w:eastAsia="en-US"/>
        </w:rPr>
        <w:t>s</w:t>
      </w:r>
      <w:r w:rsidR="00B119E4" w:rsidRPr="00FA2F7A">
        <w:rPr>
          <w:b/>
          <w:i/>
          <w:iCs/>
          <w:noProof/>
          <w:sz w:val="22"/>
          <w:highlight w:val="darkGray"/>
          <w:lang w:eastAsia="en-US"/>
        </w:rPr>
        <w:t>utrumpintas</w:t>
      </w:r>
      <w:r w:rsidR="00913CBE">
        <w:rPr>
          <w:b/>
          <w:noProof/>
          <w:sz w:val="22"/>
          <w:lang w:eastAsia="en-US"/>
        </w:rPr>
        <w:t xml:space="preserve"> </w:t>
      </w:r>
      <w:r w:rsidR="00B119E4">
        <w:rPr>
          <w:b/>
          <w:noProof/>
          <w:sz w:val="22"/>
          <w:lang w:eastAsia="en-US"/>
        </w:rPr>
        <w:t xml:space="preserve">ES harmonizuotas </w:t>
      </w:r>
      <w:r w:rsidR="00913CBE">
        <w:rPr>
          <w:b/>
          <w:noProof/>
          <w:sz w:val="22"/>
          <w:lang w:eastAsia="en-US"/>
        </w:rPr>
        <w:t>ženklinimo tekstas</w:t>
      </w:r>
    </w:p>
    <w:p w14:paraId="7BCE967F" w14:textId="77777777" w:rsidR="003B31DC" w:rsidRDefault="003B31DC">
      <w:pPr>
        <w:rPr>
          <w:rFonts w:eastAsia="Calibri"/>
          <w:sz w:val="22"/>
          <w:szCs w:val="22"/>
          <w:lang w:eastAsia="en-US"/>
        </w:rPr>
      </w:pPr>
    </w:p>
    <w:p w14:paraId="3F707A93" w14:textId="77777777" w:rsidR="003B31DC" w:rsidRDefault="003B31DC">
      <w:pPr>
        <w:rPr>
          <w:rFonts w:eastAsia="Calibri"/>
          <w:sz w:val="22"/>
          <w:szCs w:val="22"/>
          <w:lang w:eastAsia="en-US"/>
        </w:rPr>
      </w:pPr>
    </w:p>
    <w:p w14:paraId="591B3DBB"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051C1118" w14:textId="77777777" w:rsidR="003B31DC" w:rsidRDefault="003B31DC">
      <w:pPr>
        <w:rPr>
          <w:rFonts w:eastAsia="Calibri"/>
          <w:sz w:val="22"/>
          <w:szCs w:val="22"/>
          <w:lang w:eastAsia="en-US"/>
        </w:rPr>
      </w:pPr>
    </w:p>
    <w:p w14:paraId="20C87740" w14:textId="77777777" w:rsidR="003B31DC" w:rsidRDefault="00913CBE">
      <w:pPr>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5 mg/850 mg plėvele dengtos tabletės</w:t>
      </w:r>
    </w:p>
    <w:p w14:paraId="45938833"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5 mg/1 000 mg plėvele dengtos tabletės</w:t>
      </w:r>
    </w:p>
    <w:p w14:paraId="47DCDDF9"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mg/850 mg plėvele dengtos tabletės</w:t>
      </w:r>
    </w:p>
    <w:p w14:paraId="7F3C844D" w14:textId="77777777" w:rsidR="003B31DC" w:rsidRDefault="00913CBE">
      <w:pPr>
        <w:rPr>
          <w:sz w:val="22"/>
          <w:szCs w:val="22"/>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mg/1 000 mg plėvele dengtos tabletės</w:t>
      </w:r>
    </w:p>
    <w:p w14:paraId="4FAC7EEC" w14:textId="77777777" w:rsidR="003B31DC" w:rsidRDefault="003B31DC">
      <w:pPr>
        <w:rPr>
          <w:i/>
          <w:iCs/>
          <w:sz w:val="22"/>
          <w:szCs w:val="22"/>
        </w:rPr>
      </w:pPr>
    </w:p>
    <w:p w14:paraId="278E14CE" w14:textId="77777777" w:rsidR="003B31DC" w:rsidRDefault="00913CBE">
      <w:pPr>
        <w:rPr>
          <w:sz w:val="22"/>
          <w:szCs w:val="22"/>
        </w:rPr>
      </w:pPr>
      <w:proofErr w:type="spellStart"/>
      <w:r>
        <w:rPr>
          <w:sz w:val="22"/>
          <w:szCs w:val="22"/>
        </w:rPr>
        <w:t>empagliflozinas</w:t>
      </w:r>
      <w:proofErr w:type="spellEnd"/>
      <w:r>
        <w:rPr>
          <w:sz w:val="22"/>
          <w:szCs w:val="22"/>
        </w:rPr>
        <w:t>/</w:t>
      </w:r>
      <w:proofErr w:type="spellStart"/>
      <w:r>
        <w:rPr>
          <w:sz w:val="22"/>
          <w:szCs w:val="22"/>
        </w:rPr>
        <w:t>metformino</w:t>
      </w:r>
      <w:proofErr w:type="spellEnd"/>
      <w:r>
        <w:rPr>
          <w:sz w:val="22"/>
          <w:szCs w:val="22"/>
        </w:rPr>
        <w:t xml:space="preserve"> hidrochloridas</w:t>
      </w:r>
    </w:p>
    <w:p w14:paraId="10C0D9FD" w14:textId="77777777" w:rsidR="003B31DC" w:rsidRDefault="003B31DC">
      <w:pPr>
        <w:rPr>
          <w:rFonts w:eastAsia="Calibri"/>
          <w:sz w:val="22"/>
          <w:szCs w:val="22"/>
          <w:lang w:eastAsia="en-US"/>
        </w:rPr>
      </w:pPr>
    </w:p>
    <w:p w14:paraId="51776666" w14:textId="77777777" w:rsidR="003B31DC" w:rsidRDefault="003B31DC">
      <w:pPr>
        <w:rPr>
          <w:rFonts w:eastAsia="Calibri"/>
          <w:sz w:val="22"/>
          <w:szCs w:val="22"/>
          <w:lang w:eastAsia="en-US"/>
        </w:rPr>
      </w:pPr>
    </w:p>
    <w:p w14:paraId="6CA02654"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56EB4519" w14:textId="77777777" w:rsidR="003B31DC" w:rsidRDefault="003B31DC">
      <w:pPr>
        <w:rPr>
          <w:rFonts w:eastAsia="Calibri"/>
          <w:sz w:val="22"/>
          <w:szCs w:val="22"/>
          <w:lang w:eastAsia="en-US"/>
        </w:rPr>
      </w:pPr>
    </w:p>
    <w:p w14:paraId="1AC6AF2B" w14:textId="77777777" w:rsidR="003B31DC" w:rsidRDefault="00913CBE">
      <w:pPr>
        <w:rPr>
          <w:rFonts w:eastAsiaTheme="minorHAnsi"/>
          <w:color w:val="000000"/>
          <w:sz w:val="22"/>
          <w:szCs w:val="22"/>
          <w:lang w:eastAsia="en-US"/>
        </w:rPr>
      </w:pPr>
      <w:r>
        <w:rPr>
          <w:rFonts w:eastAsiaTheme="minorHAnsi"/>
          <w:color w:val="000000"/>
          <w:sz w:val="22"/>
          <w:szCs w:val="22"/>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lang w:eastAsia="en-US"/>
        </w:rPr>
        <w:t xml:space="preserve"> tabletėje yra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533ACB5A" w14:textId="77777777" w:rsidR="003B31DC" w:rsidRDefault="00913CBE">
      <w:pPr>
        <w:rPr>
          <w:rFonts w:eastAsiaTheme="minorHAnsi"/>
          <w:color w:val="000000"/>
          <w:sz w:val="22"/>
          <w:szCs w:val="22"/>
          <w:highlight w:val="lightGray"/>
          <w:lang w:eastAsia="en-US"/>
        </w:rPr>
      </w:pPr>
      <w:r>
        <w:rPr>
          <w:rFonts w:eastAsiaTheme="minorHAnsi"/>
          <w:color w:val="000000"/>
          <w:sz w:val="22"/>
          <w:szCs w:val="22"/>
          <w:highlight w:val="lightGray"/>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highlight w:val="lightGray"/>
          <w:lang w:eastAsia="en-US"/>
        </w:rPr>
        <w:t xml:space="preserve"> tabletėje yra 5 mg </w:t>
      </w:r>
      <w:proofErr w:type="spellStart"/>
      <w:r>
        <w:rPr>
          <w:rFonts w:eastAsiaTheme="minorHAnsi"/>
          <w:color w:val="000000"/>
          <w:sz w:val="22"/>
          <w:szCs w:val="22"/>
          <w:highlight w:val="lightGray"/>
          <w:lang w:eastAsia="en-US"/>
        </w:rPr>
        <w:t>empagliflozino</w:t>
      </w:r>
      <w:proofErr w:type="spellEnd"/>
      <w:r>
        <w:rPr>
          <w:rFonts w:eastAsiaTheme="minorHAnsi"/>
          <w:color w:val="000000"/>
          <w:sz w:val="22"/>
          <w:szCs w:val="22"/>
          <w:highlight w:val="lightGray"/>
          <w:lang w:eastAsia="en-US"/>
        </w:rPr>
        <w:t xml:space="preserve">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11982785" w14:textId="77777777" w:rsidR="003B31DC" w:rsidRDefault="00913CBE">
      <w:pPr>
        <w:rPr>
          <w:rFonts w:eastAsiaTheme="minorHAnsi"/>
          <w:color w:val="000000"/>
          <w:sz w:val="22"/>
          <w:szCs w:val="22"/>
          <w:highlight w:val="lightGray"/>
          <w:lang w:eastAsia="en-US"/>
        </w:rPr>
      </w:pPr>
      <w:r>
        <w:rPr>
          <w:rFonts w:eastAsiaTheme="minorHAnsi"/>
          <w:color w:val="000000"/>
          <w:sz w:val="22"/>
          <w:szCs w:val="22"/>
          <w:highlight w:val="lightGray"/>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highlight w:val="lightGray"/>
          <w:lang w:eastAsia="en-US"/>
        </w:rPr>
        <w:t xml:space="preserve"> tabletėje yra 12,5 mg </w:t>
      </w:r>
      <w:proofErr w:type="spellStart"/>
      <w:r>
        <w:rPr>
          <w:rFonts w:eastAsiaTheme="minorHAnsi"/>
          <w:color w:val="000000"/>
          <w:sz w:val="22"/>
          <w:szCs w:val="22"/>
          <w:highlight w:val="lightGray"/>
          <w:lang w:eastAsia="en-US"/>
        </w:rPr>
        <w:t>empagliflozino</w:t>
      </w:r>
      <w:proofErr w:type="spellEnd"/>
      <w:r>
        <w:rPr>
          <w:rFonts w:eastAsiaTheme="minorHAnsi"/>
          <w:color w:val="000000"/>
          <w:sz w:val="22"/>
          <w:szCs w:val="22"/>
          <w:highlight w:val="lightGray"/>
          <w:lang w:eastAsia="en-US"/>
        </w:rPr>
        <w:t xml:space="preserve"> ir 850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1530DB68" w14:textId="77777777" w:rsidR="003B31DC" w:rsidRDefault="00913CBE">
      <w:pPr>
        <w:rPr>
          <w:rFonts w:eastAsiaTheme="minorHAnsi"/>
          <w:color w:val="000000"/>
          <w:sz w:val="22"/>
          <w:szCs w:val="22"/>
          <w:lang w:eastAsia="en-US"/>
        </w:rPr>
      </w:pPr>
      <w:r>
        <w:rPr>
          <w:rFonts w:eastAsiaTheme="minorHAnsi"/>
          <w:color w:val="000000"/>
          <w:sz w:val="22"/>
          <w:szCs w:val="22"/>
          <w:highlight w:val="lightGray"/>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highlight w:val="darkGray"/>
          <w:lang w:eastAsia="en-US"/>
        </w:rPr>
        <w:t xml:space="preserve"> </w:t>
      </w:r>
      <w:r>
        <w:rPr>
          <w:rFonts w:eastAsiaTheme="minorHAnsi"/>
          <w:color w:val="000000"/>
          <w:sz w:val="22"/>
          <w:szCs w:val="22"/>
          <w:highlight w:val="lightGray"/>
          <w:lang w:eastAsia="en-US"/>
        </w:rPr>
        <w:t xml:space="preserve">tabletėje yra 12,5 mg </w:t>
      </w:r>
      <w:proofErr w:type="spellStart"/>
      <w:r>
        <w:rPr>
          <w:rFonts w:eastAsiaTheme="minorHAnsi"/>
          <w:color w:val="000000"/>
          <w:sz w:val="22"/>
          <w:szCs w:val="22"/>
          <w:highlight w:val="lightGray"/>
          <w:lang w:eastAsia="en-US"/>
        </w:rPr>
        <w:t>empagliflozino</w:t>
      </w:r>
      <w:proofErr w:type="spellEnd"/>
      <w:r>
        <w:rPr>
          <w:rFonts w:eastAsiaTheme="minorHAnsi"/>
          <w:color w:val="000000"/>
          <w:sz w:val="22"/>
          <w:szCs w:val="22"/>
          <w:highlight w:val="lightGray"/>
          <w:lang w:eastAsia="en-US"/>
        </w:rPr>
        <w:t xml:space="preserve">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0E5DE034" w14:textId="77777777" w:rsidR="003B31DC" w:rsidRDefault="003B31DC">
      <w:pPr>
        <w:rPr>
          <w:rFonts w:eastAsia="Calibri"/>
          <w:sz w:val="22"/>
          <w:szCs w:val="22"/>
          <w:lang w:eastAsia="en-US"/>
        </w:rPr>
      </w:pPr>
    </w:p>
    <w:p w14:paraId="426EDFF1" w14:textId="77777777" w:rsidR="003B31DC" w:rsidRDefault="003B31DC">
      <w:pPr>
        <w:rPr>
          <w:rFonts w:eastAsia="Calibri"/>
          <w:sz w:val="22"/>
          <w:szCs w:val="22"/>
          <w:lang w:eastAsia="en-US"/>
        </w:rPr>
      </w:pPr>
    </w:p>
    <w:p w14:paraId="3291EB1B"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22F53A62" w14:textId="77777777" w:rsidR="003B31DC" w:rsidRDefault="003B31DC">
      <w:pPr>
        <w:rPr>
          <w:rFonts w:eastAsia="Calibri"/>
          <w:sz w:val="22"/>
          <w:szCs w:val="22"/>
          <w:lang w:eastAsia="en-US"/>
        </w:rPr>
      </w:pPr>
    </w:p>
    <w:p w14:paraId="4E415630" w14:textId="77777777" w:rsidR="003B31DC" w:rsidRDefault="003B31DC">
      <w:pPr>
        <w:rPr>
          <w:rFonts w:eastAsia="Calibri"/>
          <w:sz w:val="22"/>
          <w:szCs w:val="22"/>
          <w:lang w:eastAsia="en-US"/>
        </w:rPr>
      </w:pPr>
    </w:p>
    <w:p w14:paraId="3B945710"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44DCE2AB" w14:textId="77777777" w:rsidR="003B31DC" w:rsidRDefault="003B31DC">
      <w:pPr>
        <w:rPr>
          <w:rFonts w:eastAsia="Calibri"/>
          <w:sz w:val="22"/>
          <w:szCs w:val="22"/>
          <w:lang w:eastAsia="en-US"/>
        </w:rPr>
      </w:pPr>
    </w:p>
    <w:p w14:paraId="68F09C80" w14:textId="77777777" w:rsidR="003B31DC" w:rsidRDefault="00913CBE">
      <w:pPr>
        <w:rPr>
          <w:rFonts w:eastAsia="Calibri"/>
          <w:sz w:val="22"/>
          <w:szCs w:val="22"/>
          <w:lang w:eastAsia="en-US"/>
        </w:rPr>
      </w:pPr>
      <w:r>
        <w:rPr>
          <w:rFonts w:eastAsia="Calibri"/>
          <w:sz w:val="22"/>
          <w:szCs w:val="22"/>
          <w:highlight w:val="lightGray"/>
          <w:lang w:eastAsia="en-US"/>
        </w:rPr>
        <w:t>plėvele dengta tabletė</w:t>
      </w:r>
    </w:p>
    <w:p w14:paraId="71B0C74B" w14:textId="77777777" w:rsidR="003B31DC" w:rsidRDefault="003B31DC">
      <w:pPr>
        <w:rPr>
          <w:rFonts w:eastAsia="Calibri"/>
          <w:sz w:val="22"/>
          <w:szCs w:val="22"/>
          <w:lang w:eastAsia="en-US"/>
        </w:rPr>
      </w:pPr>
    </w:p>
    <w:p w14:paraId="25DA7E8F" w14:textId="77777777" w:rsidR="003B31DC" w:rsidRDefault="00913CBE">
      <w:pPr>
        <w:rPr>
          <w:rFonts w:eastAsia="Calibri"/>
          <w:sz w:val="22"/>
          <w:szCs w:val="22"/>
          <w:lang w:eastAsia="en-US"/>
        </w:rPr>
      </w:pPr>
      <w:r>
        <w:rPr>
          <w:rFonts w:eastAsia="Calibri"/>
          <w:sz w:val="22"/>
          <w:szCs w:val="22"/>
          <w:lang w:eastAsia="en-US"/>
        </w:rPr>
        <w:t xml:space="preserve">10 </w:t>
      </w:r>
      <w:r w:rsidRPr="00FA2F7A">
        <w:rPr>
          <w:rFonts w:eastAsia="Calibri"/>
          <w:i/>
          <w:iCs/>
          <w:sz w:val="22"/>
          <w:szCs w:val="22"/>
          <w:highlight w:val="darkGray"/>
          <w:lang w:eastAsia="en-US"/>
        </w:rPr>
        <w:t>plėvele dengtų</w:t>
      </w:r>
      <w:r>
        <w:rPr>
          <w:rFonts w:eastAsia="Calibri"/>
          <w:sz w:val="22"/>
          <w:szCs w:val="22"/>
          <w:lang w:eastAsia="en-US"/>
        </w:rPr>
        <w:t xml:space="preserve"> tablečių</w:t>
      </w:r>
    </w:p>
    <w:p w14:paraId="4A360698" w14:textId="77777777" w:rsidR="003B31DC" w:rsidRDefault="00913CBE">
      <w:pPr>
        <w:rPr>
          <w:rFonts w:eastAsia="Calibri"/>
          <w:sz w:val="22"/>
          <w:szCs w:val="22"/>
          <w:highlight w:val="lightGray"/>
          <w:lang w:eastAsia="en-US"/>
        </w:rPr>
      </w:pPr>
      <w:bookmarkStart w:id="13" w:name="_Hlk190770775"/>
      <w:r>
        <w:rPr>
          <w:rFonts w:eastAsia="Calibri"/>
          <w:sz w:val="22"/>
          <w:szCs w:val="22"/>
          <w:highlight w:val="lightGray"/>
          <w:lang w:eastAsia="en-US"/>
        </w:rPr>
        <w:t xml:space="preserve">14 </w:t>
      </w:r>
      <w:r w:rsidRPr="00FA2F7A">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15A7DC79" w14:textId="77777777" w:rsidR="003B31DC" w:rsidRDefault="00913CBE">
      <w:pPr>
        <w:rPr>
          <w:rFonts w:eastAsia="Calibri"/>
          <w:sz w:val="22"/>
          <w:szCs w:val="22"/>
          <w:highlight w:val="lightGray"/>
          <w:lang w:eastAsia="en-US"/>
        </w:rPr>
      </w:pPr>
      <w:r>
        <w:rPr>
          <w:rFonts w:eastAsia="Calibri"/>
          <w:sz w:val="22"/>
          <w:szCs w:val="22"/>
          <w:highlight w:val="lightGray"/>
          <w:lang w:eastAsia="en-US"/>
        </w:rPr>
        <w:t xml:space="preserve">28 </w:t>
      </w:r>
      <w:r w:rsidRPr="00FA2F7A">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bookmarkEnd w:id="13"/>
    <w:p w14:paraId="63C1CCF8" w14:textId="77777777" w:rsidR="003B31DC" w:rsidRDefault="00913CBE">
      <w:pPr>
        <w:rPr>
          <w:rFonts w:eastAsia="Calibri"/>
          <w:sz w:val="22"/>
          <w:szCs w:val="22"/>
          <w:highlight w:val="lightGray"/>
          <w:lang w:eastAsia="en-US"/>
        </w:rPr>
      </w:pPr>
      <w:r>
        <w:rPr>
          <w:rFonts w:eastAsia="Calibri"/>
          <w:sz w:val="22"/>
          <w:szCs w:val="22"/>
          <w:highlight w:val="lightGray"/>
          <w:lang w:eastAsia="en-US"/>
        </w:rPr>
        <w:t xml:space="preserve">30 </w:t>
      </w:r>
      <w:r w:rsidRPr="00FA2F7A">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1CE13D15" w14:textId="77777777" w:rsidR="003B31DC" w:rsidRDefault="00913CBE">
      <w:pPr>
        <w:rPr>
          <w:rFonts w:eastAsia="Calibri"/>
          <w:sz w:val="22"/>
          <w:szCs w:val="22"/>
          <w:highlight w:val="lightGray"/>
          <w:lang w:eastAsia="en-US"/>
        </w:rPr>
      </w:pPr>
      <w:r>
        <w:rPr>
          <w:rFonts w:eastAsia="Calibri"/>
          <w:sz w:val="22"/>
          <w:szCs w:val="22"/>
          <w:highlight w:val="lightGray"/>
          <w:lang w:eastAsia="en-US"/>
        </w:rPr>
        <w:t xml:space="preserve">56 </w:t>
      </w:r>
      <w:r w:rsidRPr="00FA2F7A">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07F11331" w14:textId="77777777" w:rsidR="003B31DC" w:rsidRDefault="00913CBE">
      <w:pPr>
        <w:rPr>
          <w:rFonts w:eastAsia="Calibri"/>
          <w:sz w:val="22"/>
          <w:szCs w:val="22"/>
          <w:highlight w:val="lightGray"/>
          <w:lang w:eastAsia="en-US"/>
        </w:rPr>
      </w:pPr>
      <w:r>
        <w:rPr>
          <w:rFonts w:eastAsia="Calibri"/>
          <w:sz w:val="22"/>
          <w:szCs w:val="22"/>
          <w:highlight w:val="lightGray"/>
          <w:lang w:eastAsia="en-US"/>
        </w:rPr>
        <w:t xml:space="preserve">60 </w:t>
      </w:r>
      <w:r w:rsidRPr="00FA2F7A">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4679F9FE" w14:textId="77777777" w:rsidR="003B31DC" w:rsidRDefault="00913CBE">
      <w:pPr>
        <w:rPr>
          <w:rFonts w:eastAsia="Calibri"/>
          <w:sz w:val="22"/>
          <w:szCs w:val="22"/>
          <w:highlight w:val="lightGray"/>
          <w:lang w:eastAsia="en-US"/>
        </w:rPr>
      </w:pPr>
      <w:r>
        <w:rPr>
          <w:rFonts w:eastAsia="Calibri"/>
          <w:sz w:val="22"/>
          <w:szCs w:val="22"/>
          <w:highlight w:val="lightGray"/>
          <w:lang w:eastAsia="en-US"/>
        </w:rPr>
        <w:t xml:space="preserve">90 </w:t>
      </w:r>
      <w:r w:rsidRPr="00FA2F7A">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50787225" w14:textId="77777777" w:rsidR="003B31DC" w:rsidRDefault="00913CBE">
      <w:pPr>
        <w:rPr>
          <w:rFonts w:eastAsia="Calibri"/>
          <w:sz w:val="22"/>
          <w:szCs w:val="22"/>
          <w:lang w:eastAsia="en-US"/>
        </w:rPr>
      </w:pPr>
      <w:r>
        <w:rPr>
          <w:rFonts w:eastAsia="Calibri"/>
          <w:sz w:val="22"/>
          <w:szCs w:val="22"/>
          <w:highlight w:val="lightGray"/>
          <w:lang w:eastAsia="en-US"/>
        </w:rPr>
        <w:t xml:space="preserve">100 </w:t>
      </w:r>
      <w:r w:rsidRPr="00FA2F7A">
        <w:rPr>
          <w:rFonts w:eastAsia="Calibri"/>
          <w:i/>
          <w:iCs/>
          <w:sz w:val="22"/>
          <w:szCs w:val="22"/>
          <w:highlight w:val="darkGray"/>
          <w:lang w:eastAsia="en-US"/>
        </w:rPr>
        <w:t>plėvele dengtų</w:t>
      </w:r>
      <w:r>
        <w:rPr>
          <w:rFonts w:eastAsia="Calibri"/>
          <w:sz w:val="22"/>
          <w:szCs w:val="22"/>
          <w:highlight w:val="lightGray"/>
          <w:lang w:eastAsia="en-US"/>
        </w:rPr>
        <w:t xml:space="preserve"> tablečių</w:t>
      </w:r>
    </w:p>
    <w:p w14:paraId="37BFCC5C" w14:textId="77777777" w:rsidR="003B31DC" w:rsidRDefault="00913CBE">
      <w:pPr>
        <w:rPr>
          <w:rFonts w:eastAsia="Calibri"/>
          <w:sz w:val="22"/>
          <w:szCs w:val="22"/>
          <w:lang w:eastAsia="en-US"/>
        </w:rPr>
      </w:pPr>
      <w:r>
        <w:rPr>
          <w:rFonts w:eastAsia="Calibri"/>
          <w:sz w:val="22"/>
          <w:szCs w:val="22"/>
          <w:highlight w:val="lightGray"/>
          <w:lang w:eastAsia="en-US"/>
        </w:rPr>
        <w:t xml:space="preserve">120 </w:t>
      </w:r>
      <w:r w:rsidRPr="00FA2F7A">
        <w:rPr>
          <w:rFonts w:eastAsia="Calibri"/>
          <w:i/>
          <w:iCs/>
          <w:sz w:val="22"/>
          <w:szCs w:val="22"/>
          <w:highlight w:val="darkGray"/>
          <w:lang w:eastAsia="en-US"/>
        </w:rPr>
        <w:t>plėvele dengtų</w:t>
      </w:r>
      <w:r>
        <w:rPr>
          <w:rFonts w:eastAsia="Calibri"/>
          <w:sz w:val="22"/>
          <w:szCs w:val="22"/>
          <w:highlight w:val="darkGray"/>
          <w:lang w:eastAsia="en-US"/>
        </w:rPr>
        <w:t xml:space="preserve"> </w:t>
      </w:r>
      <w:r>
        <w:rPr>
          <w:rFonts w:eastAsia="Calibri"/>
          <w:sz w:val="22"/>
          <w:szCs w:val="22"/>
          <w:highlight w:val="lightGray"/>
          <w:lang w:eastAsia="en-US"/>
        </w:rPr>
        <w:t>tablečių</w:t>
      </w:r>
    </w:p>
    <w:p w14:paraId="540FB3DF" w14:textId="77777777" w:rsidR="003B31DC" w:rsidRDefault="00913CBE">
      <w:pPr>
        <w:rPr>
          <w:rFonts w:eastAsia="Calibri"/>
          <w:sz w:val="22"/>
          <w:szCs w:val="22"/>
          <w:highlight w:val="lightGray"/>
          <w:lang w:eastAsia="en-US"/>
        </w:rPr>
      </w:pPr>
      <w:r>
        <w:rPr>
          <w:rFonts w:eastAsia="Calibri"/>
          <w:sz w:val="22"/>
          <w:szCs w:val="22"/>
          <w:highlight w:val="lightGray"/>
          <w:lang w:eastAsia="en-US"/>
        </w:rPr>
        <w:t xml:space="preserve">196 </w:t>
      </w:r>
      <w:r w:rsidRPr="00FA2F7A">
        <w:rPr>
          <w:rFonts w:eastAsia="Calibri"/>
          <w:i/>
          <w:iCs/>
          <w:sz w:val="22"/>
          <w:szCs w:val="22"/>
          <w:highlight w:val="darkGray"/>
          <w:lang w:eastAsia="en-US"/>
        </w:rPr>
        <w:t>plėvele dengtos</w:t>
      </w:r>
      <w:r>
        <w:rPr>
          <w:rFonts w:eastAsia="Calibri"/>
          <w:sz w:val="22"/>
          <w:szCs w:val="22"/>
          <w:highlight w:val="lightGray"/>
          <w:lang w:eastAsia="en-US"/>
        </w:rPr>
        <w:t xml:space="preserve"> tabletės</w:t>
      </w:r>
    </w:p>
    <w:p w14:paraId="797452AB" w14:textId="77777777" w:rsidR="003B31DC" w:rsidRDefault="003B31DC">
      <w:pPr>
        <w:rPr>
          <w:rFonts w:eastAsia="Calibri"/>
          <w:sz w:val="22"/>
          <w:szCs w:val="22"/>
          <w:lang w:eastAsia="en-US"/>
        </w:rPr>
      </w:pPr>
    </w:p>
    <w:p w14:paraId="7E945018" w14:textId="77777777" w:rsidR="003B31DC" w:rsidRDefault="003B31DC">
      <w:pPr>
        <w:rPr>
          <w:rFonts w:eastAsia="Calibri"/>
          <w:sz w:val="22"/>
          <w:szCs w:val="22"/>
          <w:lang w:eastAsia="en-US"/>
        </w:rPr>
      </w:pPr>
    </w:p>
    <w:p w14:paraId="1AD1B12A"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79866941" w14:textId="77777777" w:rsidR="003B31DC" w:rsidRDefault="003B31DC">
      <w:pPr>
        <w:rPr>
          <w:rFonts w:eastAsia="Calibri"/>
          <w:sz w:val="16"/>
          <w:szCs w:val="16"/>
          <w:lang w:eastAsia="en-US"/>
        </w:rPr>
      </w:pPr>
    </w:p>
    <w:p w14:paraId="3480CA04" w14:textId="77777777" w:rsidR="003B31DC" w:rsidRDefault="00913CBE">
      <w:pPr>
        <w:rPr>
          <w:rFonts w:eastAsia="Calibri"/>
          <w:sz w:val="22"/>
          <w:szCs w:val="22"/>
          <w:lang w:eastAsia="en-US"/>
        </w:rPr>
      </w:pPr>
      <w:r>
        <w:rPr>
          <w:rFonts w:eastAsia="Calibri"/>
          <w:noProof/>
          <w:sz w:val="22"/>
          <w:szCs w:val="22"/>
          <w:lang w:eastAsia="en-US"/>
        </w:rPr>
        <w:t>Prieš vartojimą perskaitykite pakuotės lapelį.</w:t>
      </w:r>
    </w:p>
    <w:p w14:paraId="4BD2C867" w14:textId="77777777" w:rsidR="003B31DC" w:rsidRDefault="003B31DC">
      <w:pPr>
        <w:rPr>
          <w:rFonts w:eastAsia="Calibri"/>
          <w:i/>
          <w:iCs/>
          <w:sz w:val="22"/>
          <w:szCs w:val="22"/>
          <w:highlight w:val="darkGray"/>
          <w:lang w:eastAsia="en-US"/>
        </w:rPr>
      </w:pPr>
    </w:p>
    <w:p w14:paraId="705F0629" w14:textId="77777777" w:rsidR="003B31DC" w:rsidRDefault="00913CBE">
      <w:pPr>
        <w:rPr>
          <w:rFonts w:eastAsia="Calibri"/>
          <w:sz w:val="22"/>
          <w:szCs w:val="22"/>
          <w:lang w:eastAsia="en-US"/>
        </w:rPr>
      </w:pPr>
      <w:r w:rsidRPr="00FA2F7A">
        <w:rPr>
          <w:rFonts w:eastAsia="Calibri"/>
          <w:i/>
          <w:iCs/>
          <w:sz w:val="22"/>
          <w:szCs w:val="22"/>
          <w:highlight w:val="darkGray"/>
          <w:lang w:eastAsia="en-US"/>
        </w:rPr>
        <w:t>Vartoti per burną</w:t>
      </w:r>
      <w:r>
        <w:rPr>
          <w:rFonts w:eastAsia="Calibri"/>
          <w:sz w:val="22"/>
          <w:szCs w:val="22"/>
          <w:highlight w:val="darkGray"/>
          <w:lang w:eastAsia="en-US"/>
        </w:rPr>
        <w:t>.</w:t>
      </w:r>
    </w:p>
    <w:p w14:paraId="087C3E92" w14:textId="77777777" w:rsidR="003B31DC" w:rsidRDefault="003B31DC">
      <w:pPr>
        <w:rPr>
          <w:rFonts w:eastAsia="Calibri"/>
          <w:sz w:val="22"/>
          <w:szCs w:val="22"/>
          <w:lang w:eastAsia="en-US"/>
        </w:rPr>
      </w:pPr>
    </w:p>
    <w:p w14:paraId="21791B44" w14:textId="77777777" w:rsidR="003B31DC" w:rsidRDefault="003B31DC">
      <w:pPr>
        <w:rPr>
          <w:rFonts w:eastAsia="Calibri"/>
          <w:sz w:val="22"/>
          <w:szCs w:val="22"/>
          <w:lang w:eastAsia="en-US"/>
        </w:rPr>
      </w:pPr>
    </w:p>
    <w:p w14:paraId="3E17CA55"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31B9F56C" w14:textId="77777777" w:rsidR="003B31DC" w:rsidRDefault="003B31DC">
      <w:pPr>
        <w:rPr>
          <w:rFonts w:eastAsia="Calibri"/>
          <w:sz w:val="22"/>
          <w:szCs w:val="22"/>
          <w:lang w:eastAsia="en-US"/>
        </w:rPr>
      </w:pPr>
    </w:p>
    <w:p w14:paraId="46090235" w14:textId="77777777" w:rsidR="003B31DC" w:rsidRDefault="00913CBE">
      <w:pPr>
        <w:rPr>
          <w:rFonts w:eastAsia="Calibri"/>
          <w:sz w:val="22"/>
          <w:szCs w:val="22"/>
          <w:lang w:eastAsia="en-US"/>
        </w:rPr>
      </w:pPr>
      <w:r>
        <w:rPr>
          <w:rFonts w:eastAsia="Calibri"/>
          <w:noProof/>
          <w:sz w:val="22"/>
          <w:szCs w:val="22"/>
          <w:lang w:eastAsia="en-US"/>
        </w:rPr>
        <w:t>Laikyti vaikams nepastebimoje ir nepasiekiamoje vietoje.</w:t>
      </w:r>
    </w:p>
    <w:p w14:paraId="62A67A27" w14:textId="77777777" w:rsidR="003B31DC" w:rsidRDefault="003B31DC">
      <w:pPr>
        <w:rPr>
          <w:rFonts w:eastAsia="Calibri"/>
          <w:sz w:val="22"/>
          <w:szCs w:val="22"/>
          <w:lang w:eastAsia="en-US"/>
        </w:rPr>
      </w:pPr>
    </w:p>
    <w:p w14:paraId="27A90E46" w14:textId="77777777" w:rsidR="003B31DC" w:rsidRDefault="003B31DC">
      <w:pPr>
        <w:rPr>
          <w:rFonts w:eastAsia="Calibri"/>
          <w:sz w:val="22"/>
          <w:szCs w:val="22"/>
          <w:lang w:eastAsia="en-US"/>
        </w:rPr>
      </w:pPr>
    </w:p>
    <w:p w14:paraId="1B9560AF"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lastRenderedPageBreak/>
        <w:t>7.</w:t>
      </w:r>
      <w:r>
        <w:rPr>
          <w:rFonts w:eastAsia="Calibri"/>
          <w:b/>
          <w:sz w:val="22"/>
          <w:szCs w:val="22"/>
          <w:lang w:eastAsia="en-US"/>
        </w:rPr>
        <w:tab/>
      </w:r>
      <w:r>
        <w:rPr>
          <w:rFonts w:eastAsia="Calibri"/>
          <w:b/>
          <w:noProof/>
          <w:sz w:val="22"/>
          <w:szCs w:val="22"/>
          <w:lang w:eastAsia="en-US"/>
        </w:rPr>
        <w:t>KITAS (-I) SPECIALUS (-ŪS) ĮSPĖJIMAS (-AI) (JEI REIKIA)</w:t>
      </w:r>
    </w:p>
    <w:p w14:paraId="4CAAD777" w14:textId="77777777" w:rsidR="003B31DC" w:rsidRDefault="003B31DC">
      <w:pPr>
        <w:rPr>
          <w:rFonts w:eastAsia="Calibri"/>
          <w:sz w:val="22"/>
          <w:szCs w:val="22"/>
          <w:lang w:eastAsia="en-US"/>
        </w:rPr>
      </w:pPr>
    </w:p>
    <w:p w14:paraId="3F40A3E2" w14:textId="77777777" w:rsidR="003B31DC" w:rsidRDefault="003B31DC">
      <w:pPr>
        <w:rPr>
          <w:rFonts w:eastAsia="Calibri"/>
          <w:sz w:val="22"/>
          <w:szCs w:val="22"/>
          <w:lang w:eastAsia="en-US"/>
        </w:rPr>
      </w:pPr>
    </w:p>
    <w:p w14:paraId="2DDBF10A"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69BAE199" w14:textId="77777777" w:rsidR="003B31DC" w:rsidRDefault="003B31DC">
      <w:pPr>
        <w:rPr>
          <w:rFonts w:eastAsia="Calibri"/>
          <w:sz w:val="22"/>
          <w:szCs w:val="22"/>
          <w:lang w:eastAsia="en-US"/>
        </w:rPr>
      </w:pPr>
    </w:p>
    <w:p w14:paraId="416DAA09" w14:textId="77777777" w:rsidR="003B31DC" w:rsidRDefault="00913CBE">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2720F3FD" w14:textId="77777777" w:rsidR="003B31DC" w:rsidRDefault="003B31DC">
      <w:pPr>
        <w:rPr>
          <w:rFonts w:eastAsia="Calibri"/>
          <w:sz w:val="22"/>
          <w:szCs w:val="22"/>
          <w:lang w:eastAsia="en-US"/>
        </w:rPr>
      </w:pPr>
    </w:p>
    <w:p w14:paraId="363CE6C9" w14:textId="77777777" w:rsidR="003B31DC" w:rsidRDefault="003B31DC">
      <w:pPr>
        <w:rPr>
          <w:rFonts w:eastAsia="Calibri"/>
          <w:sz w:val="22"/>
          <w:szCs w:val="22"/>
          <w:lang w:eastAsia="en-US"/>
        </w:rPr>
      </w:pPr>
    </w:p>
    <w:p w14:paraId="596E777F"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7DEB321A" w14:textId="77777777" w:rsidR="003B31DC" w:rsidRDefault="003B31DC">
      <w:pPr>
        <w:rPr>
          <w:rFonts w:eastAsia="Calibri"/>
          <w:sz w:val="22"/>
          <w:szCs w:val="22"/>
          <w:lang w:eastAsia="en-US"/>
        </w:rPr>
      </w:pPr>
    </w:p>
    <w:p w14:paraId="41E98455" w14:textId="77777777" w:rsidR="003B31DC" w:rsidRDefault="003B31DC">
      <w:pPr>
        <w:rPr>
          <w:rFonts w:eastAsia="Calibri"/>
          <w:sz w:val="22"/>
          <w:szCs w:val="22"/>
          <w:lang w:eastAsia="en-US"/>
        </w:rPr>
      </w:pPr>
    </w:p>
    <w:p w14:paraId="368675AA"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5F5CCADB" w14:textId="77777777" w:rsidR="003B31DC" w:rsidRDefault="003B31DC">
      <w:pPr>
        <w:rPr>
          <w:rFonts w:eastAsia="Calibri"/>
          <w:sz w:val="22"/>
          <w:szCs w:val="22"/>
          <w:lang w:eastAsia="en-US"/>
        </w:rPr>
      </w:pPr>
    </w:p>
    <w:p w14:paraId="05DF1412" w14:textId="77777777" w:rsidR="003B31DC" w:rsidRDefault="003B31DC">
      <w:pPr>
        <w:rPr>
          <w:rFonts w:eastAsia="Calibri"/>
          <w:sz w:val="22"/>
          <w:szCs w:val="22"/>
          <w:lang w:eastAsia="en-US"/>
        </w:rPr>
      </w:pPr>
    </w:p>
    <w:p w14:paraId="5A11A837"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726F303A" w14:textId="77777777" w:rsidR="003B31DC" w:rsidRDefault="003B31DC">
      <w:pPr>
        <w:rPr>
          <w:rFonts w:eastAsia="Calibri"/>
          <w:sz w:val="22"/>
          <w:szCs w:val="22"/>
          <w:lang w:eastAsia="en-US"/>
        </w:rPr>
      </w:pPr>
    </w:p>
    <w:p w14:paraId="2E9A10A4" w14:textId="77777777" w:rsidR="003B31DC" w:rsidRDefault="00913CB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677D28E2" w14:textId="77777777" w:rsidR="003B31DC" w:rsidRDefault="00913CB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479666FA" w14:textId="77777777" w:rsidR="003B31DC" w:rsidRDefault="00913CBE">
      <w:pPr>
        <w:widowControl w:val="0"/>
        <w:rPr>
          <w:b/>
          <w:sz w:val="22"/>
          <w:szCs w:val="22"/>
          <w:lang w:eastAsia="sl-SI"/>
        </w:rPr>
      </w:pPr>
      <w:r>
        <w:rPr>
          <w:sz w:val="22"/>
          <w:szCs w:val="22"/>
          <w:lang w:eastAsia="sl-SI"/>
        </w:rPr>
        <w:t>8501 Novo mesto</w:t>
      </w:r>
    </w:p>
    <w:p w14:paraId="6FF96ED7" w14:textId="77777777" w:rsidR="003B31DC" w:rsidRDefault="00913CBE">
      <w:pPr>
        <w:widowControl w:val="0"/>
        <w:rPr>
          <w:b/>
          <w:sz w:val="22"/>
          <w:szCs w:val="22"/>
          <w:lang w:eastAsia="sl-SI"/>
        </w:rPr>
      </w:pPr>
      <w:r>
        <w:rPr>
          <w:sz w:val="22"/>
          <w:szCs w:val="22"/>
          <w:lang w:eastAsia="sl-SI"/>
        </w:rPr>
        <w:t>Slovėnija</w:t>
      </w:r>
    </w:p>
    <w:p w14:paraId="4F1E2F22" w14:textId="77777777" w:rsidR="003B31DC" w:rsidRDefault="003B31DC">
      <w:pPr>
        <w:rPr>
          <w:rFonts w:eastAsia="Calibri"/>
          <w:sz w:val="22"/>
          <w:szCs w:val="22"/>
          <w:lang w:eastAsia="en-US"/>
        </w:rPr>
      </w:pPr>
    </w:p>
    <w:p w14:paraId="5402FD19" w14:textId="77777777" w:rsidR="003B31DC" w:rsidRDefault="003B31DC">
      <w:pPr>
        <w:rPr>
          <w:rFonts w:eastAsia="Calibri"/>
          <w:sz w:val="22"/>
          <w:szCs w:val="22"/>
          <w:lang w:eastAsia="en-US"/>
        </w:rPr>
      </w:pPr>
    </w:p>
    <w:p w14:paraId="11B48871"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55E32127" w14:textId="77777777" w:rsidR="003B31DC" w:rsidRDefault="003B31DC">
      <w:pPr>
        <w:rPr>
          <w:rFonts w:eastAsia="Calibri"/>
          <w:sz w:val="22"/>
          <w:szCs w:val="22"/>
          <w:lang w:eastAsia="en-US"/>
        </w:rPr>
      </w:pPr>
    </w:p>
    <w:p w14:paraId="7B671B8F" w14:textId="1E75FF94" w:rsidR="003C78E9" w:rsidRPr="003C78E9" w:rsidRDefault="003C78E9" w:rsidP="003C78E9">
      <w:pPr>
        <w:autoSpaceDE w:val="0"/>
        <w:autoSpaceDN w:val="0"/>
        <w:adjustRightInd w:val="0"/>
        <w:rPr>
          <w:rFonts w:eastAsia="Calibri"/>
          <w:iCs/>
          <w:sz w:val="22"/>
          <w:szCs w:val="22"/>
          <w:lang w:eastAsia="en-US"/>
        </w:rPr>
      </w:pPr>
      <w:r w:rsidRPr="00C21CFA">
        <w:rPr>
          <w:rFonts w:eastAsia="Calibri"/>
          <w:iCs/>
          <w:sz w:val="22"/>
          <w:szCs w:val="22"/>
          <w:highlight w:val="lightGray"/>
          <w:lang w:eastAsia="en-US"/>
        </w:rPr>
        <w:t>&lt;5 mg/850 mg&gt;</w:t>
      </w:r>
    </w:p>
    <w:p w14:paraId="3D992CF8"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lang w:eastAsia="en-US"/>
        </w:rPr>
        <w:t xml:space="preserve">LT/1/26/6014/001 </w:t>
      </w:r>
      <w:r w:rsidRPr="00C21CFA">
        <w:rPr>
          <w:rFonts w:eastAsia="Calibri"/>
          <w:iCs/>
          <w:sz w:val="22"/>
          <w:szCs w:val="22"/>
          <w:highlight w:val="lightGray"/>
          <w:lang w:eastAsia="en-US"/>
        </w:rPr>
        <w:t>– N10</w:t>
      </w:r>
    </w:p>
    <w:p w14:paraId="385EEEDA"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LT/1/26/6014/002 – N14</w:t>
      </w:r>
    </w:p>
    <w:p w14:paraId="2CFDE2FC"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LT/1/26/6014/003 – N28</w:t>
      </w:r>
    </w:p>
    <w:p w14:paraId="22F9A375"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LT/1/26/6014/004 – N30</w:t>
      </w:r>
    </w:p>
    <w:p w14:paraId="5E008509"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LT/1/26/6014/005 – N56</w:t>
      </w:r>
    </w:p>
    <w:p w14:paraId="54FC99B0"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LT/1/26/6014/006 – N60</w:t>
      </w:r>
    </w:p>
    <w:p w14:paraId="79A0D298"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LT/1/26/6014/007 – N90</w:t>
      </w:r>
    </w:p>
    <w:p w14:paraId="29BC135F"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LT/1/26/6014/008 – N100</w:t>
      </w:r>
    </w:p>
    <w:p w14:paraId="2F3FEA9F"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LT/1/26/6014/009 – N120</w:t>
      </w:r>
    </w:p>
    <w:p w14:paraId="421897B3"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LT/1/26/6014/010 – N196</w:t>
      </w:r>
    </w:p>
    <w:p w14:paraId="2344795E" w14:textId="77777777" w:rsidR="003C78E9" w:rsidRPr="00C21CFA" w:rsidRDefault="003C78E9" w:rsidP="003C78E9">
      <w:pPr>
        <w:autoSpaceDE w:val="0"/>
        <w:autoSpaceDN w:val="0"/>
        <w:adjustRightInd w:val="0"/>
        <w:rPr>
          <w:rFonts w:eastAsia="Calibri"/>
          <w:iCs/>
          <w:sz w:val="22"/>
          <w:szCs w:val="22"/>
          <w:highlight w:val="lightGray"/>
          <w:lang w:eastAsia="en-US"/>
        </w:rPr>
      </w:pPr>
    </w:p>
    <w:p w14:paraId="11032BAB" w14:textId="07837B36"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&lt;5 mg/1000 mg&gt;</w:t>
      </w:r>
    </w:p>
    <w:p w14:paraId="41AF08ED"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LT/1/26/6015/001 – N10</w:t>
      </w:r>
    </w:p>
    <w:p w14:paraId="72F642B6"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LT/1/26/6015/002 – N14</w:t>
      </w:r>
    </w:p>
    <w:p w14:paraId="6C6A3F6B"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LT/1/26/6015/003 – N28</w:t>
      </w:r>
    </w:p>
    <w:p w14:paraId="430FDD16"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LT/1/26/6015/004 – N30</w:t>
      </w:r>
    </w:p>
    <w:p w14:paraId="52A18083"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LT/1/26/6015/005 – N56</w:t>
      </w:r>
    </w:p>
    <w:p w14:paraId="18CC1488"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LT/1/26/6015/006 – N60</w:t>
      </w:r>
    </w:p>
    <w:p w14:paraId="683C714E"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LT/1/26/6015/007 – N90</w:t>
      </w:r>
    </w:p>
    <w:p w14:paraId="71D3BD9C"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LT/1/26/6015/008 – N100</w:t>
      </w:r>
    </w:p>
    <w:p w14:paraId="631E08AC"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LT/1/26/6015/009 – N120</w:t>
      </w:r>
    </w:p>
    <w:p w14:paraId="123FAA32"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LT/1/26/6015/010 – N196</w:t>
      </w:r>
    </w:p>
    <w:p w14:paraId="76F28213" w14:textId="77777777" w:rsidR="003C78E9" w:rsidRPr="00C21CFA" w:rsidRDefault="003C78E9" w:rsidP="003C78E9">
      <w:pPr>
        <w:autoSpaceDE w:val="0"/>
        <w:autoSpaceDN w:val="0"/>
        <w:adjustRightInd w:val="0"/>
        <w:rPr>
          <w:rFonts w:eastAsia="Calibri"/>
          <w:iCs/>
          <w:sz w:val="22"/>
          <w:szCs w:val="22"/>
          <w:highlight w:val="lightGray"/>
          <w:lang w:eastAsia="en-US"/>
        </w:rPr>
      </w:pPr>
    </w:p>
    <w:p w14:paraId="671258DF" w14:textId="470102EA"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&lt;12,5 mg/850 mg&gt;</w:t>
      </w:r>
    </w:p>
    <w:p w14:paraId="45E8423F"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LT/1/26/6016/001 – N10</w:t>
      </w:r>
    </w:p>
    <w:p w14:paraId="7A423F8D"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LT/1/26/6016/002 – N14</w:t>
      </w:r>
    </w:p>
    <w:p w14:paraId="5A8D0E2A"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LT/1/26/6016/003 – N28</w:t>
      </w:r>
    </w:p>
    <w:p w14:paraId="70654A88"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LT/1/26/6016/004 – N30</w:t>
      </w:r>
    </w:p>
    <w:p w14:paraId="78E9251C"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LT/1/26/6016/005 – N56</w:t>
      </w:r>
    </w:p>
    <w:p w14:paraId="23419DFB"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LT/1/26/6016/006 – N60</w:t>
      </w:r>
    </w:p>
    <w:p w14:paraId="275674EF"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lastRenderedPageBreak/>
        <w:t>LT/1/26/6016/007 – N90</w:t>
      </w:r>
    </w:p>
    <w:p w14:paraId="3AD0CAFE"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LT/1/26/6016/008 – N100</w:t>
      </w:r>
    </w:p>
    <w:p w14:paraId="770847C3"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LT/1/26/6016/009 – N120</w:t>
      </w:r>
    </w:p>
    <w:p w14:paraId="13B60DB6"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LT/1/26/6016/010 – N196</w:t>
      </w:r>
    </w:p>
    <w:p w14:paraId="4AD93F45" w14:textId="77777777" w:rsidR="003C78E9" w:rsidRPr="00C21CFA" w:rsidRDefault="003C78E9" w:rsidP="003C78E9">
      <w:pPr>
        <w:autoSpaceDE w:val="0"/>
        <w:autoSpaceDN w:val="0"/>
        <w:adjustRightInd w:val="0"/>
        <w:rPr>
          <w:rFonts w:eastAsia="Calibri"/>
          <w:iCs/>
          <w:sz w:val="22"/>
          <w:szCs w:val="22"/>
          <w:highlight w:val="lightGray"/>
          <w:lang w:eastAsia="en-US"/>
        </w:rPr>
      </w:pPr>
    </w:p>
    <w:p w14:paraId="7D6A3467" w14:textId="13961604"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&lt;12,5 mg/1000 mg&gt;</w:t>
      </w:r>
    </w:p>
    <w:p w14:paraId="6E6951F8"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LT/1/26/6017/001 – N10</w:t>
      </w:r>
    </w:p>
    <w:p w14:paraId="597A8F5A"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LT/1/26/6017/002 – N14</w:t>
      </w:r>
    </w:p>
    <w:p w14:paraId="4DDA5E10"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LT/1/26/6017/003 – N28</w:t>
      </w:r>
    </w:p>
    <w:p w14:paraId="4D577B01"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LT/1/26/6017/004 – N30</w:t>
      </w:r>
    </w:p>
    <w:p w14:paraId="3016C47C"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LT/1/26/6017/005 – N56</w:t>
      </w:r>
    </w:p>
    <w:p w14:paraId="747C8AD5"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LT/1/26/6017/006 – N60</w:t>
      </w:r>
    </w:p>
    <w:p w14:paraId="68E6F9A6"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LT/1/26/6017/007 – N90</w:t>
      </w:r>
    </w:p>
    <w:p w14:paraId="00044148"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LT/1/26/6017/008 – N100</w:t>
      </w:r>
    </w:p>
    <w:p w14:paraId="3E4910D1" w14:textId="77777777" w:rsidR="003C78E9" w:rsidRPr="00C21CFA" w:rsidRDefault="003C78E9" w:rsidP="003C78E9">
      <w:pPr>
        <w:autoSpaceDE w:val="0"/>
        <w:autoSpaceDN w:val="0"/>
        <w:adjustRightInd w:val="0"/>
        <w:rPr>
          <w:rFonts w:eastAsia="Calibri"/>
          <w:iCs/>
          <w:sz w:val="22"/>
          <w:szCs w:val="22"/>
          <w:highlight w:val="lightGray"/>
          <w:lang w:eastAsia="en-US"/>
        </w:rPr>
      </w:pPr>
      <w:r w:rsidRPr="00C21CFA">
        <w:rPr>
          <w:rFonts w:eastAsia="Calibri"/>
          <w:iCs/>
          <w:sz w:val="22"/>
          <w:szCs w:val="22"/>
          <w:highlight w:val="lightGray"/>
          <w:lang w:eastAsia="en-US"/>
        </w:rPr>
        <w:t>LT/1/26/6017/009 – N120</w:t>
      </w:r>
    </w:p>
    <w:p w14:paraId="1416FB78" w14:textId="77777777" w:rsidR="003C78E9" w:rsidRPr="003C78E9" w:rsidRDefault="003C78E9" w:rsidP="003C78E9">
      <w:pPr>
        <w:autoSpaceDE w:val="0"/>
        <w:autoSpaceDN w:val="0"/>
        <w:adjustRightInd w:val="0"/>
        <w:rPr>
          <w:rFonts w:eastAsia="Calibri"/>
          <w:iCs/>
          <w:sz w:val="22"/>
          <w:szCs w:val="22"/>
          <w:lang w:eastAsia="en-US"/>
        </w:rPr>
      </w:pPr>
      <w:r w:rsidRPr="00C21CFA">
        <w:rPr>
          <w:rFonts w:eastAsia="Calibri"/>
          <w:iCs/>
          <w:sz w:val="22"/>
          <w:szCs w:val="22"/>
          <w:highlight w:val="lightGray"/>
          <w:lang w:eastAsia="en-US"/>
        </w:rPr>
        <w:t>LT/1/26/6017/010 – N196</w:t>
      </w:r>
    </w:p>
    <w:p w14:paraId="0E9D6844" w14:textId="77777777" w:rsidR="003C78E9" w:rsidRDefault="003C78E9" w:rsidP="003C78E9">
      <w:pPr>
        <w:autoSpaceDE w:val="0"/>
        <w:autoSpaceDN w:val="0"/>
        <w:adjustRightInd w:val="0"/>
        <w:rPr>
          <w:rFonts w:eastAsia="Calibri"/>
          <w:iCs/>
          <w:sz w:val="22"/>
          <w:szCs w:val="22"/>
          <w:lang w:eastAsia="en-US"/>
        </w:rPr>
      </w:pPr>
    </w:p>
    <w:p w14:paraId="78A766D9" w14:textId="77777777" w:rsidR="003B31DC" w:rsidRDefault="003B31DC">
      <w:pPr>
        <w:rPr>
          <w:rFonts w:eastAsia="Calibri"/>
          <w:sz w:val="22"/>
          <w:szCs w:val="22"/>
          <w:lang w:eastAsia="en-US"/>
        </w:rPr>
      </w:pPr>
    </w:p>
    <w:p w14:paraId="49218579"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260A4980" w14:textId="77777777" w:rsidR="003B31DC" w:rsidRDefault="003B31DC">
      <w:pPr>
        <w:rPr>
          <w:rFonts w:eastAsia="Calibri"/>
          <w:sz w:val="22"/>
          <w:szCs w:val="22"/>
          <w:lang w:eastAsia="en-US"/>
        </w:rPr>
      </w:pPr>
    </w:p>
    <w:p w14:paraId="73B28578" w14:textId="77777777" w:rsidR="003B31DC" w:rsidRDefault="00913CBE">
      <w:pPr>
        <w:rPr>
          <w:rFonts w:eastAsia="Calibri"/>
          <w:sz w:val="22"/>
          <w:szCs w:val="22"/>
          <w:lang w:eastAsia="en-US"/>
        </w:rPr>
      </w:pPr>
      <w:r>
        <w:rPr>
          <w:rFonts w:eastAsia="Calibri"/>
          <w:sz w:val="22"/>
          <w:szCs w:val="22"/>
          <w:lang w:eastAsia="en-US"/>
        </w:rPr>
        <w:t>Lot</w:t>
      </w:r>
    </w:p>
    <w:p w14:paraId="22B741DC" w14:textId="77777777" w:rsidR="003B31DC" w:rsidRDefault="003B31DC">
      <w:pPr>
        <w:rPr>
          <w:rFonts w:eastAsia="Calibri"/>
          <w:sz w:val="22"/>
          <w:szCs w:val="22"/>
          <w:lang w:eastAsia="en-US"/>
        </w:rPr>
      </w:pPr>
    </w:p>
    <w:p w14:paraId="6B6652BC" w14:textId="77777777" w:rsidR="003B31DC" w:rsidRDefault="003B31DC">
      <w:pPr>
        <w:rPr>
          <w:rFonts w:eastAsia="Calibri"/>
          <w:sz w:val="22"/>
          <w:szCs w:val="22"/>
          <w:lang w:eastAsia="en-US"/>
        </w:rPr>
      </w:pPr>
    </w:p>
    <w:p w14:paraId="4F80F0E1"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20A5C7E0" w14:textId="77777777" w:rsidR="003B31DC" w:rsidRDefault="003B31DC">
      <w:pPr>
        <w:rPr>
          <w:rFonts w:eastAsia="Calibri"/>
          <w:sz w:val="22"/>
          <w:szCs w:val="22"/>
          <w:lang w:eastAsia="en-US"/>
        </w:rPr>
      </w:pPr>
    </w:p>
    <w:p w14:paraId="12F19194" w14:textId="77777777" w:rsidR="003B31DC" w:rsidRDefault="00913CBE">
      <w:pPr>
        <w:rPr>
          <w:rFonts w:eastAsia="Calibri"/>
          <w:sz w:val="22"/>
          <w:szCs w:val="22"/>
          <w:lang w:eastAsia="en-US"/>
        </w:rPr>
      </w:pPr>
      <w:r>
        <w:rPr>
          <w:rFonts w:eastAsia="Calibri"/>
          <w:sz w:val="22"/>
          <w:szCs w:val="22"/>
          <w:lang w:eastAsia="en-US"/>
        </w:rPr>
        <w:t>Receptinis vaistas</w:t>
      </w:r>
    </w:p>
    <w:p w14:paraId="586A8CE4" w14:textId="77777777" w:rsidR="003B31DC" w:rsidRDefault="003B31DC">
      <w:pPr>
        <w:rPr>
          <w:rFonts w:eastAsia="Calibri"/>
          <w:sz w:val="22"/>
          <w:szCs w:val="22"/>
          <w:lang w:eastAsia="en-US"/>
        </w:rPr>
      </w:pPr>
    </w:p>
    <w:p w14:paraId="0AABF487" w14:textId="77777777" w:rsidR="003B31DC" w:rsidRDefault="003B31DC">
      <w:pPr>
        <w:rPr>
          <w:rFonts w:eastAsia="Calibri"/>
          <w:sz w:val="22"/>
          <w:szCs w:val="22"/>
          <w:lang w:eastAsia="en-US"/>
        </w:rPr>
      </w:pPr>
    </w:p>
    <w:p w14:paraId="01D08F87"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391ECF29" w14:textId="77777777" w:rsidR="003B31DC" w:rsidRDefault="003B31DC">
      <w:pPr>
        <w:rPr>
          <w:rFonts w:eastAsia="Calibri"/>
          <w:sz w:val="22"/>
          <w:szCs w:val="22"/>
          <w:lang w:eastAsia="en-US"/>
        </w:rPr>
      </w:pPr>
    </w:p>
    <w:p w14:paraId="6DFE3CAC" w14:textId="77777777" w:rsidR="003B31DC" w:rsidRDefault="003B31DC">
      <w:pPr>
        <w:rPr>
          <w:rFonts w:eastAsia="Calibri"/>
          <w:sz w:val="22"/>
          <w:szCs w:val="22"/>
          <w:lang w:eastAsia="en-US"/>
        </w:rPr>
      </w:pPr>
    </w:p>
    <w:p w14:paraId="4D6A8F17"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0C0041E5" w14:textId="77777777" w:rsidR="003B31DC" w:rsidRDefault="003B31DC">
      <w:pPr>
        <w:rPr>
          <w:rFonts w:eastAsia="Calibri"/>
          <w:sz w:val="22"/>
          <w:szCs w:val="22"/>
          <w:lang w:eastAsia="en-US"/>
        </w:rPr>
      </w:pPr>
    </w:p>
    <w:p w14:paraId="00ECAE2F" w14:textId="77777777" w:rsidR="003B31DC" w:rsidRDefault="00913CBE">
      <w:pPr>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5 mg/850 mg</w:t>
      </w:r>
    </w:p>
    <w:p w14:paraId="12E2F933"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5 mg/1 000 mg</w:t>
      </w:r>
    </w:p>
    <w:p w14:paraId="287ECEE1"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mg/850 mg</w:t>
      </w:r>
    </w:p>
    <w:p w14:paraId="23D3594E" w14:textId="77777777" w:rsidR="003B31DC" w:rsidRDefault="00913CBE">
      <w:pPr>
        <w:rPr>
          <w:sz w:val="22"/>
          <w:szCs w:val="22"/>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mg/1 000 mg</w:t>
      </w:r>
    </w:p>
    <w:p w14:paraId="7E15D312" w14:textId="77777777" w:rsidR="003B31DC" w:rsidRDefault="003B31DC">
      <w:pPr>
        <w:rPr>
          <w:rFonts w:eastAsia="Calibri"/>
          <w:iCs/>
          <w:sz w:val="22"/>
          <w:szCs w:val="22"/>
          <w:lang w:eastAsia="en-US"/>
        </w:rPr>
      </w:pPr>
    </w:p>
    <w:p w14:paraId="264F57E8" w14:textId="77777777" w:rsidR="003B31DC" w:rsidRDefault="003B31DC">
      <w:pPr>
        <w:rPr>
          <w:rFonts w:eastAsia="Calibri"/>
          <w:iCs/>
          <w:sz w:val="22"/>
          <w:szCs w:val="22"/>
          <w:lang w:eastAsia="en-US"/>
        </w:rPr>
      </w:pPr>
    </w:p>
    <w:p w14:paraId="4CEC32FA"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1C6C768A" w14:textId="77777777" w:rsidR="003B31DC" w:rsidRDefault="003B31DC">
      <w:pPr>
        <w:rPr>
          <w:rFonts w:eastAsia="Calibri"/>
          <w:sz w:val="22"/>
          <w:szCs w:val="22"/>
          <w:lang w:eastAsia="en-US"/>
        </w:rPr>
      </w:pPr>
    </w:p>
    <w:p w14:paraId="080C5E2F" w14:textId="77777777" w:rsidR="003B31DC" w:rsidRDefault="00913CBE">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5D85E094" w14:textId="77777777" w:rsidR="003B31DC" w:rsidRDefault="003B31DC">
      <w:pPr>
        <w:rPr>
          <w:rFonts w:eastAsia="Calibri"/>
          <w:iCs/>
          <w:sz w:val="22"/>
          <w:szCs w:val="22"/>
          <w:lang w:eastAsia="en-US"/>
        </w:rPr>
      </w:pPr>
    </w:p>
    <w:p w14:paraId="74056DBF" w14:textId="77777777" w:rsidR="003B31DC" w:rsidRDefault="003B31DC">
      <w:pPr>
        <w:rPr>
          <w:rFonts w:eastAsia="Calibri"/>
          <w:iCs/>
          <w:sz w:val="22"/>
          <w:szCs w:val="22"/>
          <w:lang w:eastAsia="en-US"/>
        </w:rPr>
      </w:pPr>
    </w:p>
    <w:p w14:paraId="0F502C61"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11C33F9C" w14:textId="77777777" w:rsidR="003B31DC" w:rsidRDefault="003B31DC">
      <w:pPr>
        <w:rPr>
          <w:rFonts w:eastAsia="Calibri"/>
          <w:sz w:val="22"/>
          <w:szCs w:val="22"/>
          <w:lang w:eastAsia="en-US"/>
        </w:rPr>
      </w:pPr>
    </w:p>
    <w:p w14:paraId="0A6C0A42" w14:textId="77777777" w:rsidR="003B31DC" w:rsidRDefault="00913CBE">
      <w:pPr>
        <w:rPr>
          <w:rFonts w:eastAsia="Calibri"/>
          <w:sz w:val="22"/>
          <w:szCs w:val="22"/>
          <w:lang w:eastAsia="en-US"/>
        </w:rPr>
      </w:pPr>
      <w:r>
        <w:rPr>
          <w:rFonts w:eastAsia="Calibri"/>
          <w:sz w:val="22"/>
          <w:szCs w:val="22"/>
          <w:lang w:eastAsia="en-US"/>
        </w:rPr>
        <w:t>PC</w:t>
      </w:r>
    </w:p>
    <w:p w14:paraId="6DD23D7F" w14:textId="77777777" w:rsidR="003B31DC" w:rsidRDefault="00913CBE">
      <w:pPr>
        <w:rPr>
          <w:rFonts w:eastAsia="Calibri"/>
          <w:sz w:val="22"/>
          <w:szCs w:val="22"/>
          <w:lang w:eastAsia="en-US"/>
        </w:rPr>
      </w:pPr>
      <w:r>
        <w:rPr>
          <w:rFonts w:eastAsia="Calibri"/>
          <w:sz w:val="22"/>
          <w:szCs w:val="22"/>
          <w:lang w:eastAsia="en-US"/>
        </w:rPr>
        <w:t>SN</w:t>
      </w:r>
    </w:p>
    <w:p w14:paraId="358E21D4" w14:textId="77777777" w:rsidR="003B31DC" w:rsidRDefault="00913CBE">
      <w:pPr>
        <w:rPr>
          <w:rFonts w:eastAsia="Calibri"/>
          <w:sz w:val="22"/>
          <w:szCs w:val="22"/>
          <w:lang w:eastAsia="en-US"/>
        </w:rPr>
      </w:pPr>
      <w:r>
        <w:rPr>
          <w:rFonts w:eastAsia="Calibri"/>
          <w:sz w:val="22"/>
          <w:szCs w:val="22"/>
          <w:highlight w:val="lightGray"/>
          <w:lang w:eastAsia="en-US"/>
        </w:rPr>
        <w:t>NN</w:t>
      </w:r>
    </w:p>
    <w:p w14:paraId="28B4A30D" w14:textId="77777777" w:rsidR="003B31DC" w:rsidRDefault="003B31DC">
      <w:pPr>
        <w:rPr>
          <w:rFonts w:eastAsia="Calibri"/>
          <w:sz w:val="22"/>
          <w:szCs w:val="22"/>
          <w:lang w:eastAsia="en-US"/>
        </w:rPr>
      </w:pPr>
    </w:p>
    <w:p w14:paraId="34DFE5D1" w14:textId="77777777" w:rsidR="003B31DC" w:rsidRDefault="00913CBE">
      <w:pPr>
        <w:rPr>
          <w:rFonts w:eastAsia="Calibri"/>
          <w:sz w:val="22"/>
          <w:szCs w:val="22"/>
          <w:lang w:eastAsia="en-US"/>
        </w:rPr>
      </w:pPr>
      <w:r>
        <w:rPr>
          <w:rFonts w:eastAsia="Calibri"/>
          <w:sz w:val="22"/>
          <w:szCs w:val="22"/>
          <w:lang w:eastAsia="en-US"/>
        </w:rPr>
        <w:br w:type="page"/>
      </w:r>
    </w:p>
    <w:bookmarkEnd w:id="12"/>
    <w:p w14:paraId="0C805055" w14:textId="77777777" w:rsidR="003B31DC" w:rsidRDefault="00913CB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INFORMACIJA ANT IŠORINĖS PAKUOTĖS</w:t>
      </w:r>
    </w:p>
    <w:p w14:paraId="31967258" w14:textId="77777777" w:rsidR="003B31DC" w:rsidRDefault="003B31DC">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73AD6CE9" w14:textId="74D4AEB6" w:rsidR="003B31DC" w:rsidRDefault="00913CBE">
      <w:pPr>
        <w:pBdr>
          <w:top w:val="single" w:sz="4" w:space="1" w:color="auto"/>
          <w:left w:val="single" w:sz="4" w:space="4" w:color="auto"/>
          <w:bottom w:val="single" w:sz="4" w:space="1" w:color="auto"/>
          <w:right w:val="single" w:sz="4" w:space="4" w:color="auto"/>
        </w:pBdr>
        <w:rPr>
          <w:bCs/>
          <w:noProof/>
          <w:sz w:val="22"/>
          <w:lang w:eastAsia="en-US"/>
        </w:rPr>
      </w:pPr>
      <w:r>
        <w:rPr>
          <w:b/>
          <w:noProof/>
          <w:sz w:val="22"/>
          <w:lang w:eastAsia="en-US"/>
        </w:rPr>
        <w:t>SUDĖTINŲ PAKUOČIŲ IŠORINĖ DĖŽUTĖ</w:t>
      </w:r>
      <w:r>
        <w:rPr>
          <w:b/>
          <w:noProof/>
          <w:color w:val="000000"/>
          <w:sz w:val="22"/>
          <w:szCs w:val="22"/>
          <w:lang w:val="da-DK" w:eastAsia="en-US"/>
        </w:rPr>
        <w:t xml:space="preserve"> </w:t>
      </w:r>
      <w:r>
        <w:rPr>
          <w:b/>
          <w:noProof/>
          <w:sz w:val="22"/>
          <w:szCs w:val="22"/>
          <w:lang w:val="da-DK" w:eastAsia="en-US"/>
        </w:rPr>
        <w:t>–</w:t>
      </w:r>
      <w:r w:rsidR="00B32B03">
        <w:rPr>
          <w:b/>
          <w:noProof/>
          <w:sz w:val="22"/>
          <w:lang w:eastAsia="en-US"/>
        </w:rPr>
        <w:t xml:space="preserve"> </w:t>
      </w:r>
      <w:r>
        <w:rPr>
          <w:b/>
          <w:noProof/>
          <w:sz w:val="22"/>
          <w:lang w:eastAsia="en-US"/>
        </w:rPr>
        <w:t xml:space="preserve">visas </w:t>
      </w:r>
      <w:r w:rsidRPr="00FA2F7A">
        <w:rPr>
          <w:b/>
          <w:i/>
          <w:iCs/>
          <w:noProof/>
          <w:sz w:val="22"/>
          <w:highlight w:val="darkGray"/>
          <w:lang w:eastAsia="en-US"/>
        </w:rPr>
        <w:t xml:space="preserve">/ </w:t>
      </w:r>
      <w:r w:rsidR="00F71D40" w:rsidRPr="00FA2F7A">
        <w:rPr>
          <w:b/>
          <w:i/>
          <w:iCs/>
          <w:noProof/>
          <w:sz w:val="22"/>
          <w:highlight w:val="darkGray"/>
          <w:lang w:eastAsia="en-US"/>
        </w:rPr>
        <w:t>sutrumpintas</w:t>
      </w:r>
      <w:r>
        <w:rPr>
          <w:b/>
          <w:noProof/>
          <w:sz w:val="22"/>
          <w:lang w:eastAsia="en-US"/>
        </w:rPr>
        <w:t xml:space="preserve"> </w:t>
      </w:r>
      <w:r w:rsidR="00F71D40">
        <w:rPr>
          <w:b/>
          <w:noProof/>
          <w:sz w:val="22"/>
          <w:lang w:eastAsia="en-US"/>
        </w:rPr>
        <w:t>ES harmonizuotas</w:t>
      </w:r>
      <w:r w:rsidR="006E2A4D">
        <w:rPr>
          <w:b/>
          <w:noProof/>
          <w:sz w:val="22"/>
          <w:lang w:eastAsia="en-US"/>
        </w:rPr>
        <w:t xml:space="preserve"> </w:t>
      </w:r>
      <w:r>
        <w:rPr>
          <w:b/>
          <w:noProof/>
          <w:sz w:val="22"/>
          <w:lang w:eastAsia="en-US"/>
        </w:rPr>
        <w:t>ženklinimo tekstas</w:t>
      </w:r>
    </w:p>
    <w:p w14:paraId="5F3829C4" w14:textId="77777777" w:rsidR="003B31DC" w:rsidRDefault="003B31DC">
      <w:pPr>
        <w:rPr>
          <w:rFonts w:eastAsia="Calibri"/>
          <w:sz w:val="22"/>
          <w:szCs w:val="22"/>
          <w:lang w:eastAsia="en-US"/>
        </w:rPr>
      </w:pPr>
    </w:p>
    <w:p w14:paraId="08A73F9D"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134023BC" w14:textId="77777777" w:rsidR="003B31DC" w:rsidRDefault="003B31DC">
      <w:pPr>
        <w:rPr>
          <w:rFonts w:eastAsia="Calibri"/>
          <w:sz w:val="22"/>
          <w:szCs w:val="22"/>
          <w:lang w:eastAsia="en-US"/>
        </w:rPr>
      </w:pPr>
    </w:p>
    <w:p w14:paraId="1EA79188" w14:textId="77777777" w:rsidR="003B31DC" w:rsidRDefault="00913CBE">
      <w:pPr>
        <w:rPr>
          <w:rFonts w:eastAsiaTheme="minorHAnsi"/>
          <w:color w:val="000000"/>
          <w:sz w:val="22"/>
          <w:szCs w:val="22"/>
          <w:lang w:eastAsia="en-US"/>
        </w:rPr>
      </w:pPr>
      <w:bookmarkStart w:id="14" w:name="_Hlk224220077"/>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5 mg/850 mg plėvele dengtos tabletės</w:t>
      </w:r>
    </w:p>
    <w:p w14:paraId="1D86C4A8"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5 mg/1 000 mg plėvele dengtos tabletės</w:t>
      </w:r>
    </w:p>
    <w:p w14:paraId="563327FD"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mg/850 mg plėvele dengtos tabletės</w:t>
      </w:r>
    </w:p>
    <w:p w14:paraId="0391EF47" w14:textId="77777777" w:rsidR="003B31DC" w:rsidRDefault="00913CBE">
      <w:pPr>
        <w:rPr>
          <w:sz w:val="22"/>
          <w:szCs w:val="22"/>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mg/1 000 mg plėvele dengtos tabletės</w:t>
      </w:r>
    </w:p>
    <w:p w14:paraId="10952C85" w14:textId="77777777" w:rsidR="003B31DC" w:rsidRDefault="003B31DC">
      <w:pPr>
        <w:rPr>
          <w:i/>
          <w:iCs/>
          <w:sz w:val="22"/>
          <w:szCs w:val="22"/>
        </w:rPr>
      </w:pPr>
    </w:p>
    <w:p w14:paraId="45D9A6DC" w14:textId="77777777" w:rsidR="003B31DC" w:rsidRDefault="00913CBE">
      <w:pPr>
        <w:rPr>
          <w:sz w:val="22"/>
          <w:szCs w:val="22"/>
        </w:rPr>
      </w:pPr>
      <w:proofErr w:type="spellStart"/>
      <w:r>
        <w:rPr>
          <w:sz w:val="22"/>
          <w:szCs w:val="22"/>
        </w:rPr>
        <w:t>empagliflozinas</w:t>
      </w:r>
      <w:proofErr w:type="spellEnd"/>
      <w:r>
        <w:rPr>
          <w:sz w:val="22"/>
          <w:szCs w:val="22"/>
        </w:rPr>
        <w:t>/</w:t>
      </w:r>
      <w:proofErr w:type="spellStart"/>
      <w:r>
        <w:rPr>
          <w:sz w:val="22"/>
          <w:szCs w:val="22"/>
        </w:rPr>
        <w:t>metformino</w:t>
      </w:r>
      <w:proofErr w:type="spellEnd"/>
      <w:r>
        <w:rPr>
          <w:sz w:val="22"/>
          <w:szCs w:val="22"/>
        </w:rPr>
        <w:t xml:space="preserve"> hidrochloridas</w:t>
      </w:r>
    </w:p>
    <w:bookmarkEnd w:id="14"/>
    <w:p w14:paraId="49E316C5" w14:textId="77777777" w:rsidR="003B31DC" w:rsidRDefault="003B31DC">
      <w:pPr>
        <w:rPr>
          <w:rFonts w:eastAsia="Calibri"/>
          <w:sz w:val="22"/>
          <w:szCs w:val="22"/>
          <w:lang w:eastAsia="en-US"/>
        </w:rPr>
      </w:pPr>
    </w:p>
    <w:p w14:paraId="27ED5D08" w14:textId="77777777" w:rsidR="003B31DC" w:rsidRDefault="003B31DC">
      <w:pPr>
        <w:rPr>
          <w:rFonts w:eastAsia="Calibri"/>
          <w:sz w:val="22"/>
          <w:szCs w:val="22"/>
          <w:lang w:eastAsia="en-US"/>
        </w:rPr>
      </w:pPr>
    </w:p>
    <w:p w14:paraId="5816D119"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7E609A13" w14:textId="77777777" w:rsidR="003B31DC" w:rsidRDefault="003B31DC">
      <w:pPr>
        <w:rPr>
          <w:rFonts w:eastAsia="Calibri"/>
          <w:sz w:val="22"/>
          <w:szCs w:val="22"/>
          <w:lang w:eastAsia="en-US"/>
        </w:rPr>
      </w:pPr>
    </w:p>
    <w:p w14:paraId="5B03BD9E" w14:textId="77777777" w:rsidR="003B31DC" w:rsidRDefault="00913CBE">
      <w:pPr>
        <w:rPr>
          <w:rFonts w:eastAsiaTheme="minorHAnsi"/>
          <w:color w:val="000000"/>
          <w:sz w:val="22"/>
          <w:szCs w:val="22"/>
          <w:lang w:eastAsia="en-US"/>
        </w:rPr>
      </w:pPr>
      <w:r>
        <w:rPr>
          <w:rFonts w:eastAsiaTheme="minorHAnsi"/>
          <w:color w:val="000000"/>
          <w:sz w:val="22"/>
          <w:szCs w:val="22"/>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lang w:eastAsia="en-US"/>
        </w:rPr>
        <w:t xml:space="preserve"> tabletėje yra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398E33D6" w14:textId="77777777" w:rsidR="003B31DC" w:rsidRDefault="00913CBE">
      <w:pPr>
        <w:rPr>
          <w:rFonts w:eastAsiaTheme="minorHAnsi"/>
          <w:color w:val="000000"/>
          <w:sz w:val="22"/>
          <w:szCs w:val="22"/>
          <w:highlight w:val="lightGray"/>
          <w:lang w:eastAsia="en-US"/>
        </w:rPr>
      </w:pPr>
      <w:r>
        <w:rPr>
          <w:rFonts w:eastAsiaTheme="minorHAnsi"/>
          <w:color w:val="000000"/>
          <w:sz w:val="22"/>
          <w:szCs w:val="22"/>
          <w:highlight w:val="lightGray"/>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highlight w:val="lightGray"/>
          <w:lang w:eastAsia="en-US"/>
        </w:rPr>
        <w:t xml:space="preserve"> tabletėje yra 5 mg </w:t>
      </w:r>
      <w:proofErr w:type="spellStart"/>
      <w:r>
        <w:rPr>
          <w:rFonts w:eastAsiaTheme="minorHAnsi"/>
          <w:color w:val="000000"/>
          <w:sz w:val="22"/>
          <w:szCs w:val="22"/>
          <w:highlight w:val="lightGray"/>
          <w:lang w:eastAsia="en-US"/>
        </w:rPr>
        <w:t>empagliflozino</w:t>
      </w:r>
      <w:proofErr w:type="spellEnd"/>
      <w:r>
        <w:rPr>
          <w:rFonts w:eastAsiaTheme="minorHAnsi"/>
          <w:color w:val="000000"/>
          <w:sz w:val="22"/>
          <w:szCs w:val="22"/>
          <w:highlight w:val="lightGray"/>
          <w:lang w:eastAsia="en-US"/>
        </w:rPr>
        <w:t xml:space="preserve">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1F675FA0" w14:textId="77777777" w:rsidR="003B31DC" w:rsidRDefault="00913CBE">
      <w:pPr>
        <w:rPr>
          <w:rFonts w:eastAsiaTheme="minorHAnsi"/>
          <w:color w:val="000000"/>
          <w:sz w:val="22"/>
          <w:szCs w:val="22"/>
          <w:highlight w:val="lightGray"/>
          <w:lang w:eastAsia="en-US"/>
        </w:rPr>
      </w:pPr>
      <w:r>
        <w:rPr>
          <w:rFonts w:eastAsiaTheme="minorHAnsi"/>
          <w:color w:val="000000"/>
          <w:sz w:val="22"/>
          <w:szCs w:val="22"/>
          <w:highlight w:val="lightGray"/>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highlight w:val="lightGray"/>
          <w:lang w:eastAsia="en-US"/>
        </w:rPr>
        <w:t xml:space="preserve"> tabletėje yra 12,5 mg </w:t>
      </w:r>
      <w:proofErr w:type="spellStart"/>
      <w:r>
        <w:rPr>
          <w:rFonts w:eastAsiaTheme="minorHAnsi"/>
          <w:color w:val="000000"/>
          <w:sz w:val="22"/>
          <w:szCs w:val="22"/>
          <w:highlight w:val="lightGray"/>
          <w:lang w:eastAsia="en-US"/>
        </w:rPr>
        <w:t>empagliflozino</w:t>
      </w:r>
      <w:proofErr w:type="spellEnd"/>
      <w:r>
        <w:rPr>
          <w:rFonts w:eastAsiaTheme="minorHAnsi"/>
          <w:color w:val="000000"/>
          <w:sz w:val="22"/>
          <w:szCs w:val="22"/>
          <w:highlight w:val="lightGray"/>
          <w:lang w:eastAsia="en-US"/>
        </w:rPr>
        <w:t xml:space="preserve"> ir 850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5BCC5085" w14:textId="77777777" w:rsidR="003B31DC" w:rsidRDefault="00913CBE">
      <w:pPr>
        <w:rPr>
          <w:rFonts w:eastAsiaTheme="minorHAnsi"/>
          <w:color w:val="000000"/>
          <w:sz w:val="22"/>
          <w:szCs w:val="22"/>
          <w:lang w:eastAsia="en-US"/>
        </w:rPr>
      </w:pPr>
      <w:r>
        <w:rPr>
          <w:rFonts w:eastAsiaTheme="minorHAnsi"/>
          <w:color w:val="000000"/>
          <w:sz w:val="22"/>
          <w:szCs w:val="22"/>
          <w:highlight w:val="lightGray"/>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highlight w:val="darkGray"/>
          <w:lang w:eastAsia="en-US"/>
        </w:rPr>
        <w:t xml:space="preserve"> </w:t>
      </w:r>
      <w:r>
        <w:rPr>
          <w:rFonts w:eastAsiaTheme="minorHAnsi"/>
          <w:color w:val="000000"/>
          <w:sz w:val="22"/>
          <w:szCs w:val="22"/>
          <w:highlight w:val="lightGray"/>
          <w:lang w:eastAsia="en-US"/>
        </w:rPr>
        <w:t xml:space="preserve">tabletėje yra 12,5 mg </w:t>
      </w:r>
      <w:proofErr w:type="spellStart"/>
      <w:r>
        <w:rPr>
          <w:rFonts w:eastAsiaTheme="minorHAnsi"/>
          <w:color w:val="000000"/>
          <w:sz w:val="22"/>
          <w:szCs w:val="22"/>
          <w:highlight w:val="lightGray"/>
          <w:lang w:eastAsia="en-US"/>
        </w:rPr>
        <w:t>empagliflozino</w:t>
      </w:r>
      <w:proofErr w:type="spellEnd"/>
      <w:r>
        <w:rPr>
          <w:rFonts w:eastAsiaTheme="minorHAnsi"/>
          <w:color w:val="000000"/>
          <w:sz w:val="22"/>
          <w:szCs w:val="22"/>
          <w:highlight w:val="lightGray"/>
          <w:lang w:eastAsia="en-US"/>
        </w:rPr>
        <w:t xml:space="preserve">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4839DE86" w14:textId="77777777" w:rsidR="003B31DC" w:rsidRDefault="003B31DC">
      <w:pPr>
        <w:rPr>
          <w:rFonts w:eastAsia="Calibri"/>
          <w:sz w:val="22"/>
          <w:szCs w:val="22"/>
          <w:lang w:eastAsia="en-US"/>
        </w:rPr>
      </w:pPr>
    </w:p>
    <w:p w14:paraId="6F1A9D35" w14:textId="77777777" w:rsidR="003B31DC" w:rsidRDefault="003B31DC">
      <w:pPr>
        <w:rPr>
          <w:rFonts w:eastAsia="Calibri"/>
          <w:sz w:val="22"/>
          <w:szCs w:val="22"/>
          <w:lang w:eastAsia="en-US"/>
        </w:rPr>
      </w:pPr>
    </w:p>
    <w:p w14:paraId="6B0DF4FC"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117C55C5" w14:textId="77777777" w:rsidR="003B31DC" w:rsidRDefault="003B31DC">
      <w:pPr>
        <w:rPr>
          <w:rFonts w:eastAsia="Calibri"/>
          <w:sz w:val="22"/>
          <w:szCs w:val="22"/>
          <w:lang w:eastAsia="en-US"/>
        </w:rPr>
      </w:pPr>
    </w:p>
    <w:p w14:paraId="2F5A5CBD" w14:textId="77777777" w:rsidR="003B31DC" w:rsidRDefault="003B31DC">
      <w:pPr>
        <w:rPr>
          <w:rFonts w:eastAsia="Calibri"/>
          <w:sz w:val="22"/>
          <w:szCs w:val="22"/>
          <w:lang w:eastAsia="en-US"/>
        </w:rPr>
      </w:pPr>
    </w:p>
    <w:p w14:paraId="38A47B94"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1925AA18" w14:textId="77777777" w:rsidR="003B31DC" w:rsidRDefault="003B31DC">
      <w:pPr>
        <w:rPr>
          <w:rFonts w:eastAsia="Calibri"/>
          <w:sz w:val="22"/>
          <w:szCs w:val="22"/>
          <w:lang w:eastAsia="en-US"/>
        </w:rPr>
      </w:pPr>
    </w:p>
    <w:p w14:paraId="54FB1F94" w14:textId="77777777" w:rsidR="003B31DC" w:rsidRDefault="00913CBE">
      <w:pPr>
        <w:rPr>
          <w:rFonts w:eastAsia="Calibri"/>
          <w:sz w:val="22"/>
          <w:szCs w:val="22"/>
          <w:lang w:eastAsia="en-US"/>
        </w:rPr>
      </w:pPr>
      <w:r>
        <w:rPr>
          <w:rFonts w:eastAsia="Calibri"/>
          <w:sz w:val="22"/>
          <w:szCs w:val="22"/>
          <w:highlight w:val="lightGray"/>
          <w:lang w:eastAsia="en-US"/>
        </w:rPr>
        <w:t>plėvele dengta tabletė</w:t>
      </w:r>
    </w:p>
    <w:p w14:paraId="40F747D5" w14:textId="77777777" w:rsidR="003B31DC" w:rsidRDefault="003B31DC">
      <w:pPr>
        <w:rPr>
          <w:rFonts w:eastAsia="Calibri"/>
          <w:sz w:val="22"/>
          <w:szCs w:val="22"/>
          <w:lang w:eastAsia="en-US"/>
        </w:rPr>
      </w:pPr>
    </w:p>
    <w:p w14:paraId="698B92C3" w14:textId="77777777" w:rsidR="003B31DC" w:rsidRDefault="00913CBE">
      <w:pPr>
        <w:rPr>
          <w:rFonts w:eastAsia="Calibri"/>
          <w:sz w:val="22"/>
          <w:szCs w:val="22"/>
          <w:lang w:eastAsia="en-US"/>
        </w:rPr>
      </w:pPr>
      <w:r>
        <w:rPr>
          <w:rFonts w:eastAsia="Calibri"/>
          <w:sz w:val="22"/>
          <w:szCs w:val="22"/>
          <w:lang w:eastAsia="en-US"/>
        </w:rPr>
        <w:t>Sudėtinė pakuotė: 180 (3 pakuotės po 60)</w:t>
      </w:r>
      <w:r>
        <w:rPr>
          <w:rFonts w:eastAsia="Calibri"/>
          <w:i/>
          <w:iCs/>
          <w:sz w:val="22"/>
          <w:szCs w:val="22"/>
          <w:lang w:eastAsia="en-US"/>
        </w:rPr>
        <w:t xml:space="preserve"> </w:t>
      </w:r>
      <w:r w:rsidRPr="00FA2F7A">
        <w:rPr>
          <w:rFonts w:eastAsia="Calibri"/>
          <w:i/>
          <w:iCs/>
          <w:sz w:val="22"/>
          <w:szCs w:val="22"/>
          <w:highlight w:val="darkGray"/>
          <w:lang w:eastAsia="en-US"/>
        </w:rPr>
        <w:t>plėvele dengtų</w:t>
      </w:r>
      <w:r>
        <w:rPr>
          <w:rFonts w:eastAsia="Calibri"/>
          <w:sz w:val="22"/>
          <w:szCs w:val="22"/>
          <w:lang w:eastAsia="en-US"/>
        </w:rPr>
        <w:t xml:space="preserve"> tablečių.</w:t>
      </w:r>
    </w:p>
    <w:p w14:paraId="2A8A419F" w14:textId="77777777" w:rsidR="003B31DC" w:rsidRDefault="00913CBE">
      <w:pPr>
        <w:rPr>
          <w:rFonts w:eastAsia="Calibri"/>
          <w:sz w:val="22"/>
          <w:szCs w:val="22"/>
          <w:lang w:eastAsia="en-US"/>
        </w:rPr>
      </w:pPr>
      <w:r>
        <w:rPr>
          <w:rFonts w:eastAsia="Calibri"/>
          <w:sz w:val="22"/>
          <w:szCs w:val="22"/>
          <w:highlight w:val="lightGray"/>
          <w:lang w:eastAsia="en-US"/>
        </w:rPr>
        <w:t>Sudėtinė pakuotė: 180 (2 pakuotės po 90)</w:t>
      </w:r>
      <w:r>
        <w:rPr>
          <w:rFonts w:eastAsia="Calibri"/>
          <w:i/>
          <w:iCs/>
          <w:sz w:val="22"/>
          <w:szCs w:val="22"/>
          <w:highlight w:val="lightGray"/>
          <w:lang w:eastAsia="en-US"/>
        </w:rPr>
        <w:t xml:space="preserve"> </w:t>
      </w:r>
      <w:r w:rsidRPr="00FA2F7A">
        <w:rPr>
          <w:rFonts w:eastAsia="Calibri"/>
          <w:i/>
          <w:iCs/>
          <w:sz w:val="22"/>
          <w:szCs w:val="22"/>
          <w:highlight w:val="darkGray"/>
          <w:lang w:eastAsia="en-US"/>
        </w:rPr>
        <w:t>plėvele dengtų</w:t>
      </w:r>
      <w:r>
        <w:rPr>
          <w:rFonts w:eastAsia="Calibri"/>
          <w:sz w:val="22"/>
          <w:szCs w:val="22"/>
          <w:highlight w:val="darkGray"/>
          <w:lang w:eastAsia="en-US"/>
        </w:rPr>
        <w:t xml:space="preserve"> </w:t>
      </w:r>
      <w:r>
        <w:rPr>
          <w:rFonts w:eastAsia="Calibri"/>
          <w:sz w:val="22"/>
          <w:szCs w:val="22"/>
          <w:highlight w:val="lightGray"/>
          <w:lang w:eastAsia="en-US"/>
        </w:rPr>
        <w:t>tablečių.</w:t>
      </w:r>
    </w:p>
    <w:p w14:paraId="15043121" w14:textId="77777777" w:rsidR="003B31DC" w:rsidRDefault="003B31DC">
      <w:pPr>
        <w:rPr>
          <w:rFonts w:eastAsia="Calibri"/>
          <w:sz w:val="22"/>
          <w:szCs w:val="22"/>
          <w:lang w:eastAsia="en-US"/>
        </w:rPr>
      </w:pPr>
    </w:p>
    <w:p w14:paraId="5CDD7396" w14:textId="77777777" w:rsidR="003B31DC" w:rsidRDefault="003B31DC">
      <w:pPr>
        <w:rPr>
          <w:rFonts w:eastAsia="Calibri"/>
          <w:sz w:val="22"/>
          <w:szCs w:val="22"/>
          <w:lang w:eastAsia="en-US"/>
        </w:rPr>
      </w:pPr>
    </w:p>
    <w:p w14:paraId="36A82EF7"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6D1E7BAA" w14:textId="77777777" w:rsidR="003B31DC" w:rsidRDefault="003B31DC">
      <w:pPr>
        <w:rPr>
          <w:rFonts w:eastAsia="Calibri"/>
          <w:sz w:val="16"/>
          <w:szCs w:val="16"/>
          <w:lang w:eastAsia="en-US"/>
        </w:rPr>
      </w:pPr>
    </w:p>
    <w:p w14:paraId="457B22F7" w14:textId="77777777" w:rsidR="003B31DC" w:rsidRDefault="00913CBE">
      <w:pPr>
        <w:rPr>
          <w:rFonts w:eastAsia="Calibri"/>
          <w:sz w:val="22"/>
          <w:szCs w:val="22"/>
          <w:lang w:eastAsia="en-US"/>
        </w:rPr>
      </w:pPr>
      <w:r>
        <w:rPr>
          <w:rFonts w:eastAsia="Calibri"/>
          <w:noProof/>
          <w:sz w:val="22"/>
          <w:szCs w:val="22"/>
          <w:lang w:eastAsia="en-US"/>
        </w:rPr>
        <w:t>Prieš vartojimą perskaitykite pakuotės lapelį.</w:t>
      </w:r>
    </w:p>
    <w:p w14:paraId="1FF94176" w14:textId="77777777" w:rsidR="003B31DC" w:rsidRDefault="003B31DC">
      <w:pPr>
        <w:rPr>
          <w:rFonts w:eastAsia="Calibri"/>
          <w:i/>
          <w:iCs/>
          <w:sz w:val="22"/>
          <w:szCs w:val="22"/>
          <w:highlight w:val="darkGray"/>
          <w:lang w:eastAsia="en-US"/>
        </w:rPr>
      </w:pPr>
    </w:p>
    <w:p w14:paraId="38511CA4" w14:textId="77777777" w:rsidR="003B31DC" w:rsidRDefault="00913CBE">
      <w:pPr>
        <w:rPr>
          <w:rFonts w:eastAsia="Calibri"/>
          <w:sz w:val="22"/>
          <w:szCs w:val="22"/>
          <w:lang w:eastAsia="en-US"/>
        </w:rPr>
      </w:pPr>
      <w:r w:rsidRPr="00FA2F7A">
        <w:rPr>
          <w:rFonts w:eastAsia="Calibri"/>
          <w:i/>
          <w:iCs/>
          <w:sz w:val="22"/>
          <w:szCs w:val="22"/>
          <w:highlight w:val="darkGray"/>
          <w:lang w:eastAsia="en-US"/>
        </w:rPr>
        <w:t>Vartoti per burną</w:t>
      </w:r>
      <w:r>
        <w:rPr>
          <w:rFonts w:eastAsia="Calibri"/>
          <w:sz w:val="22"/>
          <w:szCs w:val="22"/>
          <w:highlight w:val="darkGray"/>
          <w:lang w:eastAsia="en-US"/>
        </w:rPr>
        <w:t>.</w:t>
      </w:r>
    </w:p>
    <w:p w14:paraId="1AC49214" w14:textId="77777777" w:rsidR="003B31DC" w:rsidRDefault="003B31DC">
      <w:pPr>
        <w:rPr>
          <w:rFonts w:eastAsia="Calibri"/>
          <w:sz w:val="22"/>
          <w:szCs w:val="22"/>
          <w:lang w:eastAsia="en-US"/>
        </w:rPr>
      </w:pPr>
    </w:p>
    <w:p w14:paraId="0224BC39" w14:textId="77777777" w:rsidR="003B31DC" w:rsidRDefault="003B31DC">
      <w:pPr>
        <w:rPr>
          <w:rFonts w:eastAsia="Calibri"/>
          <w:sz w:val="22"/>
          <w:szCs w:val="22"/>
          <w:lang w:eastAsia="en-US"/>
        </w:rPr>
      </w:pPr>
    </w:p>
    <w:p w14:paraId="56557799"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27DA1ED3" w14:textId="77777777" w:rsidR="003B31DC" w:rsidRDefault="003B31DC">
      <w:pPr>
        <w:rPr>
          <w:rFonts w:eastAsia="Calibri"/>
          <w:sz w:val="22"/>
          <w:szCs w:val="22"/>
          <w:lang w:eastAsia="en-US"/>
        </w:rPr>
      </w:pPr>
    </w:p>
    <w:p w14:paraId="75DD40E4" w14:textId="77777777" w:rsidR="003B31DC" w:rsidRDefault="00913CBE">
      <w:pPr>
        <w:rPr>
          <w:rFonts w:eastAsia="Calibri"/>
          <w:sz w:val="22"/>
          <w:szCs w:val="22"/>
          <w:lang w:eastAsia="en-US"/>
        </w:rPr>
      </w:pPr>
      <w:r>
        <w:rPr>
          <w:rFonts w:eastAsia="Calibri"/>
          <w:noProof/>
          <w:sz w:val="22"/>
          <w:szCs w:val="22"/>
          <w:lang w:eastAsia="en-US"/>
        </w:rPr>
        <w:t>Laikyti vaikams nepastebimoje ir nepasiekiamoje vietoje.</w:t>
      </w:r>
    </w:p>
    <w:p w14:paraId="440F6C87" w14:textId="77777777" w:rsidR="003B31DC" w:rsidRDefault="003B31DC">
      <w:pPr>
        <w:rPr>
          <w:rFonts w:eastAsia="Calibri"/>
          <w:sz w:val="22"/>
          <w:szCs w:val="22"/>
          <w:lang w:eastAsia="en-US"/>
        </w:rPr>
      </w:pPr>
    </w:p>
    <w:p w14:paraId="1EC36112" w14:textId="77777777" w:rsidR="003B31DC" w:rsidRDefault="003B31DC">
      <w:pPr>
        <w:rPr>
          <w:rFonts w:eastAsia="Calibri"/>
          <w:sz w:val="22"/>
          <w:szCs w:val="22"/>
          <w:lang w:eastAsia="en-US"/>
        </w:rPr>
      </w:pPr>
    </w:p>
    <w:p w14:paraId="486FA3D7"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7DED40B3" w14:textId="77777777" w:rsidR="003B31DC" w:rsidRDefault="003B31DC">
      <w:pPr>
        <w:rPr>
          <w:rFonts w:eastAsia="Calibri"/>
          <w:sz w:val="22"/>
          <w:szCs w:val="22"/>
          <w:lang w:eastAsia="en-US"/>
        </w:rPr>
      </w:pPr>
    </w:p>
    <w:p w14:paraId="2849FCE9" w14:textId="77777777" w:rsidR="003B31DC" w:rsidRDefault="003B31DC">
      <w:pPr>
        <w:rPr>
          <w:rFonts w:eastAsia="Calibri"/>
          <w:sz w:val="22"/>
          <w:szCs w:val="22"/>
          <w:lang w:eastAsia="en-US"/>
        </w:rPr>
      </w:pPr>
    </w:p>
    <w:p w14:paraId="39784206"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5589AFAD" w14:textId="77777777" w:rsidR="003B31DC" w:rsidRDefault="003B31DC">
      <w:pPr>
        <w:rPr>
          <w:rFonts w:eastAsia="Calibri"/>
          <w:sz w:val="22"/>
          <w:szCs w:val="22"/>
          <w:lang w:eastAsia="en-US"/>
        </w:rPr>
      </w:pPr>
    </w:p>
    <w:p w14:paraId="1E257556" w14:textId="77777777" w:rsidR="003B31DC" w:rsidRDefault="00913CBE">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1E1336E4" w14:textId="77777777" w:rsidR="003B31DC" w:rsidRDefault="003B31DC">
      <w:pPr>
        <w:rPr>
          <w:rFonts w:eastAsia="Calibri"/>
          <w:sz w:val="22"/>
          <w:szCs w:val="22"/>
          <w:lang w:eastAsia="en-US"/>
        </w:rPr>
      </w:pPr>
    </w:p>
    <w:p w14:paraId="622D89B7" w14:textId="77777777" w:rsidR="003B31DC" w:rsidRDefault="003B31DC">
      <w:pPr>
        <w:rPr>
          <w:rFonts w:eastAsia="Calibri"/>
          <w:sz w:val="22"/>
          <w:szCs w:val="22"/>
          <w:lang w:eastAsia="en-US"/>
        </w:rPr>
      </w:pPr>
    </w:p>
    <w:p w14:paraId="080916DD"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lastRenderedPageBreak/>
        <w:t>9.</w:t>
      </w:r>
      <w:r>
        <w:rPr>
          <w:rFonts w:eastAsia="Calibri"/>
          <w:b/>
          <w:sz w:val="22"/>
          <w:szCs w:val="22"/>
          <w:lang w:eastAsia="en-US"/>
        </w:rPr>
        <w:tab/>
      </w:r>
      <w:r>
        <w:rPr>
          <w:rFonts w:eastAsia="Calibri"/>
          <w:b/>
          <w:noProof/>
          <w:sz w:val="22"/>
          <w:szCs w:val="22"/>
          <w:lang w:eastAsia="en-US"/>
        </w:rPr>
        <w:t>SPECIALIOS LAIKYMO SĄLYGOS</w:t>
      </w:r>
    </w:p>
    <w:p w14:paraId="5FBEC68B" w14:textId="77777777" w:rsidR="003B31DC" w:rsidRDefault="003B31DC">
      <w:pPr>
        <w:rPr>
          <w:rFonts w:eastAsia="Calibri"/>
          <w:sz w:val="22"/>
          <w:szCs w:val="22"/>
          <w:lang w:eastAsia="en-US"/>
        </w:rPr>
      </w:pPr>
    </w:p>
    <w:p w14:paraId="37B0C36E" w14:textId="77777777" w:rsidR="003B31DC" w:rsidRDefault="003B31DC">
      <w:pPr>
        <w:rPr>
          <w:rFonts w:eastAsia="Calibri"/>
          <w:sz w:val="22"/>
          <w:szCs w:val="22"/>
          <w:lang w:eastAsia="en-US"/>
        </w:rPr>
      </w:pPr>
    </w:p>
    <w:p w14:paraId="13461979"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034BE784" w14:textId="77777777" w:rsidR="003B31DC" w:rsidRDefault="003B31DC">
      <w:pPr>
        <w:rPr>
          <w:rFonts w:eastAsia="Calibri"/>
          <w:sz w:val="22"/>
          <w:szCs w:val="22"/>
          <w:lang w:eastAsia="en-US"/>
        </w:rPr>
      </w:pPr>
    </w:p>
    <w:p w14:paraId="11FD5B0B" w14:textId="77777777" w:rsidR="003B31DC" w:rsidRDefault="003B31DC">
      <w:pPr>
        <w:rPr>
          <w:rFonts w:eastAsia="Calibri"/>
          <w:sz w:val="22"/>
          <w:szCs w:val="22"/>
          <w:lang w:eastAsia="en-US"/>
        </w:rPr>
      </w:pPr>
    </w:p>
    <w:p w14:paraId="3F9A6F4B"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22AC66DE" w14:textId="77777777" w:rsidR="003B31DC" w:rsidRDefault="003B31DC">
      <w:pPr>
        <w:rPr>
          <w:rFonts w:eastAsia="Calibri"/>
          <w:sz w:val="22"/>
          <w:szCs w:val="22"/>
          <w:lang w:eastAsia="en-US"/>
        </w:rPr>
      </w:pPr>
    </w:p>
    <w:p w14:paraId="4AF3053A" w14:textId="77777777" w:rsidR="003B31DC" w:rsidRDefault="00913CB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681C4CD9" w14:textId="77777777" w:rsidR="003B31DC" w:rsidRDefault="00913CB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20BD0550" w14:textId="77777777" w:rsidR="003B31DC" w:rsidRDefault="00913CBE">
      <w:pPr>
        <w:widowControl w:val="0"/>
        <w:rPr>
          <w:b/>
          <w:sz w:val="22"/>
          <w:szCs w:val="22"/>
          <w:lang w:eastAsia="sl-SI"/>
        </w:rPr>
      </w:pPr>
      <w:r>
        <w:rPr>
          <w:sz w:val="22"/>
          <w:szCs w:val="22"/>
          <w:lang w:eastAsia="sl-SI"/>
        </w:rPr>
        <w:t>8501 Novo mesto</w:t>
      </w:r>
    </w:p>
    <w:p w14:paraId="0E8197CC" w14:textId="77777777" w:rsidR="003B31DC" w:rsidRDefault="00913CBE">
      <w:pPr>
        <w:widowControl w:val="0"/>
        <w:rPr>
          <w:b/>
          <w:sz w:val="22"/>
          <w:szCs w:val="22"/>
          <w:lang w:eastAsia="sl-SI"/>
        </w:rPr>
      </w:pPr>
      <w:r>
        <w:rPr>
          <w:sz w:val="22"/>
          <w:szCs w:val="22"/>
          <w:lang w:eastAsia="sl-SI"/>
        </w:rPr>
        <w:t>Slovėnija</w:t>
      </w:r>
    </w:p>
    <w:p w14:paraId="1CA91666" w14:textId="77777777" w:rsidR="003B31DC" w:rsidRDefault="003B31DC">
      <w:pPr>
        <w:rPr>
          <w:rFonts w:eastAsia="Calibri"/>
          <w:sz w:val="22"/>
          <w:szCs w:val="22"/>
          <w:lang w:eastAsia="en-US"/>
        </w:rPr>
      </w:pPr>
    </w:p>
    <w:p w14:paraId="1DCCFDC1" w14:textId="77777777" w:rsidR="003B31DC" w:rsidRDefault="003B31DC">
      <w:pPr>
        <w:rPr>
          <w:rFonts w:eastAsia="Calibri"/>
          <w:sz w:val="22"/>
          <w:szCs w:val="22"/>
          <w:lang w:eastAsia="en-US"/>
        </w:rPr>
      </w:pPr>
    </w:p>
    <w:p w14:paraId="5C2F9F84"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2A0772F5" w14:textId="77777777" w:rsidR="003B31DC" w:rsidRDefault="003B31DC">
      <w:pPr>
        <w:rPr>
          <w:rFonts w:eastAsia="Calibri"/>
          <w:sz w:val="22"/>
          <w:szCs w:val="22"/>
          <w:lang w:eastAsia="en-US"/>
        </w:rPr>
      </w:pPr>
    </w:p>
    <w:p w14:paraId="7B47A5E9"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&lt;5 mg/850 mg&gt;</w:t>
      </w:r>
    </w:p>
    <w:p w14:paraId="5ABAF55B"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LT/1/26/6014/011 – N180 (3x60)</w:t>
      </w:r>
    </w:p>
    <w:p w14:paraId="51637834"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LT/1/26/6014/012 – N180 (2x90)</w:t>
      </w:r>
    </w:p>
    <w:p w14:paraId="70073C0D" w14:textId="77777777" w:rsidR="003C78E9" w:rsidRPr="003C78E9" w:rsidRDefault="003C78E9" w:rsidP="003C78E9">
      <w:pPr>
        <w:autoSpaceDE w:val="0"/>
        <w:autoSpaceDN w:val="0"/>
        <w:adjustRightInd w:val="0"/>
        <w:rPr>
          <w:rFonts w:eastAsia="Calibri"/>
          <w:iCs/>
          <w:sz w:val="22"/>
          <w:szCs w:val="22"/>
          <w:lang w:eastAsia="en-US"/>
        </w:rPr>
      </w:pPr>
    </w:p>
    <w:p w14:paraId="6097C4C5"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&lt;5 mg/1000 mg&gt;</w:t>
      </w:r>
    </w:p>
    <w:p w14:paraId="5E25DDDC"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LT/1/26/6015/011 – N180 (3x60)</w:t>
      </w:r>
    </w:p>
    <w:p w14:paraId="6DBD1896"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LT/1/26/6015/012 – N180 (2x90)</w:t>
      </w:r>
    </w:p>
    <w:p w14:paraId="0A652044" w14:textId="77777777" w:rsidR="003C78E9" w:rsidRPr="003C78E9" w:rsidRDefault="003C78E9" w:rsidP="003C78E9">
      <w:pPr>
        <w:autoSpaceDE w:val="0"/>
        <w:autoSpaceDN w:val="0"/>
        <w:adjustRightInd w:val="0"/>
        <w:rPr>
          <w:rFonts w:eastAsia="Calibri"/>
          <w:iCs/>
          <w:sz w:val="22"/>
          <w:szCs w:val="22"/>
          <w:lang w:eastAsia="en-US"/>
        </w:rPr>
      </w:pPr>
    </w:p>
    <w:p w14:paraId="64938839"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&lt;12,5 mg/850 mg&gt;</w:t>
      </w:r>
    </w:p>
    <w:p w14:paraId="70D39607"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LT/1/26/6016/011 – N180 (3x60)</w:t>
      </w:r>
    </w:p>
    <w:p w14:paraId="002F8461"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LT/1/26/6016/012 – N180 (2x90)</w:t>
      </w:r>
    </w:p>
    <w:p w14:paraId="39F63E34" w14:textId="77777777" w:rsidR="003C78E9" w:rsidRPr="003C78E9" w:rsidRDefault="003C78E9" w:rsidP="003C78E9">
      <w:pPr>
        <w:autoSpaceDE w:val="0"/>
        <w:autoSpaceDN w:val="0"/>
        <w:adjustRightInd w:val="0"/>
        <w:rPr>
          <w:rFonts w:eastAsia="Calibri"/>
          <w:iCs/>
          <w:sz w:val="22"/>
          <w:szCs w:val="22"/>
          <w:lang w:eastAsia="en-US"/>
        </w:rPr>
      </w:pPr>
    </w:p>
    <w:p w14:paraId="36BD16E0"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&lt;12,5 mg/1000 mg&gt;</w:t>
      </w:r>
    </w:p>
    <w:p w14:paraId="09E6704E" w14:textId="77777777" w:rsidR="003C78E9" w:rsidRPr="003C78E9"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LT/1/26/6017/011 – N180 (3x60)</w:t>
      </w:r>
    </w:p>
    <w:p w14:paraId="7AD1D8F9" w14:textId="686F0DE4" w:rsidR="003B31DC" w:rsidRDefault="003C78E9" w:rsidP="003C78E9">
      <w:pPr>
        <w:autoSpaceDE w:val="0"/>
        <w:autoSpaceDN w:val="0"/>
        <w:adjustRightInd w:val="0"/>
        <w:rPr>
          <w:rFonts w:eastAsia="Calibri"/>
          <w:iCs/>
          <w:sz w:val="22"/>
          <w:szCs w:val="22"/>
          <w:lang w:eastAsia="en-US"/>
        </w:rPr>
      </w:pPr>
      <w:r w:rsidRPr="003C78E9">
        <w:rPr>
          <w:rFonts w:eastAsia="Calibri"/>
          <w:iCs/>
          <w:sz w:val="22"/>
          <w:szCs w:val="22"/>
          <w:lang w:eastAsia="en-US"/>
        </w:rPr>
        <w:t>LT/1/26/6017/012 – N180 (2x90)</w:t>
      </w:r>
    </w:p>
    <w:p w14:paraId="2720FDD3" w14:textId="77777777" w:rsidR="003C78E9" w:rsidRDefault="003C78E9" w:rsidP="003C78E9">
      <w:pPr>
        <w:autoSpaceDE w:val="0"/>
        <w:autoSpaceDN w:val="0"/>
        <w:adjustRightInd w:val="0"/>
        <w:rPr>
          <w:rFonts w:eastAsia="Calibri"/>
          <w:iCs/>
          <w:sz w:val="22"/>
          <w:szCs w:val="22"/>
          <w:lang w:eastAsia="en-US"/>
        </w:rPr>
      </w:pPr>
    </w:p>
    <w:p w14:paraId="5F7DBC98" w14:textId="77777777" w:rsidR="003B31DC" w:rsidRDefault="003B31DC">
      <w:pPr>
        <w:rPr>
          <w:rFonts w:eastAsia="Calibri"/>
          <w:sz w:val="22"/>
          <w:szCs w:val="22"/>
          <w:lang w:eastAsia="en-US"/>
        </w:rPr>
      </w:pPr>
    </w:p>
    <w:p w14:paraId="75B90209"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559005E9" w14:textId="77777777" w:rsidR="003B31DC" w:rsidRDefault="003B31DC">
      <w:pPr>
        <w:rPr>
          <w:rFonts w:eastAsia="Calibri"/>
          <w:sz w:val="22"/>
          <w:szCs w:val="22"/>
          <w:lang w:eastAsia="en-US"/>
        </w:rPr>
      </w:pPr>
    </w:p>
    <w:p w14:paraId="113F9231" w14:textId="77777777" w:rsidR="003B31DC" w:rsidRDefault="00913CBE">
      <w:pPr>
        <w:rPr>
          <w:rFonts w:eastAsia="Calibri"/>
          <w:sz w:val="22"/>
          <w:szCs w:val="22"/>
          <w:lang w:eastAsia="en-US"/>
        </w:rPr>
      </w:pPr>
      <w:r>
        <w:rPr>
          <w:rFonts w:eastAsia="Calibri"/>
          <w:sz w:val="22"/>
          <w:szCs w:val="22"/>
          <w:lang w:eastAsia="en-US"/>
        </w:rPr>
        <w:t>Lot</w:t>
      </w:r>
    </w:p>
    <w:p w14:paraId="4ED80D69" w14:textId="77777777" w:rsidR="003B31DC" w:rsidRDefault="003B31DC">
      <w:pPr>
        <w:rPr>
          <w:rFonts w:eastAsia="Calibri"/>
          <w:sz w:val="22"/>
          <w:szCs w:val="22"/>
          <w:lang w:eastAsia="en-US"/>
        </w:rPr>
      </w:pPr>
    </w:p>
    <w:p w14:paraId="5187440B" w14:textId="77777777" w:rsidR="003B31DC" w:rsidRDefault="003B31DC">
      <w:pPr>
        <w:rPr>
          <w:rFonts w:eastAsia="Calibri"/>
          <w:sz w:val="22"/>
          <w:szCs w:val="22"/>
          <w:lang w:eastAsia="en-US"/>
        </w:rPr>
      </w:pPr>
    </w:p>
    <w:p w14:paraId="4D4A3E1A"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343D38B3" w14:textId="77777777" w:rsidR="003B31DC" w:rsidRDefault="003B31DC">
      <w:pPr>
        <w:rPr>
          <w:rFonts w:eastAsia="Calibri"/>
          <w:sz w:val="22"/>
          <w:szCs w:val="22"/>
          <w:lang w:eastAsia="en-US"/>
        </w:rPr>
      </w:pPr>
    </w:p>
    <w:p w14:paraId="2BB4E8EB" w14:textId="77777777" w:rsidR="003B31DC" w:rsidRDefault="00913CBE">
      <w:pPr>
        <w:rPr>
          <w:rFonts w:eastAsia="Calibri"/>
          <w:sz w:val="22"/>
          <w:szCs w:val="22"/>
          <w:lang w:eastAsia="en-US"/>
        </w:rPr>
      </w:pPr>
      <w:r>
        <w:rPr>
          <w:rFonts w:eastAsia="Calibri"/>
          <w:sz w:val="22"/>
          <w:szCs w:val="22"/>
          <w:lang w:eastAsia="en-US"/>
        </w:rPr>
        <w:t>Receptinis vaistas</w:t>
      </w:r>
    </w:p>
    <w:p w14:paraId="56585A8F" w14:textId="77777777" w:rsidR="003B31DC" w:rsidRDefault="003B31DC">
      <w:pPr>
        <w:rPr>
          <w:rFonts w:eastAsia="Calibri"/>
          <w:sz w:val="22"/>
          <w:szCs w:val="22"/>
          <w:lang w:eastAsia="en-US"/>
        </w:rPr>
      </w:pPr>
    </w:p>
    <w:p w14:paraId="1696FBF7" w14:textId="77777777" w:rsidR="003B31DC" w:rsidRDefault="003B31DC">
      <w:pPr>
        <w:rPr>
          <w:rFonts w:eastAsia="Calibri"/>
          <w:sz w:val="22"/>
          <w:szCs w:val="22"/>
          <w:lang w:eastAsia="en-US"/>
        </w:rPr>
      </w:pPr>
    </w:p>
    <w:p w14:paraId="394CE84E"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5678CD4E" w14:textId="77777777" w:rsidR="003B31DC" w:rsidRDefault="003B31DC">
      <w:pPr>
        <w:rPr>
          <w:rFonts w:eastAsia="Calibri"/>
          <w:sz w:val="22"/>
          <w:szCs w:val="22"/>
          <w:lang w:eastAsia="en-US"/>
        </w:rPr>
      </w:pPr>
    </w:p>
    <w:p w14:paraId="7369026C" w14:textId="77777777" w:rsidR="003B31DC" w:rsidRDefault="003B31DC">
      <w:pPr>
        <w:rPr>
          <w:rFonts w:eastAsia="Calibri"/>
          <w:sz w:val="22"/>
          <w:szCs w:val="22"/>
          <w:lang w:eastAsia="en-US"/>
        </w:rPr>
      </w:pPr>
    </w:p>
    <w:p w14:paraId="1E8EE851"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6B73214C" w14:textId="77777777" w:rsidR="003B31DC" w:rsidRDefault="003B31DC">
      <w:pPr>
        <w:rPr>
          <w:rFonts w:eastAsia="Calibri"/>
          <w:sz w:val="22"/>
          <w:szCs w:val="22"/>
          <w:lang w:eastAsia="en-US"/>
        </w:rPr>
      </w:pPr>
    </w:p>
    <w:p w14:paraId="3AD15174" w14:textId="77777777" w:rsidR="003B31DC" w:rsidRDefault="00913CBE">
      <w:pPr>
        <w:rPr>
          <w:rFonts w:eastAsiaTheme="minorHAnsi"/>
          <w:color w:val="000000"/>
          <w:sz w:val="22"/>
          <w:szCs w:val="22"/>
          <w:lang w:eastAsia="en-US"/>
        </w:rPr>
      </w:pPr>
      <w:bookmarkStart w:id="15" w:name="_Hlk224220157"/>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5 mg/850 mg</w:t>
      </w:r>
    </w:p>
    <w:p w14:paraId="0B2E97E6"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5 mg/1 000 mg</w:t>
      </w:r>
    </w:p>
    <w:p w14:paraId="15861458"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mg/850 mg</w:t>
      </w:r>
    </w:p>
    <w:p w14:paraId="53C739E0" w14:textId="77777777" w:rsidR="003B31DC" w:rsidRDefault="00913CBE">
      <w:pPr>
        <w:rPr>
          <w:sz w:val="22"/>
          <w:szCs w:val="22"/>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mg/1 000 mg</w:t>
      </w:r>
    </w:p>
    <w:bookmarkEnd w:id="15"/>
    <w:p w14:paraId="1D043246" w14:textId="77777777" w:rsidR="003B31DC" w:rsidRDefault="003B31DC">
      <w:pPr>
        <w:rPr>
          <w:rFonts w:eastAsia="Calibri"/>
          <w:iCs/>
          <w:sz w:val="22"/>
          <w:szCs w:val="22"/>
          <w:lang w:eastAsia="en-US"/>
        </w:rPr>
      </w:pPr>
    </w:p>
    <w:p w14:paraId="4509707C" w14:textId="77777777" w:rsidR="003B31DC" w:rsidRDefault="003B31DC">
      <w:pPr>
        <w:rPr>
          <w:rFonts w:eastAsia="Calibri"/>
          <w:iCs/>
          <w:sz w:val="22"/>
          <w:szCs w:val="22"/>
          <w:lang w:eastAsia="en-US"/>
        </w:rPr>
      </w:pPr>
    </w:p>
    <w:p w14:paraId="162D22B6"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lastRenderedPageBreak/>
        <w:t>17.</w:t>
      </w:r>
      <w:r>
        <w:rPr>
          <w:rFonts w:eastAsia="Calibri"/>
          <w:b/>
          <w:sz w:val="22"/>
          <w:szCs w:val="22"/>
          <w:lang w:eastAsia="en-US"/>
        </w:rPr>
        <w:tab/>
      </w:r>
      <w:r>
        <w:rPr>
          <w:rFonts w:eastAsia="Calibri"/>
          <w:b/>
          <w:noProof/>
          <w:sz w:val="22"/>
          <w:szCs w:val="22"/>
          <w:lang w:eastAsia="en-US"/>
        </w:rPr>
        <w:t>UNIKALUS IDENTIFIKATORIUS – 2D BRŪKŠNINIS KODAS</w:t>
      </w:r>
    </w:p>
    <w:p w14:paraId="5C99558A" w14:textId="77777777" w:rsidR="003B31DC" w:rsidRDefault="003B31DC">
      <w:pPr>
        <w:rPr>
          <w:rFonts w:eastAsia="Calibri"/>
          <w:sz w:val="22"/>
          <w:szCs w:val="22"/>
          <w:lang w:eastAsia="en-US"/>
        </w:rPr>
      </w:pPr>
    </w:p>
    <w:p w14:paraId="01737C88" w14:textId="77777777" w:rsidR="003B31DC" w:rsidRDefault="00913CBE">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467D2860" w14:textId="77777777" w:rsidR="003B31DC" w:rsidRDefault="003B31DC">
      <w:pPr>
        <w:rPr>
          <w:rFonts w:eastAsia="Calibri"/>
          <w:iCs/>
          <w:sz w:val="22"/>
          <w:szCs w:val="22"/>
          <w:lang w:eastAsia="en-US"/>
        </w:rPr>
      </w:pPr>
    </w:p>
    <w:p w14:paraId="4A82C2D7" w14:textId="77777777" w:rsidR="003B31DC" w:rsidRDefault="003B31DC">
      <w:pPr>
        <w:rPr>
          <w:rFonts w:eastAsia="Calibri"/>
          <w:iCs/>
          <w:sz w:val="22"/>
          <w:szCs w:val="22"/>
          <w:lang w:eastAsia="en-US"/>
        </w:rPr>
      </w:pPr>
    </w:p>
    <w:p w14:paraId="1579A0DA"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761C9080" w14:textId="77777777" w:rsidR="003B31DC" w:rsidRDefault="003B31DC">
      <w:pPr>
        <w:rPr>
          <w:rFonts w:eastAsia="Calibri"/>
          <w:sz w:val="22"/>
          <w:szCs w:val="22"/>
          <w:lang w:eastAsia="en-US"/>
        </w:rPr>
      </w:pPr>
    </w:p>
    <w:p w14:paraId="40E07F60" w14:textId="77777777" w:rsidR="003B31DC" w:rsidRDefault="00913CBE">
      <w:pPr>
        <w:rPr>
          <w:rFonts w:eastAsia="Calibri"/>
          <w:sz w:val="22"/>
          <w:szCs w:val="22"/>
          <w:lang w:eastAsia="en-US"/>
        </w:rPr>
      </w:pPr>
      <w:r>
        <w:rPr>
          <w:rFonts w:eastAsia="Calibri"/>
          <w:sz w:val="22"/>
          <w:szCs w:val="22"/>
          <w:lang w:eastAsia="en-US"/>
        </w:rPr>
        <w:t>PC</w:t>
      </w:r>
    </w:p>
    <w:p w14:paraId="7F836FE5" w14:textId="77777777" w:rsidR="003B31DC" w:rsidRDefault="00913CBE">
      <w:pPr>
        <w:rPr>
          <w:rFonts w:eastAsia="Calibri"/>
          <w:sz w:val="22"/>
          <w:szCs w:val="22"/>
          <w:lang w:eastAsia="en-US"/>
        </w:rPr>
      </w:pPr>
      <w:r>
        <w:rPr>
          <w:rFonts w:eastAsia="Calibri"/>
          <w:sz w:val="22"/>
          <w:szCs w:val="22"/>
          <w:lang w:eastAsia="en-US"/>
        </w:rPr>
        <w:t>SN</w:t>
      </w:r>
    </w:p>
    <w:p w14:paraId="7068A537" w14:textId="77777777" w:rsidR="003B31DC" w:rsidRDefault="00913CBE">
      <w:pPr>
        <w:rPr>
          <w:rFonts w:eastAsia="Calibri"/>
          <w:sz w:val="22"/>
          <w:szCs w:val="22"/>
          <w:lang w:eastAsia="en-US"/>
        </w:rPr>
      </w:pPr>
      <w:r>
        <w:rPr>
          <w:rFonts w:eastAsia="Calibri"/>
          <w:sz w:val="22"/>
          <w:szCs w:val="22"/>
          <w:highlight w:val="lightGray"/>
          <w:lang w:eastAsia="en-US"/>
        </w:rPr>
        <w:t>NN</w:t>
      </w:r>
    </w:p>
    <w:p w14:paraId="79972716" w14:textId="77777777" w:rsidR="003B31DC" w:rsidRDefault="003B31DC">
      <w:pPr>
        <w:rPr>
          <w:rFonts w:eastAsia="Calibri"/>
          <w:sz w:val="22"/>
          <w:szCs w:val="22"/>
          <w:lang w:eastAsia="en-US"/>
        </w:rPr>
      </w:pPr>
    </w:p>
    <w:p w14:paraId="36C37DCA" w14:textId="77777777" w:rsidR="003B31DC" w:rsidRDefault="00913CBE">
      <w:pPr>
        <w:rPr>
          <w:rFonts w:eastAsia="Calibri"/>
          <w:sz w:val="22"/>
          <w:szCs w:val="22"/>
          <w:lang w:eastAsia="en-US"/>
        </w:rPr>
      </w:pPr>
      <w:r>
        <w:rPr>
          <w:rFonts w:eastAsia="Calibri"/>
          <w:sz w:val="22"/>
          <w:szCs w:val="22"/>
          <w:lang w:eastAsia="en-US"/>
        </w:rPr>
        <w:br w:type="page"/>
      </w:r>
    </w:p>
    <w:p w14:paraId="04BD7F89" w14:textId="77777777" w:rsidR="003B31DC" w:rsidRDefault="00913CB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INFORMACIJA ANT VIDINĖS PAKUOTĖS</w:t>
      </w:r>
    </w:p>
    <w:p w14:paraId="74D25361" w14:textId="77777777" w:rsidR="003B31DC" w:rsidRDefault="003B31DC">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43D59B50" w14:textId="4E06B7D7" w:rsidR="003B31DC" w:rsidRDefault="00913CBE">
      <w:pPr>
        <w:pBdr>
          <w:top w:val="single" w:sz="4" w:space="1" w:color="auto"/>
          <w:left w:val="single" w:sz="4" w:space="4" w:color="auto"/>
          <w:bottom w:val="single" w:sz="4" w:space="1" w:color="auto"/>
          <w:right w:val="single" w:sz="4" w:space="4" w:color="auto"/>
        </w:pBdr>
        <w:tabs>
          <w:tab w:val="left" w:pos="567"/>
        </w:tabs>
        <w:spacing w:line="260" w:lineRule="exact"/>
        <w:rPr>
          <w:b/>
          <w:noProof/>
          <w:sz w:val="22"/>
          <w:lang w:eastAsia="en-US"/>
        </w:rPr>
      </w:pPr>
      <w:r>
        <w:rPr>
          <w:b/>
          <w:noProof/>
          <w:sz w:val="22"/>
          <w:lang w:eastAsia="en-US"/>
        </w:rPr>
        <w:t xml:space="preserve">SUDĖTINŲ PAKUOČIŲ VIDINĖ DĖŽUTĖ </w:t>
      </w:r>
      <w:r>
        <w:rPr>
          <w:b/>
          <w:noProof/>
          <w:sz w:val="22"/>
          <w:szCs w:val="22"/>
          <w:lang w:val="da-DK" w:eastAsia="en-US"/>
        </w:rPr>
        <w:t>–</w:t>
      </w:r>
      <w:r>
        <w:rPr>
          <w:b/>
          <w:noProof/>
          <w:sz w:val="22"/>
          <w:lang w:eastAsia="en-US"/>
        </w:rPr>
        <w:t xml:space="preserve">visas </w:t>
      </w:r>
      <w:r w:rsidRPr="00FA2F7A">
        <w:rPr>
          <w:b/>
          <w:i/>
          <w:iCs/>
          <w:noProof/>
          <w:sz w:val="22"/>
          <w:highlight w:val="darkGray"/>
          <w:lang w:eastAsia="en-US"/>
        </w:rPr>
        <w:t xml:space="preserve">/ </w:t>
      </w:r>
      <w:r w:rsidR="0059450A" w:rsidRPr="00FA2F7A">
        <w:rPr>
          <w:b/>
          <w:i/>
          <w:iCs/>
          <w:noProof/>
          <w:sz w:val="22"/>
          <w:highlight w:val="darkGray"/>
          <w:lang w:eastAsia="en-US"/>
        </w:rPr>
        <w:t>sutrumpintas</w:t>
      </w:r>
      <w:r w:rsidR="0059450A">
        <w:rPr>
          <w:b/>
          <w:noProof/>
          <w:sz w:val="22"/>
          <w:lang w:eastAsia="en-US"/>
        </w:rPr>
        <w:t xml:space="preserve"> ES harmonizuotas </w:t>
      </w:r>
      <w:r>
        <w:rPr>
          <w:b/>
          <w:noProof/>
          <w:sz w:val="22"/>
          <w:lang w:eastAsia="en-US"/>
        </w:rPr>
        <w:t>ženklinimo tekstas</w:t>
      </w:r>
    </w:p>
    <w:p w14:paraId="74B41544" w14:textId="77777777" w:rsidR="003B31DC" w:rsidRDefault="003B31DC">
      <w:pPr>
        <w:rPr>
          <w:rFonts w:eastAsia="Calibri"/>
          <w:sz w:val="22"/>
          <w:szCs w:val="22"/>
          <w:lang w:eastAsia="en-US"/>
        </w:rPr>
      </w:pPr>
    </w:p>
    <w:p w14:paraId="3BA0BD4D" w14:textId="77777777" w:rsidR="003B31DC" w:rsidRDefault="003B31DC">
      <w:pPr>
        <w:rPr>
          <w:rFonts w:eastAsia="Calibri"/>
          <w:sz w:val="22"/>
          <w:szCs w:val="22"/>
          <w:lang w:eastAsia="en-US"/>
        </w:rPr>
      </w:pPr>
    </w:p>
    <w:p w14:paraId="208B0685"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1085E41A" w14:textId="77777777" w:rsidR="003B31DC" w:rsidRDefault="003B31DC">
      <w:pPr>
        <w:rPr>
          <w:rFonts w:eastAsia="Calibri"/>
          <w:sz w:val="22"/>
          <w:szCs w:val="22"/>
          <w:lang w:eastAsia="en-US"/>
        </w:rPr>
      </w:pPr>
    </w:p>
    <w:p w14:paraId="7B8C6D5E" w14:textId="77777777" w:rsidR="003B31DC" w:rsidRDefault="00913CBE">
      <w:pPr>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5 mg/850 mg plėvele dengtos tabletės</w:t>
      </w:r>
    </w:p>
    <w:p w14:paraId="554CAAA1"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5 mg/1 000 mg plėvele dengtos tabletės</w:t>
      </w:r>
    </w:p>
    <w:p w14:paraId="793AC983"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mg/850 mg plėvele dengtos tabletės</w:t>
      </w:r>
    </w:p>
    <w:p w14:paraId="5F519D6D" w14:textId="77777777" w:rsidR="003B31DC" w:rsidRDefault="00913CBE">
      <w:pPr>
        <w:rPr>
          <w:sz w:val="22"/>
          <w:szCs w:val="22"/>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mg/1 000 mg plėvele dengtos tabletės</w:t>
      </w:r>
    </w:p>
    <w:p w14:paraId="59113BBB" w14:textId="77777777" w:rsidR="003B31DC" w:rsidRDefault="003B31DC">
      <w:pPr>
        <w:rPr>
          <w:i/>
          <w:iCs/>
          <w:sz w:val="22"/>
          <w:szCs w:val="22"/>
        </w:rPr>
      </w:pPr>
    </w:p>
    <w:p w14:paraId="052D6CAC" w14:textId="77777777" w:rsidR="003B31DC" w:rsidRDefault="00913CBE">
      <w:pPr>
        <w:rPr>
          <w:sz w:val="22"/>
          <w:szCs w:val="22"/>
        </w:rPr>
      </w:pPr>
      <w:proofErr w:type="spellStart"/>
      <w:r>
        <w:rPr>
          <w:sz w:val="22"/>
          <w:szCs w:val="22"/>
        </w:rPr>
        <w:t>empagliflozinas</w:t>
      </w:r>
      <w:proofErr w:type="spellEnd"/>
      <w:r>
        <w:rPr>
          <w:sz w:val="22"/>
          <w:szCs w:val="22"/>
        </w:rPr>
        <w:t>/</w:t>
      </w:r>
      <w:proofErr w:type="spellStart"/>
      <w:r>
        <w:rPr>
          <w:sz w:val="22"/>
          <w:szCs w:val="22"/>
        </w:rPr>
        <w:t>metformino</w:t>
      </w:r>
      <w:proofErr w:type="spellEnd"/>
      <w:r>
        <w:rPr>
          <w:sz w:val="22"/>
          <w:szCs w:val="22"/>
        </w:rPr>
        <w:t xml:space="preserve"> hidrochloridas</w:t>
      </w:r>
    </w:p>
    <w:p w14:paraId="3AAEC000" w14:textId="77777777" w:rsidR="003B31DC" w:rsidRDefault="003B31DC">
      <w:pPr>
        <w:rPr>
          <w:rFonts w:eastAsia="Calibri"/>
          <w:sz w:val="22"/>
          <w:szCs w:val="22"/>
          <w:lang w:eastAsia="en-US"/>
        </w:rPr>
      </w:pPr>
    </w:p>
    <w:p w14:paraId="5D089EB5" w14:textId="77777777" w:rsidR="003B31DC" w:rsidRDefault="003B31DC">
      <w:pPr>
        <w:rPr>
          <w:rFonts w:eastAsia="Calibri"/>
          <w:sz w:val="22"/>
          <w:szCs w:val="22"/>
          <w:lang w:eastAsia="en-US"/>
        </w:rPr>
      </w:pPr>
    </w:p>
    <w:p w14:paraId="2EBD765F"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3572F494" w14:textId="77777777" w:rsidR="003B31DC" w:rsidRDefault="003B31DC">
      <w:pPr>
        <w:rPr>
          <w:rFonts w:eastAsia="Calibri"/>
          <w:sz w:val="22"/>
          <w:szCs w:val="22"/>
          <w:lang w:eastAsia="en-US"/>
        </w:rPr>
      </w:pPr>
    </w:p>
    <w:p w14:paraId="161D91FB" w14:textId="77777777" w:rsidR="003B31DC" w:rsidRDefault="00913CBE">
      <w:pPr>
        <w:rPr>
          <w:rFonts w:eastAsiaTheme="minorHAnsi"/>
          <w:color w:val="000000"/>
          <w:sz w:val="22"/>
          <w:szCs w:val="22"/>
          <w:lang w:eastAsia="en-US"/>
        </w:rPr>
      </w:pPr>
      <w:r>
        <w:rPr>
          <w:rFonts w:eastAsiaTheme="minorHAnsi"/>
          <w:color w:val="000000"/>
          <w:sz w:val="22"/>
          <w:szCs w:val="22"/>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lang w:eastAsia="en-US"/>
        </w:rPr>
        <w:t xml:space="preserve"> tabletėje yra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07761737" w14:textId="77777777" w:rsidR="003B31DC" w:rsidRDefault="00913CBE">
      <w:pPr>
        <w:rPr>
          <w:rFonts w:eastAsiaTheme="minorHAnsi"/>
          <w:color w:val="000000"/>
          <w:sz w:val="22"/>
          <w:szCs w:val="22"/>
          <w:highlight w:val="lightGray"/>
          <w:lang w:eastAsia="en-US"/>
        </w:rPr>
      </w:pPr>
      <w:r>
        <w:rPr>
          <w:rFonts w:eastAsiaTheme="minorHAnsi"/>
          <w:color w:val="000000"/>
          <w:sz w:val="22"/>
          <w:szCs w:val="22"/>
          <w:highlight w:val="lightGray"/>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highlight w:val="lightGray"/>
          <w:lang w:eastAsia="en-US"/>
        </w:rPr>
        <w:t xml:space="preserve"> tabletėje yra 5 mg </w:t>
      </w:r>
      <w:proofErr w:type="spellStart"/>
      <w:r>
        <w:rPr>
          <w:rFonts w:eastAsiaTheme="minorHAnsi"/>
          <w:color w:val="000000"/>
          <w:sz w:val="22"/>
          <w:szCs w:val="22"/>
          <w:highlight w:val="lightGray"/>
          <w:lang w:eastAsia="en-US"/>
        </w:rPr>
        <w:t>empagliflozino</w:t>
      </w:r>
      <w:proofErr w:type="spellEnd"/>
      <w:r>
        <w:rPr>
          <w:rFonts w:eastAsiaTheme="minorHAnsi"/>
          <w:color w:val="000000"/>
          <w:sz w:val="22"/>
          <w:szCs w:val="22"/>
          <w:highlight w:val="lightGray"/>
          <w:lang w:eastAsia="en-US"/>
        </w:rPr>
        <w:t xml:space="preserve">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586541F7" w14:textId="77777777" w:rsidR="003B31DC" w:rsidRDefault="00913CBE">
      <w:pPr>
        <w:rPr>
          <w:rFonts w:eastAsiaTheme="minorHAnsi"/>
          <w:color w:val="000000"/>
          <w:sz w:val="22"/>
          <w:szCs w:val="22"/>
          <w:highlight w:val="lightGray"/>
          <w:lang w:eastAsia="en-US"/>
        </w:rPr>
      </w:pPr>
      <w:r>
        <w:rPr>
          <w:rFonts w:eastAsiaTheme="minorHAnsi"/>
          <w:color w:val="000000"/>
          <w:sz w:val="22"/>
          <w:szCs w:val="22"/>
          <w:highlight w:val="lightGray"/>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highlight w:val="lightGray"/>
          <w:lang w:eastAsia="en-US"/>
        </w:rPr>
        <w:t xml:space="preserve"> tabletėje yra 12,5 mg </w:t>
      </w:r>
      <w:proofErr w:type="spellStart"/>
      <w:r>
        <w:rPr>
          <w:rFonts w:eastAsiaTheme="minorHAnsi"/>
          <w:color w:val="000000"/>
          <w:sz w:val="22"/>
          <w:szCs w:val="22"/>
          <w:highlight w:val="lightGray"/>
          <w:lang w:eastAsia="en-US"/>
        </w:rPr>
        <w:t>empagliflozino</w:t>
      </w:r>
      <w:proofErr w:type="spellEnd"/>
      <w:r>
        <w:rPr>
          <w:rFonts w:eastAsiaTheme="minorHAnsi"/>
          <w:color w:val="000000"/>
          <w:sz w:val="22"/>
          <w:szCs w:val="22"/>
          <w:highlight w:val="lightGray"/>
          <w:lang w:eastAsia="en-US"/>
        </w:rPr>
        <w:t xml:space="preserve"> ir 850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3FA08848" w14:textId="77777777" w:rsidR="003B31DC" w:rsidRDefault="00913CBE">
      <w:pPr>
        <w:rPr>
          <w:rFonts w:eastAsiaTheme="minorHAnsi"/>
          <w:color w:val="000000"/>
          <w:sz w:val="22"/>
          <w:szCs w:val="22"/>
          <w:lang w:eastAsia="en-US"/>
        </w:rPr>
      </w:pPr>
      <w:r>
        <w:rPr>
          <w:rFonts w:eastAsiaTheme="minorHAnsi"/>
          <w:color w:val="000000"/>
          <w:sz w:val="22"/>
          <w:szCs w:val="22"/>
          <w:highlight w:val="lightGray"/>
          <w:lang w:eastAsia="en-US"/>
        </w:rPr>
        <w:t xml:space="preserve">Kiekvienoje </w:t>
      </w:r>
      <w:r w:rsidRPr="00FA2F7A">
        <w:rPr>
          <w:rFonts w:eastAsiaTheme="minorHAnsi"/>
          <w:i/>
          <w:iCs/>
          <w:color w:val="000000"/>
          <w:sz w:val="22"/>
          <w:szCs w:val="22"/>
          <w:highlight w:val="darkGray"/>
          <w:lang w:eastAsia="en-US"/>
        </w:rPr>
        <w:t>plėvele dengtoje</w:t>
      </w:r>
      <w:r>
        <w:rPr>
          <w:rFonts w:eastAsiaTheme="minorHAnsi"/>
          <w:color w:val="000000"/>
          <w:sz w:val="22"/>
          <w:szCs w:val="22"/>
          <w:highlight w:val="darkGray"/>
          <w:lang w:eastAsia="en-US"/>
        </w:rPr>
        <w:t xml:space="preserve"> </w:t>
      </w:r>
      <w:r>
        <w:rPr>
          <w:rFonts w:eastAsiaTheme="minorHAnsi"/>
          <w:color w:val="000000"/>
          <w:sz w:val="22"/>
          <w:szCs w:val="22"/>
          <w:highlight w:val="lightGray"/>
          <w:lang w:eastAsia="en-US"/>
        </w:rPr>
        <w:t xml:space="preserve">tabletėje yra 12,5 mg </w:t>
      </w:r>
      <w:proofErr w:type="spellStart"/>
      <w:r>
        <w:rPr>
          <w:rFonts w:eastAsiaTheme="minorHAnsi"/>
          <w:color w:val="000000"/>
          <w:sz w:val="22"/>
          <w:szCs w:val="22"/>
          <w:highlight w:val="lightGray"/>
          <w:lang w:eastAsia="en-US"/>
        </w:rPr>
        <w:t>empagliflozino</w:t>
      </w:r>
      <w:proofErr w:type="spellEnd"/>
      <w:r>
        <w:rPr>
          <w:rFonts w:eastAsiaTheme="minorHAnsi"/>
          <w:color w:val="000000"/>
          <w:sz w:val="22"/>
          <w:szCs w:val="22"/>
          <w:highlight w:val="lightGray"/>
          <w:lang w:eastAsia="en-US"/>
        </w:rPr>
        <w:t xml:space="preserve">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0C990D0C" w14:textId="77777777" w:rsidR="003B31DC" w:rsidRDefault="003B31DC">
      <w:pPr>
        <w:rPr>
          <w:rFonts w:eastAsia="Calibri"/>
          <w:sz w:val="22"/>
          <w:szCs w:val="22"/>
          <w:lang w:eastAsia="en-US"/>
        </w:rPr>
      </w:pPr>
    </w:p>
    <w:p w14:paraId="6696457F" w14:textId="77777777" w:rsidR="003B31DC" w:rsidRDefault="003B31DC">
      <w:pPr>
        <w:rPr>
          <w:rFonts w:eastAsia="Calibri"/>
          <w:sz w:val="22"/>
          <w:szCs w:val="22"/>
          <w:lang w:eastAsia="en-US"/>
        </w:rPr>
      </w:pPr>
    </w:p>
    <w:p w14:paraId="2DF5058F"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2BE3126C" w14:textId="77777777" w:rsidR="003B31DC" w:rsidRDefault="003B31DC">
      <w:pPr>
        <w:rPr>
          <w:rFonts w:eastAsia="Calibri"/>
          <w:sz w:val="22"/>
          <w:szCs w:val="22"/>
          <w:lang w:eastAsia="en-US"/>
        </w:rPr>
      </w:pPr>
    </w:p>
    <w:p w14:paraId="47C4FCC5" w14:textId="77777777" w:rsidR="003B31DC" w:rsidRDefault="003B31DC">
      <w:pPr>
        <w:rPr>
          <w:rFonts w:eastAsia="Calibri"/>
          <w:sz w:val="22"/>
          <w:szCs w:val="22"/>
          <w:lang w:eastAsia="en-US"/>
        </w:rPr>
      </w:pPr>
    </w:p>
    <w:p w14:paraId="6B21E64F"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0E8D4F40" w14:textId="77777777" w:rsidR="003B31DC" w:rsidRDefault="003B31DC">
      <w:pPr>
        <w:rPr>
          <w:rFonts w:eastAsia="Calibri"/>
          <w:sz w:val="22"/>
          <w:szCs w:val="22"/>
          <w:lang w:eastAsia="en-US"/>
        </w:rPr>
      </w:pPr>
    </w:p>
    <w:p w14:paraId="5E26091D" w14:textId="77777777" w:rsidR="003B31DC" w:rsidRDefault="00913CBE">
      <w:pPr>
        <w:rPr>
          <w:rFonts w:eastAsia="Calibri"/>
          <w:sz w:val="22"/>
          <w:szCs w:val="22"/>
          <w:lang w:eastAsia="en-US"/>
        </w:rPr>
      </w:pPr>
      <w:r>
        <w:rPr>
          <w:rFonts w:eastAsia="Calibri"/>
          <w:sz w:val="22"/>
          <w:szCs w:val="22"/>
          <w:highlight w:val="lightGray"/>
          <w:lang w:eastAsia="en-US"/>
        </w:rPr>
        <w:t>plėvele dengta tabletė</w:t>
      </w:r>
    </w:p>
    <w:p w14:paraId="74388695" w14:textId="77777777" w:rsidR="003B31DC" w:rsidRDefault="003B31DC">
      <w:pPr>
        <w:rPr>
          <w:rFonts w:eastAsia="Calibri"/>
          <w:sz w:val="22"/>
          <w:szCs w:val="22"/>
          <w:lang w:eastAsia="en-US"/>
        </w:rPr>
      </w:pPr>
    </w:p>
    <w:p w14:paraId="378FF54B" w14:textId="77777777" w:rsidR="003B31DC" w:rsidRDefault="00913CBE">
      <w:pPr>
        <w:rPr>
          <w:rFonts w:eastAsia="Calibri"/>
          <w:sz w:val="22"/>
          <w:szCs w:val="22"/>
          <w:lang w:eastAsia="en-US"/>
        </w:rPr>
      </w:pPr>
      <w:r>
        <w:rPr>
          <w:rFonts w:eastAsia="Calibri"/>
          <w:sz w:val="22"/>
          <w:szCs w:val="22"/>
          <w:lang w:eastAsia="en-US"/>
        </w:rPr>
        <w:t xml:space="preserve">60 </w:t>
      </w:r>
      <w:r w:rsidRPr="00FA2F7A">
        <w:rPr>
          <w:rFonts w:eastAsia="Calibri"/>
          <w:i/>
          <w:iCs/>
          <w:sz w:val="22"/>
          <w:szCs w:val="22"/>
          <w:highlight w:val="darkGray"/>
          <w:lang w:eastAsia="en-US"/>
        </w:rPr>
        <w:t>plėvele dengtų</w:t>
      </w:r>
      <w:r>
        <w:rPr>
          <w:rFonts w:eastAsia="Calibri"/>
          <w:sz w:val="22"/>
          <w:szCs w:val="22"/>
          <w:lang w:eastAsia="en-US"/>
        </w:rPr>
        <w:t xml:space="preserve"> tablečių</w:t>
      </w:r>
    </w:p>
    <w:p w14:paraId="28C21F21" w14:textId="77777777" w:rsidR="003B31DC" w:rsidRDefault="00913CBE">
      <w:pPr>
        <w:rPr>
          <w:rFonts w:eastAsia="Calibri"/>
          <w:sz w:val="22"/>
          <w:szCs w:val="22"/>
          <w:highlight w:val="lightGray"/>
          <w:lang w:eastAsia="en-US"/>
        </w:rPr>
      </w:pPr>
      <w:r>
        <w:rPr>
          <w:rFonts w:eastAsia="Calibri"/>
          <w:sz w:val="22"/>
          <w:szCs w:val="22"/>
          <w:highlight w:val="lightGray"/>
          <w:lang w:eastAsia="en-US"/>
        </w:rPr>
        <w:t xml:space="preserve">90 </w:t>
      </w:r>
      <w:r w:rsidRPr="00FA2F7A">
        <w:rPr>
          <w:rFonts w:eastAsia="Calibri"/>
          <w:i/>
          <w:iCs/>
          <w:sz w:val="22"/>
          <w:szCs w:val="22"/>
          <w:highlight w:val="darkGray"/>
          <w:lang w:eastAsia="en-US"/>
        </w:rPr>
        <w:t>plėvele dengtų</w:t>
      </w:r>
      <w:r>
        <w:rPr>
          <w:rFonts w:eastAsia="Calibri"/>
          <w:sz w:val="22"/>
          <w:szCs w:val="22"/>
          <w:highlight w:val="darkGray"/>
          <w:lang w:eastAsia="en-US"/>
        </w:rPr>
        <w:t xml:space="preserve"> </w:t>
      </w:r>
      <w:r>
        <w:rPr>
          <w:rFonts w:eastAsia="Calibri"/>
          <w:sz w:val="22"/>
          <w:szCs w:val="22"/>
          <w:highlight w:val="lightGray"/>
          <w:lang w:eastAsia="en-US"/>
        </w:rPr>
        <w:t>tablečių</w:t>
      </w:r>
    </w:p>
    <w:p w14:paraId="3A310982" w14:textId="77777777" w:rsidR="003B31DC" w:rsidRDefault="00913CBE">
      <w:pPr>
        <w:spacing w:line="300" w:lineRule="atLeast"/>
        <w:rPr>
          <w:sz w:val="22"/>
          <w:szCs w:val="22"/>
          <w:lang w:eastAsia="lt-LT"/>
        </w:rPr>
      </w:pPr>
      <w:r>
        <w:rPr>
          <w:sz w:val="22"/>
          <w:szCs w:val="22"/>
        </w:rPr>
        <w:t>Sudėtinės pakuotės dalis – parduoti atskirai draudžiama.</w:t>
      </w:r>
    </w:p>
    <w:p w14:paraId="064695E0" w14:textId="77777777" w:rsidR="003B31DC" w:rsidRDefault="003B31DC">
      <w:pPr>
        <w:rPr>
          <w:rFonts w:eastAsia="Calibri"/>
          <w:sz w:val="22"/>
          <w:szCs w:val="22"/>
          <w:lang w:eastAsia="en-US"/>
        </w:rPr>
      </w:pPr>
    </w:p>
    <w:p w14:paraId="5CF05717" w14:textId="77777777" w:rsidR="003B31DC" w:rsidRDefault="003B31DC">
      <w:pPr>
        <w:rPr>
          <w:rFonts w:eastAsia="Calibri"/>
          <w:sz w:val="22"/>
          <w:szCs w:val="22"/>
          <w:lang w:eastAsia="en-US"/>
        </w:rPr>
      </w:pPr>
    </w:p>
    <w:p w14:paraId="0B49E759"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2D3CFA94" w14:textId="77777777" w:rsidR="003B31DC" w:rsidRDefault="003B31DC">
      <w:pPr>
        <w:rPr>
          <w:rFonts w:eastAsia="Calibri"/>
          <w:sz w:val="16"/>
          <w:szCs w:val="16"/>
          <w:lang w:eastAsia="en-US"/>
        </w:rPr>
      </w:pPr>
    </w:p>
    <w:p w14:paraId="1765D0EA" w14:textId="77777777" w:rsidR="003B31DC" w:rsidRDefault="00913CBE">
      <w:pPr>
        <w:rPr>
          <w:rFonts w:eastAsia="Calibri"/>
          <w:sz w:val="22"/>
          <w:szCs w:val="22"/>
          <w:lang w:eastAsia="en-US"/>
        </w:rPr>
      </w:pPr>
      <w:r>
        <w:rPr>
          <w:rFonts w:eastAsia="Calibri"/>
          <w:noProof/>
          <w:sz w:val="22"/>
          <w:szCs w:val="22"/>
          <w:lang w:eastAsia="en-US"/>
        </w:rPr>
        <w:t>Prieš vartojimą perskaitykite pakuotės lapelį.</w:t>
      </w:r>
    </w:p>
    <w:p w14:paraId="380C6FFC" w14:textId="77777777" w:rsidR="003B31DC" w:rsidRDefault="003B31DC">
      <w:pPr>
        <w:rPr>
          <w:rFonts w:eastAsia="Calibri"/>
          <w:i/>
          <w:iCs/>
          <w:sz w:val="22"/>
          <w:szCs w:val="22"/>
          <w:highlight w:val="darkGray"/>
          <w:lang w:eastAsia="en-US"/>
        </w:rPr>
      </w:pPr>
    </w:p>
    <w:p w14:paraId="5030DB41" w14:textId="77777777" w:rsidR="003B31DC" w:rsidRDefault="00913CBE">
      <w:pPr>
        <w:rPr>
          <w:rFonts w:eastAsia="Calibri"/>
          <w:sz w:val="22"/>
          <w:szCs w:val="22"/>
          <w:lang w:eastAsia="en-US"/>
        </w:rPr>
      </w:pPr>
      <w:r w:rsidRPr="00FA2F7A">
        <w:rPr>
          <w:rFonts w:eastAsia="Calibri"/>
          <w:i/>
          <w:iCs/>
          <w:sz w:val="22"/>
          <w:szCs w:val="22"/>
          <w:highlight w:val="darkGray"/>
          <w:lang w:eastAsia="en-US"/>
        </w:rPr>
        <w:t>Vartoti per burną</w:t>
      </w:r>
      <w:r>
        <w:rPr>
          <w:rFonts w:eastAsia="Calibri"/>
          <w:sz w:val="22"/>
          <w:szCs w:val="22"/>
          <w:highlight w:val="darkGray"/>
          <w:lang w:eastAsia="en-US"/>
        </w:rPr>
        <w:t>.</w:t>
      </w:r>
    </w:p>
    <w:p w14:paraId="7D583C1A" w14:textId="77777777" w:rsidR="003B31DC" w:rsidRDefault="003B31DC">
      <w:pPr>
        <w:rPr>
          <w:rFonts w:eastAsia="Calibri"/>
          <w:sz w:val="22"/>
          <w:szCs w:val="22"/>
          <w:lang w:eastAsia="en-US"/>
        </w:rPr>
      </w:pPr>
    </w:p>
    <w:p w14:paraId="3D06BC70" w14:textId="77777777" w:rsidR="003B31DC" w:rsidRDefault="003B31DC">
      <w:pPr>
        <w:rPr>
          <w:rFonts w:eastAsia="Calibri"/>
          <w:sz w:val="22"/>
          <w:szCs w:val="22"/>
          <w:lang w:eastAsia="en-US"/>
        </w:rPr>
      </w:pPr>
    </w:p>
    <w:p w14:paraId="4677EC6E"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01B60657" w14:textId="77777777" w:rsidR="003B31DC" w:rsidRDefault="003B31DC">
      <w:pPr>
        <w:rPr>
          <w:rFonts w:eastAsia="Calibri"/>
          <w:sz w:val="22"/>
          <w:szCs w:val="22"/>
          <w:lang w:eastAsia="en-US"/>
        </w:rPr>
      </w:pPr>
    </w:p>
    <w:p w14:paraId="3F1DEAEF" w14:textId="77777777" w:rsidR="003B31DC" w:rsidRDefault="00913CBE">
      <w:pPr>
        <w:rPr>
          <w:rFonts w:eastAsia="Calibri"/>
          <w:sz w:val="22"/>
          <w:szCs w:val="22"/>
          <w:lang w:eastAsia="en-US"/>
        </w:rPr>
      </w:pPr>
      <w:r>
        <w:rPr>
          <w:rFonts w:eastAsia="Calibri"/>
          <w:noProof/>
          <w:sz w:val="22"/>
          <w:szCs w:val="22"/>
          <w:lang w:eastAsia="en-US"/>
        </w:rPr>
        <w:t>Laikyti vaikams nepastebimoje ir nepasiekiamoje vietoje.</w:t>
      </w:r>
    </w:p>
    <w:p w14:paraId="79CA968F" w14:textId="77777777" w:rsidR="003B31DC" w:rsidRDefault="003B31DC">
      <w:pPr>
        <w:rPr>
          <w:rFonts w:eastAsia="Calibri"/>
          <w:sz w:val="22"/>
          <w:szCs w:val="22"/>
          <w:lang w:eastAsia="en-US"/>
        </w:rPr>
      </w:pPr>
    </w:p>
    <w:p w14:paraId="6BFEE495" w14:textId="77777777" w:rsidR="003B31DC" w:rsidRDefault="003B31DC">
      <w:pPr>
        <w:rPr>
          <w:rFonts w:eastAsia="Calibri"/>
          <w:sz w:val="22"/>
          <w:szCs w:val="22"/>
          <w:lang w:eastAsia="en-US"/>
        </w:rPr>
      </w:pPr>
    </w:p>
    <w:p w14:paraId="2C94130E"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47ABBB5B" w14:textId="77777777" w:rsidR="003B31DC" w:rsidRDefault="003B31DC">
      <w:pPr>
        <w:rPr>
          <w:rFonts w:eastAsia="Calibri"/>
          <w:sz w:val="22"/>
          <w:szCs w:val="22"/>
          <w:lang w:eastAsia="en-US"/>
        </w:rPr>
      </w:pPr>
    </w:p>
    <w:p w14:paraId="7440DD90" w14:textId="77777777" w:rsidR="003B31DC" w:rsidRDefault="003B31DC">
      <w:pPr>
        <w:rPr>
          <w:rFonts w:eastAsia="Calibri"/>
          <w:sz w:val="22"/>
          <w:szCs w:val="22"/>
          <w:lang w:eastAsia="en-US"/>
        </w:rPr>
      </w:pPr>
    </w:p>
    <w:p w14:paraId="7780D27F" w14:textId="77777777" w:rsidR="003B31DC" w:rsidRDefault="00913CBE" w:rsidP="00FA2F7A">
      <w:pPr>
        <w:keepNext/>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lastRenderedPageBreak/>
        <w:t>8.</w:t>
      </w:r>
      <w:r>
        <w:rPr>
          <w:rFonts w:eastAsia="Calibri"/>
          <w:b/>
          <w:sz w:val="22"/>
          <w:szCs w:val="22"/>
          <w:lang w:eastAsia="en-US"/>
        </w:rPr>
        <w:tab/>
      </w:r>
      <w:r>
        <w:rPr>
          <w:rFonts w:eastAsia="Calibri"/>
          <w:b/>
          <w:noProof/>
          <w:sz w:val="22"/>
          <w:szCs w:val="22"/>
          <w:lang w:eastAsia="en-US"/>
        </w:rPr>
        <w:t>TINKAMUMO LAIKAS</w:t>
      </w:r>
    </w:p>
    <w:p w14:paraId="241855A3" w14:textId="77777777" w:rsidR="003B31DC" w:rsidRDefault="003B31DC" w:rsidP="00FA2F7A">
      <w:pPr>
        <w:keepNext/>
        <w:rPr>
          <w:rFonts w:eastAsia="Calibri"/>
          <w:sz w:val="22"/>
          <w:szCs w:val="22"/>
          <w:lang w:eastAsia="en-US"/>
        </w:rPr>
      </w:pPr>
    </w:p>
    <w:p w14:paraId="549A1FA9" w14:textId="77777777" w:rsidR="003B31DC" w:rsidRDefault="00913CBE" w:rsidP="00FA2F7A">
      <w:pPr>
        <w:keepNext/>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37BD813E" w14:textId="77777777" w:rsidR="003B31DC" w:rsidRDefault="003B31DC">
      <w:pPr>
        <w:rPr>
          <w:rFonts w:eastAsia="Calibri"/>
          <w:sz w:val="22"/>
          <w:szCs w:val="22"/>
          <w:lang w:eastAsia="en-US"/>
        </w:rPr>
      </w:pPr>
    </w:p>
    <w:p w14:paraId="7C14021C" w14:textId="77777777" w:rsidR="003B31DC" w:rsidRDefault="003B31DC">
      <w:pPr>
        <w:rPr>
          <w:rFonts w:eastAsia="Calibri"/>
          <w:sz w:val="22"/>
          <w:szCs w:val="22"/>
          <w:lang w:eastAsia="en-US"/>
        </w:rPr>
      </w:pPr>
    </w:p>
    <w:p w14:paraId="26A1DD2A"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2AAE6ACD" w14:textId="77777777" w:rsidR="003B31DC" w:rsidRDefault="003B31DC">
      <w:pPr>
        <w:rPr>
          <w:rFonts w:eastAsia="Calibri"/>
          <w:sz w:val="22"/>
          <w:szCs w:val="22"/>
          <w:lang w:eastAsia="en-US"/>
        </w:rPr>
      </w:pPr>
    </w:p>
    <w:p w14:paraId="00440C73" w14:textId="77777777" w:rsidR="003B31DC" w:rsidRDefault="003B31DC">
      <w:pPr>
        <w:rPr>
          <w:rFonts w:eastAsia="Calibri"/>
          <w:sz w:val="22"/>
          <w:szCs w:val="22"/>
          <w:lang w:eastAsia="en-US"/>
        </w:rPr>
      </w:pPr>
    </w:p>
    <w:p w14:paraId="4D9E4050"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4B16212B" w14:textId="77777777" w:rsidR="003B31DC" w:rsidRDefault="003B31DC">
      <w:pPr>
        <w:rPr>
          <w:rFonts w:eastAsia="Calibri"/>
          <w:sz w:val="22"/>
          <w:szCs w:val="22"/>
          <w:lang w:eastAsia="en-US"/>
        </w:rPr>
      </w:pPr>
    </w:p>
    <w:p w14:paraId="2B034A43" w14:textId="77777777" w:rsidR="003B31DC" w:rsidRDefault="003B31DC">
      <w:pPr>
        <w:rPr>
          <w:rFonts w:eastAsia="Calibri"/>
          <w:sz w:val="22"/>
          <w:szCs w:val="22"/>
          <w:lang w:eastAsia="en-US"/>
        </w:rPr>
      </w:pPr>
    </w:p>
    <w:p w14:paraId="3844A570"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3C8B7CE6" w14:textId="77777777" w:rsidR="003B31DC" w:rsidRDefault="003B31DC">
      <w:pPr>
        <w:rPr>
          <w:rFonts w:eastAsia="Calibri"/>
          <w:sz w:val="22"/>
          <w:szCs w:val="22"/>
          <w:lang w:eastAsia="en-US"/>
        </w:rPr>
      </w:pPr>
    </w:p>
    <w:p w14:paraId="4E435AC5" w14:textId="77777777" w:rsidR="003B31DC" w:rsidRDefault="00913CB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08FE21E5" w14:textId="77777777" w:rsidR="003B31DC" w:rsidRDefault="00913CB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1866F801" w14:textId="77777777" w:rsidR="003B31DC" w:rsidRDefault="00913CBE">
      <w:pPr>
        <w:widowControl w:val="0"/>
        <w:rPr>
          <w:b/>
          <w:sz w:val="22"/>
          <w:szCs w:val="22"/>
          <w:lang w:eastAsia="sl-SI"/>
        </w:rPr>
      </w:pPr>
      <w:r>
        <w:rPr>
          <w:sz w:val="22"/>
          <w:szCs w:val="22"/>
          <w:lang w:eastAsia="sl-SI"/>
        </w:rPr>
        <w:t>8501 Novo mesto</w:t>
      </w:r>
    </w:p>
    <w:p w14:paraId="4144FF7A" w14:textId="77777777" w:rsidR="003B31DC" w:rsidRDefault="00913CBE">
      <w:pPr>
        <w:widowControl w:val="0"/>
        <w:rPr>
          <w:b/>
          <w:sz w:val="22"/>
          <w:szCs w:val="22"/>
          <w:lang w:eastAsia="sl-SI"/>
        </w:rPr>
      </w:pPr>
      <w:r>
        <w:rPr>
          <w:sz w:val="22"/>
          <w:szCs w:val="22"/>
          <w:lang w:eastAsia="sl-SI"/>
        </w:rPr>
        <w:t>Slovėnija</w:t>
      </w:r>
    </w:p>
    <w:p w14:paraId="0F09BF3E" w14:textId="77777777" w:rsidR="003B31DC" w:rsidRDefault="003B31DC">
      <w:pPr>
        <w:rPr>
          <w:rFonts w:eastAsia="Calibri"/>
          <w:sz w:val="22"/>
          <w:szCs w:val="22"/>
          <w:lang w:eastAsia="en-US"/>
        </w:rPr>
      </w:pPr>
    </w:p>
    <w:p w14:paraId="03FA71C9" w14:textId="77777777" w:rsidR="003B31DC" w:rsidRDefault="003B31DC">
      <w:pPr>
        <w:rPr>
          <w:rFonts w:eastAsia="Calibri"/>
          <w:sz w:val="22"/>
          <w:szCs w:val="22"/>
          <w:lang w:eastAsia="en-US"/>
        </w:rPr>
      </w:pPr>
    </w:p>
    <w:p w14:paraId="39EBF1B4"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2BA45D62" w14:textId="77777777" w:rsidR="003B31DC" w:rsidRDefault="003B31DC">
      <w:pPr>
        <w:rPr>
          <w:rFonts w:eastAsia="Calibri"/>
          <w:sz w:val="22"/>
          <w:szCs w:val="22"/>
          <w:lang w:eastAsia="en-US"/>
        </w:rPr>
      </w:pPr>
    </w:p>
    <w:p w14:paraId="67463DF0"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&lt;5 mg/850 mg&gt;</w:t>
      </w:r>
    </w:p>
    <w:p w14:paraId="0CC305CB"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LT/1/26/6014/011 – N180 (3x60)</w:t>
      </w:r>
    </w:p>
    <w:p w14:paraId="30C1FBE9"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LT/1/26/6014/012 – N180 (2x90)</w:t>
      </w:r>
    </w:p>
    <w:p w14:paraId="1CE9F835" w14:textId="77777777" w:rsidR="003C78E9" w:rsidRPr="003C78E9" w:rsidRDefault="003C78E9" w:rsidP="003C78E9">
      <w:pPr>
        <w:autoSpaceDE w:val="0"/>
        <w:autoSpaceDN w:val="0"/>
        <w:adjustRightInd w:val="0"/>
        <w:rPr>
          <w:rFonts w:eastAsia="Calibri"/>
          <w:iCs/>
          <w:sz w:val="22"/>
          <w:szCs w:val="22"/>
          <w:highlight w:val="lightGray"/>
          <w:lang w:eastAsia="en-US"/>
        </w:rPr>
      </w:pPr>
    </w:p>
    <w:p w14:paraId="56E3C592"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&lt;5 mg/1000 mg&gt;</w:t>
      </w:r>
    </w:p>
    <w:p w14:paraId="7B1F5457"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LT/1/26/6015/011 – N180 (3x60)</w:t>
      </w:r>
    </w:p>
    <w:p w14:paraId="7BF399CB"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LT/1/26/6015/012 – N180 (2x90)</w:t>
      </w:r>
    </w:p>
    <w:p w14:paraId="4B5FFB41" w14:textId="77777777" w:rsidR="003C78E9" w:rsidRPr="003C78E9" w:rsidRDefault="003C78E9" w:rsidP="003C78E9">
      <w:pPr>
        <w:autoSpaceDE w:val="0"/>
        <w:autoSpaceDN w:val="0"/>
        <w:adjustRightInd w:val="0"/>
        <w:rPr>
          <w:rFonts w:eastAsia="Calibri"/>
          <w:iCs/>
          <w:sz w:val="22"/>
          <w:szCs w:val="22"/>
          <w:highlight w:val="lightGray"/>
          <w:lang w:eastAsia="en-US"/>
        </w:rPr>
      </w:pPr>
    </w:p>
    <w:p w14:paraId="3C36C5DA"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&lt;12,5 mg/850 mg&gt;</w:t>
      </w:r>
    </w:p>
    <w:p w14:paraId="1C5122D9"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LT/1/26/6016/011 – N180 (3x60)</w:t>
      </w:r>
    </w:p>
    <w:p w14:paraId="6FB2B2D3"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LT/1/26/6016/012 – N180 (2x90)</w:t>
      </w:r>
    </w:p>
    <w:p w14:paraId="35833A3F" w14:textId="77777777" w:rsidR="003C78E9" w:rsidRPr="003C78E9" w:rsidRDefault="003C78E9" w:rsidP="003C78E9">
      <w:pPr>
        <w:autoSpaceDE w:val="0"/>
        <w:autoSpaceDN w:val="0"/>
        <w:adjustRightInd w:val="0"/>
        <w:rPr>
          <w:rFonts w:eastAsia="Calibri"/>
          <w:iCs/>
          <w:sz w:val="22"/>
          <w:szCs w:val="22"/>
          <w:highlight w:val="lightGray"/>
          <w:lang w:eastAsia="en-US"/>
        </w:rPr>
      </w:pPr>
    </w:p>
    <w:p w14:paraId="065E4474"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&lt;12,5 mg/1000 mg&gt;</w:t>
      </w:r>
    </w:p>
    <w:p w14:paraId="6974C724" w14:textId="77777777" w:rsidR="003C78E9" w:rsidRPr="003C78E9" w:rsidRDefault="003C78E9" w:rsidP="003C78E9">
      <w:pPr>
        <w:autoSpaceDE w:val="0"/>
        <w:autoSpaceDN w:val="0"/>
        <w:adjustRightInd w:val="0"/>
        <w:rPr>
          <w:rFonts w:eastAsia="Calibri"/>
          <w:iCs/>
          <w:sz w:val="22"/>
          <w:szCs w:val="22"/>
          <w:highlight w:val="lightGray"/>
          <w:lang w:eastAsia="en-US"/>
        </w:rPr>
      </w:pPr>
      <w:r w:rsidRPr="003C78E9">
        <w:rPr>
          <w:rFonts w:eastAsia="Calibri"/>
          <w:iCs/>
          <w:sz w:val="22"/>
          <w:szCs w:val="22"/>
          <w:highlight w:val="lightGray"/>
          <w:lang w:eastAsia="en-US"/>
        </w:rPr>
        <w:t>LT/1/26/6017/011 – N180 (3x60)</w:t>
      </w:r>
    </w:p>
    <w:p w14:paraId="5B9F4E05" w14:textId="4008A857" w:rsidR="003B31DC" w:rsidRDefault="003C78E9" w:rsidP="003C78E9">
      <w:pPr>
        <w:autoSpaceDE w:val="0"/>
        <w:autoSpaceDN w:val="0"/>
        <w:adjustRightInd w:val="0"/>
        <w:rPr>
          <w:rFonts w:eastAsia="Calibri"/>
          <w:iCs/>
          <w:sz w:val="22"/>
          <w:szCs w:val="22"/>
          <w:lang w:eastAsia="en-US"/>
        </w:rPr>
      </w:pPr>
      <w:r w:rsidRPr="003C78E9">
        <w:rPr>
          <w:rFonts w:eastAsia="Calibri"/>
          <w:iCs/>
          <w:sz w:val="22"/>
          <w:szCs w:val="22"/>
          <w:highlight w:val="lightGray"/>
          <w:lang w:eastAsia="en-US"/>
        </w:rPr>
        <w:t>LT/1/26/6017/012 – N180 (2x90)</w:t>
      </w:r>
    </w:p>
    <w:p w14:paraId="4B5C44FF" w14:textId="77777777" w:rsidR="003C78E9" w:rsidRDefault="003C78E9" w:rsidP="003C78E9">
      <w:pPr>
        <w:autoSpaceDE w:val="0"/>
        <w:autoSpaceDN w:val="0"/>
        <w:adjustRightInd w:val="0"/>
        <w:rPr>
          <w:rFonts w:eastAsia="Calibri"/>
          <w:iCs/>
          <w:sz w:val="22"/>
          <w:szCs w:val="22"/>
          <w:lang w:eastAsia="en-US"/>
        </w:rPr>
      </w:pPr>
    </w:p>
    <w:p w14:paraId="0980F25B" w14:textId="77777777" w:rsidR="003B31DC" w:rsidRDefault="003B31DC">
      <w:pPr>
        <w:rPr>
          <w:rFonts w:eastAsia="Calibri"/>
          <w:sz w:val="22"/>
          <w:szCs w:val="22"/>
          <w:lang w:eastAsia="en-US"/>
        </w:rPr>
      </w:pPr>
    </w:p>
    <w:p w14:paraId="32DE4D0C"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153EA3D9" w14:textId="77777777" w:rsidR="003B31DC" w:rsidRDefault="003B31DC">
      <w:pPr>
        <w:rPr>
          <w:rFonts w:eastAsia="Calibri"/>
          <w:sz w:val="22"/>
          <w:szCs w:val="22"/>
          <w:lang w:eastAsia="en-US"/>
        </w:rPr>
      </w:pPr>
    </w:p>
    <w:p w14:paraId="1F20712F" w14:textId="77777777" w:rsidR="003B31DC" w:rsidRDefault="00913CBE">
      <w:pPr>
        <w:rPr>
          <w:rFonts w:eastAsia="Calibri"/>
          <w:sz w:val="22"/>
          <w:szCs w:val="22"/>
          <w:lang w:eastAsia="en-US"/>
        </w:rPr>
      </w:pPr>
      <w:r>
        <w:rPr>
          <w:rFonts w:eastAsia="Calibri"/>
          <w:sz w:val="22"/>
          <w:szCs w:val="22"/>
          <w:lang w:eastAsia="en-US"/>
        </w:rPr>
        <w:t>Lot</w:t>
      </w:r>
    </w:p>
    <w:p w14:paraId="3AA2D823" w14:textId="77777777" w:rsidR="003B31DC" w:rsidRDefault="003B31DC">
      <w:pPr>
        <w:rPr>
          <w:rFonts w:eastAsia="Calibri"/>
          <w:sz w:val="22"/>
          <w:szCs w:val="22"/>
          <w:lang w:eastAsia="en-US"/>
        </w:rPr>
      </w:pPr>
    </w:p>
    <w:p w14:paraId="144A9C2C" w14:textId="77777777" w:rsidR="003B31DC" w:rsidRDefault="003B31DC">
      <w:pPr>
        <w:rPr>
          <w:rFonts w:eastAsia="Calibri"/>
          <w:sz w:val="22"/>
          <w:szCs w:val="22"/>
          <w:lang w:eastAsia="en-US"/>
        </w:rPr>
      </w:pPr>
    </w:p>
    <w:p w14:paraId="0D55F537"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35ACFF6B" w14:textId="77777777" w:rsidR="003B31DC" w:rsidRDefault="003B31DC">
      <w:pPr>
        <w:rPr>
          <w:rFonts w:eastAsia="Calibri"/>
          <w:sz w:val="22"/>
          <w:szCs w:val="22"/>
          <w:lang w:eastAsia="en-US"/>
        </w:rPr>
      </w:pPr>
    </w:p>
    <w:p w14:paraId="48CF8DCD" w14:textId="77777777" w:rsidR="003B31DC" w:rsidRDefault="00913CBE">
      <w:pPr>
        <w:rPr>
          <w:rFonts w:eastAsia="Calibri"/>
          <w:sz w:val="22"/>
          <w:szCs w:val="22"/>
          <w:lang w:eastAsia="en-US"/>
        </w:rPr>
      </w:pPr>
      <w:r>
        <w:rPr>
          <w:rFonts w:eastAsia="Calibri"/>
          <w:sz w:val="22"/>
          <w:szCs w:val="22"/>
          <w:lang w:eastAsia="en-US"/>
        </w:rPr>
        <w:t>Receptinis vaistas</w:t>
      </w:r>
    </w:p>
    <w:p w14:paraId="5D7FDAD2" w14:textId="77777777" w:rsidR="003B31DC" w:rsidRDefault="003B31DC">
      <w:pPr>
        <w:rPr>
          <w:rFonts w:eastAsia="Calibri"/>
          <w:sz w:val="22"/>
          <w:szCs w:val="22"/>
          <w:lang w:eastAsia="en-US"/>
        </w:rPr>
      </w:pPr>
    </w:p>
    <w:p w14:paraId="0CFA92F8" w14:textId="77777777" w:rsidR="003B31DC" w:rsidRDefault="003B31DC">
      <w:pPr>
        <w:rPr>
          <w:rFonts w:eastAsia="Calibri"/>
          <w:sz w:val="22"/>
          <w:szCs w:val="22"/>
          <w:lang w:eastAsia="en-US"/>
        </w:rPr>
      </w:pPr>
    </w:p>
    <w:p w14:paraId="03E4DE0F"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7E278E22" w14:textId="77777777" w:rsidR="003B31DC" w:rsidRDefault="003B31DC">
      <w:pPr>
        <w:rPr>
          <w:rFonts w:eastAsia="Calibri"/>
          <w:sz w:val="22"/>
          <w:szCs w:val="22"/>
          <w:lang w:eastAsia="en-US"/>
        </w:rPr>
      </w:pPr>
    </w:p>
    <w:p w14:paraId="4E84A064" w14:textId="77777777" w:rsidR="003B31DC" w:rsidRDefault="003B31DC">
      <w:pPr>
        <w:rPr>
          <w:rFonts w:eastAsia="Calibri"/>
          <w:sz w:val="22"/>
          <w:szCs w:val="22"/>
          <w:lang w:eastAsia="en-US"/>
        </w:rPr>
      </w:pPr>
    </w:p>
    <w:p w14:paraId="510A07D9"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08DC02C7" w14:textId="77777777" w:rsidR="003B31DC" w:rsidRDefault="003B31DC">
      <w:pPr>
        <w:rPr>
          <w:rFonts w:eastAsia="Calibri"/>
          <w:sz w:val="22"/>
          <w:szCs w:val="22"/>
          <w:lang w:eastAsia="en-US"/>
        </w:rPr>
      </w:pPr>
    </w:p>
    <w:p w14:paraId="7B6331D4" w14:textId="77777777" w:rsidR="003B31DC" w:rsidRDefault="00913CBE">
      <w:pPr>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5 mg/850 mg</w:t>
      </w:r>
    </w:p>
    <w:p w14:paraId="277B924B"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lastRenderedPageBreak/>
        <w:t>Mempoglyn</w:t>
      </w:r>
      <w:proofErr w:type="spellEnd"/>
      <w:r>
        <w:rPr>
          <w:rFonts w:eastAsiaTheme="minorHAnsi"/>
          <w:color w:val="000000"/>
          <w:sz w:val="22"/>
          <w:szCs w:val="22"/>
          <w:highlight w:val="lightGray"/>
          <w:lang w:eastAsia="en-US"/>
        </w:rPr>
        <w:t xml:space="preserve"> 5 mg/1 000 mg</w:t>
      </w:r>
    </w:p>
    <w:p w14:paraId="4AA81FE3"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mg/850 mg</w:t>
      </w:r>
    </w:p>
    <w:p w14:paraId="2EDC1CBC" w14:textId="77777777" w:rsidR="003B31DC" w:rsidRDefault="00913CBE">
      <w:pPr>
        <w:rPr>
          <w:sz w:val="22"/>
          <w:szCs w:val="22"/>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mg/1 000 mg</w:t>
      </w:r>
    </w:p>
    <w:p w14:paraId="4D4726E5" w14:textId="77777777" w:rsidR="003B31DC" w:rsidRDefault="003B31DC">
      <w:pPr>
        <w:rPr>
          <w:rFonts w:eastAsia="Calibri"/>
          <w:iCs/>
          <w:sz w:val="22"/>
          <w:szCs w:val="22"/>
          <w:lang w:eastAsia="en-US"/>
        </w:rPr>
      </w:pPr>
    </w:p>
    <w:p w14:paraId="3DAC0DC9" w14:textId="77777777" w:rsidR="003B31DC" w:rsidRDefault="003B31DC">
      <w:pPr>
        <w:rPr>
          <w:rFonts w:eastAsia="Calibri"/>
          <w:iCs/>
          <w:sz w:val="22"/>
          <w:szCs w:val="22"/>
          <w:lang w:eastAsia="en-US"/>
        </w:rPr>
      </w:pPr>
    </w:p>
    <w:p w14:paraId="0C99B5C2"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7FDE8FDD" w14:textId="77777777" w:rsidR="003B31DC" w:rsidRDefault="003B31DC">
      <w:pPr>
        <w:rPr>
          <w:rFonts w:eastAsia="Calibri"/>
          <w:sz w:val="22"/>
          <w:szCs w:val="22"/>
          <w:lang w:eastAsia="en-US"/>
        </w:rPr>
      </w:pPr>
    </w:p>
    <w:p w14:paraId="3BF5DF84" w14:textId="77777777" w:rsidR="003B31DC" w:rsidRDefault="003B31DC">
      <w:pPr>
        <w:rPr>
          <w:rFonts w:eastAsia="Calibri"/>
          <w:iCs/>
          <w:sz w:val="22"/>
          <w:szCs w:val="22"/>
          <w:lang w:eastAsia="en-US"/>
        </w:rPr>
      </w:pPr>
    </w:p>
    <w:p w14:paraId="628CA65D"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48D72EB4" w14:textId="77777777" w:rsidR="003B31DC" w:rsidRDefault="003B31DC">
      <w:pPr>
        <w:rPr>
          <w:rFonts w:eastAsia="Calibri"/>
          <w:sz w:val="22"/>
          <w:szCs w:val="22"/>
          <w:lang w:eastAsia="en-US"/>
        </w:rPr>
      </w:pPr>
    </w:p>
    <w:p w14:paraId="02277EF8" w14:textId="77777777" w:rsidR="003B31DC" w:rsidRDefault="003B31DC">
      <w:pPr>
        <w:rPr>
          <w:rFonts w:eastAsia="Calibri"/>
          <w:sz w:val="22"/>
          <w:szCs w:val="22"/>
          <w:lang w:eastAsia="en-US"/>
        </w:rPr>
      </w:pPr>
    </w:p>
    <w:p w14:paraId="403E9FD3" w14:textId="77777777" w:rsidR="003B31DC" w:rsidRDefault="00913CBE">
      <w:pPr>
        <w:rPr>
          <w:rFonts w:eastAsia="Calibri"/>
          <w:sz w:val="22"/>
          <w:szCs w:val="22"/>
          <w:lang w:eastAsia="en-US"/>
        </w:rPr>
      </w:pPr>
      <w:r>
        <w:rPr>
          <w:rFonts w:eastAsia="Calibri"/>
          <w:sz w:val="22"/>
          <w:szCs w:val="22"/>
          <w:lang w:eastAsia="en-US"/>
        </w:rPr>
        <w:br w:type="page"/>
      </w:r>
    </w:p>
    <w:p w14:paraId="3D86302E" w14:textId="77777777" w:rsidR="003B31DC" w:rsidRDefault="003B31DC">
      <w:pPr>
        <w:rPr>
          <w:rFonts w:eastAsia="Calibri"/>
          <w:sz w:val="22"/>
          <w:szCs w:val="22"/>
          <w:lang w:eastAsia="en-US"/>
        </w:rPr>
      </w:pPr>
    </w:p>
    <w:p w14:paraId="5FF32CFA" w14:textId="77777777" w:rsidR="003B31DC" w:rsidRDefault="003B31DC">
      <w:pPr>
        <w:rPr>
          <w:rFonts w:eastAsia="Calibri"/>
          <w:sz w:val="22"/>
          <w:szCs w:val="22"/>
          <w:lang w:eastAsia="en-US"/>
        </w:rPr>
      </w:pPr>
    </w:p>
    <w:p w14:paraId="0F114B9D" w14:textId="77777777" w:rsidR="003B31DC" w:rsidRDefault="00913CB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t>MINIMALI INFORMACIJA ANT LIZDINIŲ PLOKŠTELIŲ ARBA DVISLUOKSNIŲ JUOSTELIŲ</w:t>
      </w:r>
    </w:p>
    <w:p w14:paraId="258E82E1" w14:textId="77777777" w:rsidR="003B31DC" w:rsidRDefault="003B31DC">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673FB818" w14:textId="066D7A9A" w:rsidR="003B31DC" w:rsidRDefault="00913CB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w:t>
      </w:r>
      <w:r>
        <w:rPr>
          <w:b/>
          <w:noProof/>
          <w:sz w:val="22"/>
          <w:szCs w:val="22"/>
          <w:lang w:val="da-DK" w:eastAsia="en-US"/>
        </w:rPr>
        <w:t>–</w:t>
      </w:r>
      <w:r>
        <w:rPr>
          <w:b/>
          <w:noProof/>
          <w:sz w:val="22"/>
          <w:lang w:eastAsia="en-US"/>
        </w:rPr>
        <w:t xml:space="preserve">visas </w:t>
      </w:r>
      <w:r w:rsidRPr="00FA2F7A">
        <w:rPr>
          <w:b/>
          <w:i/>
          <w:iCs/>
          <w:noProof/>
          <w:sz w:val="22"/>
          <w:highlight w:val="darkGray"/>
          <w:lang w:eastAsia="en-US"/>
        </w:rPr>
        <w:t xml:space="preserve">/ </w:t>
      </w:r>
      <w:r w:rsidR="00E76A9C" w:rsidRPr="00FA2F7A">
        <w:rPr>
          <w:b/>
          <w:i/>
          <w:iCs/>
          <w:noProof/>
          <w:sz w:val="22"/>
          <w:highlight w:val="darkGray"/>
          <w:lang w:eastAsia="en-US"/>
        </w:rPr>
        <w:t>sutrumpintas</w:t>
      </w:r>
      <w:r w:rsidR="00E76A9C">
        <w:rPr>
          <w:b/>
          <w:noProof/>
          <w:sz w:val="22"/>
          <w:lang w:eastAsia="en-US"/>
        </w:rPr>
        <w:t xml:space="preserve"> ES harmonizuotas </w:t>
      </w:r>
      <w:r>
        <w:rPr>
          <w:b/>
          <w:noProof/>
          <w:sz w:val="22"/>
          <w:lang w:eastAsia="en-US"/>
        </w:rPr>
        <w:t>ženklinimo tekstas</w:t>
      </w:r>
    </w:p>
    <w:p w14:paraId="12866011" w14:textId="77777777" w:rsidR="003B31DC" w:rsidRDefault="003B31DC">
      <w:pPr>
        <w:rPr>
          <w:rFonts w:eastAsia="Calibri"/>
          <w:sz w:val="22"/>
          <w:szCs w:val="22"/>
          <w:lang w:eastAsia="en-US"/>
        </w:rPr>
      </w:pPr>
    </w:p>
    <w:p w14:paraId="48201C81" w14:textId="77777777" w:rsidR="003B31DC" w:rsidRDefault="003B31DC">
      <w:pPr>
        <w:tabs>
          <w:tab w:val="left" w:pos="567"/>
        </w:tabs>
        <w:rPr>
          <w:snapToGrid w:val="0"/>
          <w:sz w:val="22"/>
          <w:szCs w:val="22"/>
          <w:lang w:eastAsia="en-US"/>
        </w:rPr>
      </w:pPr>
    </w:p>
    <w:p w14:paraId="12F260C6" w14:textId="77777777" w:rsidR="003B31DC" w:rsidRDefault="00913CB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77775296" w14:textId="77777777" w:rsidR="003B31DC" w:rsidRDefault="003B31DC">
      <w:pPr>
        <w:rPr>
          <w:rFonts w:eastAsia="Calibri"/>
          <w:sz w:val="22"/>
          <w:szCs w:val="22"/>
          <w:lang w:eastAsia="en-US"/>
        </w:rPr>
      </w:pPr>
    </w:p>
    <w:p w14:paraId="37A82959"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5 mg/850 mg </w:t>
      </w:r>
      <w:r w:rsidRPr="00FA2F7A">
        <w:rPr>
          <w:rFonts w:eastAsiaTheme="minorHAnsi"/>
          <w:i/>
          <w:iCs/>
          <w:color w:val="000000"/>
          <w:sz w:val="22"/>
          <w:szCs w:val="22"/>
          <w:highlight w:val="darkGray"/>
          <w:lang w:eastAsia="en-US"/>
        </w:rPr>
        <w:t>plėvele dengtos</w:t>
      </w:r>
      <w:r>
        <w:rPr>
          <w:rFonts w:eastAsiaTheme="minorHAnsi"/>
          <w:color w:val="000000"/>
          <w:sz w:val="22"/>
          <w:szCs w:val="22"/>
          <w:lang w:eastAsia="en-US"/>
        </w:rPr>
        <w:t xml:space="preserve"> tabletės</w:t>
      </w:r>
    </w:p>
    <w:p w14:paraId="494701B1"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5 mg/1 000 mg </w:t>
      </w:r>
      <w:r w:rsidRPr="00FA2F7A">
        <w:rPr>
          <w:rFonts w:eastAsiaTheme="minorHAnsi"/>
          <w:i/>
          <w:iCs/>
          <w:color w:val="000000"/>
          <w:sz w:val="22"/>
          <w:szCs w:val="22"/>
          <w:highlight w:val="darkGray"/>
          <w:lang w:eastAsia="en-US"/>
        </w:rPr>
        <w:t>plėvele dengtos</w:t>
      </w:r>
      <w:r>
        <w:rPr>
          <w:rFonts w:eastAsiaTheme="minorHAnsi"/>
          <w:color w:val="000000"/>
          <w:sz w:val="22"/>
          <w:szCs w:val="22"/>
          <w:highlight w:val="lightGray"/>
          <w:lang w:eastAsia="en-US"/>
        </w:rPr>
        <w:t xml:space="preserve"> tabletės</w:t>
      </w:r>
    </w:p>
    <w:p w14:paraId="4418AC48" w14:textId="77777777" w:rsidR="003B31DC" w:rsidRDefault="00913CBE">
      <w:pPr>
        <w:rPr>
          <w:rFonts w:eastAsiaTheme="minorHAnsi"/>
          <w:color w:val="000000"/>
          <w:sz w:val="22"/>
          <w:szCs w:val="22"/>
          <w:highlight w:val="lightGray"/>
          <w:lang w:eastAsia="en-US"/>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mg/850 mg </w:t>
      </w:r>
      <w:r w:rsidRPr="00FA2F7A">
        <w:rPr>
          <w:rFonts w:eastAsiaTheme="minorHAnsi"/>
          <w:i/>
          <w:iCs/>
          <w:color w:val="000000"/>
          <w:sz w:val="22"/>
          <w:szCs w:val="22"/>
          <w:highlight w:val="darkGray"/>
          <w:lang w:eastAsia="en-US"/>
        </w:rPr>
        <w:t>plėvele dengtos</w:t>
      </w:r>
      <w:r>
        <w:rPr>
          <w:rFonts w:eastAsiaTheme="minorHAnsi"/>
          <w:color w:val="000000"/>
          <w:sz w:val="22"/>
          <w:szCs w:val="22"/>
          <w:highlight w:val="darkGray"/>
          <w:lang w:eastAsia="en-US"/>
        </w:rPr>
        <w:t xml:space="preserve"> </w:t>
      </w:r>
      <w:r>
        <w:rPr>
          <w:rFonts w:eastAsiaTheme="minorHAnsi"/>
          <w:color w:val="000000"/>
          <w:sz w:val="22"/>
          <w:szCs w:val="22"/>
          <w:highlight w:val="lightGray"/>
          <w:lang w:eastAsia="en-US"/>
        </w:rPr>
        <w:t>tabletės</w:t>
      </w:r>
    </w:p>
    <w:p w14:paraId="01961CDA" w14:textId="77777777" w:rsidR="003B31DC" w:rsidRDefault="00913CBE">
      <w:pPr>
        <w:rPr>
          <w:sz w:val="22"/>
          <w:szCs w:val="22"/>
        </w:rPr>
      </w:pPr>
      <w:proofErr w:type="spellStart"/>
      <w:r>
        <w:rPr>
          <w:rFonts w:eastAsiaTheme="minorHAnsi"/>
          <w:color w:val="000000"/>
          <w:sz w:val="22"/>
          <w:szCs w:val="22"/>
          <w:highlight w:val="lightGray"/>
          <w:lang w:eastAsia="en-US"/>
        </w:rPr>
        <w:t>Mempoglyn</w:t>
      </w:r>
      <w:proofErr w:type="spellEnd"/>
      <w:r>
        <w:rPr>
          <w:rFonts w:eastAsiaTheme="minorHAnsi"/>
          <w:color w:val="000000"/>
          <w:sz w:val="22"/>
          <w:szCs w:val="22"/>
          <w:highlight w:val="lightGray"/>
          <w:lang w:eastAsia="en-US"/>
        </w:rPr>
        <w:t xml:space="preserve"> 12,5 mg/1 000 mg </w:t>
      </w:r>
      <w:r w:rsidRPr="00FA2F7A">
        <w:rPr>
          <w:rFonts w:eastAsiaTheme="minorHAnsi"/>
          <w:i/>
          <w:iCs/>
          <w:color w:val="000000"/>
          <w:sz w:val="22"/>
          <w:szCs w:val="22"/>
          <w:highlight w:val="darkGray"/>
          <w:lang w:eastAsia="en-US"/>
        </w:rPr>
        <w:t>plėvele dengtos</w:t>
      </w:r>
      <w:r>
        <w:rPr>
          <w:rFonts w:eastAsiaTheme="minorHAnsi"/>
          <w:color w:val="000000"/>
          <w:sz w:val="22"/>
          <w:szCs w:val="22"/>
          <w:highlight w:val="lightGray"/>
          <w:lang w:eastAsia="en-US"/>
        </w:rPr>
        <w:t xml:space="preserve"> tabletės</w:t>
      </w:r>
    </w:p>
    <w:p w14:paraId="76DD90BD" w14:textId="77777777" w:rsidR="003B31DC" w:rsidRDefault="003B31DC">
      <w:pPr>
        <w:rPr>
          <w:i/>
          <w:iCs/>
          <w:sz w:val="22"/>
          <w:szCs w:val="22"/>
        </w:rPr>
      </w:pPr>
    </w:p>
    <w:p w14:paraId="2D068FAF" w14:textId="77777777" w:rsidR="003B31DC" w:rsidRDefault="00913CBE">
      <w:pPr>
        <w:rPr>
          <w:sz w:val="22"/>
          <w:szCs w:val="22"/>
        </w:rPr>
      </w:pPr>
      <w:proofErr w:type="spellStart"/>
      <w:r>
        <w:rPr>
          <w:sz w:val="22"/>
          <w:szCs w:val="22"/>
        </w:rPr>
        <w:t>empagliflozinas</w:t>
      </w:r>
      <w:proofErr w:type="spellEnd"/>
      <w:r>
        <w:rPr>
          <w:sz w:val="22"/>
          <w:szCs w:val="22"/>
        </w:rPr>
        <w:t>/</w:t>
      </w:r>
      <w:proofErr w:type="spellStart"/>
      <w:r>
        <w:rPr>
          <w:sz w:val="22"/>
          <w:szCs w:val="22"/>
        </w:rPr>
        <w:t>metformino</w:t>
      </w:r>
      <w:proofErr w:type="spellEnd"/>
      <w:r>
        <w:rPr>
          <w:sz w:val="22"/>
          <w:szCs w:val="22"/>
        </w:rPr>
        <w:t xml:space="preserve"> hidrochloridas</w:t>
      </w:r>
    </w:p>
    <w:p w14:paraId="6FC2F6AD" w14:textId="77777777" w:rsidR="003B31DC" w:rsidRDefault="003B31DC">
      <w:pPr>
        <w:rPr>
          <w:rFonts w:eastAsia="Calibri"/>
          <w:sz w:val="22"/>
          <w:szCs w:val="22"/>
          <w:lang w:eastAsia="en-US"/>
        </w:rPr>
      </w:pPr>
    </w:p>
    <w:p w14:paraId="257E3D57" w14:textId="77777777" w:rsidR="003B31DC" w:rsidRDefault="003B31DC">
      <w:pPr>
        <w:rPr>
          <w:rFonts w:eastAsia="Calibri"/>
          <w:sz w:val="22"/>
          <w:szCs w:val="22"/>
          <w:lang w:eastAsia="en-US"/>
        </w:rPr>
      </w:pPr>
    </w:p>
    <w:p w14:paraId="7703FB0F" w14:textId="77777777" w:rsidR="003B31DC" w:rsidRDefault="00913CBE">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6EC36116" w14:textId="77777777" w:rsidR="003B31DC" w:rsidRDefault="003B31DC">
      <w:pPr>
        <w:rPr>
          <w:rFonts w:eastAsia="Calibri"/>
          <w:sz w:val="22"/>
          <w:szCs w:val="22"/>
          <w:lang w:eastAsia="en-US"/>
        </w:rPr>
      </w:pPr>
    </w:p>
    <w:p w14:paraId="587085E6" w14:textId="77777777" w:rsidR="003B31DC" w:rsidRDefault="00913CBE">
      <w:pPr>
        <w:widowControl w:val="0"/>
        <w:rPr>
          <w:bCs/>
          <w:sz w:val="22"/>
          <w:szCs w:val="22"/>
          <w:lang w:eastAsia="sl-SI"/>
        </w:rPr>
      </w:pPr>
      <w:r>
        <w:rPr>
          <w:bCs/>
          <w:sz w:val="22"/>
          <w:szCs w:val="22"/>
          <w:lang w:eastAsia="sl-SI"/>
        </w:rPr>
        <w:t>KRKA</w:t>
      </w:r>
    </w:p>
    <w:p w14:paraId="6FCD9A99" w14:textId="77777777" w:rsidR="003B31DC" w:rsidRDefault="003B31DC">
      <w:pPr>
        <w:rPr>
          <w:rFonts w:eastAsia="Calibri"/>
          <w:sz w:val="22"/>
          <w:szCs w:val="22"/>
          <w:lang w:eastAsia="en-US"/>
        </w:rPr>
      </w:pPr>
    </w:p>
    <w:p w14:paraId="3DB0DBD0" w14:textId="77777777" w:rsidR="003B31DC" w:rsidRDefault="003B31DC">
      <w:pPr>
        <w:rPr>
          <w:rFonts w:eastAsia="Calibri"/>
          <w:sz w:val="22"/>
          <w:szCs w:val="22"/>
          <w:lang w:eastAsia="en-US"/>
        </w:rPr>
      </w:pPr>
    </w:p>
    <w:p w14:paraId="44ED9AB2" w14:textId="77777777" w:rsidR="003B31DC" w:rsidRDefault="00913CBE">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6A547A39" w14:textId="77777777" w:rsidR="003B31DC" w:rsidRDefault="003B31DC">
      <w:pPr>
        <w:rPr>
          <w:rFonts w:eastAsia="Calibri"/>
          <w:sz w:val="22"/>
          <w:szCs w:val="22"/>
          <w:lang w:eastAsia="en-US"/>
        </w:rPr>
      </w:pPr>
    </w:p>
    <w:p w14:paraId="45E1DB90" w14:textId="77777777" w:rsidR="003B31DC" w:rsidRDefault="00913CBE">
      <w:pPr>
        <w:widowControl w:val="0"/>
        <w:rPr>
          <w:bCs/>
          <w:sz w:val="22"/>
          <w:szCs w:val="22"/>
          <w:lang w:eastAsia="sl-SI"/>
        </w:rPr>
      </w:pPr>
      <w:r>
        <w:rPr>
          <w:bCs/>
          <w:sz w:val="22"/>
          <w:szCs w:val="22"/>
          <w:lang w:eastAsia="sl-SI"/>
        </w:rPr>
        <w:t>EXP (mm/MMMM)</w:t>
      </w:r>
    </w:p>
    <w:p w14:paraId="04B0EAA6" w14:textId="77777777" w:rsidR="003B31DC" w:rsidRDefault="003B31DC">
      <w:pPr>
        <w:rPr>
          <w:rFonts w:eastAsia="Calibri"/>
          <w:sz w:val="22"/>
          <w:szCs w:val="22"/>
          <w:lang w:eastAsia="en-US"/>
        </w:rPr>
      </w:pPr>
    </w:p>
    <w:p w14:paraId="122692C9" w14:textId="77777777" w:rsidR="003B31DC" w:rsidRDefault="003B31DC">
      <w:pPr>
        <w:rPr>
          <w:rFonts w:eastAsia="Calibri"/>
          <w:sz w:val="22"/>
          <w:szCs w:val="22"/>
          <w:lang w:eastAsia="en-US"/>
        </w:rPr>
      </w:pPr>
    </w:p>
    <w:p w14:paraId="6CD9F080" w14:textId="77777777" w:rsidR="003B31DC" w:rsidRDefault="00913CBE">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7FEC4346" w14:textId="77777777" w:rsidR="003B31DC" w:rsidRDefault="003B31DC">
      <w:pPr>
        <w:rPr>
          <w:rFonts w:eastAsia="Calibri"/>
          <w:sz w:val="22"/>
          <w:szCs w:val="22"/>
          <w:lang w:eastAsia="en-US"/>
        </w:rPr>
      </w:pPr>
    </w:p>
    <w:p w14:paraId="25DDE079" w14:textId="77777777" w:rsidR="003B31DC" w:rsidRDefault="00913CBE">
      <w:pPr>
        <w:rPr>
          <w:rFonts w:eastAsia="Calibri"/>
          <w:sz w:val="22"/>
          <w:szCs w:val="22"/>
          <w:highlight w:val="lightGray"/>
          <w:lang w:eastAsia="en-US"/>
        </w:rPr>
      </w:pPr>
      <w:r>
        <w:rPr>
          <w:rFonts w:eastAsia="Calibri"/>
          <w:sz w:val="22"/>
          <w:szCs w:val="22"/>
          <w:lang w:eastAsia="en-US"/>
        </w:rPr>
        <w:t>Lot</w:t>
      </w:r>
    </w:p>
    <w:p w14:paraId="4BF9482A" w14:textId="77777777" w:rsidR="003B31DC" w:rsidRDefault="003B31DC">
      <w:pPr>
        <w:rPr>
          <w:rFonts w:eastAsia="Calibri"/>
          <w:sz w:val="22"/>
          <w:szCs w:val="22"/>
          <w:lang w:eastAsia="en-US"/>
        </w:rPr>
      </w:pPr>
    </w:p>
    <w:p w14:paraId="355254AA" w14:textId="77777777" w:rsidR="003B31DC" w:rsidRDefault="003B31DC">
      <w:pPr>
        <w:widowControl w:val="0"/>
        <w:rPr>
          <w:b/>
          <w:bCs/>
          <w:sz w:val="22"/>
          <w:szCs w:val="22"/>
          <w:lang w:eastAsia="sl-SI"/>
        </w:rPr>
      </w:pPr>
    </w:p>
    <w:p w14:paraId="3286DCB1" w14:textId="77777777" w:rsidR="003B31DC" w:rsidRDefault="00913CBE">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7ACD5175" w14:textId="77777777" w:rsidR="003B31DC" w:rsidRDefault="003B31DC">
      <w:pPr>
        <w:tabs>
          <w:tab w:val="left" w:pos="567"/>
        </w:tabs>
        <w:snapToGrid w:val="0"/>
        <w:spacing w:line="260" w:lineRule="exact"/>
        <w:rPr>
          <w:sz w:val="22"/>
          <w:szCs w:val="22"/>
          <w:lang w:eastAsia="en-US"/>
        </w:rPr>
      </w:pPr>
    </w:p>
    <w:p w14:paraId="31BAE992" w14:textId="77777777" w:rsidR="003B31DC" w:rsidRDefault="00913CBE">
      <w:pPr>
        <w:tabs>
          <w:tab w:val="left" w:pos="567"/>
        </w:tabs>
        <w:snapToGrid w:val="0"/>
        <w:spacing w:line="260" w:lineRule="exact"/>
        <w:rPr>
          <w:sz w:val="22"/>
          <w:szCs w:val="22"/>
          <w:lang w:eastAsia="en-US"/>
        </w:rPr>
      </w:pPr>
      <w:r>
        <w:rPr>
          <w:i/>
          <w:iCs/>
          <w:sz w:val="22"/>
          <w:szCs w:val="22"/>
          <w:lang w:eastAsia="en-US"/>
        </w:rPr>
        <w:t>saulės</w:t>
      </w:r>
      <w:r>
        <w:rPr>
          <w:sz w:val="22"/>
          <w:szCs w:val="22"/>
          <w:lang w:eastAsia="en-US"/>
        </w:rPr>
        <w:t xml:space="preserve"> simbolis</w:t>
      </w:r>
    </w:p>
    <w:p w14:paraId="6A9F4773" w14:textId="77777777" w:rsidR="003B31DC" w:rsidRDefault="00913CBE">
      <w:pPr>
        <w:tabs>
          <w:tab w:val="left" w:pos="567"/>
        </w:tabs>
        <w:snapToGrid w:val="0"/>
        <w:spacing w:line="260" w:lineRule="exact"/>
        <w:rPr>
          <w:sz w:val="22"/>
          <w:szCs w:val="22"/>
          <w:lang w:eastAsia="en-US"/>
        </w:rPr>
      </w:pPr>
      <w:r>
        <w:rPr>
          <w:i/>
          <w:iCs/>
          <w:sz w:val="22"/>
          <w:szCs w:val="22"/>
          <w:lang w:eastAsia="en-US"/>
        </w:rPr>
        <w:t>mėnulio</w:t>
      </w:r>
      <w:r>
        <w:rPr>
          <w:sz w:val="22"/>
          <w:szCs w:val="22"/>
          <w:lang w:eastAsia="en-US"/>
        </w:rPr>
        <w:t xml:space="preserve"> simbolis</w:t>
      </w:r>
    </w:p>
    <w:p w14:paraId="7B84F691" w14:textId="77777777" w:rsidR="003B31DC" w:rsidRDefault="003B31DC">
      <w:pPr>
        <w:tabs>
          <w:tab w:val="left" w:pos="567"/>
        </w:tabs>
        <w:snapToGrid w:val="0"/>
        <w:spacing w:line="260" w:lineRule="exact"/>
        <w:rPr>
          <w:sz w:val="22"/>
          <w:szCs w:val="22"/>
          <w:highlight w:val="lightGray"/>
          <w:lang w:eastAsia="en-US"/>
        </w:rPr>
      </w:pPr>
    </w:p>
    <w:p w14:paraId="36F4192E" w14:textId="77777777" w:rsidR="003B31DC" w:rsidRDefault="00913CBE">
      <w:pPr>
        <w:widowControl w:val="0"/>
        <w:rPr>
          <w:b/>
          <w:sz w:val="22"/>
          <w:szCs w:val="22"/>
          <w:lang w:eastAsia="sl-SI"/>
        </w:rPr>
      </w:pPr>
      <w:r>
        <w:rPr>
          <w:b/>
          <w:sz w:val="22"/>
          <w:szCs w:val="22"/>
          <w:lang w:eastAsia="sl-SI"/>
        </w:rPr>
        <w:br w:type="page"/>
      </w:r>
    </w:p>
    <w:p w14:paraId="4D76C0F8" w14:textId="77777777" w:rsidR="003B31DC" w:rsidRDefault="003B31DC">
      <w:pPr>
        <w:spacing w:line="259" w:lineRule="auto"/>
        <w:outlineLvl w:val="0"/>
        <w:rPr>
          <w:rFonts w:eastAsia="Calibri"/>
          <w:sz w:val="22"/>
          <w:szCs w:val="22"/>
          <w:lang w:eastAsia="en-US"/>
        </w:rPr>
      </w:pPr>
    </w:p>
    <w:p w14:paraId="5FD5B9F7" w14:textId="77777777" w:rsidR="003B31DC" w:rsidRDefault="003B31DC">
      <w:pPr>
        <w:spacing w:line="259" w:lineRule="auto"/>
        <w:outlineLvl w:val="0"/>
        <w:rPr>
          <w:rFonts w:eastAsia="Calibri"/>
          <w:sz w:val="22"/>
          <w:szCs w:val="22"/>
          <w:lang w:eastAsia="en-US"/>
        </w:rPr>
      </w:pPr>
    </w:p>
    <w:p w14:paraId="254C2AB3" w14:textId="77777777" w:rsidR="003B31DC" w:rsidRDefault="003B31DC">
      <w:pPr>
        <w:spacing w:line="259" w:lineRule="auto"/>
        <w:outlineLvl w:val="0"/>
        <w:rPr>
          <w:rFonts w:eastAsia="Calibri"/>
          <w:sz w:val="22"/>
          <w:szCs w:val="22"/>
          <w:lang w:eastAsia="en-US"/>
        </w:rPr>
      </w:pPr>
    </w:p>
    <w:p w14:paraId="760ED311" w14:textId="77777777" w:rsidR="003B31DC" w:rsidRDefault="003B31DC">
      <w:pPr>
        <w:spacing w:line="259" w:lineRule="auto"/>
        <w:outlineLvl w:val="0"/>
        <w:rPr>
          <w:rFonts w:eastAsia="Calibri"/>
          <w:sz w:val="22"/>
          <w:szCs w:val="22"/>
          <w:lang w:eastAsia="en-US"/>
        </w:rPr>
      </w:pPr>
    </w:p>
    <w:p w14:paraId="31C41C4D" w14:textId="77777777" w:rsidR="003B31DC" w:rsidRDefault="003B31DC">
      <w:pPr>
        <w:spacing w:line="259" w:lineRule="auto"/>
        <w:outlineLvl w:val="0"/>
        <w:rPr>
          <w:rFonts w:eastAsia="Calibri"/>
          <w:sz w:val="22"/>
          <w:szCs w:val="22"/>
          <w:lang w:eastAsia="en-US"/>
        </w:rPr>
      </w:pPr>
    </w:p>
    <w:p w14:paraId="4B7E89D1" w14:textId="77777777" w:rsidR="003B31DC" w:rsidRDefault="003B31DC">
      <w:pPr>
        <w:spacing w:line="259" w:lineRule="auto"/>
        <w:outlineLvl w:val="0"/>
        <w:rPr>
          <w:rFonts w:eastAsia="Calibri"/>
          <w:sz w:val="22"/>
          <w:szCs w:val="22"/>
          <w:lang w:eastAsia="en-US"/>
        </w:rPr>
      </w:pPr>
    </w:p>
    <w:p w14:paraId="5079FA94" w14:textId="77777777" w:rsidR="003B31DC" w:rsidRDefault="003B31DC">
      <w:pPr>
        <w:spacing w:line="259" w:lineRule="auto"/>
        <w:outlineLvl w:val="0"/>
        <w:rPr>
          <w:rFonts w:eastAsia="Calibri"/>
          <w:sz w:val="22"/>
          <w:szCs w:val="22"/>
          <w:lang w:eastAsia="en-US"/>
        </w:rPr>
      </w:pPr>
    </w:p>
    <w:p w14:paraId="728EEFEE" w14:textId="77777777" w:rsidR="003B31DC" w:rsidRDefault="003B31DC">
      <w:pPr>
        <w:spacing w:line="259" w:lineRule="auto"/>
        <w:outlineLvl w:val="0"/>
        <w:rPr>
          <w:rFonts w:eastAsia="Calibri"/>
          <w:sz w:val="22"/>
          <w:szCs w:val="22"/>
          <w:lang w:eastAsia="en-US"/>
        </w:rPr>
      </w:pPr>
    </w:p>
    <w:p w14:paraId="70977A70" w14:textId="77777777" w:rsidR="003B31DC" w:rsidRDefault="003B31DC">
      <w:pPr>
        <w:spacing w:line="259" w:lineRule="auto"/>
        <w:outlineLvl w:val="0"/>
        <w:rPr>
          <w:rFonts w:eastAsia="Calibri"/>
          <w:sz w:val="22"/>
          <w:szCs w:val="22"/>
          <w:lang w:eastAsia="en-US"/>
        </w:rPr>
      </w:pPr>
    </w:p>
    <w:p w14:paraId="7E4119FD" w14:textId="77777777" w:rsidR="003B31DC" w:rsidRDefault="003B31DC">
      <w:pPr>
        <w:spacing w:line="259" w:lineRule="auto"/>
        <w:outlineLvl w:val="0"/>
        <w:rPr>
          <w:rFonts w:eastAsia="Calibri"/>
          <w:sz w:val="22"/>
          <w:szCs w:val="22"/>
          <w:lang w:eastAsia="en-US"/>
        </w:rPr>
      </w:pPr>
    </w:p>
    <w:p w14:paraId="228EF021" w14:textId="77777777" w:rsidR="003B31DC" w:rsidRDefault="003B31DC">
      <w:pPr>
        <w:spacing w:line="259" w:lineRule="auto"/>
        <w:outlineLvl w:val="0"/>
        <w:rPr>
          <w:rFonts w:eastAsia="Calibri"/>
          <w:sz w:val="22"/>
          <w:szCs w:val="22"/>
          <w:lang w:eastAsia="en-US"/>
        </w:rPr>
      </w:pPr>
    </w:p>
    <w:p w14:paraId="609EE725" w14:textId="77777777" w:rsidR="003B31DC" w:rsidRDefault="003B31DC">
      <w:pPr>
        <w:spacing w:line="259" w:lineRule="auto"/>
        <w:outlineLvl w:val="0"/>
        <w:rPr>
          <w:rFonts w:eastAsia="Calibri"/>
          <w:sz w:val="22"/>
          <w:szCs w:val="22"/>
          <w:lang w:eastAsia="en-US"/>
        </w:rPr>
      </w:pPr>
    </w:p>
    <w:p w14:paraId="4B166962" w14:textId="77777777" w:rsidR="003B31DC" w:rsidRDefault="003B31DC">
      <w:pPr>
        <w:spacing w:line="259" w:lineRule="auto"/>
        <w:outlineLvl w:val="0"/>
        <w:rPr>
          <w:rFonts w:eastAsia="Calibri"/>
          <w:sz w:val="22"/>
          <w:szCs w:val="22"/>
          <w:lang w:eastAsia="en-US"/>
        </w:rPr>
      </w:pPr>
    </w:p>
    <w:p w14:paraId="35D5A081" w14:textId="77777777" w:rsidR="003B31DC" w:rsidRDefault="003B31DC">
      <w:pPr>
        <w:spacing w:line="259" w:lineRule="auto"/>
        <w:outlineLvl w:val="0"/>
        <w:rPr>
          <w:rFonts w:eastAsia="Calibri"/>
          <w:sz w:val="22"/>
          <w:szCs w:val="22"/>
          <w:lang w:eastAsia="en-US"/>
        </w:rPr>
      </w:pPr>
    </w:p>
    <w:p w14:paraId="5F7B4EC7" w14:textId="77777777" w:rsidR="003B31DC" w:rsidRDefault="003B31DC">
      <w:pPr>
        <w:spacing w:line="259" w:lineRule="auto"/>
        <w:outlineLvl w:val="0"/>
        <w:rPr>
          <w:rFonts w:eastAsia="Calibri"/>
          <w:sz w:val="22"/>
          <w:szCs w:val="22"/>
          <w:lang w:eastAsia="en-US"/>
        </w:rPr>
      </w:pPr>
    </w:p>
    <w:p w14:paraId="188A00F0" w14:textId="77777777" w:rsidR="003B31DC" w:rsidRDefault="003B31DC">
      <w:pPr>
        <w:spacing w:line="259" w:lineRule="auto"/>
        <w:outlineLvl w:val="0"/>
        <w:rPr>
          <w:rFonts w:eastAsia="Calibri"/>
          <w:sz w:val="22"/>
          <w:szCs w:val="22"/>
          <w:lang w:eastAsia="en-US"/>
        </w:rPr>
      </w:pPr>
    </w:p>
    <w:p w14:paraId="0152A619" w14:textId="77777777" w:rsidR="003B31DC" w:rsidRDefault="003B31DC">
      <w:pPr>
        <w:spacing w:line="259" w:lineRule="auto"/>
        <w:outlineLvl w:val="0"/>
        <w:rPr>
          <w:rFonts w:eastAsia="Calibri"/>
          <w:sz w:val="22"/>
          <w:szCs w:val="22"/>
          <w:lang w:eastAsia="en-US"/>
        </w:rPr>
      </w:pPr>
    </w:p>
    <w:p w14:paraId="5ABAB551" w14:textId="77777777" w:rsidR="003B31DC" w:rsidRDefault="003B31DC">
      <w:pPr>
        <w:spacing w:line="259" w:lineRule="auto"/>
        <w:outlineLvl w:val="0"/>
        <w:rPr>
          <w:rFonts w:eastAsia="Calibri"/>
          <w:sz w:val="22"/>
          <w:szCs w:val="22"/>
          <w:lang w:eastAsia="en-US"/>
        </w:rPr>
      </w:pPr>
    </w:p>
    <w:p w14:paraId="47CAD305" w14:textId="77777777" w:rsidR="003B31DC" w:rsidRDefault="003B31DC">
      <w:pPr>
        <w:spacing w:line="259" w:lineRule="auto"/>
        <w:outlineLvl w:val="0"/>
        <w:rPr>
          <w:rFonts w:eastAsia="Calibri"/>
          <w:sz w:val="22"/>
          <w:szCs w:val="22"/>
          <w:lang w:eastAsia="en-US"/>
        </w:rPr>
      </w:pPr>
    </w:p>
    <w:p w14:paraId="4B0E5004" w14:textId="77777777" w:rsidR="003B31DC" w:rsidRDefault="003B31DC">
      <w:pPr>
        <w:spacing w:line="259" w:lineRule="auto"/>
        <w:outlineLvl w:val="0"/>
        <w:rPr>
          <w:rFonts w:eastAsia="Calibri"/>
          <w:sz w:val="22"/>
          <w:szCs w:val="22"/>
          <w:lang w:eastAsia="en-US"/>
        </w:rPr>
      </w:pPr>
    </w:p>
    <w:p w14:paraId="7F208430" w14:textId="77777777" w:rsidR="003B31DC" w:rsidRDefault="003B31DC">
      <w:pPr>
        <w:spacing w:line="259" w:lineRule="auto"/>
        <w:jc w:val="center"/>
        <w:outlineLvl w:val="0"/>
        <w:rPr>
          <w:rFonts w:eastAsia="Calibri"/>
          <w:b/>
          <w:sz w:val="22"/>
          <w:szCs w:val="22"/>
          <w:lang w:eastAsia="en-US"/>
        </w:rPr>
      </w:pPr>
    </w:p>
    <w:p w14:paraId="1D7C245E" w14:textId="77777777" w:rsidR="003B31DC" w:rsidRDefault="003B31DC">
      <w:pPr>
        <w:spacing w:line="259" w:lineRule="auto"/>
        <w:jc w:val="center"/>
        <w:outlineLvl w:val="0"/>
        <w:rPr>
          <w:rFonts w:eastAsia="Calibri"/>
          <w:b/>
          <w:sz w:val="22"/>
          <w:szCs w:val="22"/>
          <w:lang w:eastAsia="en-US"/>
        </w:rPr>
      </w:pPr>
    </w:p>
    <w:p w14:paraId="3E8BF899" w14:textId="77777777" w:rsidR="003B31DC" w:rsidRDefault="003B31DC">
      <w:pPr>
        <w:spacing w:line="259" w:lineRule="auto"/>
        <w:jc w:val="center"/>
        <w:outlineLvl w:val="0"/>
        <w:rPr>
          <w:rFonts w:eastAsia="Calibri"/>
          <w:b/>
          <w:sz w:val="22"/>
          <w:szCs w:val="22"/>
          <w:lang w:eastAsia="en-US"/>
        </w:rPr>
      </w:pPr>
    </w:p>
    <w:p w14:paraId="1ACCE63E" w14:textId="77777777" w:rsidR="003B31DC" w:rsidRDefault="00913CBE">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41A99823" w14:textId="77777777" w:rsidR="003B31DC" w:rsidRDefault="00913CBE">
      <w:pPr>
        <w:widowControl w:val="0"/>
        <w:spacing w:after="160" w:line="259" w:lineRule="auto"/>
        <w:jc w:val="center"/>
        <w:outlineLvl w:val="0"/>
        <w:rPr>
          <w:b/>
          <w:sz w:val="22"/>
          <w:szCs w:val="22"/>
          <w:lang w:eastAsia="sl-SI"/>
        </w:rPr>
      </w:pPr>
      <w:r>
        <w:rPr>
          <w:rFonts w:eastAsia="Calibri"/>
          <w:sz w:val="22"/>
          <w:szCs w:val="22"/>
          <w:lang w:eastAsia="en-US"/>
        </w:rPr>
        <w:br w:type="page"/>
      </w:r>
    </w:p>
    <w:p w14:paraId="223E58B9" w14:textId="77777777" w:rsidR="003B31DC" w:rsidRPr="00A02B90" w:rsidRDefault="00913CBE">
      <w:pPr>
        <w:widowControl w:val="0"/>
        <w:tabs>
          <w:tab w:val="left" w:pos="9071"/>
        </w:tabs>
        <w:jc w:val="center"/>
        <w:outlineLvl w:val="0"/>
        <w:rPr>
          <w:b/>
          <w:noProof/>
          <w:sz w:val="22"/>
          <w:szCs w:val="22"/>
          <w:lang w:val="fr-FR" w:eastAsia="en-US"/>
        </w:rPr>
      </w:pPr>
      <w:r w:rsidRPr="00A02B90">
        <w:rPr>
          <w:b/>
          <w:bCs/>
          <w:noProof/>
          <w:sz w:val="22"/>
          <w:szCs w:val="22"/>
          <w:lang w:val="fr-FR" w:eastAsia="en-US"/>
        </w:rPr>
        <w:lastRenderedPageBreak/>
        <w:t>Pakuotės lapelis: informacija pacientui</w:t>
      </w:r>
    </w:p>
    <w:p w14:paraId="4CDE7B29" w14:textId="77777777" w:rsidR="003B31DC" w:rsidRPr="00A02B90" w:rsidRDefault="003B31DC">
      <w:pPr>
        <w:widowControl w:val="0"/>
        <w:tabs>
          <w:tab w:val="left" w:pos="9071"/>
        </w:tabs>
        <w:jc w:val="center"/>
        <w:outlineLvl w:val="0"/>
        <w:rPr>
          <w:b/>
          <w:bCs/>
          <w:noProof/>
          <w:sz w:val="22"/>
          <w:szCs w:val="22"/>
          <w:lang w:val="fr-FR" w:eastAsia="en-US"/>
        </w:rPr>
      </w:pPr>
    </w:p>
    <w:p w14:paraId="0E27B874" w14:textId="77777777" w:rsidR="003B31DC" w:rsidRDefault="00913CBE">
      <w:pPr>
        <w:jc w:val="center"/>
        <w:rPr>
          <w:b/>
          <w:bCs/>
          <w:sz w:val="22"/>
          <w:szCs w:val="22"/>
          <w:lang w:eastAsia="sl-SI"/>
        </w:rPr>
      </w:pPr>
      <w:proofErr w:type="spellStart"/>
      <w:r>
        <w:rPr>
          <w:b/>
          <w:bCs/>
          <w:sz w:val="22"/>
          <w:szCs w:val="22"/>
          <w:lang w:eastAsia="sl-SI"/>
        </w:rPr>
        <w:t>Mempoglyn</w:t>
      </w:r>
      <w:proofErr w:type="spellEnd"/>
      <w:r>
        <w:rPr>
          <w:b/>
          <w:bCs/>
          <w:sz w:val="22"/>
          <w:szCs w:val="22"/>
          <w:lang w:eastAsia="sl-SI"/>
        </w:rPr>
        <w:t xml:space="preserve"> 5 mg/850 mg plėvele dengtos tabletės</w:t>
      </w:r>
    </w:p>
    <w:p w14:paraId="24DBE47A" w14:textId="77777777" w:rsidR="003B31DC" w:rsidRDefault="00913CBE">
      <w:pPr>
        <w:jc w:val="center"/>
        <w:rPr>
          <w:b/>
          <w:bCs/>
          <w:sz w:val="22"/>
          <w:szCs w:val="22"/>
          <w:lang w:eastAsia="sl-SI"/>
        </w:rPr>
      </w:pPr>
      <w:proofErr w:type="spellStart"/>
      <w:r>
        <w:rPr>
          <w:b/>
          <w:bCs/>
          <w:sz w:val="22"/>
          <w:szCs w:val="22"/>
          <w:lang w:eastAsia="sl-SI"/>
        </w:rPr>
        <w:t>Mempoglyn</w:t>
      </w:r>
      <w:proofErr w:type="spellEnd"/>
      <w:r>
        <w:rPr>
          <w:b/>
          <w:bCs/>
          <w:sz w:val="22"/>
          <w:szCs w:val="22"/>
          <w:lang w:eastAsia="sl-SI"/>
        </w:rPr>
        <w:t xml:space="preserve"> 5 mg/1 000 mg plėvele dengtos tabletės</w:t>
      </w:r>
    </w:p>
    <w:p w14:paraId="22D8E7DA" w14:textId="77777777" w:rsidR="003B31DC" w:rsidRDefault="00913CBE">
      <w:pPr>
        <w:jc w:val="center"/>
        <w:rPr>
          <w:b/>
          <w:bCs/>
          <w:sz w:val="22"/>
          <w:szCs w:val="22"/>
          <w:lang w:eastAsia="sl-SI"/>
        </w:rPr>
      </w:pPr>
      <w:proofErr w:type="spellStart"/>
      <w:r>
        <w:rPr>
          <w:b/>
          <w:bCs/>
          <w:sz w:val="22"/>
          <w:szCs w:val="22"/>
          <w:lang w:eastAsia="sl-SI"/>
        </w:rPr>
        <w:t>Mempoglyn</w:t>
      </w:r>
      <w:proofErr w:type="spellEnd"/>
      <w:r>
        <w:rPr>
          <w:b/>
          <w:bCs/>
          <w:sz w:val="22"/>
          <w:szCs w:val="22"/>
          <w:lang w:eastAsia="sl-SI"/>
        </w:rPr>
        <w:t xml:space="preserve"> 12,5 mg/850 mg plėvele dengtos tabletės</w:t>
      </w:r>
    </w:p>
    <w:p w14:paraId="76434D44" w14:textId="77777777" w:rsidR="003B31DC" w:rsidRDefault="00913CBE">
      <w:pPr>
        <w:jc w:val="center"/>
        <w:rPr>
          <w:b/>
          <w:bCs/>
          <w:sz w:val="22"/>
          <w:szCs w:val="22"/>
          <w:lang w:eastAsia="sl-SI"/>
        </w:rPr>
      </w:pPr>
      <w:proofErr w:type="spellStart"/>
      <w:r>
        <w:rPr>
          <w:b/>
          <w:bCs/>
          <w:sz w:val="22"/>
          <w:szCs w:val="22"/>
          <w:lang w:eastAsia="sl-SI"/>
        </w:rPr>
        <w:t>Mempoglyn</w:t>
      </w:r>
      <w:proofErr w:type="spellEnd"/>
      <w:r>
        <w:rPr>
          <w:b/>
          <w:bCs/>
          <w:sz w:val="22"/>
          <w:szCs w:val="22"/>
          <w:lang w:eastAsia="sl-SI"/>
        </w:rPr>
        <w:t xml:space="preserve"> 12,5 mg/1 000 mg plėvele dengtos tabletės</w:t>
      </w:r>
    </w:p>
    <w:p w14:paraId="0EF816F4" w14:textId="77777777" w:rsidR="003B31DC" w:rsidRDefault="00913CBE">
      <w:pPr>
        <w:jc w:val="center"/>
        <w:rPr>
          <w:sz w:val="22"/>
          <w:szCs w:val="22"/>
        </w:rPr>
      </w:pPr>
      <w:proofErr w:type="spellStart"/>
      <w:r>
        <w:rPr>
          <w:sz w:val="22"/>
          <w:szCs w:val="22"/>
          <w:lang w:eastAsia="sl-SI"/>
        </w:rPr>
        <w:t>empagliflozinas</w:t>
      </w:r>
      <w:proofErr w:type="spellEnd"/>
      <w:r>
        <w:rPr>
          <w:sz w:val="22"/>
          <w:szCs w:val="22"/>
          <w:lang w:eastAsia="sl-SI"/>
        </w:rPr>
        <w:t>/</w:t>
      </w:r>
      <w:proofErr w:type="spellStart"/>
      <w:r>
        <w:rPr>
          <w:sz w:val="22"/>
          <w:szCs w:val="22"/>
          <w:lang w:eastAsia="sl-SI"/>
        </w:rPr>
        <w:t>metformino</w:t>
      </w:r>
      <w:proofErr w:type="spellEnd"/>
      <w:r>
        <w:rPr>
          <w:sz w:val="22"/>
          <w:szCs w:val="22"/>
          <w:lang w:eastAsia="sl-SI"/>
        </w:rPr>
        <w:t xml:space="preserve"> hidrochloridas</w:t>
      </w:r>
    </w:p>
    <w:p w14:paraId="5E953BD2" w14:textId="77777777" w:rsidR="003B31DC" w:rsidRDefault="003B31DC">
      <w:pPr>
        <w:jc w:val="center"/>
        <w:rPr>
          <w:rFonts w:eastAsia="Cambria"/>
          <w:b/>
          <w:sz w:val="22"/>
          <w:szCs w:val="22"/>
          <w:lang w:eastAsia="en-US"/>
        </w:rPr>
      </w:pPr>
    </w:p>
    <w:p w14:paraId="1E24D570" w14:textId="77777777" w:rsidR="003B31DC" w:rsidRDefault="00913CBE">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061CDD9E" w14:textId="77777777" w:rsidR="003B31DC" w:rsidRDefault="00913CBE">
      <w:pPr>
        <w:numPr>
          <w:ilvl w:val="0"/>
          <w:numId w:val="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1C6EA528" w14:textId="2DB27EA1" w:rsidR="003B31DC" w:rsidRDefault="00913CBE">
      <w:pPr>
        <w:numPr>
          <w:ilvl w:val="0"/>
          <w:numId w:val="2"/>
        </w:numPr>
        <w:spacing w:after="200" w:line="259" w:lineRule="auto"/>
        <w:ind w:left="567" w:hanging="567"/>
        <w:contextualSpacing/>
        <w:rPr>
          <w:sz w:val="22"/>
          <w:szCs w:val="22"/>
          <w:lang w:eastAsia="lt-LT"/>
        </w:rPr>
      </w:pPr>
      <w:r>
        <w:rPr>
          <w:sz w:val="22"/>
          <w:szCs w:val="22"/>
          <w:lang w:eastAsia="lt-LT"/>
        </w:rPr>
        <w:t>Jeigu kiltų daugiau klausimų, kreipkitės į gydytoją</w:t>
      </w:r>
      <w:r w:rsidR="00060215">
        <w:rPr>
          <w:sz w:val="22"/>
          <w:szCs w:val="22"/>
          <w:lang w:eastAsia="lt-LT"/>
        </w:rPr>
        <w:t xml:space="preserve"> arba</w:t>
      </w:r>
      <w:r>
        <w:rPr>
          <w:sz w:val="22"/>
          <w:szCs w:val="22"/>
          <w:lang w:eastAsia="lt-LT"/>
        </w:rPr>
        <w:t xml:space="preserve"> vaistininką.</w:t>
      </w:r>
    </w:p>
    <w:p w14:paraId="5BC2B031" w14:textId="77777777" w:rsidR="003B31DC" w:rsidRDefault="00913CBE">
      <w:pPr>
        <w:numPr>
          <w:ilvl w:val="0"/>
          <w:numId w:val="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56EE3EA3" w14:textId="77777777" w:rsidR="003B31DC" w:rsidRDefault="00913CBE">
      <w:pPr>
        <w:numPr>
          <w:ilvl w:val="0"/>
          <w:numId w:val="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0CE5D034" w14:textId="77777777" w:rsidR="003B31DC" w:rsidRDefault="003B31DC">
      <w:pPr>
        <w:rPr>
          <w:sz w:val="22"/>
          <w:szCs w:val="22"/>
          <w:lang w:eastAsia="lt-LT"/>
        </w:rPr>
      </w:pPr>
    </w:p>
    <w:p w14:paraId="67711E53" w14:textId="77777777" w:rsidR="003B31DC" w:rsidRDefault="00913CBE">
      <w:pPr>
        <w:rPr>
          <w:b/>
          <w:sz w:val="22"/>
          <w:szCs w:val="22"/>
          <w:lang w:eastAsia="lt-LT"/>
        </w:rPr>
      </w:pPr>
      <w:r>
        <w:rPr>
          <w:b/>
          <w:sz w:val="22"/>
          <w:szCs w:val="22"/>
          <w:lang w:eastAsia="lt-LT"/>
        </w:rPr>
        <w:t>Apie ką rašoma šiame lapelyje?</w:t>
      </w:r>
    </w:p>
    <w:p w14:paraId="79A54245" w14:textId="77777777" w:rsidR="003B31DC" w:rsidRDefault="003B31DC">
      <w:pPr>
        <w:rPr>
          <w:b/>
          <w:sz w:val="22"/>
          <w:szCs w:val="22"/>
          <w:lang w:eastAsia="lt-LT"/>
        </w:rPr>
      </w:pPr>
    </w:p>
    <w:p w14:paraId="53EC5564" w14:textId="77777777" w:rsidR="003B31DC" w:rsidRDefault="00913CBE">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Mempoglyn</w:t>
      </w:r>
      <w:proofErr w:type="spellEnd"/>
      <w:r>
        <w:rPr>
          <w:sz w:val="22"/>
          <w:szCs w:val="22"/>
          <w:lang w:eastAsia="lt-LT"/>
        </w:rPr>
        <w:t xml:space="preserve"> ir kam jis vartojamas</w:t>
      </w:r>
    </w:p>
    <w:p w14:paraId="2C94AEC7" w14:textId="77777777" w:rsidR="003B31DC" w:rsidRDefault="00913CBE">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Mempoglyn</w:t>
      </w:r>
      <w:proofErr w:type="spellEnd"/>
    </w:p>
    <w:p w14:paraId="5F01CCC7" w14:textId="77777777" w:rsidR="003B31DC" w:rsidRDefault="00913CBE">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Mempoglyn</w:t>
      </w:r>
      <w:proofErr w:type="spellEnd"/>
    </w:p>
    <w:p w14:paraId="6319C8E1" w14:textId="77777777" w:rsidR="003B31DC" w:rsidRDefault="00913CBE">
      <w:pPr>
        <w:ind w:left="540" w:hanging="540"/>
        <w:rPr>
          <w:sz w:val="22"/>
          <w:szCs w:val="22"/>
          <w:lang w:eastAsia="lt-LT"/>
        </w:rPr>
      </w:pPr>
      <w:r>
        <w:rPr>
          <w:sz w:val="22"/>
          <w:szCs w:val="22"/>
          <w:lang w:eastAsia="lt-LT"/>
        </w:rPr>
        <w:t>4.</w:t>
      </w:r>
      <w:r>
        <w:rPr>
          <w:sz w:val="22"/>
          <w:szCs w:val="22"/>
          <w:lang w:eastAsia="lt-LT"/>
        </w:rPr>
        <w:tab/>
        <w:t>Galimas šalutinis poveikis</w:t>
      </w:r>
    </w:p>
    <w:p w14:paraId="6F3C50BA" w14:textId="77777777" w:rsidR="003B31DC" w:rsidRDefault="00913CBE">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Mempoglyn</w:t>
      </w:r>
      <w:proofErr w:type="spellEnd"/>
    </w:p>
    <w:p w14:paraId="77F1EC79" w14:textId="77777777" w:rsidR="003B31DC" w:rsidRDefault="00913CBE">
      <w:pPr>
        <w:ind w:left="540" w:hanging="540"/>
        <w:rPr>
          <w:sz w:val="22"/>
          <w:szCs w:val="22"/>
          <w:lang w:eastAsia="lt-LT"/>
        </w:rPr>
      </w:pPr>
      <w:r>
        <w:rPr>
          <w:sz w:val="22"/>
          <w:szCs w:val="22"/>
          <w:lang w:eastAsia="lt-LT"/>
        </w:rPr>
        <w:t>6.</w:t>
      </w:r>
      <w:r>
        <w:rPr>
          <w:sz w:val="22"/>
          <w:szCs w:val="22"/>
          <w:lang w:eastAsia="lt-LT"/>
        </w:rPr>
        <w:tab/>
        <w:t>Pakuotės turinys ir kita informacija</w:t>
      </w:r>
    </w:p>
    <w:p w14:paraId="1709D65F" w14:textId="77777777" w:rsidR="003B31DC" w:rsidRDefault="003B31DC">
      <w:pPr>
        <w:widowControl w:val="0"/>
        <w:numPr>
          <w:ilvl w:val="12"/>
          <w:numId w:val="0"/>
        </w:numPr>
        <w:rPr>
          <w:sz w:val="22"/>
          <w:szCs w:val="22"/>
          <w:lang w:eastAsia="sl-SI"/>
        </w:rPr>
      </w:pPr>
    </w:p>
    <w:p w14:paraId="6F71AA17" w14:textId="77777777" w:rsidR="003B31DC" w:rsidRDefault="003B31DC">
      <w:pPr>
        <w:widowControl w:val="0"/>
        <w:numPr>
          <w:ilvl w:val="12"/>
          <w:numId w:val="0"/>
        </w:numPr>
        <w:rPr>
          <w:sz w:val="22"/>
          <w:szCs w:val="22"/>
          <w:lang w:eastAsia="sl-SI"/>
        </w:rPr>
      </w:pPr>
    </w:p>
    <w:p w14:paraId="76971B4E" w14:textId="77777777" w:rsidR="003B31DC" w:rsidRDefault="00913CBE">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Mempoglyn</w:t>
      </w:r>
      <w:proofErr w:type="spellEnd"/>
      <w:r>
        <w:rPr>
          <w:b/>
          <w:bCs/>
          <w:sz w:val="22"/>
          <w:szCs w:val="22"/>
          <w:lang w:eastAsia="en-US"/>
        </w:rPr>
        <w:t xml:space="preserve"> </w:t>
      </w:r>
      <w:r>
        <w:rPr>
          <w:b/>
          <w:sz w:val="22"/>
          <w:szCs w:val="22"/>
          <w:lang w:eastAsia="en-US"/>
        </w:rPr>
        <w:t>ir kam jis vartojamas</w:t>
      </w:r>
    </w:p>
    <w:p w14:paraId="1DFF6F5B" w14:textId="77777777" w:rsidR="003B31DC" w:rsidRDefault="003B31DC">
      <w:pPr>
        <w:widowControl w:val="0"/>
        <w:ind w:left="567" w:hanging="567"/>
        <w:rPr>
          <w:sz w:val="22"/>
          <w:szCs w:val="22"/>
          <w:lang w:eastAsia="en-US"/>
        </w:rPr>
      </w:pPr>
    </w:p>
    <w:p w14:paraId="6B5FBED0"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Kas yra </w:t>
      </w:r>
      <w:proofErr w:type="spellStart"/>
      <w:r>
        <w:rPr>
          <w:rFonts w:eastAsiaTheme="minorHAnsi"/>
          <w:b/>
          <w:bCs/>
          <w:color w:val="000000"/>
          <w:sz w:val="22"/>
          <w:szCs w:val="22"/>
          <w:lang w:eastAsia="en-US"/>
        </w:rPr>
        <w:t>Mempoglyn</w:t>
      </w:r>
      <w:proofErr w:type="spellEnd"/>
    </w:p>
    <w:p w14:paraId="532819B6"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sudėtyje yra dviejų veikliųjų medžiagų: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Abi šios medžiagos priklauso vaistų, vadinamų geriamaisiais vaistais nuo diabeto, grupei. Šie vaistai vartojami per burną 2 tipo cukrinio diabeto gydymui.</w:t>
      </w:r>
    </w:p>
    <w:p w14:paraId="446F478A" w14:textId="77777777" w:rsidR="003B31DC" w:rsidRDefault="003B31DC">
      <w:pPr>
        <w:autoSpaceDE w:val="0"/>
        <w:autoSpaceDN w:val="0"/>
        <w:adjustRightInd w:val="0"/>
        <w:rPr>
          <w:rFonts w:eastAsiaTheme="minorHAnsi"/>
          <w:color w:val="000000"/>
          <w:sz w:val="22"/>
          <w:szCs w:val="22"/>
          <w:lang w:eastAsia="en-US"/>
        </w:rPr>
      </w:pPr>
    </w:p>
    <w:p w14:paraId="7C184C99"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Kas yra 2 tipo cukrinis diabetas?</w:t>
      </w:r>
    </w:p>
    <w:p w14:paraId="4B3F971F" w14:textId="3B392D6D"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2 tipo cukrinis diabetas yra liga, kuri</w:t>
      </w:r>
      <w:r w:rsidR="00AC2A7B">
        <w:rPr>
          <w:rFonts w:eastAsiaTheme="minorHAnsi"/>
          <w:color w:val="000000"/>
          <w:sz w:val="22"/>
          <w:szCs w:val="22"/>
          <w:lang w:eastAsia="en-US"/>
        </w:rPr>
        <w:t>ą</w:t>
      </w:r>
      <w:r>
        <w:rPr>
          <w:rFonts w:eastAsiaTheme="minorHAnsi"/>
          <w:color w:val="000000"/>
          <w:sz w:val="22"/>
          <w:szCs w:val="22"/>
          <w:lang w:eastAsia="en-US"/>
        </w:rPr>
        <w:t xml:space="preserve"> </w:t>
      </w:r>
      <w:r w:rsidR="00AC2A7B">
        <w:rPr>
          <w:rFonts w:eastAsiaTheme="minorHAnsi"/>
          <w:color w:val="000000"/>
          <w:sz w:val="22"/>
          <w:szCs w:val="22"/>
          <w:lang w:eastAsia="en-US"/>
        </w:rPr>
        <w:t xml:space="preserve">lemia </w:t>
      </w:r>
      <w:r w:rsidR="00835CD1">
        <w:rPr>
          <w:rFonts w:eastAsiaTheme="minorHAnsi"/>
          <w:color w:val="000000"/>
          <w:sz w:val="22"/>
          <w:szCs w:val="22"/>
          <w:lang w:eastAsia="en-US"/>
        </w:rPr>
        <w:t xml:space="preserve">tiek </w:t>
      </w:r>
      <w:r>
        <w:rPr>
          <w:rFonts w:eastAsiaTheme="minorHAnsi"/>
          <w:color w:val="000000"/>
          <w:sz w:val="22"/>
          <w:szCs w:val="22"/>
          <w:lang w:eastAsia="en-US"/>
        </w:rPr>
        <w:t>Jūsų gen</w:t>
      </w:r>
      <w:r w:rsidR="00835CD1">
        <w:rPr>
          <w:rFonts w:eastAsiaTheme="minorHAnsi"/>
          <w:color w:val="000000"/>
          <w:sz w:val="22"/>
          <w:szCs w:val="22"/>
          <w:lang w:eastAsia="en-US"/>
        </w:rPr>
        <w:t xml:space="preserve">ai, </w:t>
      </w:r>
      <w:r>
        <w:rPr>
          <w:rFonts w:eastAsiaTheme="minorHAnsi"/>
          <w:color w:val="000000"/>
          <w:sz w:val="22"/>
          <w:szCs w:val="22"/>
          <w:lang w:eastAsia="en-US"/>
        </w:rPr>
        <w:t xml:space="preserve"> </w:t>
      </w:r>
      <w:r w:rsidR="00835CD1">
        <w:rPr>
          <w:rFonts w:eastAsiaTheme="minorHAnsi"/>
          <w:color w:val="000000"/>
          <w:sz w:val="22"/>
          <w:szCs w:val="22"/>
          <w:lang w:eastAsia="en-US"/>
        </w:rPr>
        <w:t>tiek</w:t>
      </w:r>
      <w:r>
        <w:rPr>
          <w:rFonts w:eastAsiaTheme="minorHAnsi"/>
          <w:color w:val="000000"/>
          <w:sz w:val="22"/>
          <w:szCs w:val="22"/>
          <w:lang w:eastAsia="en-US"/>
        </w:rPr>
        <w:t xml:space="preserve"> gyvenimo būd</w:t>
      </w:r>
      <w:r w:rsidR="00835CD1">
        <w:rPr>
          <w:rFonts w:eastAsiaTheme="minorHAnsi"/>
          <w:color w:val="000000"/>
          <w:sz w:val="22"/>
          <w:szCs w:val="22"/>
          <w:lang w:eastAsia="en-US"/>
        </w:rPr>
        <w:t>as</w:t>
      </w:r>
      <w:r>
        <w:rPr>
          <w:rFonts w:eastAsiaTheme="minorHAnsi"/>
          <w:color w:val="000000"/>
          <w:sz w:val="22"/>
          <w:szCs w:val="22"/>
          <w:lang w:eastAsia="en-US"/>
        </w:rPr>
        <w:t xml:space="preserve">. Jei sergate 2 tipo cukriniu diabetu, Jūsų kasa gamina nepakankamai insulino gliukozės kiekiui kraujyje kontroliuoti ir Jūsų organizmas </w:t>
      </w:r>
      <w:r w:rsidR="00380334">
        <w:rPr>
          <w:rFonts w:eastAsiaTheme="minorHAnsi"/>
          <w:color w:val="000000"/>
          <w:sz w:val="22"/>
          <w:szCs w:val="22"/>
          <w:lang w:eastAsia="en-US"/>
        </w:rPr>
        <w:t xml:space="preserve">nepajėgia </w:t>
      </w:r>
      <w:r>
        <w:rPr>
          <w:rFonts w:eastAsiaTheme="minorHAnsi"/>
          <w:color w:val="000000"/>
          <w:sz w:val="22"/>
          <w:szCs w:val="22"/>
          <w:lang w:eastAsia="en-US"/>
        </w:rPr>
        <w:t xml:space="preserve">veiksmingai panaudoti savo </w:t>
      </w:r>
      <w:r w:rsidR="00380334">
        <w:rPr>
          <w:rFonts w:eastAsiaTheme="minorHAnsi"/>
          <w:color w:val="000000"/>
          <w:sz w:val="22"/>
          <w:szCs w:val="22"/>
          <w:lang w:eastAsia="en-US"/>
        </w:rPr>
        <w:t xml:space="preserve">paties pagaminto </w:t>
      </w:r>
      <w:r>
        <w:rPr>
          <w:rFonts w:eastAsiaTheme="minorHAnsi"/>
          <w:color w:val="000000"/>
          <w:sz w:val="22"/>
          <w:szCs w:val="22"/>
          <w:lang w:eastAsia="en-US"/>
        </w:rPr>
        <w:t>insulino. Todėl kraujyje atsiranda daug gliukozės, kas gali sukelti sutrikimus, tokius kaip širdies, inkstų ligos, aklumas ir nepakankama galūnių kraujotaka.</w:t>
      </w:r>
    </w:p>
    <w:p w14:paraId="61955EBF" w14:textId="77777777" w:rsidR="003B31DC" w:rsidRDefault="003B31DC">
      <w:pPr>
        <w:autoSpaceDE w:val="0"/>
        <w:autoSpaceDN w:val="0"/>
        <w:adjustRightInd w:val="0"/>
        <w:rPr>
          <w:rFonts w:eastAsiaTheme="minorHAnsi"/>
          <w:color w:val="000000"/>
          <w:sz w:val="22"/>
          <w:szCs w:val="22"/>
          <w:lang w:eastAsia="en-US"/>
        </w:rPr>
      </w:pPr>
    </w:p>
    <w:p w14:paraId="3A60A11A"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Kaip </w:t>
      </w: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veikia</w:t>
      </w:r>
    </w:p>
    <w:p w14:paraId="28112283" w14:textId="2565F112"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priklauso vaistų, vadinamų natrio </w:t>
      </w:r>
      <w:r w:rsidR="00D0111A">
        <w:rPr>
          <w:rFonts w:eastAsiaTheme="minorHAnsi"/>
          <w:color w:val="000000"/>
          <w:sz w:val="22"/>
          <w:szCs w:val="22"/>
          <w:lang w:eastAsia="en-US"/>
        </w:rPr>
        <w:t xml:space="preserve">ir </w:t>
      </w:r>
      <w:r>
        <w:rPr>
          <w:rFonts w:eastAsiaTheme="minorHAnsi"/>
          <w:color w:val="000000"/>
          <w:sz w:val="22"/>
          <w:szCs w:val="22"/>
          <w:lang w:eastAsia="en-US"/>
        </w:rPr>
        <w:t xml:space="preserve">gliukozės </w:t>
      </w:r>
      <w:r w:rsidR="00B25CB5" w:rsidRPr="00FA2F7A">
        <w:rPr>
          <w:sz w:val="22"/>
          <w:szCs w:val="22"/>
        </w:rPr>
        <w:t>vienakrypčio transporto 2-ojo nešiklio</w:t>
      </w:r>
      <w:r w:rsidR="00B25CB5">
        <w:rPr>
          <w:rFonts w:eastAsiaTheme="minorHAnsi"/>
          <w:color w:val="000000"/>
          <w:sz w:val="22"/>
          <w:szCs w:val="22"/>
          <w:lang w:eastAsia="en-US"/>
        </w:rPr>
        <w:t xml:space="preserve"> </w:t>
      </w:r>
      <w:r>
        <w:rPr>
          <w:rFonts w:eastAsiaTheme="minorHAnsi"/>
          <w:color w:val="000000"/>
          <w:sz w:val="22"/>
          <w:szCs w:val="22"/>
          <w:lang w:eastAsia="en-US"/>
        </w:rPr>
        <w:t>(angl. SGLT2) inhibitorių (slopintojų), grupei. Jis veikia blokuodamas SGLT2 baltymus inkstuose, todėl kraujyje esantis cukrus (gliukozė) pasišalina su šlapimu. Metforminas mažina cukraus kiekį kraujyje daugiausia slopindamas gliukozės gamybą kepenyse.</w:t>
      </w:r>
    </w:p>
    <w:p w14:paraId="3465BAAE" w14:textId="77777777" w:rsidR="003B31DC" w:rsidRDefault="003B31DC">
      <w:pPr>
        <w:autoSpaceDE w:val="0"/>
        <w:autoSpaceDN w:val="0"/>
        <w:adjustRightInd w:val="0"/>
        <w:rPr>
          <w:rFonts w:eastAsiaTheme="minorHAnsi"/>
          <w:color w:val="000000"/>
          <w:sz w:val="22"/>
          <w:szCs w:val="22"/>
          <w:lang w:eastAsia="en-US"/>
        </w:rPr>
      </w:pPr>
    </w:p>
    <w:p w14:paraId="3DB77CCD" w14:textId="52DE0632" w:rsidR="003B31DC" w:rsidRDefault="00913CBE">
      <w:pPr>
        <w:widowControl w:val="0"/>
        <w:numPr>
          <w:ilvl w:val="12"/>
          <w:numId w:val="0"/>
        </w:numPr>
        <w:rPr>
          <w:rFonts w:eastAsiaTheme="minorHAnsi"/>
          <w:color w:val="000000"/>
          <w:sz w:val="22"/>
          <w:szCs w:val="22"/>
          <w:lang w:eastAsia="en-US"/>
        </w:rPr>
      </w:pPr>
      <w:r>
        <w:rPr>
          <w:rFonts w:eastAsiaTheme="minorHAnsi"/>
          <w:color w:val="000000"/>
          <w:sz w:val="22"/>
          <w:szCs w:val="22"/>
          <w:lang w:eastAsia="en-US"/>
        </w:rPr>
        <w:t xml:space="preserve">Taip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mažina cukraus kiekį </w:t>
      </w:r>
      <w:r w:rsidR="000B21C0">
        <w:rPr>
          <w:rFonts w:eastAsiaTheme="minorHAnsi"/>
          <w:color w:val="000000"/>
          <w:sz w:val="22"/>
          <w:szCs w:val="22"/>
          <w:lang w:eastAsia="en-US"/>
        </w:rPr>
        <w:t xml:space="preserve">Jūsų </w:t>
      </w:r>
      <w:r>
        <w:rPr>
          <w:rFonts w:eastAsiaTheme="minorHAnsi"/>
          <w:color w:val="000000"/>
          <w:sz w:val="22"/>
          <w:szCs w:val="22"/>
          <w:lang w:eastAsia="en-US"/>
        </w:rPr>
        <w:t>kraujyje. Šis vaistas taip pat gali padėti išvengti širdies lig</w:t>
      </w:r>
      <w:r w:rsidR="000B21C0">
        <w:rPr>
          <w:rFonts w:eastAsiaTheme="minorHAnsi"/>
          <w:color w:val="000000"/>
          <w:sz w:val="22"/>
          <w:szCs w:val="22"/>
          <w:lang w:eastAsia="en-US"/>
        </w:rPr>
        <w:t>ų</w:t>
      </w:r>
      <w:r>
        <w:rPr>
          <w:rFonts w:eastAsiaTheme="minorHAnsi"/>
          <w:color w:val="000000"/>
          <w:sz w:val="22"/>
          <w:szCs w:val="22"/>
          <w:lang w:eastAsia="en-US"/>
        </w:rPr>
        <w:t>.</w:t>
      </w:r>
    </w:p>
    <w:p w14:paraId="433BAB46" w14:textId="77777777" w:rsidR="003B31DC" w:rsidRDefault="003B31DC">
      <w:pPr>
        <w:widowControl w:val="0"/>
        <w:numPr>
          <w:ilvl w:val="12"/>
          <w:numId w:val="0"/>
        </w:numPr>
        <w:rPr>
          <w:rFonts w:eastAsiaTheme="minorHAnsi"/>
          <w:color w:val="000000"/>
          <w:sz w:val="22"/>
          <w:szCs w:val="22"/>
          <w:lang w:eastAsia="en-US"/>
        </w:rPr>
      </w:pPr>
    </w:p>
    <w:p w14:paraId="63267E5C"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Kam </w:t>
      </w: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vartojamas</w:t>
      </w:r>
    </w:p>
    <w:p w14:paraId="56CA78C5" w14:textId="6CE83306" w:rsidR="003B31DC" w:rsidRPr="00A02B90" w:rsidRDefault="00913CBE">
      <w:pPr>
        <w:widowControl w:val="0"/>
        <w:numPr>
          <w:ilvl w:val="0"/>
          <w:numId w:val="28"/>
        </w:numPr>
        <w:tabs>
          <w:tab w:val="left" w:pos="9071"/>
        </w:tabs>
        <w:ind w:left="567" w:hanging="567"/>
        <w:contextualSpacing/>
        <w:rPr>
          <w:noProof/>
          <w:sz w:val="22"/>
          <w:szCs w:val="22"/>
          <w:lang w:eastAsia="sl-SI"/>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skirtas 2 tipo cukriniu diabetu sergančių suaugusiųjų ir 10 metų bei vyresnių vaikų gydymui </w:t>
      </w:r>
      <w:r w:rsidR="00A84052">
        <w:rPr>
          <w:rFonts w:eastAsiaTheme="minorHAnsi"/>
          <w:color w:val="000000"/>
          <w:sz w:val="22"/>
          <w:szCs w:val="22"/>
          <w:lang w:eastAsia="en-US"/>
        </w:rPr>
        <w:t xml:space="preserve">kartu su </w:t>
      </w:r>
      <w:r>
        <w:rPr>
          <w:rFonts w:eastAsiaTheme="minorHAnsi"/>
          <w:color w:val="000000"/>
          <w:sz w:val="22"/>
          <w:szCs w:val="22"/>
          <w:lang w:eastAsia="en-US"/>
        </w:rPr>
        <w:t xml:space="preserve">dieta ir fiziniu krūviu, kuriems diabeto nepavyksta kontroliuoti pridedant vien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xml:space="preserve"> kartu su kitais vaistais nuo diabeto.</w:t>
      </w:r>
    </w:p>
    <w:p w14:paraId="3088063E" w14:textId="77777777" w:rsidR="003B31DC" w:rsidRPr="00A02B90" w:rsidRDefault="003B31DC">
      <w:pPr>
        <w:pStyle w:val="Sraopastraipa"/>
        <w:rPr>
          <w:noProof/>
          <w:lang w:eastAsia="sl-SI"/>
        </w:rPr>
      </w:pPr>
    </w:p>
    <w:p w14:paraId="6D6448D8" w14:textId="77777777" w:rsidR="003B31DC" w:rsidRPr="00A02B90" w:rsidRDefault="00913CBE">
      <w:pPr>
        <w:widowControl w:val="0"/>
        <w:numPr>
          <w:ilvl w:val="0"/>
          <w:numId w:val="28"/>
        </w:numPr>
        <w:tabs>
          <w:tab w:val="left" w:pos="9071"/>
        </w:tabs>
        <w:ind w:left="567" w:hanging="567"/>
        <w:contextualSpacing/>
        <w:rPr>
          <w:noProof/>
          <w:sz w:val="22"/>
          <w:szCs w:val="22"/>
          <w:lang w:eastAsia="sl-SI"/>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taip pat galima vartoti kartu su kitais vaistais cukriniam diabetui gydyti. Tai gali būti kiti per burną vartojami arba leidžiami vaistai, pvz., insulinas.</w:t>
      </w:r>
    </w:p>
    <w:p w14:paraId="3B4B7BE2" w14:textId="77777777" w:rsidR="003B31DC" w:rsidRPr="00A02B90" w:rsidRDefault="003B31DC">
      <w:pPr>
        <w:pStyle w:val="Sraopastraipa"/>
        <w:rPr>
          <w:noProof/>
          <w:lang w:eastAsia="sl-SI"/>
        </w:rPr>
      </w:pPr>
    </w:p>
    <w:p w14:paraId="59DC58DA" w14:textId="77777777" w:rsidR="003B31DC" w:rsidRPr="00A02B90" w:rsidRDefault="00913CBE">
      <w:pPr>
        <w:widowControl w:val="0"/>
        <w:numPr>
          <w:ilvl w:val="0"/>
          <w:numId w:val="28"/>
        </w:numPr>
        <w:tabs>
          <w:tab w:val="left" w:pos="9071"/>
        </w:tabs>
        <w:ind w:left="567" w:hanging="567"/>
        <w:contextualSpacing/>
        <w:rPr>
          <w:noProof/>
          <w:sz w:val="22"/>
          <w:szCs w:val="22"/>
          <w:lang w:eastAsia="sl-SI"/>
        </w:rPr>
      </w:pPr>
      <w:r>
        <w:rPr>
          <w:rFonts w:eastAsiaTheme="minorHAnsi"/>
          <w:color w:val="000000"/>
          <w:sz w:val="22"/>
          <w:szCs w:val="22"/>
          <w:lang w:eastAsia="en-US"/>
        </w:rPr>
        <w:lastRenderedPageBreak/>
        <w:t xml:space="preserve">Be to,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galima vartoti vietoj atskirų kartu vartojamų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tablečių. Jei vartojate šį vaistą, toliau nevartokite atskirų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tablečių, kad neperdozuotumėte.</w:t>
      </w:r>
    </w:p>
    <w:p w14:paraId="75499588" w14:textId="77777777" w:rsidR="003B31DC" w:rsidRDefault="003B31DC">
      <w:pPr>
        <w:autoSpaceDE w:val="0"/>
        <w:autoSpaceDN w:val="0"/>
        <w:adjustRightInd w:val="0"/>
        <w:rPr>
          <w:rFonts w:eastAsiaTheme="minorHAnsi"/>
          <w:color w:val="000000"/>
          <w:sz w:val="22"/>
          <w:szCs w:val="22"/>
          <w:lang w:eastAsia="en-US"/>
        </w:rPr>
      </w:pPr>
    </w:p>
    <w:p w14:paraId="22FA89A7" w14:textId="22FA4E97" w:rsidR="003B31DC" w:rsidRDefault="00913CBE">
      <w:pPr>
        <w:widowControl w:val="0"/>
        <w:numPr>
          <w:ilvl w:val="12"/>
          <w:numId w:val="0"/>
        </w:numPr>
        <w:rPr>
          <w:rFonts w:eastAsiaTheme="minorHAnsi"/>
          <w:color w:val="000000"/>
          <w:sz w:val="22"/>
          <w:szCs w:val="22"/>
          <w:lang w:eastAsia="en-US"/>
        </w:rPr>
      </w:pPr>
      <w:r>
        <w:rPr>
          <w:rFonts w:eastAsiaTheme="minorHAnsi"/>
          <w:color w:val="000000"/>
          <w:sz w:val="22"/>
          <w:szCs w:val="22"/>
          <w:lang w:eastAsia="en-US"/>
        </w:rPr>
        <w:t xml:space="preserve">Svarbu, kad toliau laikytumėtės gydytojo, vaistininko arba slaugytojo duotų patarimų dėl dietos ir </w:t>
      </w:r>
      <w:r w:rsidR="00401E4B">
        <w:rPr>
          <w:rFonts w:eastAsiaTheme="minorHAnsi"/>
          <w:color w:val="000000"/>
          <w:sz w:val="22"/>
          <w:szCs w:val="22"/>
          <w:lang w:eastAsia="en-US"/>
        </w:rPr>
        <w:t>fizinio krūvio plano</w:t>
      </w:r>
      <w:r>
        <w:rPr>
          <w:rFonts w:eastAsiaTheme="minorHAnsi"/>
          <w:color w:val="000000"/>
          <w:sz w:val="22"/>
          <w:szCs w:val="22"/>
          <w:lang w:eastAsia="en-US"/>
        </w:rPr>
        <w:t>.</w:t>
      </w:r>
    </w:p>
    <w:p w14:paraId="007FA044" w14:textId="77777777" w:rsidR="003B31DC" w:rsidRDefault="003B31DC">
      <w:pPr>
        <w:widowControl w:val="0"/>
        <w:numPr>
          <w:ilvl w:val="12"/>
          <w:numId w:val="0"/>
        </w:numPr>
        <w:rPr>
          <w:sz w:val="22"/>
          <w:szCs w:val="22"/>
          <w:lang w:eastAsia="en-US"/>
        </w:rPr>
      </w:pPr>
    </w:p>
    <w:p w14:paraId="3B3406F4" w14:textId="77777777" w:rsidR="003B31DC" w:rsidRDefault="00913CBE">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Mempoglyn</w:t>
      </w:r>
      <w:proofErr w:type="spellEnd"/>
    </w:p>
    <w:p w14:paraId="55FB8599" w14:textId="77777777" w:rsidR="003B31DC" w:rsidRDefault="003B31DC">
      <w:pPr>
        <w:widowControl w:val="0"/>
        <w:ind w:left="567" w:hanging="567"/>
        <w:rPr>
          <w:sz w:val="22"/>
          <w:szCs w:val="22"/>
          <w:lang w:eastAsia="en-US"/>
        </w:rPr>
      </w:pPr>
    </w:p>
    <w:p w14:paraId="2D412469" w14:textId="77777777" w:rsidR="003B31DC" w:rsidRDefault="00913CBE">
      <w:pPr>
        <w:widowControl w:val="0"/>
        <w:ind w:left="567" w:hanging="567"/>
        <w:rPr>
          <w:b/>
          <w:bCs/>
          <w:caps/>
          <w:sz w:val="22"/>
          <w:szCs w:val="22"/>
          <w:lang w:eastAsia="en-US"/>
        </w:rPr>
      </w:pPr>
      <w:proofErr w:type="spellStart"/>
      <w:r>
        <w:rPr>
          <w:b/>
          <w:bCs/>
          <w:sz w:val="22"/>
          <w:szCs w:val="22"/>
          <w:lang w:eastAsia="en-US"/>
        </w:rPr>
        <w:t>Mempoglyn</w:t>
      </w:r>
      <w:proofErr w:type="spellEnd"/>
      <w:r>
        <w:rPr>
          <w:b/>
          <w:bCs/>
          <w:sz w:val="22"/>
          <w:szCs w:val="22"/>
          <w:lang w:eastAsia="en-US"/>
        </w:rPr>
        <w:t xml:space="preserve"> vartoti draudžiama:</w:t>
      </w:r>
    </w:p>
    <w:p w14:paraId="371EA437"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yra alergija </w:t>
      </w:r>
      <w:proofErr w:type="spellStart"/>
      <w:r>
        <w:rPr>
          <w:rFonts w:eastAsiaTheme="minorHAnsi"/>
          <w:color w:val="000000"/>
          <w:sz w:val="22"/>
          <w:szCs w:val="22"/>
          <w:lang w:eastAsia="en-US"/>
        </w:rPr>
        <w:t>empagliflozinui</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metforminui</w:t>
      </w:r>
      <w:proofErr w:type="spellEnd"/>
      <w:r>
        <w:rPr>
          <w:rFonts w:eastAsiaTheme="minorHAnsi"/>
          <w:color w:val="000000"/>
          <w:sz w:val="22"/>
          <w:szCs w:val="22"/>
          <w:lang w:eastAsia="en-US"/>
        </w:rPr>
        <w:t xml:space="preserve"> arba bet kuriai pagalbinei šio vaisto medžiagai (jos išvardytos 6 skyriuje);</w:t>
      </w:r>
    </w:p>
    <w:p w14:paraId="2D8EA42E"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sergate nekontroliuojamu diabetu ir yra, pvz., sunki hiperglikemija (labai didelis gliukozės kiekis kraujyje), pasireiškia pykinimas, vėmimas, viduriavimas, greitas svorio kritimas,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(žr.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rizika“ toliau) arba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yra būklė, kai kraujyje kaupiasi medžiagos, vadinamos „</w:t>
      </w:r>
      <w:proofErr w:type="spellStart"/>
      <w:r>
        <w:rPr>
          <w:rFonts w:eastAsiaTheme="minorHAnsi"/>
          <w:color w:val="000000"/>
          <w:sz w:val="22"/>
          <w:szCs w:val="22"/>
          <w:lang w:eastAsia="en-US"/>
        </w:rPr>
        <w:t>ketoniniais</w:t>
      </w:r>
      <w:proofErr w:type="spellEnd"/>
      <w:r>
        <w:rPr>
          <w:rFonts w:eastAsiaTheme="minorHAnsi"/>
          <w:color w:val="000000"/>
          <w:sz w:val="22"/>
          <w:szCs w:val="22"/>
          <w:lang w:eastAsia="en-US"/>
        </w:rPr>
        <w:t xml:space="preserve"> kūnais“, ji gali sukelti diabetinę </w:t>
      </w:r>
      <w:proofErr w:type="spellStart"/>
      <w:r>
        <w:rPr>
          <w:rFonts w:eastAsiaTheme="minorHAnsi"/>
          <w:color w:val="000000"/>
          <w:sz w:val="22"/>
          <w:szCs w:val="22"/>
          <w:lang w:eastAsia="en-US"/>
        </w:rPr>
        <w:t>prekomą</w:t>
      </w:r>
      <w:proofErr w:type="spellEnd"/>
      <w:r>
        <w:rPr>
          <w:rFonts w:eastAsiaTheme="minorHAnsi"/>
          <w:color w:val="000000"/>
          <w:sz w:val="22"/>
          <w:szCs w:val="22"/>
          <w:lang w:eastAsia="en-US"/>
        </w:rPr>
        <w:t>. Simptomai gali būti pilvo skausmas, greitas ir gilus kvėpavimas, mieguistumas arba neįprastas vaisių kvapas iš burnos;</w:t>
      </w:r>
    </w:p>
    <w:p w14:paraId="543D3627"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Jums pasireiškė diabetinė </w:t>
      </w:r>
      <w:proofErr w:type="spellStart"/>
      <w:r>
        <w:rPr>
          <w:rFonts w:eastAsiaTheme="minorHAnsi"/>
          <w:color w:val="000000"/>
          <w:sz w:val="22"/>
          <w:szCs w:val="22"/>
          <w:lang w:eastAsia="en-US"/>
        </w:rPr>
        <w:t>prekoma</w:t>
      </w:r>
      <w:proofErr w:type="spellEnd"/>
      <w:r>
        <w:rPr>
          <w:rFonts w:eastAsiaTheme="minorHAnsi"/>
          <w:color w:val="000000"/>
          <w:sz w:val="22"/>
          <w:szCs w:val="22"/>
          <w:lang w:eastAsia="en-US"/>
        </w:rPr>
        <w:t>;</w:t>
      </w:r>
    </w:p>
    <w:p w14:paraId="4B534DE9"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 yra sunkus inkstų funkcijos sutrikimas. Gydytojas gali apriboti paros dozę arba paprašyti Jus vartoti kitą vaistą (taip pat žr. 3 skyrių „Kaip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55E0B205" w14:textId="2A47C7C2"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 sergate sunkia infekcine liga, kuri pažeidžia plaučius, </w:t>
      </w:r>
      <w:proofErr w:type="spellStart"/>
      <w:r>
        <w:rPr>
          <w:rFonts w:eastAsiaTheme="minorHAnsi"/>
          <w:color w:val="000000"/>
          <w:sz w:val="22"/>
          <w:szCs w:val="22"/>
          <w:lang w:eastAsia="en-US"/>
        </w:rPr>
        <w:t>bronch</w:t>
      </w:r>
      <w:r w:rsidR="002614B8">
        <w:rPr>
          <w:rFonts w:eastAsiaTheme="minorHAnsi"/>
          <w:color w:val="000000"/>
          <w:sz w:val="22"/>
          <w:szCs w:val="22"/>
          <w:lang w:eastAsia="en-US"/>
        </w:rPr>
        <w:t>us</w:t>
      </w:r>
      <w:r>
        <w:rPr>
          <w:rFonts w:eastAsiaTheme="minorHAnsi"/>
          <w:color w:val="000000"/>
          <w:sz w:val="22"/>
          <w:szCs w:val="22"/>
          <w:lang w:eastAsia="en-US"/>
        </w:rPr>
        <w:t>ar</w:t>
      </w:r>
      <w:proofErr w:type="spellEnd"/>
      <w:r>
        <w:rPr>
          <w:rFonts w:eastAsiaTheme="minorHAnsi"/>
          <w:color w:val="000000"/>
          <w:sz w:val="22"/>
          <w:szCs w:val="22"/>
          <w:lang w:eastAsia="en-US"/>
        </w:rPr>
        <w:t xml:space="preserve"> inkstus. Sunkios infekcinės ligos gali pakenkti inkstams ir dėl to Jums gali kilti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pavojus (žr. skyrių „Įspėjimai ir atsargumo priemonės“);</w:t>
      </w:r>
    </w:p>
    <w:p w14:paraId="281A4382"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netekote daug organizmo vandens (pasireiškė dehidratacija), pvz., dėl ilgalaikio ar smarkaus viduriavimo, ar jei kelis kartus iš eilės vėmėte. Dehidratacija gali sukelti inkstų problemas, kas gali sukelti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pavojų (žr. skyrių „Įspėjimai ir atsargumo priemonės“);</w:t>
      </w:r>
    </w:p>
    <w:p w14:paraId="129C95F7" w14:textId="1EC72B54"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jeigu esate gydomi nuo ūmaus širdies nepakankamumo arba neseniai patyrėte širdies </w:t>
      </w:r>
      <w:r w:rsidR="002614B8">
        <w:rPr>
          <w:rFonts w:eastAsiaTheme="minorHAnsi"/>
          <w:color w:val="000000"/>
          <w:sz w:val="22"/>
          <w:szCs w:val="22"/>
          <w:lang w:eastAsia="en-US"/>
        </w:rPr>
        <w:t>smūgį</w:t>
      </w:r>
      <w:r>
        <w:rPr>
          <w:rFonts w:eastAsiaTheme="minorHAnsi"/>
          <w:color w:val="000000"/>
          <w:sz w:val="22"/>
          <w:szCs w:val="22"/>
          <w:lang w:eastAsia="en-US"/>
        </w:rPr>
        <w:t xml:space="preserve">, arba jeigu Jums yra sunkus kraujotakos sutrikimas, pvz., šokas, ar kvėpavimo pasunkėjimas. Tai gali sąlygoti nepakankamą audinių aprūpinimą deguonimi, kas gali sukelti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pavojų (žr. skyrių „Įspėjimai ir atsargumo priemonės“);</w:t>
      </w:r>
    </w:p>
    <w:p w14:paraId="1C31E000" w14:textId="77777777"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jeigu yra kepenų sutrikimų;</w:t>
      </w:r>
    </w:p>
    <w:p w14:paraId="406B2D7A" w14:textId="59D604CA" w:rsidR="003B31DC" w:rsidRDefault="00913CB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rFonts w:eastAsiaTheme="minorHAnsi"/>
          <w:color w:val="000000"/>
          <w:sz w:val="22"/>
          <w:szCs w:val="22"/>
          <w:lang w:eastAsia="en-US"/>
        </w:rPr>
        <w:t xml:space="preserve">jei geriate daug alkoholio, nesvarbu ar kiekvieną dieną ar tik </w:t>
      </w:r>
      <w:r w:rsidR="002A6927">
        <w:rPr>
          <w:rFonts w:eastAsiaTheme="minorHAnsi"/>
          <w:color w:val="000000"/>
          <w:sz w:val="22"/>
          <w:szCs w:val="22"/>
          <w:lang w:eastAsia="en-US"/>
        </w:rPr>
        <w:t>retkarčiais</w:t>
      </w:r>
      <w:r>
        <w:rPr>
          <w:rFonts w:eastAsiaTheme="minorHAnsi"/>
          <w:color w:val="000000"/>
          <w:sz w:val="22"/>
          <w:szCs w:val="22"/>
          <w:lang w:eastAsia="en-US"/>
        </w:rPr>
        <w:t xml:space="preserve"> (žr. poskyrį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vartojimas su alkoholiu“).</w:t>
      </w:r>
    </w:p>
    <w:p w14:paraId="6ABC741D" w14:textId="77777777" w:rsidR="003B31DC" w:rsidRDefault="003B31DC">
      <w:pPr>
        <w:widowControl w:val="0"/>
        <w:autoSpaceDE w:val="0"/>
        <w:autoSpaceDN w:val="0"/>
        <w:adjustRightInd w:val="0"/>
        <w:rPr>
          <w:sz w:val="22"/>
          <w:szCs w:val="22"/>
          <w:lang w:eastAsia="en-US"/>
        </w:rPr>
      </w:pPr>
    </w:p>
    <w:p w14:paraId="5ABF71B9" w14:textId="77777777" w:rsidR="003B31DC" w:rsidRDefault="00913CBE">
      <w:pPr>
        <w:widowControl w:val="0"/>
        <w:ind w:left="567" w:hanging="567"/>
        <w:rPr>
          <w:b/>
          <w:sz w:val="22"/>
          <w:szCs w:val="22"/>
          <w:lang w:eastAsia="en-US"/>
        </w:rPr>
      </w:pPr>
      <w:r>
        <w:rPr>
          <w:b/>
          <w:sz w:val="22"/>
          <w:szCs w:val="22"/>
          <w:lang w:eastAsia="en-US"/>
        </w:rPr>
        <w:t>Įspėjimai ir atsargumo priemonės</w:t>
      </w:r>
    </w:p>
    <w:p w14:paraId="7D7AA357" w14:textId="77777777" w:rsidR="003B31DC" w:rsidRDefault="00913CBE">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Mempoglyn</w:t>
      </w:r>
      <w:proofErr w:type="spellEnd"/>
      <w:r>
        <w:rPr>
          <w:sz w:val="22"/>
          <w:szCs w:val="22"/>
          <w:lang w:eastAsia="sl-SI"/>
        </w:rPr>
        <w:t>.</w:t>
      </w:r>
    </w:p>
    <w:p w14:paraId="64D93857" w14:textId="77777777" w:rsidR="003B31DC" w:rsidRDefault="003B31DC">
      <w:pPr>
        <w:widowControl w:val="0"/>
        <w:rPr>
          <w:sz w:val="22"/>
          <w:szCs w:val="22"/>
          <w:lang w:eastAsia="sl-SI"/>
        </w:rPr>
      </w:pPr>
    </w:p>
    <w:p w14:paraId="7C5345A2"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 xml:space="preserve">Pieno rūgšties </w:t>
      </w:r>
      <w:proofErr w:type="spellStart"/>
      <w:r>
        <w:rPr>
          <w:rFonts w:eastAsiaTheme="minorHAnsi"/>
          <w:color w:val="000000"/>
          <w:sz w:val="22"/>
          <w:szCs w:val="22"/>
          <w:u w:val="single"/>
          <w:lang w:eastAsia="en-US"/>
        </w:rPr>
        <w:t>acidozės</w:t>
      </w:r>
      <w:proofErr w:type="spellEnd"/>
      <w:r>
        <w:rPr>
          <w:rFonts w:eastAsiaTheme="minorHAnsi"/>
          <w:color w:val="000000"/>
          <w:sz w:val="22"/>
          <w:szCs w:val="22"/>
          <w:u w:val="single"/>
          <w:lang w:eastAsia="en-US"/>
        </w:rPr>
        <w:t xml:space="preserve"> rizika</w:t>
      </w:r>
    </w:p>
    <w:p w14:paraId="21A34480" w14:textId="128DECF8"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 sukelti labai retą, bet labai sunkų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xml:space="preserve">, ypač jei Jūsų inkstai neveikia tinkamai.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pasireiškimo rizika padidėja ir esant </w:t>
      </w:r>
      <w:r w:rsidR="009E0EF4">
        <w:rPr>
          <w:rFonts w:eastAsiaTheme="minorHAnsi"/>
          <w:color w:val="000000"/>
          <w:sz w:val="22"/>
          <w:szCs w:val="22"/>
          <w:lang w:eastAsia="en-US"/>
        </w:rPr>
        <w:t xml:space="preserve">nesuvaldomam cukriniam </w:t>
      </w:r>
      <w:r>
        <w:rPr>
          <w:rFonts w:eastAsiaTheme="minorHAnsi"/>
          <w:color w:val="000000"/>
          <w:sz w:val="22"/>
          <w:szCs w:val="22"/>
          <w:lang w:eastAsia="en-US"/>
        </w:rPr>
        <w:t xml:space="preserve">diabetui, sunkioms infekcijoms, ilgalaikiam badavimui arba piktnaudžiavimui alkoholiu, dehidratacijai (žr. kitą informaciją toliau), kepenų funkcijos sutrikimams ir bet kurioms sveikatos būklėms, kai sumažėja organizmo dalies aprūpinimas deguonimi (pvz., </w:t>
      </w:r>
      <w:r w:rsidR="00132371">
        <w:rPr>
          <w:rFonts w:eastAsiaTheme="minorHAnsi"/>
          <w:color w:val="000000"/>
          <w:sz w:val="22"/>
          <w:szCs w:val="22"/>
          <w:lang w:eastAsia="en-US"/>
        </w:rPr>
        <w:t xml:space="preserve">sergant </w:t>
      </w:r>
      <w:r>
        <w:rPr>
          <w:rFonts w:eastAsiaTheme="minorHAnsi"/>
          <w:color w:val="000000"/>
          <w:sz w:val="22"/>
          <w:szCs w:val="22"/>
          <w:lang w:eastAsia="en-US"/>
        </w:rPr>
        <w:t>ūmine sunkia širdies liga).</w:t>
      </w:r>
    </w:p>
    <w:p w14:paraId="0F87A4AA" w14:textId="77777777" w:rsidR="003B31DC" w:rsidRDefault="003B31DC">
      <w:pPr>
        <w:autoSpaceDE w:val="0"/>
        <w:autoSpaceDN w:val="0"/>
        <w:adjustRightInd w:val="0"/>
        <w:rPr>
          <w:rFonts w:eastAsiaTheme="minorHAnsi"/>
          <w:color w:val="000000"/>
          <w:sz w:val="22"/>
          <w:szCs w:val="22"/>
          <w:lang w:eastAsia="en-US"/>
        </w:rPr>
      </w:pPr>
    </w:p>
    <w:p w14:paraId="61C4D024"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Jums tinka bent vienas iš pirmiau nurodytų punktų, kreipkitės į gydytoją dėl tolesnių nurodymų.</w:t>
      </w:r>
    </w:p>
    <w:p w14:paraId="5671F2BB" w14:textId="77777777" w:rsidR="003B31DC" w:rsidRDefault="003B31DC">
      <w:pPr>
        <w:widowControl w:val="0"/>
        <w:tabs>
          <w:tab w:val="left" w:pos="567"/>
        </w:tabs>
        <w:jc w:val="both"/>
        <w:outlineLvl w:val="3"/>
        <w:rPr>
          <w:b/>
          <w:bCs/>
          <w:snapToGrid w:val="0"/>
          <w:sz w:val="22"/>
          <w:szCs w:val="22"/>
          <w:lang w:eastAsia="x-none"/>
        </w:rPr>
      </w:pPr>
    </w:p>
    <w:p w14:paraId="6C79E139" w14:textId="77777777" w:rsidR="003B31DC" w:rsidRDefault="00913CBE">
      <w:pPr>
        <w:widowControl w:val="0"/>
        <w:tabs>
          <w:tab w:val="left" w:pos="567"/>
        </w:tabs>
        <w:jc w:val="both"/>
        <w:outlineLvl w:val="3"/>
        <w:rPr>
          <w:snapToGrid w:val="0"/>
          <w:sz w:val="22"/>
          <w:szCs w:val="22"/>
          <w:lang w:eastAsia="x-none"/>
        </w:rPr>
      </w:pPr>
      <w:r>
        <w:rPr>
          <w:b/>
          <w:bCs/>
          <w:snapToGrid w:val="0"/>
          <w:sz w:val="22"/>
          <w:szCs w:val="22"/>
          <w:lang w:eastAsia="x-none"/>
        </w:rPr>
        <w:t xml:space="preserve">Trumpam nustokite vartoti </w:t>
      </w:r>
      <w:proofErr w:type="spellStart"/>
      <w:r>
        <w:rPr>
          <w:b/>
          <w:bCs/>
          <w:snapToGrid w:val="0"/>
          <w:sz w:val="22"/>
          <w:szCs w:val="22"/>
          <w:lang w:eastAsia="x-none"/>
        </w:rPr>
        <w:t>Mempoglyn</w:t>
      </w:r>
      <w:proofErr w:type="spellEnd"/>
      <w:r>
        <w:rPr>
          <w:b/>
          <w:bCs/>
          <w:snapToGrid w:val="0"/>
          <w:sz w:val="22"/>
          <w:szCs w:val="22"/>
          <w:lang w:eastAsia="x-none"/>
        </w:rPr>
        <w:t xml:space="preserve">, jeigu Jums yra būklė, kuri gali būti susijusi su dehidratacija </w:t>
      </w:r>
      <w:r>
        <w:rPr>
          <w:snapToGrid w:val="0"/>
          <w:sz w:val="22"/>
          <w:szCs w:val="22"/>
          <w:lang w:eastAsia="x-none"/>
        </w:rPr>
        <w:t>(reikšmingu organizmo skysčių netekimu), pvz., sunkus vėmimas, viduriavimas, karščiavimas, karščio poveikis arba mažesnis nei įprastai skysčių suvartojimas. Kreipkitės į Jūsų gydytoją dėl tolesnių nurodymų.</w:t>
      </w:r>
    </w:p>
    <w:p w14:paraId="1AC23A20" w14:textId="77777777" w:rsidR="003B31DC" w:rsidRDefault="003B31DC">
      <w:pPr>
        <w:widowControl w:val="0"/>
        <w:tabs>
          <w:tab w:val="left" w:pos="567"/>
        </w:tabs>
        <w:jc w:val="both"/>
        <w:outlineLvl w:val="3"/>
        <w:rPr>
          <w:b/>
          <w:bCs/>
          <w:snapToGrid w:val="0"/>
          <w:sz w:val="22"/>
          <w:szCs w:val="22"/>
          <w:lang w:eastAsia="x-none"/>
        </w:rPr>
      </w:pPr>
    </w:p>
    <w:p w14:paraId="283C9F30" w14:textId="77777777" w:rsidR="003B31DC" w:rsidRDefault="00913CBE">
      <w:pPr>
        <w:widowControl w:val="0"/>
        <w:tabs>
          <w:tab w:val="left" w:pos="567"/>
        </w:tabs>
        <w:jc w:val="both"/>
        <w:outlineLvl w:val="3"/>
        <w:rPr>
          <w:b/>
          <w:bCs/>
          <w:snapToGrid w:val="0"/>
          <w:sz w:val="22"/>
          <w:szCs w:val="22"/>
          <w:lang w:eastAsia="x-none"/>
        </w:rPr>
      </w:pPr>
      <w:r>
        <w:rPr>
          <w:b/>
          <w:bCs/>
          <w:snapToGrid w:val="0"/>
          <w:sz w:val="22"/>
          <w:szCs w:val="22"/>
          <w:lang w:eastAsia="x-none"/>
        </w:rPr>
        <w:t xml:space="preserve">Nustokite vartoti </w:t>
      </w:r>
      <w:proofErr w:type="spellStart"/>
      <w:r>
        <w:rPr>
          <w:b/>
          <w:bCs/>
          <w:snapToGrid w:val="0"/>
          <w:sz w:val="22"/>
          <w:szCs w:val="22"/>
          <w:lang w:eastAsia="x-none"/>
        </w:rPr>
        <w:t>Mempoglyn</w:t>
      </w:r>
      <w:proofErr w:type="spellEnd"/>
      <w:r>
        <w:rPr>
          <w:b/>
          <w:bCs/>
          <w:snapToGrid w:val="0"/>
          <w:sz w:val="22"/>
          <w:szCs w:val="22"/>
          <w:lang w:eastAsia="x-none"/>
        </w:rPr>
        <w:t xml:space="preserve"> ir nedelsdami kreipkitės į gydytoją arba artimiausią ligoninę, jeigu Jums pasireiškė pieno rūgšties </w:t>
      </w:r>
      <w:proofErr w:type="spellStart"/>
      <w:r>
        <w:rPr>
          <w:b/>
          <w:bCs/>
          <w:snapToGrid w:val="0"/>
          <w:sz w:val="22"/>
          <w:szCs w:val="22"/>
          <w:lang w:eastAsia="x-none"/>
        </w:rPr>
        <w:t>acidozės</w:t>
      </w:r>
      <w:proofErr w:type="spellEnd"/>
      <w:r>
        <w:rPr>
          <w:b/>
          <w:bCs/>
          <w:snapToGrid w:val="0"/>
          <w:sz w:val="22"/>
          <w:szCs w:val="22"/>
          <w:lang w:eastAsia="x-none"/>
        </w:rPr>
        <w:t xml:space="preserve"> simptomų, </w:t>
      </w:r>
      <w:r>
        <w:rPr>
          <w:snapToGrid w:val="0"/>
          <w:sz w:val="22"/>
          <w:szCs w:val="22"/>
          <w:lang w:eastAsia="x-none"/>
        </w:rPr>
        <w:t>nes ši būklė gali sukelti komą.</w:t>
      </w:r>
    </w:p>
    <w:p w14:paraId="38B3CBCE" w14:textId="77777777" w:rsidR="003B31DC" w:rsidRDefault="00913CBE">
      <w:pPr>
        <w:widowControl w:val="0"/>
        <w:tabs>
          <w:tab w:val="left" w:pos="567"/>
        </w:tabs>
        <w:jc w:val="both"/>
        <w:outlineLvl w:val="3"/>
        <w:rPr>
          <w:snapToGrid w:val="0"/>
          <w:sz w:val="22"/>
          <w:szCs w:val="22"/>
          <w:lang w:eastAsia="x-none"/>
        </w:rPr>
      </w:pPr>
      <w:r>
        <w:rPr>
          <w:snapToGrid w:val="0"/>
          <w:sz w:val="22"/>
          <w:szCs w:val="22"/>
          <w:lang w:eastAsia="x-none"/>
        </w:rPr>
        <w:t xml:space="preserve">Pieno rūgšties </w:t>
      </w:r>
      <w:proofErr w:type="spellStart"/>
      <w:r>
        <w:rPr>
          <w:snapToGrid w:val="0"/>
          <w:sz w:val="22"/>
          <w:szCs w:val="22"/>
          <w:lang w:eastAsia="x-none"/>
        </w:rPr>
        <w:t>acidozės</w:t>
      </w:r>
      <w:proofErr w:type="spellEnd"/>
      <w:r>
        <w:rPr>
          <w:snapToGrid w:val="0"/>
          <w:sz w:val="22"/>
          <w:szCs w:val="22"/>
          <w:lang w:eastAsia="x-none"/>
        </w:rPr>
        <w:t xml:space="preserve"> simptomai gali būti:</w:t>
      </w:r>
    </w:p>
    <w:p w14:paraId="649E6FBB" w14:textId="77777777" w:rsidR="003B31DC" w:rsidRDefault="00913CBE">
      <w:pPr>
        <w:numPr>
          <w:ilvl w:val="0"/>
          <w:numId w:val="17"/>
        </w:numPr>
        <w:spacing w:after="15" w:line="248" w:lineRule="auto"/>
        <w:ind w:right="11" w:hanging="566"/>
        <w:rPr>
          <w:color w:val="000000"/>
          <w:kern w:val="2"/>
          <w:sz w:val="22"/>
          <w:szCs w:val="22"/>
          <w:lang w:val="en-US" w:eastAsia="sl-SI"/>
          <w14:ligatures w14:val="standardContextual"/>
        </w:rPr>
      </w:pPr>
      <w:bookmarkStart w:id="16" w:name="_Hlk222993399"/>
      <w:r>
        <w:rPr>
          <w:snapToGrid w:val="0"/>
          <w:sz w:val="22"/>
          <w:szCs w:val="22"/>
          <w:lang w:eastAsia="x-none"/>
        </w:rPr>
        <w:t>vėmimas;</w:t>
      </w:r>
    </w:p>
    <w:p w14:paraId="2D31473B" w14:textId="77777777" w:rsidR="003B31DC" w:rsidRDefault="00913CB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pilvo skausmas;</w:t>
      </w:r>
    </w:p>
    <w:p w14:paraId="5686644B" w14:textId="77777777" w:rsidR="003B31DC" w:rsidRDefault="00913CB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lastRenderedPageBreak/>
        <w:t>raumenų mėšlungis;</w:t>
      </w:r>
    </w:p>
    <w:bookmarkEnd w:id="16"/>
    <w:p w14:paraId="7CC2847B" w14:textId="69C89ED0" w:rsidR="003B31DC" w:rsidRPr="00A02B90" w:rsidRDefault="00913CBE">
      <w:pPr>
        <w:numPr>
          <w:ilvl w:val="0"/>
          <w:numId w:val="17"/>
        </w:numPr>
        <w:spacing w:after="15" w:line="248" w:lineRule="auto"/>
        <w:ind w:right="11" w:hanging="566"/>
        <w:rPr>
          <w:color w:val="000000"/>
          <w:kern w:val="2"/>
          <w:sz w:val="22"/>
          <w:szCs w:val="22"/>
          <w:lang w:val="fr-FR" w:eastAsia="sl-SI"/>
          <w14:ligatures w14:val="standardContextual"/>
        </w:rPr>
      </w:pPr>
      <w:r>
        <w:rPr>
          <w:snapToGrid w:val="0"/>
          <w:sz w:val="22"/>
          <w:szCs w:val="22"/>
          <w:lang w:eastAsia="x-none"/>
        </w:rPr>
        <w:t xml:space="preserve">bendras </w:t>
      </w:r>
      <w:r w:rsidR="00D804E0">
        <w:rPr>
          <w:snapToGrid w:val="0"/>
          <w:sz w:val="22"/>
          <w:szCs w:val="22"/>
          <w:lang w:eastAsia="x-none"/>
        </w:rPr>
        <w:t xml:space="preserve">blogas </w:t>
      </w:r>
      <w:r>
        <w:rPr>
          <w:snapToGrid w:val="0"/>
          <w:sz w:val="22"/>
          <w:szCs w:val="22"/>
          <w:lang w:eastAsia="x-none"/>
        </w:rPr>
        <w:t>savijautos pojūtis su dideliu nuovargiu;</w:t>
      </w:r>
    </w:p>
    <w:p w14:paraId="4D6170D2" w14:textId="77777777" w:rsidR="003B31DC" w:rsidRDefault="00913CB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pasunkėjęs kvėpavimas;</w:t>
      </w:r>
    </w:p>
    <w:p w14:paraId="2E321829" w14:textId="77777777" w:rsidR="003B31DC" w:rsidRPr="00FA2F7A" w:rsidRDefault="00913CBE">
      <w:pPr>
        <w:numPr>
          <w:ilvl w:val="0"/>
          <w:numId w:val="17"/>
        </w:numPr>
        <w:spacing w:after="15" w:line="248" w:lineRule="auto"/>
        <w:ind w:right="11" w:hanging="566"/>
        <w:rPr>
          <w:color w:val="000000"/>
          <w:kern w:val="2"/>
          <w:sz w:val="22"/>
          <w:lang w:val="pt-PT"/>
          <w14:ligatures w14:val="standardContextual"/>
        </w:rPr>
      </w:pPr>
      <w:r>
        <w:rPr>
          <w:snapToGrid w:val="0"/>
          <w:sz w:val="22"/>
          <w:szCs w:val="22"/>
          <w:lang w:eastAsia="x-none"/>
        </w:rPr>
        <w:t>sumažėjusi kūno temperatūra ir retas širdies plakimas.</w:t>
      </w:r>
    </w:p>
    <w:p w14:paraId="52D597A3" w14:textId="77777777" w:rsidR="003B31DC" w:rsidRDefault="003B31DC">
      <w:pPr>
        <w:widowControl w:val="0"/>
        <w:tabs>
          <w:tab w:val="left" w:pos="567"/>
        </w:tabs>
        <w:jc w:val="both"/>
        <w:outlineLvl w:val="3"/>
        <w:rPr>
          <w:b/>
          <w:bCs/>
          <w:snapToGrid w:val="0"/>
          <w:sz w:val="22"/>
          <w:szCs w:val="22"/>
          <w:lang w:eastAsia="x-none"/>
        </w:rPr>
      </w:pPr>
    </w:p>
    <w:p w14:paraId="672731A3"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Nedelsdami kreipkitės į gydytoją dėl tolesnių nurodymų, jeigu:</w:t>
      </w:r>
    </w:p>
    <w:p w14:paraId="65A829DB" w14:textId="12E4DEDB" w:rsidR="003B31DC" w:rsidRPr="00A02B90" w:rsidRDefault="00913CBE">
      <w:pPr>
        <w:numPr>
          <w:ilvl w:val="0"/>
          <w:numId w:val="17"/>
        </w:numPr>
        <w:spacing w:after="15" w:line="248" w:lineRule="auto"/>
        <w:ind w:right="11" w:hanging="566"/>
        <w:rPr>
          <w:color w:val="000000"/>
          <w:kern w:val="2"/>
          <w:sz w:val="22"/>
          <w:szCs w:val="22"/>
          <w14:ligatures w14:val="standardContextual"/>
        </w:rPr>
      </w:pPr>
      <w:r>
        <w:rPr>
          <w:rFonts w:eastAsiaTheme="minorHAnsi"/>
          <w:color w:val="000000"/>
          <w:sz w:val="22"/>
          <w:szCs w:val="22"/>
          <w:lang w:eastAsia="en-US"/>
        </w:rPr>
        <w:t xml:space="preserve">Jums diagnozuota genetiškai paveldima liga, pažeidžianti </w:t>
      </w:r>
      <w:proofErr w:type="spellStart"/>
      <w:r>
        <w:rPr>
          <w:rFonts w:eastAsiaTheme="minorHAnsi"/>
          <w:color w:val="000000"/>
          <w:sz w:val="22"/>
          <w:szCs w:val="22"/>
          <w:lang w:eastAsia="en-US"/>
        </w:rPr>
        <w:t>mitochondrijas</w:t>
      </w:r>
      <w:proofErr w:type="spellEnd"/>
      <w:r>
        <w:rPr>
          <w:rFonts w:eastAsiaTheme="minorHAnsi"/>
          <w:color w:val="000000"/>
          <w:sz w:val="22"/>
          <w:szCs w:val="22"/>
          <w:lang w:eastAsia="en-US"/>
        </w:rPr>
        <w:t xml:space="preserve"> (</w:t>
      </w:r>
      <w:r w:rsidR="00C63481">
        <w:rPr>
          <w:rFonts w:eastAsiaTheme="minorHAnsi"/>
          <w:color w:val="000000"/>
          <w:sz w:val="22"/>
          <w:szCs w:val="22"/>
          <w:lang w:eastAsia="en-US"/>
        </w:rPr>
        <w:t xml:space="preserve">ląstelių </w:t>
      </w:r>
      <w:r>
        <w:rPr>
          <w:rFonts w:eastAsiaTheme="minorHAnsi"/>
          <w:color w:val="000000"/>
          <w:sz w:val="22"/>
          <w:szCs w:val="22"/>
          <w:lang w:eastAsia="en-US"/>
        </w:rPr>
        <w:t>energiją gaminančius komponentus), pvz., MELAS sindromas (</w:t>
      </w:r>
      <w:proofErr w:type="spellStart"/>
      <w:r>
        <w:rPr>
          <w:rFonts w:eastAsiaTheme="minorHAnsi"/>
          <w:color w:val="000000"/>
          <w:sz w:val="22"/>
          <w:szCs w:val="22"/>
          <w:lang w:eastAsia="en-US"/>
        </w:rPr>
        <w:t>mitochondrinė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encefalopatija</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miopatija</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ir į insultą panašūs epizodai) arba motinos </w:t>
      </w:r>
      <w:r w:rsidR="003A250B">
        <w:rPr>
          <w:rFonts w:eastAsiaTheme="minorHAnsi"/>
          <w:color w:val="000000"/>
          <w:sz w:val="22"/>
          <w:szCs w:val="22"/>
          <w:lang w:eastAsia="en-US"/>
        </w:rPr>
        <w:t xml:space="preserve">linija </w:t>
      </w:r>
      <w:r>
        <w:rPr>
          <w:rFonts w:eastAsiaTheme="minorHAnsi"/>
          <w:color w:val="000000"/>
          <w:sz w:val="22"/>
          <w:szCs w:val="22"/>
          <w:lang w:eastAsia="en-US"/>
        </w:rPr>
        <w:t>paveldimas diabetas ir kurtumas (MIDD).</w:t>
      </w:r>
    </w:p>
    <w:p w14:paraId="7F5AA91F" w14:textId="77777777" w:rsidR="003B31DC" w:rsidRPr="00A02B90" w:rsidRDefault="00913CBE">
      <w:pPr>
        <w:numPr>
          <w:ilvl w:val="0"/>
          <w:numId w:val="17"/>
        </w:numPr>
        <w:spacing w:after="15" w:line="248" w:lineRule="auto"/>
        <w:ind w:right="11" w:hanging="566"/>
        <w:rPr>
          <w:color w:val="000000"/>
          <w:kern w:val="2"/>
          <w:sz w:val="22"/>
          <w:szCs w:val="22"/>
          <w14:ligatures w14:val="standardContextual"/>
        </w:rPr>
      </w:pPr>
      <w:r>
        <w:rPr>
          <w:rFonts w:eastAsiaTheme="minorHAnsi"/>
          <w:color w:val="000000"/>
          <w:sz w:val="22"/>
          <w:szCs w:val="22"/>
          <w:lang w:eastAsia="en-US"/>
        </w:rPr>
        <w:t xml:space="preserve">Pradėjus vartoti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Jums pasireiškė bet kuris iš šių simptomų: traukulių priepuolis, pablogėjo pažintiniai gebėjimai, sutriko kūno judesiai, atsirado simptomų, rodančių nervų pažeidimą (pvz., skausmas arba tirpimas), migrena ir kurtumas.</w:t>
      </w:r>
    </w:p>
    <w:p w14:paraId="5417000C" w14:textId="77777777" w:rsidR="003B31DC" w:rsidRDefault="003B31DC">
      <w:pPr>
        <w:autoSpaceDE w:val="0"/>
        <w:autoSpaceDN w:val="0"/>
        <w:adjustRightInd w:val="0"/>
        <w:rPr>
          <w:rFonts w:eastAsiaTheme="minorHAnsi"/>
          <w:color w:val="000000"/>
          <w:sz w:val="22"/>
          <w:szCs w:val="22"/>
          <w:lang w:eastAsia="en-US"/>
        </w:rPr>
      </w:pPr>
    </w:p>
    <w:p w14:paraId="1169BAE2"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yra rimtas sutrikimas, kuris turi būti gydomas ligoninėje.</w:t>
      </w:r>
    </w:p>
    <w:p w14:paraId="20332082" w14:textId="77777777" w:rsidR="003B31DC" w:rsidRDefault="003B31DC">
      <w:pPr>
        <w:autoSpaceDE w:val="0"/>
        <w:autoSpaceDN w:val="0"/>
        <w:adjustRightInd w:val="0"/>
        <w:rPr>
          <w:rFonts w:eastAsiaTheme="minorHAnsi"/>
          <w:color w:val="000000"/>
          <w:sz w:val="22"/>
          <w:szCs w:val="22"/>
          <w:lang w:eastAsia="en-US"/>
        </w:rPr>
      </w:pPr>
    </w:p>
    <w:p w14:paraId="6472DBBD"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Pasitarkite su gydytoju, vaistininku arba slaugytoju, prieš pradėdami vartoti šį vaistą ir gydymo juo metu:</w:t>
      </w:r>
    </w:p>
    <w:p w14:paraId="2564CA90" w14:textId="0E5886E5" w:rsidR="003B31DC" w:rsidRPr="00A02B90" w:rsidRDefault="00913CBE">
      <w:pPr>
        <w:widowControl w:val="0"/>
        <w:numPr>
          <w:ilvl w:val="0"/>
          <w:numId w:val="32"/>
        </w:numPr>
        <w:tabs>
          <w:tab w:val="left" w:pos="567"/>
          <w:tab w:val="left" w:pos="9071"/>
        </w:tabs>
        <w:spacing w:line="260" w:lineRule="exact"/>
        <w:ind w:left="567" w:hanging="567"/>
        <w:rPr>
          <w:noProof/>
          <w:sz w:val="22"/>
          <w:szCs w:val="22"/>
          <w:lang w:eastAsia="sl-SI"/>
        </w:rPr>
      </w:pPr>
      <w:r>
        <w:rPr>
          <w:rFonts w:eastAsiaTheme="minorHAnsi"/>
          <w:color w:val="000000"/>
          <w:sz w:val="22"/>
          <w:szCs w:val="22"/>
          <w:lang w:eastAsia="en-US"/>
        </w:rPr>
        <w:t xml:space="preserve">jeigu atsirado greitas svorio netekimas, pykinimas ar vėmimas, pilvo skausmas, smarkus troškulys, greitas ir gilus kvėpavimas, sumišimas, neįprastas mieguistumas ar nuovargis, </w:t>
      </w:r>
      <w:r w:rsidR="00033FEE">
        <w:rPr>
          <w:rFonts w:eastAsiaTheme="minorHAnsi"/>
          <w:color w:val="000000"/>
          <w:sz w:val="22"/>
          <w:szCs w:val="22"/>
          <w:lang w:eastAsia="en-US"/>
        </w:rPr>
        <w:t>saldus bur</w:t>
      </w:r>
      <w:r w:rsidR="00DF3570">
        <w:rPr>
          <w:rFonts w:eastAsiaTheme="minorHAnsi"/>
          <w:color w:val="000000"/>
          <w:sz w:val="22"/>
          <w:szCs w:val="22"/>
          <w:lang w:eastAsia="en-US"/>
        </w:rPr>
        <w:t>nos kvapas</w:t>
      </w:r>
      <w:r>
        <w:rPr>
          <w:rFonts w:eastAsiaTheme="minorHAnsi"/>
          <w:color w:val="000000"/>
          <w:sz w:val="22"/>
          <w:szCs w:val="22"/>
          <w:lang w:eastAsia="en-US"/>
        </w:rPr>
        <w:t>, saldus ar metalo skonis burnoje ar pasikeitęs šlapimo ar prakaito kvapas</w:t>
      </w:r>
      <w:r w:rsidR="001C6531">
        <w:rPr>
          <w:rFonts w:eastAsiaTheme="minorHAnsi"/>
          <w:color w:val="000000"/>
          <w:sz w:val="22"/>
          <w:szCs w:val="22"/>
          <w:lang w:eastAsia="en-US"/>
        </w:rPr>
        <w:t>,</w:t>
      </w:r>
      <w:r>
        <w:rPr>
          <w:rFonts w:eastAsiaTheme="minorHAnsi"/>
          <w:color w:val="000000"/>
          <w:sz w:val="22"/>
          <w:szCs w:val="22"/>
          <w:lang w:eastAsia="en-US"/>
        </w:rPr>
        <w:t xml:space="preserve"> nedelsdami </w:t>
      </w:r>
      <w:r w:rsidR="006A628E">
        <w:rPr>
          <w:rFonts w:eastAsiaTheme="minorHAnsi"/>
          <w:color w:val="000000"/>
          <w:sz w:val="22"/>
          <w:szCs w:val="22"/>
          <w:lang w:eastAsia="en-US"/>
        </w:rPr>
        <w:t>kreipkitės į</w:t>
      </w:r>
      <w:r>
        <w:rPr>
          <w:rFonts w:eastAsiaTheme="minorHAnsi"/>
          <w:color w:val="000000"/>
          <w:sz w:val="22"/>
          <w:szCs w:val="22"/>
          <w:lang w:eastAsia="en-US"/>
        </w:rPr>
        <w:t xml:space="preserve"> gydytoj</w:t>
      </w:r>
      <w:r w:rsidR="006A628E">
        <w:rPr>
          <w:rFonts w:eastAsiaTheme="minorHAnsi"/>
          <w:color w:val="000000"/>
          <w:sz w:val="22"/>
          <w:szCs w:val="22"/>
          <w:lang w:eastAsia="en-US"/>
        </w:rPr>
        <w:t>ą</w:t>
      </w:r>
      <w:r>
        <w:rPr>
          <w:rFonts w:eastAsiaTheme="minorHAnsi"/>
          <w:color w:val="000000"/>
          <w:sz w:val="22"/>
          <w:szCs w:val="22"/>
          <w:lang w:eastAsia="en-US"/>
        </w:rPr>
        <w:t xml:space="preserve"> ar artimiausią ligoninę ir nebevartokite šio vaisto, kol nepasitarsite su gydytoju. Šie simptomai gali būti „diabetinės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 galimos retos, tačiau sunkios, kartais pavojingos gyvybei diabeto komplikacijos dėl Jūsų šlapime ar kraujyje padidėjusio „</w:t>
      </w:r>
      <w:proofErr w:type="spellStart"/>
      <w:r>
        <w:rPr>
          <w:rFonts w:eastAsiaTheme="minorHAnsi"/>
          <w:color w:val="000000"/>
          <w:sz w:val="22"/>
          <w:szCs w:val="22"/>
          <w:lang w:eastAsia="en-US"/>
        </w:rPr>
        <w:t>ketoninių</w:t>
      </w:r>
      <w:proofErr w:type="spellEnd"/>
      <w:r>
        <w:rPr>
          <w:rFonts w:eastAsiaTheme="minorHAnsi"/>
          <w:color w:val="000000"/>
          <w:sz w:val="22"/>
          <w:szCs w:val="22"/>
          <w:lang w:eastAsia="en-US"/>
        </w:rPr>
        <w:t xml:space="preserve"> kūnų“ kiekio, nustatomo laboratoriniais tyrimais, – požymis. 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atsiradimo rizika gali padidėti dėl ilgo badavimo, per gausaus alkoholio vartojimo, skysčių netekimo, staigaus insulino dozės sumažinimo ar dėl didesnio insulino poreikio ryšium su didesne operacija ar sunkia liga;</w:t>
      </w:r>
    </w:p>
    <w:p w14:paraId="26BBB52E" w14:textId="77777777" w:rsidR="003B31DC" w:rsidRDefault="00913CBE">
      <w:pPr>
        <w:widowControl w:val="0"/>
        <w:numPr>
          <w:ilvl w:val="0"/>
          <w:numId w:val="32"/>
        </w:numPr>
        <w:tabs>
          <w:tab w:val="left" w:pos="567"/>
          <w:tab w:val="left" w:pos="9071"/>
        </w:tabs>
        <w:spacing w:line="260" w:lineRule="exact"/>
        <w:ind w:left="567" w:hanging="567"/>
        <w:rPr>
          <w:noProof/>
          <w:sz w:val="22"/>
          <w:szCs w:val="22"/>
          <w:lang w:val="en-GB" w:eastAsia="sl-SI"/>
        </w:rPr>
      </w:pPr>
      <w:r>
        <w:rPr>
          <w:rFonts w:eastAsiaTheme="minorHAnsi"/>
          <w:color w:val="000000"/>
          <w:sz w:val="22"/>
          <w:szCs w:val="22"/>
          <w:lang w:eastAsia="en-US"/>
        </w:rPr>
        <w:t xml:space="preserve">jeigu sergate 1 tipo cukriniu diabetu – šio tipo cukrinis diabetas paprastai prasideda jauname amžiuje, kai organizmas visiškai negamina insulino. Jeigu sergate 1 tipo cukriniu diabetu,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Jums vartoti negalima;</w:t>
      </w:r>
    </w:p>
    <w:p w14:paraId="0A226867" w14:textId="77777777" w:rsidR="003B31DC" w:rsidRPr="00FA2F7A" w:rsidRDefault="00913CBE">
      <w:pPr>
        <w:widowControl w:val="0"/>
        <w:numPr>
          <w:ilvl w:val="0"/>
          <w:numId w:val="32"/>
        </w:numPr>
        <w:tabs>
          <w:tab w:val="left" w:pos="567"/>
          <w:tab w:val="left" w:pos="9071"/>
        </w:tabs>
        <w:spacing w:line="260" w:lineRule="exact"/>
        <w:ind w:left="567" w:hanging="567"/>
        <w:rPr>
          <w:sz w:val="22"/>
          <w:lang w:val="pt-PT"/>
        </w:rPr>
      </w:pPr>
      <w:r>
        <w:rPr>
          <w:rFonts w:eastAsiaTheme="minorHAnsi"/>
          <w:color w:val="000000"/>
          <w:sz w:val="22"/>
          <w:szCs w:val="22"/>
          <w:lang w:eastAsia="en-US"/>
        </w:rPr>
        <w:t>Jums gresia skysčių netekimo (dehidratacijos) rizika, pavyzdžiui:</w:t>
      </w:r>
    </w:p>
    <w:p w14:paraId="650BDDDB" w14:textId="753BAF4B" w:rsidR="003B31DC" w:rsidRPr="00FA2F7A" w:rsidRDefault="00913CBE">
      <w:pPr>
        <w:pStyle w:val="Sraopastraipa"/>
        <w:widowControl w:val="0"/>
        <w:numPr>
          <w:ilvl w:val="1"/>
          <w:numId w:val="33"/>
        </w:numPr>
        <w:tabs>
          <w:tab w:val="left" w:pos="567"/>
          <w:tab w:val="left" w:pos="9071"/>
        </w:tabs>
        <w:spacing w:after="0" w:line="260" w:lineRule="exact"/>
        <w:ind w:left="1134" w:hanging="567"/>
        <w:contextualSpacing w:val="0"/>
        <w:rPr>
          <w:rFonts w:ascii="Times New Roman" w:hAnsi="Times New Roman"/>
          <w:noProof/>
          <w:lang w:val="sv-SE"/>
        </w:rPr>
      </w:pPr>
      <w:r>
        <w:rPr>
          <w:rFonts w:ascii="Times New Roman" w:eastAsiaTheme="minorHAnsi" w:hAnsi="Times New Roman"/>
          <w:color w:val="000000"/>
        </w:rPr>
        <w:t xml:space="preserve">jeigu </w:t>
      </w:r>
      <w:r w:rsidR="00855D4E">
        <w:rPr>
          <w:rFonts w:ascii="Times New Roman" w:eastAsiaTheme="minorHAnsi" w:hAnsi="Times New Roman"/>
          <w:color w:val="000000"/>
        </w:rPr>
        <w:t>vemiate</w:t>
      </w:r>
      <w:r>
        <w:rPr>
          <w:rFonts w:ascii="Times New Roman" w:eastAsiaTheme="minorHAnsi" w:hAnsi="Times New Roman"/>
          <w:color w:val="000000"/>
        </w:rPr>
        <w:t>, viduriuojate arba karščiuojate arba jeigu negalite valgyti arba gerti;</w:t>
      </w:r>
    </w:p>
    <w:p w14:paraId="134AFB5E" w14:textId="77777777" w:rsidR="003B31DC" w:rsidRPr="00FA2F7A" w:rsidRDefault="00913CBE">
      <w:pPr>
        <w:pStyle w:val="Sraopastraipa"/>
        <w:widowControl w:val="0"/>
        <w:numPr>
          <w:ilvl w:val="1"/>
          <w:numId w:val="33"/>
        </w:numPr>
        <w:tabs>
          <w:tab w:val="left" w:pos="567"/>
          <w:tab w:val="left" w:pos="9071"/>
        </w:tabs>
        <w:spacing w:after="0" w:line="260" w:lineRule="exact"/>
        <w:ind w:left="1134" w:hanging="567"/>
        <w:contextualSpacing w:val="0"/>
        <w:rPr>
          <w:rFonts w:ascii="Times New Roman" w:hAnsi="Times New Roman"/>
          <w:noProof/>
          <w:lang w:val="sv-SE"/>
        </w:rPr>
      </w:pPr>
      <w:r>
        <w:rPr>
          <w:rFonts w:ascii="Times New Roman" w:eastAsiaTheme="minorHAnsi" w:hAnsi="Times New Roman"/>
          <w:color w:val="000000"/>
        </w:rPr>
        <w:t>jeigu vartojate šlapimą varančių vaistų [diuretikų] arba kraujospūdį mažinančių vaistų;</w:t>
      </w:r>
    </w:p>
    <w:p w14:paraId="3E9A12B3" w14:textId="77777777" w:rsidR="003B31DC" w:rsidRPr="00A02B90" w:rsidRDefault="00913CBE">
      <w:pPr>
        <w:pStyle w:val="Sraopastraipa"/>
        <w:widowControl w:val="0"/>
        <w:numPr>
          <w:ilvl w:val="1"/>
          <w:numId w:val="33"/>
        </w:numPr>
        <w:tabs>
          <w:tab w:val="left" w:pos="567"/>
          <w:tab w:val="left" w:pos="9071"/>
        </w:tabs>
        <w:spacing w:after="0" w:line="260" w:lineRule="exact"/>
        <w:ind w:left="1134" w:hanging="567"/>
        <w:contextualSpacing w:val="0"/>
        <w:rPr>
          <w:rFonts w:ascii="Times New Roman" w:hAnsi="Times New Roman"/>
          <w:noProof/>
          <w:lang w:val="fr-FR"/>
        </w:rPr>
      </w:pPr>
      <w:r>
        <w:rPr>
          <w:rFonts w:ascii="Times New Roman" w:eastAsiaTheme="minorHAnsi" w:hAnsi="Times New Roman"/>
          <w:color w:val="000000"/>
        </w:rPr>
        <w:t>jeigu esate 75 metų amžiaus arba vyresni.</w:t>
      </w:r>
    </w:p>
    <w:p w14:paraId="37CC36CB" w14:textId="77777777" w:rsidR="003B31DC" w:rsidRDefault="00913CBE">
      <w:pPr>
        <w:widowControl w:val="0"/>
        <w:tabs>
          <w:tab w:val="left" w:pos="567"/>
          <w:tab w:val="left" w:pos="9071"/>
        </w:tabs>
        <w:spacing w:line="260" w:lineRule="exact"/>
        <w:ind w:left="567"/>
        <w:rPr>
          <w:rFonts w:eastAsiaTheme="minorHAnsi"/>
          <w:color w:val="000000"/>
          <w:sz w:val="22"/>
          <w:szCs w:val="22"/>
        </w:rPr>
      </w:pPr>
      <w:r>
        <w:rPr>
          <w:rFonts w:eastAsiaTheme="minorHAnsi"/>
          <w:color w:val="000000"/>
          <w:sz w:val="22"/>
          <w:szCs w:val="22"/>
        </w:rPr>
        <w:t xml:space="preserve">Galimi požymiai išvardyti 4 skyriaus poskyryje apie dehidrataciją. Gydytojas gali nurodyti nebevartoti </w:t>
      </w:r>
      <w:proofErr w:type="spellStart"/>
      <w:r>
        <w:rPr>
          <w:rFonts w:eastAsiaTheme="minorHAnsi"/>
          <w:color w:val="000000"/>
          <w:sz w:val="22"/>
          <w:szCs w:val="22"/>
        </w:rPr>
        <w:t>Mempoglyn</w:t>
      </w:r>
      <w:proofErr w:type="spellEnd"/>
      <w:r>
        <w:rPr>
          <w:rFonts w:eastAsiaTheme="minorHAnsi"/>
          <w:color w:val="000000"/>
          <w:sz w:val="22"/>
          <w:szCs w:val="22"/>
        </w:rPr>
        <w:t>, kol nepasveiksite, kad neprarastumėte per daug kūno skysčių. Paklauskite, kaip galite išvengti skysčių netekimo;</w:t>
      </w:r>
    </w:p>
    <w:p w14:paraId="305ED473" w14:textId="77777777" w:rsidR="003B31DC" w:rsidRDefault="00913CBE">
      <w:pPr>
        <w:widowControl w:val="0"/>
        <w:numPr>
          <w:ilvl w:val="0"/>
          <w:numId w:val="32"/>
        </w:numPr>
        <w:tabs>
          <w:tab w:val="left" w:pos="567"/>
          <w:tab w:val="left" w:pos="9071"/>
        </w:tabs>
        <w:spacing w:line="260" w:lineRule="exact"/>
        <w:ind w:left="567" w:hanging="567"/>
        <w:rPr>
          <w:noProof/>
          <w:sz w:val="22"/>
          <w:szCs w:val="22"/>
          <w:lang w:val="en-GB" w:eastAsia="sl-SI"/>
        </w:rPr>
      </w:pPr>
      <w:r>
        <w:rPr>
          <w:rFonts w:eastAsiaTheme="minorHAnsi"/>
          <w:color w:val="000000"/>
          <w:sz w:val="22"/>
          <w:szCs w:val="22"/>
          <w:lang w:eastAsia="en-US"/>
        </w:rPr>
        <w:t xml:space="preserve">jeigu sergate sunkia infekcine inkstų ar šlapimo takų liga, susijusia su karščiavimu. Gydytojas gali paprašyti nutraukti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vartojimą, kol pasveiksite;</w:t>
      </w:r>
    </w:p>
    <w:p w14:paraId="41091D4A" w14:textId="36D07722" w:rsidR="003B31DC" w:rsidRDefault="00913CBE">
      <w:pPr>
        <w:widowControl w:val="0"/>
        <w:numPr>
          <w:ilvl w:val="0"/>
          <w:numId w:val="32"/>
        </w:numPr>
        <w:tabs>
          <w:tab w:val="left" w:pos="567"/>
          <w:tab w:val="left" w:pos="9071"/>
        </w:tabs>
        <w:spacing w:line="260" w:lineRule="exact"/>
        <w:ind w:left="567" w:hanging="567"/>
        <w:rPr>
          <w:noProof/>
          <w:sz w:val="22"/>
          <w:szCs w:val="22"/>
          <w:lang w:val="en-GB" w:eastAsia="sl-SI"/>
        </w:rPr>
      </w:pPr>
      <w:r>
        <w:rPr>
          <w:rFonts w:eastAsiaTheme="minorHAnsi"/>
          <w:color w:val="000000"/>
          <w:sz w:val="22"/>
          <w:szCs w:val="22"/>
          <w:lang w:eastAsia="en-US"/>
        </w:rPr>
        <w:t>jeigu Ju</w:t>
      </w:r>
      <w:r w:rsidR="00056902">
        <w:rPr>
          <w:rFonts w:eastAsiaTheme="minorHAnsi"/>
          <w:color w:val="000000"/>
          <w:sz w:val="22"/>
          <w:szCs w:val="22"/>
          <w:lang w:eastAsia="en-US"/>
        </w:rPr>
        <w:t>m</w:t>
      </w:r>
      <w:r>
        <w:rPr>
          <w:rFonts w:eastAsiaTheme="minorHAnsi"/>
          <w:color w:val="000000"/>
          <w:sz w:val="22"/>
          <w:szCs w:val="22"/>
          <w:lang w:eastAsia="en-US"/>
        </w:rPr>
        <w:t xml:space="preserve">s </w:t>
      </w:r>
      <w:r w:rsidR="00D85812">
        <w:rPr>
          <w:rFonts w:eastAsiaTheme="minorHAnsi"/>
          <w:color w:val="000000"/>
          <w:sz w:val="22"/>
          <w:szCs w:val="22"/>
          <w:lang w:eastAsia="en-US"/>
        </w:rPr>
        <w:t>planuojama atlikti</w:t>
      </w:r>
      <w:r>
        <w:rPr>
          <w:rFonts w:eastAsiaTheme="minorHAnsi"/>
          <w:color w:val="000000"/>
          <w:sz w:val="22"/>
          <w:szCs w:val="22"/>
          <w:lang w:eastAsia="en-US"/>
        </w:rPr>
        <w:t xml:space="preserve"> </w:t>
      </w:r>
      <w:r w:rsidR="00D85812">
        <w:rPr>
          <w:rFonts w:eastAsiaTheme="minorHAnsi"/>
          <w:color w:val="000000"/>
          <w:sz w:val="22"/>
          <w:szCs w:val="22"/>
          <w:lang w:eastAsia="en-US"/>
        </w:rPr>
        <w:t xml:space="preserve">radiologinį tyrimą, </w:t>
      </w:r>
      <w:r>
        <w:rPr>
          <w:rFonts w:eastAsiaTheme="minorHAnsi"/>
          <w:color w:val="000000"/>
          <w:sz w:val="22"/>
          <w:szCs w:val="22"/>
          <w:lang w:eastAsia="en-US"/>
        </w:rPr>
        <w:t xml:space="preserve">naudojant kontrastines medžiagas su jodu (pvz., atliekant rentgenologinį tyrimą ar </w:t>
      </w:r>
      <w:r w:rsidR="004C7715">
        <w:rPr>
          <w:rFonts w:eastAsiaTheme="minorHAnsi"/>
          <w:color w:val="000000"/>
          <w:sz w:val="22"/>
          <w:szCs w:val="22"/>
          <w:lang w:eastAsia="en-US"/>
        </w:rPr>
        <w:t>kompiuterinę tomografiją</w:t>
      </w:r>
      <w:r>
        <w:rPr>
          <w:rFonts w:eastAsiaTheme="minorHAnsi"/>
          <w:color w:val="000000"/>
          <w:sz w:val="22"/>
          <w:szCs w:val="22"/>
          <w:lang w:eastAsia="en-US"/>
        </w:rPr>
        <w:t xml:space="preserve">). Daugiau informacijos rasite tolesniame skyriuje „Kiti vaistai ir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15B56DBC" w14:textId="77777777" w:rsidR="003B31DC" w:rsidRDefault="003B31DC">
      <w:pPr>
        <w:autoSpaceDE w:val="0"/>
        <w:autoSpaceDN w:val="0"/>
        <w:adjustRightInd w:val="0"/>
        <w:rPr>
          <w:rFonts w:eastAsiaTheme="minorHAnsi"/>
          <w:color w:val="000000"/>
          <w:sz w:val="22"/>
          <w:szCs w:val="22"/>
          <w:lang w:eastAsia="en-US"/>
        </w:rPr>
      </w:pPr>
    </w:p>
    <w:p w14:paraId="6C3F9492"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Nedelsdami kreipkitės į savo gydytoją, jeigu Jums tuo pat metu pasireikštų skausmas lyties organų srityje arba srityje tarp lyties organų ir išangės arba tos vietos taptų skausmingos, jos paraustų arba patintų, taip pat pradėtumėte karščiuoti arba pasijustumėte blogai. Šie simptomai gali būti retos, bet rimtos ar net grėsmę gyvybei keliančios infekcijos, vadinamos </w:t>
      </w:r>
      <w:proofErr w:type="spellStart"/>
      <w:r>
        <w:rPr>
          <w:rFonts w:eastAsiaTheme="minorHAnsi"/>
          <w:color w:val="000000"/>
          <w:sz w:val="22"/>
          <w:szCs w:val="22"/>
          <w:lang w:eastAsia="en-US"/>
        </w:rPr>
        <w:t>tarpvietės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nekrozuojančiu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fascitu</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Furnjė</w:t>
      </w:r>
      <w:proofErr w:type="spellEnd"/>
      <w:r>
        <w:rPr>
          <w:rFonts w:eastAsiaTheme="minorHAnsi"/>
          <w:color w:val="000000"/>
          <w:sz w:val="22"/>
          <w:szCs w:val="22"/>
          <w:lang w:eastAsia="en-US"/>
        </w:rPr>
        <w:t xml:space="preserve"> gangrena, kuri sunaikina poodinį audinį, požymis. </w:t>
      </w:r>
      <w:proofErr w:type="spellStart"/>
      <w:r>
        <w:rPr>
          <w:rFonts w:eastAsiaTheme="minorHAnsi"/>
          <w:color w:val="000000"/>
          <w:sz w:val="22"/>
          <w:szCs w:val="22"/>
          <w:lang w:eastAsia="en-US"/>
        </w:rPr>
        <w:t>Furnjė</w:t>
      </w:r>
      <w:proofErr w:type="spellEnd"/>
      <w:r>
        <w:rPr>
          <w:rFonts w:eastAsiaTheme="minorHAnsi"/>
          <w:color w:val="000000"/>
          <w:sz w:val="22"/>
          <w:szCs w:val="22"/>
          <w:lang w:eastAsia="en-US"/>
        </w:rPr>
        <w:t xml:space="preserve"> gangreną būtina nedelsiant gydyti.</w:t>
      </w:r>
    </w:p>
    <w:p w14:paraId="5E33859F" w14:textId="77777777" w:rsidR="003B31DC" w:rsidRDefault="003B31DC">
      <w:pPr>
        <w:autoSpaceDE w:val="0"/>
        <w:autoSpaceDN w:val="0"/>
        <w:adjustRightInd w:val="0"/>
        <w:rPr>
          <w:rFonts w:eastAsiaTheme="minorHAnsi"/>
          <w:color w:val="000000"/>
          <w:sz w:val="22"/>
          <w:szCs w:val="22"/>
          <w:lang w:eastAsia="en-US"/>
        </w:rPr>
      </w:pPr>
    </w:p>
    <w:p w14:paraId="799A03D8"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Chirurginė operacija</w:t>
      </w:r>
    </w:p>
    <w:p w14:paraId="24926291" w14:textId="767717AF"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w:t>
      </w:r>
      <w:r w:rsidR="000D2272">
        <w:rPr>
          <w:rFonts w:eastAsiaTheme="minorHAnsi"/>
          <w:color w:val="000000"/>
          <w:sz w:val="22"/>
          <w:szCs w:val="22"/>
          <w:lang w:eastAsia="en-US"/>
        </w:rPr>
        <w:t xml:space="preserve">planuojama </w:t>
      </w:r>
      <w:r>
        <w:rPr>
          <w:rFonts w:eastAsiaTheme="minorHAnsi"/>
          <w:color w:val="000000"/>
          <w:sz w:val="22"/>
          <w:szCs w:val="22"/>
          <w:lang w:eastAsia="en-US"/>
        </w:rPr>
        <w:t xml:space="preserve">atlikti didelę </w:t>
      </w:r>
      <w:r w:rsidR="00143300">
        <w:rPr>
          <w:rFonts w:eastAsiaTheme="minorHAnsi"/>
          <w:color w:val="000000"/>
          <w:sz w:val="22"/>
          <w:szCs w:val="22"/>
          <w:lang w:eastAsia="en-US"/>
        </w:rPr>
        <w:t xml:space="preserve">chirurginę </w:t>
      </w:r>
      <w:r>
        <w:rPr>
          <w:rFonts w:eastAsiaTheme="minorHAnsi"/>
          <w:color w:val="000000"/>
          <w:sz w:val="22"/>
          <w:szCs w:val="22"/>
          <w:lang w:eastAsia="en-US"/>
        </w:rPr>
        <w:t xml:space="preserve">operaciją, turite nustoti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procedūros metu ir kurį laiką po procedūros. Gydytojas nuspręs, kada turite nustoti ir kada vėl pradėti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1EDC1A23" w14:textId="77777777" w:rsidR="003B31DC" w:rsidRDefault="003B31DC">
      <w:pPr>
        <w:autoSpaceDE w:val="0"/>
        <w:autoSpaceDN w:val="0"/>
        <w:adjustRightInd w:val="0"/>
        <w:rPr>
          <w:rFonts w:eastAsiaTheme="minorHAnsi"/>
          <w:color w:val="000000"/>
          <w:sz w:val="22"/>
          <w:szCs w:val="22"/>
          <w:lang w:eastAsia="en-US"/>
        </w:rPr>
      </w:pPr>
    </w:p>
    <w:p w14:paraId="7CE372CC"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Inkstų funkcija</w:t>
      </w:r>
    </w:p>
    <w:p w14:paraId="3CB80441"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esate senyvo amžiaus ir (arba) Jūsų inkstų funkcija yra susilpnėjusi, gydymo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metu gydytojas tikrins Jūsų inkstų funkciją mažiausiai kartą per metus arba dažniau.</w:t>
      </w:r>
    </w:p>
    <w:p w14:paraId="7A880D19" w14:textId="77777777" w:rsidR="003B31DC" w:rsidRDefault="003B31DC">
      <w:pPr>
        <w:autoSpaceDE w:val="0"/>
        <w:autoSpaceDN w:val="0"/>
        <w:adjustRightInd w:val="0"/>
        <w:rPr>
          <w:rFonts w:eastAsiaTheme="minorHAnsi"/>
          <w:color w:val="000000"/>
          <w:sz w:val="22"/>
          <w:szCs w:val="22"/>
          <w:lang w:eastAsia="en-US"/>
        </w:rPr>
      </w:pPr>
    </w:p>
    <w:p w14:paraId="506B6FF7"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lastRenderedPageBreak/>
        <w:t>Pėdų priežiūra</w:t>
      </w:r>
    </w:p>
    <w:p w14:paraId="44B3488C"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Kaip ir visiems diabetu sergantiems pacientams labai svarbu, kad reguliariai tikrintumėte pėdas ir laikytumėtės Jūsų sveikatos priežiūros specialisto nurodymų, kaip jas prižiūrėti.</w:t>
      </w:r>
    </w:p>
    <w:p w14:paraId="2CF2F954" w14:textId="77777777" w:rsidR="003B31DC" w:rsidRDefault="003B31DC">
      <w:pPr>
        <w:autoSpaceDE w:val="0"/>
        <w:autoSpaceDN w:val="0"/>
        <w:adjustRightInd w:val="0"/>
        <w:rPr>
          <w:rFonts w:eastAsiaTheme="minorHAnsi"/>
          <w:color w:val="000000"/>
          <w:sz w:val="22"/>
          <w:szCs w:val="22"/>
          <w:lang w:eastAsia="en-US"/>
        </w:rPr>
      </w:pPr>
    </w:p>
    <w:p w14:paraId="0053D686" w14:textId="77777777" w:rsidR="003B31DC" w:rsidRDefault="00913CB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Gliukozė šlapime</w:t>
      </w:r>
    </w:p>
    <w:p w14:paraId="2B597F57"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Dėl šio vaisto veikimo pobūdžio, kol jį vartojate, bus teigiamas cukraus šlapime tyrimo rezultatas.</w:t>
      </w:r>
    </w:p>
    <w:p w14:paraId="2376E9FA" w14:textId="77777777" w:rsidR="003B31DC" w:rsidRDefault="003B31DC">
      <w:pPr>
        <w:autoSpaceDE w:val="0"/>
        <w:autoSpaceDN w:val="0"/>
        <w:adjustRightInd w:val="0"/>
        <w:rPr>
          <w:rFonts w:eastAsiaTheme="minorHAnsi"/>
          <w:color w:val="000000"/>
          <w:sz w:val="22"/>
          <w:szCs w:val="22"/>
          <w:lang w:eastAsia="en-US"/>
        </w:rPr>
      </w:pPr>
    </w:p>
    <w:p w14:paraId="23FAD49E"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Vaikams ir paaugliams</w:t>
      </w:r>
    </w:p>
    <w:p w14:paraId="68BB7F19"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galima skirti 10 metų ir vyresniems vaikams 2 tipo cukriniam diabetui gydyti.</w:t>
      </w:r>
    </w:p>
    <w:p w14:paraId="7C07C9C8"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Kadangi duomenų nepakanka, šį vaistą 10-12 metų vaikams reikia vartoti atsargiai.</w:t>
      </w:r>
    </w:p>
    <w:p w14:paraId="51D4E67B"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Duomenų apie skyrimą jaunesniems kaip 10 metų vaikams nėra.</w:t>
      </w:r>
    </w:p>
    <w:p w14:paraId="6F9ADB04" w14:textId="77777777" w:rsidR="003B31DC" w:rsidRDefault="003B31DC">
      <w:pPr>
        <w:autoSpaceDE w:val="0"/>
        <w:autoSpaceDN w:val="0"/>
        <w:adjustRightInd w:val="0"/>
        <w:rPr>
          <w:rFonts w:eastAsiaTheme="minorHAnsi"/>
          <w:b/>
          <w:bCs/>
          <w:color w:val="000000"/>
          <w:sz w:val="22"/>
          <w:szCs w:val="22"/>
          <w:lang w:eastAsia="en-US"/>
        </w:rPr>
      </w:pPr>
    </w:p>
    <w:p w14:paraId="22D11C98"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Kiti vaistai ir </w:t>
      </w:r>
      <w:proofErr w:type="spellStart"/>
      <w:r>
        <w:rPr>
          <w:rFonts w:eastAsiaTheme="minorHAnsi"/>
          <w:b/>
          <w:bCs/>
          <w:color w:val="000000"/>
          <w:sz w:val="22"/>
          <w:szCs w:val="22"/>
          <w:lang w:eastAsia="en-US"/>
        </w:rPr>
        <w:t>Mempoglyn</w:t>
      </w:r>
      <w:proofErr w:type="spellEnd"/>
    </w:p>
    <w:p w14:paraId="4B42BBAD" w14:textId="61627ECD"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reikia suleisti kontrastinės medžiagos, kurios sudėtyje yra jodo, pvz., atliekant rentgeno arba </w:t>
      </w:r>
      <w:r w:rsidR="009A2A14">
        <w:rPr>
          <w:rFonts w:eastAsiaTheme="minorHAnsi"/>
          <w:color w:val="000000"/>
          <w:sz w:val="22"/>
          <w:szCs w:val="22"/>
          <w:lang w:eastAsia="en-US"/>
        </w:rPr>
        <w:t xml:space="preserve">kompiuterinės tomografijos </w:t>
      </w:r>
      <w:r>
        <w:rPr>
          <w:rFonts w:eastAsiaTheme="minorHAnsi"/>
          <w:color w:val="000000"/>
          <w:sz w:val="22"/>
          <w:szCs w:val="22"/>
          <w:lang w:eastAsia="en-US"/>
        </w:rPr>
        <w:t xml:space="preserve">tyrimą, prieš leidžiant arba leidimo metu turite nustoti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Gydytojas nuspręs, kada turite nustoti ir kada vėl pradėti vartoti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5A26A820" w14:textId="77777777" w:rsidR="003B31DC" w:rsidRDefault="003B31DC">
      <w:pPr>
        <w:autoSpaceDE w:val="0"/>
        <w:autoSpaceDN w:val="0"/>
        <w:adjustRightInd w:val="0"/>
        <w:rPr>
          <w:rFonts w:eastAsiaTheme="minorHAnsi"/>
          <w:color w:val="000000"/>
          <w:sz w:val="22"/>
          <w:szCs w:val="22"/>
          <w:lang w:eastAsia="en-US"/>
        </w:rPr>
      </w:pPr>
    </w:p>
    <w:p w14:paraId="180CAA05"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vartojate ar neseniai vartojote kitų vaistų arba dėl to nesate tikri, apie tai pasakykite savo gydytojui. Jums gali reikėti dažniau tirti gliukozės kiekį kraujyje ir inkstų funkciją arba Jūsų gydytojui gali reikėti koreguoti šio vaisto dozavimą. Ypač svarbu paminėti:</w:t>
      </w:r>
    </w:p>
    <w:p w14:paraId="38E345DA"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kurie skatina šlapimo išsiskyrimą (diuretikai), nes vartojant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 padidėti per didelio skysčių netekimo pavojus. Tokiu atveju gydytojas gali paprašyti nutraukti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vartojimą. Galimi per didelio kiekio organizmo skysčių netekimo požymiai yra išvardyti 4 skyriuje;</w:t>
      </w:r>
    </w:p>
    <w:p w14:paraId="01FB9357"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kitus cukraus kiekį kraujyje mažinančius vaistus, pvz., insuliną ar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darinius. Gydytojas galbūt norės sumažinti šių kitų vaistų dozę, kad Jums per daug nesumažėtų cukraus kiekis kraujyje (hipoglikemija);</w:t>
      </w:r>
    </w:p>
    <w:p w14:paraId="2B502D99"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kurie gali pakeisti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koncentraciją Jūsų kraujyje, ypač jei Jūsų inkstų funkcija susilpnėjusi (pvz., </w:t>
      </w:r>
      <w:proofErr w:type="spellStart"/>
      <w:r>
        <w:rPr>
          <w:rFonts w:eastAsiaTheme="minorHAnsi"/>
          <w:color w:val="000000"/>
          <w:sz w:val="22"/>
          <w:szCs w:val="22"/>
          <w:lang w:eastAsia="en-US"/>
        </w:rPr>
        <w:t>verapamilį</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rifampiciną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cimetidiną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dolutegravirą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ranolaziną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trimetoprimą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vandetanibą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izavukonazolą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krizotinibą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olaparibą</w:t>
      </w:r>
      <w:proofErr w:type="spellEnd"/>
      <w:r>
        <w:rPr>
          <w:rFonts w:eastAsiaTheme="minorHAnsi"/>
          <w:color w:val="000000"/>
          <w:sz w:val="22"/>
          <w:szCs w:val="22"/>
          <w:lang w:eastAsia="en-US"/>
        </w:rPr>
        <w:t>);</w:t>
      </w:r>
    </w:p>
    <w:p w14:paraId="3DF21AE1"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bronchus plečiančius vaistus (beta 2 receptorių </w:t>
      </w:r>
      <w:proofErr w:type="spellStart"/>
      <w:r>
        <w:rPr>
          <w:rFonts w:eastAsiaTheme="minorHAnsi"/>
          <w:color w:val="000000"/>
          <w:sz w:val="22"/>
          <w:szCs w:val="22"/>
          <w:lang w:eastAsia="en-US"/>
        </w:rPr>
        <w:t>agonistus</w:t>
      </w:r>
      <w:proofErr w:type="spellEnd"/>
      <w:r>
        <w:rPr>
          <w:rFonts w:eastAsiaTheme="minorHAnsi"/>
          <w:color w:val="000000"/>
          <w:sz w:val="22"/>
          <w:szCs w:val="22"/>
          <w:lang w:eastAsia="en-US"/>
        </w:rPr>
        <w:t>), vartojamus astmai gydyti;</w:t>
      </w:r>
    </w:p>
    <w:p w14:paraId="0BFE017C"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kortikosteroidus (geriamus, leidžiamus ar įkvepiamus), kurie vartojami uždegimui, sergant tokiomis ligomis, kaip astma ir artritas, gydyti;</w:t>
      </w:r>
    </w:p>
    <w:p w14:paraId="2A8B9A0F"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vartojamus skausmui ir uždegimui gydyti (NVNU ir COX-2 inhibitoriai, pvz., </w:t>
      </w:r>
      <w:proofErr w:type="spellStart"/>
      <w:r>
        <w:rPr>
          <w:rFonts w:eastAsiaTheme="minorHAnsi"/>
          <w:color w:val="000000"/>
          <w:sz w:val="22"/>
          <w:szCs w:val="22"/>
          <w:lang w:eastAsia="en-US"/>
        </w:rPr>
        <w:t>ibuprofenas</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celekoksibas</w:t>
      </w:r>
      <w:proofErr w:type="spellEnd"/>
      <w:r>
        <w:rPr>
          <w:rFonts w:eastAsiaTheme="minorHAnsi"/>
          <w:color w:val="000000"/>
          <w:sz w:val="22"/>
          <w:szCs w:val="22"/>
          <w:lang w:eastAsia="en-US"/>
        </w:rPr>
        <w:t>);</w:t>
      </w:r>
    </w:p>
    <w:p w14:paraId="48A20B23"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tam tikrus vaistus padidėjusiam kraujospūdžiui gydyti (AKF inhibitoriai ir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II receptorių blokatoriai);</w:t>
      </w:r>
    </w:p>
    <w:p w14:paraId="0B9227D1"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vaistus, kurių sudėtyje yra alkoholio (žr. skyrių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vartojimas su alkoholiu“);</w:t>
      </w:r>
    </w:p>
    <w:p w14:paraId="010E3833"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kontrastines medžiagas, kurių sudėtyje yra jodo (vaistai, vartojami atliekant rentgenologinius tyrimus, žr. 2 skyrių „Įspėjimai ir atsargumo priemonės“);</w:t>
      </w:r>
    </w:p>
    <w:p w14:paraId="198EA3A5" w14:textId="77777777" w:rsidR="003B31DC" w:rsidRDefault="00913CB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jeigu vartojate litį, nes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 sumažinti ličio koncentraciją kraujyje.</w:t>
      </w:r>
    </w:p>
    <w:p w14:paraId="10289D61" w14:textId="77777777" w:rsidR="003B31DC" w:rsidRDefault="003B31DC">
      <w:pPr>
        <w:widowControl w:val="0"/>
        <w:autoSpaceDE w:val="0"/>
        <w:autoSpaceDN w:val="0"/>
        <w:adjustRightInd w:val="0"/>
        <w:rPr>
          <w:sz w:val="22"/>
          <w:szCs w:val="22"/>
          <w:lang w:eastAsia="sl-SI"/>
        </w:rPr>
      </w:pPr>
    </w:p>
    <w:p w14:paraId="012A4635"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vartojimas su alkoholiu</w:t>
      </w:r>
    </w:p>
    <w:p w14:paraId="4DD3FE50"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Vartodami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venkite piktnaudžiauti alkoholiu, nes tai gali padidinti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(žr. skyrių „Įspėjimai ir atsargumo priemonės“).</w:t>
      </w:r>
    </w:p>
    <w:p w14:paraId="58D014D9" w14:textId="77777777" w:rsidR="003B31DC" w:rsidRDefault="003B31DC">
      <w:pPr>
        <w:autoSpaceDE w:val="0"/>
        <w:autoSpaceDN w:val="0"/>
        <w:adjustRightInd w:val="0"/>
        <w:rPr>
          <w:rFonts w:eastAsiaTheme="minorHAnsi"/>
          <w:color w:val="000000"/>
          <w:sz w:val="22"/>
          <w:szCs w:val="22"/>
          <w:lang w:eastAsia="en-US"/>
        </w:rPr>
      </w:pPr>
    </w:p>
    <w:p w14:paraId="41BCA4FE"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Nėštumas ir žindymo laikotarpis</w:t>
      </w:r>
    </w:p>
    <w:p w14:paraId="7D128E25"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esate nėščia, žindote kūdikį, manote, kad galbūt esate nėščia arba planuojate pastoti, tai prieš vartodama šį vaistą pasitarkite su gydytoju arba vaistininku.</w:t>
      </w:r>
    </w:p>
    <w:p w14:paraId="4BE41488" w14:textId="77777777" w:rsidR="003B31DC" w:rsidRDefault="003B31DC">
      <w:pPr>
        <w:autoSpaceDE w:val="0"/>
        <w:autoSpaceDN w:val="0"/>
        <w:adjustRightInd w:val="0"/>
        <w:rPr>
          <w:rFonts w:eastAsiaTheme="minorHAnsi"/>
          <w:color w:val="000000"/>
          <w:sz w:val="22"/>
          <w:szCs w:val="22"/>
          <w:lang w:eastAsia="en-US"/>
        </w:rPr>
      </w:pPr>
    </w:p>
    <w:p w14:paraId="07F47F40"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esate nėščia, nevartokite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Nežinoma, ar šis vaistas sukelia kenksmingą poveikį negimusiam vaikui.</w:t>
      </w:r>
    </w:p>
    <w:p w14:paraId="49C2658F" w14:textId="77777777" w:rsidR="003B31DC" w:rsidRDefault="003B31DC">
      <w:pPr>
        <w:autoSpaceDE w:val="0"/>
        <w:autoSpaceDN w:val="0"/>
        <w:adjustRightInd w:val="0"/>
        <w:rPr>
          <w:rFonts w:eastAsiaTheme="minorHAnsi"/>
          <w:color w:val="000000"/>
          <w:sz w:val="22"/>
          <w:szCs w:val="22"/>
          <w:lang w:eastAsia="en-US"/>
        </w:rPr>
      </w:pPr>
    </w:p>
    <w:p w14:paraId="41BEF857" w14:textId="2163E1B1"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Nedideli kiekiai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išsiskiria į </w:t>
      </w:r>
      <w:r w:rsidR="00DC7E12">
        <w:rPr>
          <w:rFonts w:eastAsiaTheme="minorHAnsi"/>
          <w:color w:val="000000"/>
          <w:sz w:val="22"/>
          <w:szCs w:val="22"/>
          <w:lang w:eastAsia="en-US"/>
        </w:rPr>
        <w:t xml:space="preserve">gydytų moterų </w:t>
      </w:r>
      <w:r>
        <w:rPr>
          <w:rFonts w:eastAsiaTheme="minorHAnsi"/>
          <w:color w:val="000000"/>
          <w:sz w:val="22"/>
          <w:szCs w:val="22"/>
          <w:lang w:eastAsia="en-US"/>
        </w:rPr>
        <w:t xml:space="preserve">pieną. Nežinoma, ar </w:t>
      </w:r>
      <w:proofErr w:type="spellStart"/>
      <w:r>
        <w:rPr>
          <w:rFonts w:eastAsiaTheme="minorHAnsi"/>
          <w:color w:val="000000"/>
          <w:sz w:val="22"/>
          <w:szCs w:val="22"/>
          <w:lang w:eastAsia="en-US"/>
        </w:rPr>
        <w:t>empagliflozinas</w:t>
      </w:r>
      <w:proofErr w:type="spellEnd"/>
      <w:r>
        <w:rPr>
          <w:rFonts w:eastAsiaTheme="minorHAnsi"/>
          <w:color w:val="000000"/>
          <w:sz w:val="22"/>
          <w:szCs w:val="22"/>
          <w:lang w:eastAsia="en-US"/>
        </w:rPr>
        <w:t xml:space="preserve"> išsiskiria į </w:t>
      </w:r>
      <w:r w:rsidR="006921B9">
        <w:rPr>
          <w:rFonts w:eastAsiaTheme="minorHAnsi"/>
          <w:color w:val="000000"/>
          <w:sz w:val="22"/>
          <w:szCs w:val="22"/>
          <w:lang w:eastAsia="en-US"/>
        </w:rPr>
        <w:t xml:space="preserve">gydytų moterų </w:t>
      </w:r>
      <w:r>
        <w:rPr>
          <w:rFonts w:eastAsiaTheme="minorHAnsi"/>
          <w:color w:val="000000"/>
          <w:sz w:val="22"/>
          <w:szCs w:val="22"/>
          <w:lang w:eastAsia="en-US"/>
        </w:rPr>
        <w:t xml:space="preserve">pieną. Jeigu žindote, nevartokite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5649EFD4" w14:textId="77777777" w:rsidR="003B31DC" w:rsidRDefault="003B31DC">
      <w:pPr>
        <w:autoSpaceDE w:val="0"/>
        <w:autoSpaceDN w:val="0"/>
        <w:adjustRightInd w:val="0"/>
        <w:rPr>
          <w:rFonts w:eastAsiaTheme="minorHAnsi"/>
          <w:color w:val="000000"/>
          <w:sz w:val="22"/>
          <w:szCs w:val="22"/>
          <w:lang w:eastAsia="en-US"/>
        </w:rPr>
      </w:pPr>
    </w:p>
    <w:p w14:paraId="6D828A21"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Vairavimas ir mechanizmų valdymas</w:t>
      </w:r>
    </w:p>
    <w:p w14:paraId="43FA0654"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gebėjimą vairuoti ir valdyti mechanizmus veikia silpnai.</w:t>
      </w:r>
    </w:p>
    <w:p w14:paraId="69D1A58C" w14:textId="77777777" w:rsidR="003B31DC" w:rsidRDefault="00913CBE">
      <w:pPr>
        <w:numPr>
          <w:ilvl w:val="12"/>
          <w:numId w:val="0"/>
        </w:numPr>
        <w:rPr>
          <w:rFonts w:eastAsiaTheme="minorHAnsi"/>
          <w:color w:val="000000"/>
          <w:sz w:val="22"/>
          <w:szCs w:val="22"/>
          <w:lang w:eastAsia="en-US"/>
        </w:rPr>
      </w:pPr>
      <w:r>
        <w:rPr>
          <w:rFonts w:eastAsiaTheme="minorHAnsi"/>
          <w:color w:val="000000"/>
          <w:sz w:val="22"/>
          <w:szCs w:val="22"/>
          <w:lang w:eastAsia="en-US"/>
        </w:rPr>
        <w:lastRenderedPageBreak/>
        <w:t xml:space="preserve">Vartojant šį vaistą kartu su vaistais, kurie vadinami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dariniais, arba insulinu, gali per daug sumažėti cukraus kiekis kraujyje (atsirasti hipoglikemija) ir pasireikšti tokie simptomai, kaip drebulys, prakaitavimas, regos pokytis ir tai gali veikti gebėjimą vairuoti ir valdyti mechanizmus. Nevairuokite ir nevaldykite jokių staklių ar mechanizmų, jei vartodami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jaučiate svaigulį.</w:t>
      </w:r>
    </w:p>
    <w:p w14:paraId="2AC8CE51" w14:textId="77777777" w:rsidR="003B31DC" w:rsidRDefault="003B31DC">
      <w:pPr>
        <w:widowControl w:val="0"/>
        <w:numPr>
          <w:ilvl w:val="12"/>
          <w:numId w:val="0"/>
        </w:numPr>
        <w:ind w:right="-2"/>
        <w:rPr>
          <w:sz w:val="22"/>
          <w:szCs w:val="22"/>
          <w:lang w:eastAsia="en-US"/>
        </w:rPr>
      </w:pPr>
    </w:p>
    <w:p w14:paraId="749FC6D3" w14:textId="77777777" w:rsidR="003B31DC" w:rsidRDefault="003B31DC">
      <w:pPr>
        <w:widowControl w:val="0"/>
        <w:numPr>
          <w:ilvl w:val="12"/>
          <w:numId w:val="0"/>
        </w:numPr>
        <w:ind w:right="-2"/>
        <w:rPr>
          <w:sz w:val="22"/>
          <w:szCs w:val="22"/>
          <w:lang w:eastAsia="en-US"/>
        </w:rPr>
      </w:pPr>
    </w:p>
    <w:p w14:paraId="309B7ED8" w14:textId="77777777" w:rsidR="003B31DC" w:rsidRDefault="00913CBE">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Mempoglyn</w:t>
      </w:r>
      <w:proofErr w:type="spellEnd"/>
    </w:p>
    <w:p w14:paraId="585DF76A" w14:textId="77777777" w:rsidR="003B31DC" w:rsidRDefault="003B31DC">
      <w:pPr>
        <w:widowControl w:val="0"/>
        <w:ind w:left="567" w:hanging="567"/>
        <w:rPr>
          <w:sz w:val="22"/>
          <w:szCs w:val="22"/>
          <w:lang w:eastAsia="en-US"/>
        </w:rPr>
      </w:pPr>
    </w:p>
    <w:p w14:paraId="27E97A45" w14:textId="77777777" w:rsidR="003B31DC" w:rsidRDefault="00913CBE">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43047DF6" w14:textId="77777777" w:rsidR="003B31DC" w:rsidRDefault="003B31DC">
      <w:pPr>
        <w:widowControl w:val="0"/>
        <w:rPr>
          <w:sz w:val="22"/>
          <w:szCs w:val="22"/>
          <w:lang w:eastAsia="sl-SI"/>
        </w:rPr>
      </w:pPr>
    </w:p>
    <w:p w14:paraId="1E61187E"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Kiek vartoti</w:t>
      </w:r>
    </w:p>
    <w:p w14:paraId="0DF55040"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dozė priklauso nuo Jūsų būklės ir nuo kitų Jūsų vartojamų vaistų nuo diabeto dozių. Jūsų gydytojas pritaikys reikiamą dozę ir pasakys tiksliai, kokio stiprumo šį vaistą vartoti.</w:t>
      </w:r>
    </w:p>
    <w:p w14:paraId="17145CC0" w14:textId="77777777" w:rsidR="003B31DC" w:rsidRDefault="003B31DC">
      <w:pPr>
        <w:autoSpaceDE w:val="0"/>
        <w:autoSpaceDN w:val="0"/>
        <w:adjustRightInd w:val="0"/>
        <w:rPr>
          <w:rFonts w:eastAsiaTheme="minorHAnsi"/>
          <w:color w:val="000000"/>
          <w:sz w:val="22"/>
          <w:szCs w:val="22"/>
          <w:lang w:eastAsia="en-US"/>
        </w:rPr>
      </w:pPr>
    </w:p>
    <w:p w14:paraId="0336FFC1"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Rekomenduojama dozė yra viena tabletė du kartus per parą. Paprastai Jūsų gydytojas pradės gydymą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paskirdamas tokio stiprumo tabletes, kuriose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dozė (850 mg ar 1 000 mg du kartus per parą) atitiks dabar jau Jūsų vartojamo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dozę ir kuriose bus mažiausia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dozė (5 mg du kartus per parą). Jei Jūs jau vartojate abu vaistus atskirai, Jūsų gydytojas pradės gydymą tokiomis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tabletėmis, kuriose bus toks pat abiejų vaistų kiekis. Jeigu Jūsų inkstų funkcija yra susilpnėjusi, gydytojas gali skirti mažesnę dozę arba nuspręsti skirti kitą vaistą.</w:t>
      </w:r>
    </w:p>
    <w:p w14:paraId="6FFE45F5" w14:textId="77777777" w:rsidR="003B31DC" w:rsidRDefault="003B31DC">
      <w:pPr>
        <w:autoSpaceDE w:val="0"/>
        <w:autoSpaceDN w:val="0"/>
        <w:adjustRightInd w:val="0"/>
        <w:rPr>
          <w:rFonts w:eastAsiaTheme="minorHAnsi"/>
          <w:color w:val="000000"/>
          <w:sz w:val="22"/>
          <w:szCs w:val="22"/>
          <w:lang w:eastAsia="en-US"/>
        </w:rPr>
      </w:pPr>
    </w:p>
    <w:p w14:paraId="08CEC6B7"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Kaip šio vaisto vartoti</w:t>
      </w:r>
    </w:p>
    <w:p w14:paraId="7FAA0483" w14:textId="0FD6156D" w:rsidR="003B31DC" w:rsidRPr="00FA2F7A" w:rsidRDefault="00913CBE">
      <w:pPr>
        <w:numPr>
          <w:ilvl w:val="0"/>
          <w:numId w:val="20"/>
        </w:numPr>
        <w:spacing w:after="15" w:line="248" w:lineRule="auto"/>
        <w:ind w:right="11" w:hanging="566"/>
        <w:rPr>
          <w:color w:val="000000"/>
          <w:kern w:val="2"/>
          <w:sz w:val="22"/>
          <w:szCs w:val="22"/>
          <w:lang w:eastAsia="sl-SI"/>
          <w14:ligatures w14:val="standardContextual"/>
        </w:rPr>
      </w:pPr>
      <w:r>
        <w:rPr>
          <w:rFonts w:eastAsiaTheme="minorHAnsi"/>
          <w:color w:val="000000"/>
          <w:sz w:val="22"/>
          <w:szCs w:val="22"/>
          <w:lang w:eastAsia="en-US"/>
        </w:rPr>
        <w:t xml:space="preserve">Nurykite </w:t>
      </w:r>
      <w:r w:rsidR="005B5303">
        <w:rPr>
          <w:rFonts w:eastAsiaTheme="minorHAnsi"/>
          <w:color w:val="000000"/>
          <w:sz w:val="22"/>
          <w:szCs w:val="22"/>
          <w:lang w:eastAsia="en-US"/>
        </w:rPr>
        <w:t xml:space="preserve">nepažeistą </w:t>
      </w:r>
      <w:r>
        <w:rPr>
          <w:rFonts w:eastAsiaTheme="minorHAnsi"/>
          <w:color w:val="000000"/>
          <w:sz w:val="22"/>
          <w:szCs w:val="22"/>
          <w:lang w:eastAsia="en-US"/>
        </w:rPr>
        <w:t>tabletę užgerdami vandeniu.</w:t>
      </w:r>
    </w:p>
    <w:p w14:paraId="387C11F9" w14:textId="77777777" w:rsidR="003B31DC" w:rsidRPr="00FA2F7A" w:rsidRDefault="00913CBE">
      <w:pPr>
        <w:numPr>
          <w:ilvl w:val="0"/>
          <w:numId w:val="20"/>
        </w:numPr>
        <w:spacing w:after="15" w:line="248" w:lineRule="auto"/>
        <w:ind w:right="11" w:hanging="566"/>
        <w:rPr>
          <w:color w:val="000000"/>
          <w:kern w:val="2"/>
          <w:sz w:val="22"/>
          <w:szCs w:val="22"/>
          <w:lang w:val="sv-SE" w:eastAsia="sl-SI"/>
          <w14:ligatures w14:val="standardContextual"/>
        </w:rPr>
      </w:pPr>
      <w:r>
        <w:rPr>
          <w:rFonts w:eastAsiaTheme="minorHAnsi"/>
          <w:color w:val="000000"/>
          <w:sz w:val="22"/>
          <w:szCs w:val="22"/>
          <w:lang w:eastAsia="en-US"/>
        </w:rPr>
        <w:t>Gerkite tabletes valgio metu, kad sumažėtų skrandžio sutrikimo galimybė.</w:t>
      </w:r>
    </w:p>
    <w:p w14:paraId="0ACA4504" w14:textId="77777777" w:rsidR="003B31DC" w:rsidRPr="00A02B90" w:rsidRDefault="00913CBE">
      <w:pPr>
        <w:numPr>
          <w:ilvl w:val="0"/>
          <w:numId w:val="20"/>
        </w:numPr>
        <w:spacing w:after="15" w:line="248" w:lineRule="auto"/>
        <w:ind w:right="11" w:hanging="566"/>
        <w:rPr>
          <w:color w:val="000000"/>
          <w:kern w:val="2"/>
          <w:sz w:val="22"/>
          <w:szCs w:val="22"/>
          <w:lang w:eastAsia="sl-SI"/>
          <w14:ligatures w14:val="standardContextual"/>
        </w:rPr>
      </w:pPr>
      <w:r>
        <w:rPr>
          <w:rFonts w:eastAsiaTheme="minorHAnsi"/>
          <w:color w:val="000000"/>
          <w:sz w:val="22"/>
          <w:szCs w:val="22"/>
          <w:lang w:eastAsia="en-US"/>
        </w:rPr>
        <w:t>Gerkite tabletę du kartus per parą,</w:t>
      </w:r>
      <w:r>
        <w:t xml:space="preserve"> </w:t>
      </w:r>
      <w:r>
        <w:rPr>
          <w:rFonts w:eastAsiaTheme="minorHAnsi"/>
          <w:color w:val="000000"/>
          <w:sz w:val="22"/>
          <w:szCs w:val="22"/>
          <w:lang w:eastAsia="en-US"/>
        </w:rPr>
        <w:t>vieną kartą ryte ir vieną kartą vakare. Lizdinės plokštelės simboliai padės prisiminti, kurią dozę jau išgėrėte. Saulės simbolis žymi rytinę dozę, o mėnulio simbolis – vakarinę dozę</w:t>
      </w:r>
    </w:p>
    <w:p w14:paraId="0CC66FD7" w14:textId="77777777" w:rsidR="003B31DC" w:rsidRDefault="003B31DC">
      <w:pPr>
        <w:autoSpaceDE w:val="0"/>
        <w:autoSpaceDN w:val="0"/>
        <w:adjustRightInd w:val="0"/>
        <w:rPr>
          <w:rFonts w:eastAsiaTheme="minorHAnsi"/>
          <w:color w:val="000000"/>
          <w:sz w:val="22"/>
          <w:szCs w:val="22"/>
          <w:lang w:eastAsia="en-US"/>
        </w:rPr>
      </w:pPr>
    </w:p>
    <w:p w14:paraId="33BD463A"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Gydytojas gali skirti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vartoti kartu su kitu vaistu nuo cukrinio diabeto. Nepamirškite visus vaistus vartoti taip, kaip nurodė gydytojas, kad gydymo rezultatai Jūsų sveikatai būtų geriausi. Gydytojui gali prireikti pritaikyti dozę, kad kontroliuotų gliukozės kiekį kraujyje.</w:t>
      </w:r>
    </w:p>
    <w:p w14:paraId="7F3BDE9B" w14:textId="77777777" w:rsidR="003B31DC" w:rsidRDefault="003B31DC">
      <w:pPr>
        <w:autoSpaceDE w:val="0"/>
        <w:autoSpaceDN w:val="0"/>
        <w:adjustRightInd w:val="0"/>
        <w:rPr>
          <w:rFonts w:eastAsiaTheme="minorHAnsi"/>
          <w:color w:val="000000"/>
          <w:sz w:val="22"/>
          <w:szCs w:val="22"/>
          <w:lang w:eastAsia="en-US"/>
        </w:rPr>
      </w:pPr>
    </w:p>
    <w:p w14:paraId="36D7E1B6" w14:textId="6BFC6766"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Tinkama dieta ir </w:t>
      </w:r>
      <w:r w:rsidR="00465551">
        <w:rPr>
          <w:rFonts w:eastAsiaTheme="minorHAnsi"/>
          <w:color w:val="000000"/>
          <w:sz w:val="22"/>
          <w:szCs w:val="22"/>
          <w:lang w:eastAsia="en-US"/>
        </w:rPr>
        <w:t xml:space="preserve">fizinis krūvis </w:t>
      </w:r>
      <w:r>
        <w:rPr>
          <w:rFonts w:eastAsiaTheme="minorHAnsi"/>
          <w:color w:val="000000"/>
          <w:sz w:val="22"/>
          <w:szCs w:val="22"/>
          <w:lang w:eastAsia="en-US"/>
        </w:rPr>
        <w:t xml:space="preserve">padeda organizmui geriau panaudoti kraujyje esantį cukrų. Vartojant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svarbu toliau laikytis gydytojo nurodymų dėl dietos ir </w:t>
      </w:r>
      <w:r w:rsidR="00465551">
        <w:rPr>
          <w:rFonts w:eastAsiaTheme="minorHAnsi"/>
          <w:color w:val="000000"/>
          <w:sz w:val="22"/>
          <w:szCs w:val="22"/>
          <w:lang w:eastAsia="en-US"/>
        </w:rPr>
        <w:t>fizinio krūvio programos</w:t>
      </w:r>
      <w:r>
        <w:rPr>
          <w:rFonts w:eastAsiaTheme="minorHAnsi"/>
          <w:color w:val="000000"/>
          <w:sz w:val="22"/>
          <w:szCs w:val="22"/>
          <w:lang w:eastAsia="en-US"/>
        </w:rPr>
        <w:t>.</w:t>
      </w:r>
    </w:p>
    <w:p w14:paraId="12FAD145" w14:textId="77777777" w:rsidR="003B31DC" w:rsidRDefault="003B31DC">
      <w:pPr>
        <w:widowControl w:val="0"/>
        <w:numPr>
          <w:ilvl w:val="12"/>
          <w:numId w:val="0"/>
        </w:numPr>
        <w:ind w:right="-2"/>
        <w:rPr>
          <w:rFonts w:eastAsiaTheme="minorHAnsi"/>
          <w:color w:val="000000"/>
          <w:sz w:val="22"/>
          <w:szCs w:val="22"/>
          <w:lang w:eastAsia="en-US"/>
        </w:rPr>
      </w:pPr>
    </w:p>
    <w:p w14:paraId="3B3B08DA"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Ką daryti pavartojus per didelę </w:t>
      </w: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dozę?</w:t>
      </w:r>
    </w:p>
    <w:p w14:paraId="62CF634B" w14:textId="155153D8" w:rsidR="003B31DC" w:rsidRDefault="00913CBE">
      <w:pPr>
        <w:autoSpaceDE w:val="0"/>
        <w:autoSpaceDN w:val="0"/>
        <w:adjustRightInd w:val="0"/>
        <w:rPr>
          <w:rFonts w:eastAsiaTheme="minorHAnsi"/>
          <w:b/>
          <w:bCs/>
          <w:color w:val="000000"/>
          <w:sz w:val="22"/>
          <w:szCs w:val="22"/>
          <w:lang w:eastAsia="en-US"/>
        </w:rPr>
      </w:pPr>
      <w:r>
        <w:rPr>
          <w:rFonts w:eastAsiaTheme="minorHAnsi"/>
          <w:color w:val="000000"/>
          <w:sz w:val="22"/>
          <w:szCs w:val="22"/>
          <w:lang w:eastAsia="en-US"/>
        </w:rPr>
        <w:t xml:space="preserve">Jei pavartojote daugiau šio vaisto tablečių, negu reikėjo, Jums gali pasireikšti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simptomai nespecifiniai, pvz., pykinimo jausmas arba labai didelis pykinimas, vėmimas, pilvo skausmas su raumenų spazmais, bendra bloga savijauta ir didelis nuovargis bei kvėpavimo sunkumas. Kiti simptomai yra sumažėjusi kūno temperatūra ir širdies plakimas. </w:t>
      </w:r>
      <w:r>
        <w:rPr>
          <w:rFonts w:eastAsiaTheme="minorHAnsi"/>
          <w:b/>
          <w:bCs/>
          <w:color w:val="000000"/>
          <w:sz w:val="22"/>
          <w:szCs w:val="22"/>
          <w:lang w:eastAsia="en-US"/>
        </w:rPr>
        <w:t xml:space="preserve">Jei taip atsitiktų Jums, gali prireikti neatidėliotino gydymo ligoninėje, nes pieno rūgšties </w:t>
      </w:r>
      <w:proofErr w:type="spellStart"/>
      <w:r>
        <w:rPr>
          <w:rFonts w:eastAsiaTheme="minorHAnsi"/>
          <w:b/>
          <w:bCs/>
          <w:color w:val="000000"/>
          <w:sz w:val="22"/>
          <w:szCs w:val="22"/>
          <w:lang w:eastAsia="en-US"/>
        </w:rPr>
        <w:t>acidozė</w:t>
      </w:r>
      <w:proofErr w:type="spellEnd"/>
      <w:r>
        <w:rPr>
          <w:rFonts w:eastAsiaTheme="minorHAnsi"/>
          <w:b/>
          <w:bCs/>
          <w:color w:val="000000"/>
          <w:sz w:val="22"/>
          <w:szCs w:val="22"/>
          <w:lang w:eastAsia="en-US"/>
        </w:rPr>
        <w:t xml:space="preserve"> gali sukelti komą. Nedelsdami nustokite vartoti šį vaistą ir </w:t>
      </w:r>
      <w:r w:rsidR="00D431D6">
        <w:rPr>
          <w:rFonts w:eastAsiaTheme="minorHAnsi"/>
          <w:b/>
          <w:bCs/>
          <w:color w:val="000000"/>
          <w:sz w:val="22"/>
          <w:szCs w:val="22"/>
          <w:lang w:eastAsia="en-US"/>
        </w:rPr>
        <w:t>kreipkitės į</w:t>
      </w:r>
      <w:r>
        <w:rPr>
          <w:rFonts w:eastAsiaTheme="minorHAnsi"/>
          <w:b/>
          <w:bCs/>
          <w:color w:val="000000"/>
          <w:sz w:val="22"/>
          <w:szCs w:val="22"/>
          <w:lang w:eastAsia="en-US"/>
        </w:rPr>
        <w:t xml:space="preserve"> gydytoj</w:t>
      </w:r>
      <w:r w:rsidR="00D431D6">
        <w:rPr>
          <w:rFonts w:eastAsiaTheme="minorHAnsi"/>
          <w:b/>
          <w:bCs/>
          <w:color w:val="000000"/>
          <w:sz w:val="22"/>
          <w:szCs w:val="22"/>
          <w:lang w:eastAsia="en-US"/>
        </w:rPr>
        <w:t>ą</w:t>
      </w:r>
      <w:r>
        <w:rPr>
          <w:rFonts w:eastAsiaTheme="minorHAnsi"/>
          <w:b/>
          <w:bCs/>
          <w:color w:val="000000"/>
          <w:sz w:val="22"/>
          <w:szCs w:val="22"/>
          <w:lang w:eastAsia="en-US"/>
        </w:rPr>
        <w:t xml:space="preserve"> ar  artimiausią ligoninę (žr. 2 skyrių). Su savimi pasiimkite vaisto pakuotę.</w:t>
      </w:r>
    </w:p>
    <w:p w14:paraId="492114C1" w14:textId="77777777" w:rsidR="003B31DC" w:rsidRDefault="003B31DC">
      <w:pPr>
        <w:autoSpaceDE w:val="0"/>
        <w:autoSpaceDN w:val="0"/>
        <w:adjustRightInd w:val="0"/>
        <w:rPr>
          <w:rFonts w:eastAsiaTheme="minorHAnsi"/>
          <w:color w:val="000000"/>
          <w:sz w:val="22"/>
          <w:szCs w:val="22"/>
          <w:lang w:eastAsia="en-US"/>
        </w:rPr>
      </w:pPr>
    </w:p>
    <w:p w14:paraId="15260828"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Pamiršus pavartoti </w:t>
      </w:r>
      <w:proofErr w:type="spellStart"/>
      <w:r>
        <w:rPr>
          <w:rFonts w:eastAsiaTheme="minorHAnsi"/>
          <w:b/>
          <w:bCs/>
          <w:color w:val="000000"/>
          <w:sz w:val="22"/>
          <w:szCs w:val="22"/>
          <w:lang w:eastAsia="en-US"/>
        </w:rPr>
        <w:t>Mempoglyn</w:t>
      </w:r>
      <w:proofErr w:type="spellEnd"/>
    </w:p>
    <w:p w14:paraId="6F13AA6A"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 praleidote dozę, išgerkite ją tuoj pat, kai tik prisiminsite. Jei neprisiminsite iki kitos dozės vartojimo laiko, pamirštą dozę praleiskite, o toliau vaistą vartokite įprasta tvarka. Negalima vartoti dvigubos šio vaisto dozės.</w:t>
      </w:r>
    </w:p>
    <w:p w14:paraId="607D9413" w14:textId="77777777" w:rsidR="003B31DC" w:rsidRDefault="003B31DC">
      <w:pPr>
        <w:autoSpaceDE w:val="0"/>
        <w:autoSpaceDN w:val="0"/>
        <w:adjustRightInd w:val="0"/>
        <w:rPr>
          <w:rFonts w:eastAsiaTheme="minorHAnsi"/>
          <w:b/>
          <w:bCs/>
          <w:color w:val="000000"/>
          <w:sz w:val="22"/>
          <w:szCs w:val="22"/>
          <w:lang w:eastAsia="en-US"/>
        </w:rPr>
      </w:pPr>
    </w:p>
    <w:p w14:paraId="4CA68893"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Nustojus vartoti </w:t>
      </w:r>
      <w:proofErr w:type="spellStart"/>
      <w:r>
        <w:rPr>
          <w:rFonts w:eastAsiaTheme="minorHAnsi"/>
          <w:b/>
          <w:bCs/>
          <w:color w:val="000000"/>
          <w:sz w:val="22"/>
          <w:szCs w:val="22"/>
          <w:lang w:eastAsia="en-US"/>
        </w:rPr>
        <w:t>Mempoglyn</w:t>
      </w:r>
      <w:proofErr w:type="spellEnd"/>
    </w:p>
    <w:p w14:paraId="2BD249EB"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Nepasitarę su savo gydytoju,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vartojimo nenutraukite, išskyrus, kai įtariate, jog Jums pasireiškė diabetinė </w:t>
      </w:r>
      <w:proofErr w:type="spellStart"/>
      <w:r>
        <w:rPr>
          <w:rFonts w:eastAsiaTheme="minorHAnsi"/>
          <w:color w:val="000000"/>
          <w:sz w:val="22"/>
          <w:szCs w:val="22"/>
          <w:lang w:eastAsia="en-US"/>
        </w:rPr>
        <w:t>ketoacidozė</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arba būklė, kuri gali būti susijusi su dehidratacija (skysčių netekimu) (žr. „Įspėjimai ir atsargumo priemonės“ 2 skyriuje).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vartojimą nutraukus, gali padidėti cukraus kiekis Jūsų kraujyje.</w:t>
      </w:r>
    </w:p>
    <w:p w14:paraId="3D6A8008" w14:textId="77777777" w:rsidR="003B31DC" w:rsidRDefault="003B31DC">
      <w:pPr>
        <w:autoSpaceDE w:val="0"/>
        <w:autoSpaceDN w:val="0"/>
        <w:adjustRightInd w:val="0"/>
        <w:rPr>
          <w:rFonts w:eastAsiaTheme="minorHAnsi"/>
          <w:color w:val="000000"/>
          <w:sz w:val="22"/>
          <w:szCs w:val="22"/>
          <w:lang w:eastAsia="en-US"/>
        </w:rPr>
      </w:pPr>
    </w:p>
    <w:p w14:paraId="39BE8D92" w14:textId="77777777" w:rsidR="003B31DC" w:rsidRDefault="00913CBE">
      <w:pPr>
        <w:widowControl w:val="0"/>
        <w:numPr>
          <w:ilvl w:val="12"/>
          <w:numId w:val="0"/>
        </w:numPr>
        <w:ind w:right="-2"/>
        <w:rPr>
          <w:sz w:val="22"/>
          <w:szCs w:val="22"/>
          <w:lang w:eastAsia="en-US"/>
        </w:rPr>
      </w:pPr>
      <w:r>
        <w:rPr>
          <w:rFonts w:eastAsiaTheme="minorHAnsi"/>
          <w:color w:val="000000"/>
          <w:sz w:val="22"/>
          <w:szCs w:val="22"/>
          <w:lang w:eastAsia="en-US"/>
        </w:rPr>
        <w:t>Jeigu kiltų daugiau klausimų dėl šio vaisto vartojimo, kreipkitės į gydytoją, vaistininką arba slaugytoją.</w:t>
      </w:r>
    </w:p>
    <w:p w14:paraId="5E49EBA2" w14:textId="77777777" w:rsidR="003B31DC" w:rsidRDefault="003B31DC">
      <w:pPr>
        <w:widowControl w:val="0"/>
        <w:numPr>
          <w:ilvl w:val="12"/>
          <w:numId w:val="0"/>
        </w:numPr>
        <w:ind w:right="-2"/>
        <w:rPr>
          <w:sz w:val="22"/>
          <w:szCs w:val="22"/>
          <w:lang w:eastAsia="en-US"/>
        </w:rPr>
      </w:pPr>
    </w:p>
    <w:p w14:paraId="54E19EA3" w14:textId="77777777" w:rsidR="003B31DC" w:rsidRDefault="003B31DC">
      <w:pPr>
        <w:widowControl w:val="0"/>
        <w:numPr>
          <w:ilvl w:val="12"/>
          <w:numId w:val="0"/>
        </w:numPr>
        <w:ind w:right="-2"/>
        <w:rPr>
          <w:sz w:val="22"/>
          <w:szCs w:val="22"/>
          <w:lang w:eastAsia="en-US"/>
        </w:rPr>
      </w:pPr>
    </w:p>
    <w:p w14:paraId="6E8FA58F" w14:textId="77777777" w:rsidR="003B31DC" w:rsidRDefault="00913CBE">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17CF50B1" w14:textId="77777777" w:rsidR="003B31DC" w:rsidRDefault="003B31DC">
      <w:pPr>
        <w:widowControl w:val="0"/>
        <w:ind w:left="567" w:hanging="567"/>
        <w:rPr>
          <w:sz w:val="22"/>
          <w:szCs w:val="22"/>
          <w:lang w:eastAsia="en-US"/>
        </w:rPr>
      </w:pPr>
    </w:p>
    <w:p w14:paraId="075765F4" w14:textId="77777777" w:rsidR="003B31DC" w:rsidRDefault="00913CBE">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3EEEF857" w14:textId="77777777" w:rsidR="003B31DC" w:rsidRDefault="003B31DC">
      <w:pPr>
        <w:widowControl w:val="0"/>
        <w:tabs>
          <w:tab w:val="left" w:pos="1296"/>
        </w:tabs>
        <w:snapToGrid w:val="0"/>
        <w:rPr>
          <w:sz w:val="22"/>
          <w:szCs w:val="22"/>
          <w:lang w:eastAsia="sl-SI"/>
        </w:rPr>
      </w:pPr>
    </w:p>
    <w:p w14:paraId="70B9EC02" w14:textId="430DDA68"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Nedelsdami </w:t>
      </w:r>
      <w:r w:rsidR="007C651D">
        <w:rPr>
          <w:rFonts w:eastAsiaTheme="minorHAnsi"/>
          <w:b/>
          <w:bCs/>
          <w:color w:val="000000"/>
          <w:sz w:val="22"/>
          <w:szCs w:val="22"/>
          <w:lang w:eastAsia="en-US"/>
        </w:rPr>
        <w:t>kreipkitės į</w:t>
      </w:r>
      <w:r>
        <w:rPr>
          <w:rFonts w:eastAsiaTheme="minorHAnsi"/>
          <w:b/>
          <w:bCs/>
          <w:color w:val="000000"/>
          <w:sz w:val="22"/>
          <w:szCs w:val="22"/>
          <w:lang w:eastAsia="en-US"/>
        </w:rPr>
        <w:t xml:space="preserve"> gydytoj</w:t>
      </w:r>
      <w:r w:rsidR="007C651D">
        <w:rPr>
          <w:rFonts w:eastAsiaTheme="minorHAnsi"/>
          <w:b/>
          <w:bCs/>
          <w:color w:val="000000"/>
          <w:sz w:val="22"/>
          <w:szCs w:val="22"/>
          <w:lang w:eastAsia="en-US"/>
        </w:rPr>
        <w:t>ą</w:t>
      </w:r>
      <w:r>
        <w:rPr>
          <w:rFonts w:eastAsiaTheme="minorHAnsi"/>
          <w:b/>
          <w:bCs/>
          <w:color w:val="000000"/>
          <w:sz w:val="22"/>
          <w:szCs w:val="22"/>
          <w:lang w:eastAsia="en-US"/>
        </w:rPr>
        <w:t xml:space="preserve"> ar  artimiausią ligoninę, jeigu Jums pasireiškė kuris nors iš toliau nurodytų šalutinių poveikių:</w:t>
      </w:r>
    </w:p>
    <w:p w14:paraId="279FF0BB" w14:textId="77777777" w:rsidR="003B31DC" w:rsidRDefault="003B31DC">
      <w:pPr>
        <w:autoSpaceDE w:val="0"/>
        <w:autoSpaceDN w:val="0"/>
        <w:adjustRightInd w:val="0"/>
        <w:rPr>
          <w:rFonts w:eastAsiaTheme="minorHAnsi"/>
          <w:color w:val="000000"/>
          <w:sz w:val="22"/>
          <w:szCs w:val="22"/>
          <w:lang w:eastAsia="en-US"/>
        </w:rPr>
      </w:pPr>
    </w:p>
    <w:p w14:paraId="3DE2EDE8"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Sunki alerginė reakcija, kuri pasireiškia nedažnai (gali pasireikšti rečiau kaip 1 iš 100 asmenų):</w:t>
      </w:r>
    </w:p>
    <w:p w14:paraId="45CDAB0F"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Sunki alerginė reakcija gali pasireikšti šiais požymiais:</w:t>
      </w:r>
    </w:p>
    <w:p w14:paraId="7E2826C0" w14:textId="77777777" w:rsidR="003B31DC" w:rsidRPr="00A02B90" w:rsidRDefault="00913CBE">
      <w:pPr>
        <w:widowControl w:val="0"/>
        <w:numPr>
          <w:ilvl w:val="0"/>
          <w:numId w:val="37"/>
        </w:numPr>
        <w:tabs>
          <w:tab w:val="left" w:pos="9071"/>
        </w:tabs>
        <w:ind w:left="567" w:right="-2" w:hanging="567"/>
        <w:rPr>
          <w:sz w:val="22"/>
          <w:szCs w:val="22"/>
          <w:lang w:eastAsia="sl-SI"/>
        </w:rPr>
      </w:pPr>
      <w:r>
        <w:rPr>
          <w:rFonts w:eastAsiaTheme="minorHAnsi"/>
          <w:color w:val="000000"/>
          <w:sz w:val="22"/>
          <w:szCs w:val="22"/>
          <w:lang w:eastAsia="en-US"/>
        </w:rPr>
        <w:t>veido, lūpų, burnos, liežuvio arba gerklės tinimu, dėl ko gali būti sunku kvėpuoti arba ryti.</w:t>
      </w:r>
    </w:p>
    <w:p w14:paraId="65639ED1" w14:textId="77777777" w:rsidR="003B31DC" w:rsidRDefault="003B31DC">
      <w:pPr>
        <w:autoSpaceDE w:val="0"/>
        <w:autoSpaceDN w:val="0"/>
        <w:adjustRightInd w:val="0"/>
        <w:rPr>
          <w:rFonts w:eastAsiaTheme="minorHAnsi"/>
          <w:color w:val="000000"/>
          <w:sz w:val="22"/>
          <w:szCs w:val="22"/>
          <w:lang w:eastAsia="en-US"/>
        </w:rPr>
      </w:pPr>
    </w:p>
    <w:p w14:paraId="39D09690"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Pieno rūgšties </w:t>
      </w:r>
      <w:proofErr w:type="spellStart"/>
      <w:r>
        <w:rPr>
          <w:rFonts w:eastAsiaTheme="minorHAnsi"/>
          <w:b/>
          <w:bCs/>
          <w:color w:val="000000"/>
          <w:sz w:val="22"/>
          <w:szCs w:val="22"/>
          <w:lang w:eastAsia="en-US"/>
        </w:rPr>
        <w:t>acidozė</w:t>
      </w:r>
      <w:proofErr w:type="spellEnd"/>
      <w:r>
        <w:rPr>
          <w:rFonts w:eastAsiaTheme="minorHAnsi"/>
          <w:b/>
          <w:bCs/>
          <w:color w:val="000000"/>
          <w:sz w:val="22"/>
          <w:szCs w:val="22"/>
          <w:lang w:eastAsia="en-US"/>
        </w:rPr>
        <w:t>, kuri pasireiškia labai retai (gali pasireikšti rečiau kaip 1 iš 10 000 asmenų)</w:t>
      </w:r>
    </w:p>
    <w:p w14:paraId="122CD59A" w14:textId="77777777" w:rsidR="003B31DC" w:rsidRDefault="00913CB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gali sukelti labai retą, tačiau labai sunkų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xml:space="preserve"> (žr. 2 skyrių). Tokiu atveju turite </w:t>
      </w:r>
      <w:r>
        <w:rPr>
          <w:rFonts w:eastAsiaTheme="minorHAnsi"/>
          <w:b/>
          <w:bCs/>
          <w:color w:val="000000"/>
          <w:sz w:val="22"/>
          <w:szCs w:val="22"/>
          <w:lang w:eastAsia="en-US"/>
        </w:rPr>
        <w:t xml:space="preserve">nustoti vartoti </w:t>
      </w:r>
      <w:proofErr w:type="spellStart"/>
      <w:r>
        <w:rPr>
          <w:rFonts w:eastAsiaTheme="minorHAnsi"/>
          <w:b/>
          <w:bCs/>
          <w:color w:val="000000"/>
          <w:sz w:val="22"/>
          <w:szCs w:val="22"/>
          <w:lang w:eastAsia="en-US"/>
        </w:rPr>
        <w:t>Mempoglyn</w:t>
      </w:r>
      <w:proofErr w:type="spellEnd"/>
      <w:r>
        <w:rPr>
          <w:rFonts w:eastAsiaTheme="minorHAnsi"/>
          <w:b/>
          <w:bCs/>
          <w:color w:val="000000"/>
          <w:sz w:val="22"/>
          <w:szCs w:val="22"/>
          <w:lang w:eastAsia="en-US"/>
        </w:rPr>
        <w:t xml:space="preserve"> ir nedelsdami kreiptis į gydytoją arba artimiausią ligoninę</w:t>
      </w:r>
      <w:r>
        <w:rPr>
          <w:rFonts w:eastAsiaTheme="minorHAnsi"/>
          <w:color w:val="000000"/>
          <w:sz w:val="22"/>
          <w:szCs w:val="22"/>
          <w:lang w:eastAsia="en-US"/>
        </w:rPr>
        <w:t xml:space="preserve">, nes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gali sukelti komą.</w:t>
      </w:r>
    </w:p>
    <w:p w14:paraId="5D0B2CC4" w14:textId="77777777" w:rsidR="003B31DC" w:rsidRDefault="003B31DC">
      <w:pPr>
        <w:autoSpaceDE w:val="0"/>
        <w:autoSpaceDN w:val="0"/>
        <w:adjustRightInd w:val="0"/>
        <w:rPr>
          <w:rFonts w:eastAsiaTheme="minorHAnsi"/>
          <w:b/>
          <w:bCs/>
          <w:color w:val="000000"/>
          <w:sz w:val="22"/>
          <w:szCs w:val="22"/>
          <w:lang w:eastAsia="en-US"/>
        </w:rPr>
      </w:pPr>
    </w:p>
    <w:p w14:paraId="10C14169"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Diabetinė </w:t>
      </w:r>
      <w:proofErr w:type="spellStart"/>
      <w:r>
        <w:rPr>
          <w:rFonts w:eastAsiaTheme="minorHAnsi"/>
          <w:b/>
          <w:bCs/>
          <w:color w:val="000000"/>
          <w:sz w:val="22"/>
          <w:szCs w:val="22"/>
          <w:lang w:eastAsia="en-US"/>
        </w:rPr>
        <w:t>ketoacidozė</w:t>
      </w:r>
      <w:proofErr w:type="spellEnd"/>
      <w:r>
        <w:rPr>
          <w:rFonts w:eastAsiaTheme="minorHAnsi"/>
          <w:b/>
          <w:bCs/>
          <w:color w:val="000000"/>
          <w:sz w:val="22"/>
          <w:szCs w:val="22"/>
          <w:lang w:eastAsia="en-US"/>
        </w:rPr>
        <w:t>, stebėta retai (gali pasireikšti rečiau kaip 1 iš 1 000 asmenų)</w:t>
      </w:r>
    </w:p>
    <w:p w14:paraId="60F70354"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Toliau nurodyti diabetinės </w:t>
      </w:r>
      <w:proofErr w:type="spellStart"/>
      <w:r>
        <w:rPr>
          <w:rFonts w:eastAsiaTheme="minorHAnsi"/>
          <w:color w:val="000000"/>
          <w:sz w:val="22"/>
          <w:szCs w:val="22"/>
          <w:lang w:eastAsia="en-US"/>
        </w:rPr>
        <w:t>ketoacidozės</w:t>
      </w:r>
      <w:proofErr w:type="spellEnd"/>
      <w:r>
        <w:rPr>
          <w:rFonts w:eastAsiaTheme="minorHAnsi"/>
          <w:color w:val="000000"/>
          <w:sz w:val="22"/>
          <w:szCs w:val="22"/>
          <w:lang w:eastAsia="en-US"/>
        </w:rPr>
        <w:t xml:space="preserve"> požymiai (žr. 2 skyrių):</w:t>
      </w:r>
    </w:p>
    <w:p w14:paraId="7F479177" w14:textId="77777777" w:rsidR="003B31DC" w:rsidRPr="00A02B90" w:rsidRDefault="00913CBE">
      <w:pPr>
        <w:widowControl w:val="0"/>
        <w:numPr>
          <w:ilvl w:val="0"/>
          <w:numId w:val="37"/>
        </w:numPr>
        <w:tabs>
          <w:tab w:val="left" w:pos="9071"/>
        </w:tabs>
        <w:ind w:left="567" w:right="-2" w:hanging="567"/>
        <w:rPr>
          <w:sz w:val="22"/>
          <w:szCs w:val="22"/>
          <w:lang w:eastAsia="sl-SI"/>
        </w:rPr>
      </w:pPr>
      <w:r>
        <w:rPr>
          <w:rFonts w:eastAsiaTheme="minorHAnsi"/>
          <w:color w:val="000000"/>
          <w:sz w:val="22"/>
          <w:szCs w:val="22"/>
          <w:lang w:eastAsia="en-US"/>
        </w:rPr>
        <w:t>padidėjęs „</w:t>
      </w:r>
      <w:proofErr w:type="spellStart"/>
      <w:r>
        <w:rPr>
          <w:rFonts w:eastAsiaTheme="minorHAnsi"/>
          <w:color w:val="000000"/>
          <w:sz w:val="22"/>
          <w:szCs w:val="22"/>
          <w:lang w:eastAsia="en-US"/>
        </w:rPr>
        <w:t>ketoninių</w:t>
      </w:r>
      <w:proofErr w:type="spellEnd"/>
      <w:r>
        <w:rPr>
          <w:rFonts w:eastAsiaTheme="minorHAnsi"/>
          <w:color w:val="000000"/>
          <w:sz w:val="22"/>
          <w:szCs w:val="22"/>
          <w:lang w:eastAsia="en-US"/>
        </w:rPr>
        <w:t xml:space="preserve"> kūnų“ kiekis Jūsų šlapime ar kraujyje,</w:t>
      </w:r>
    </w:p>
    <w:p w14:paraId="77A48E45"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greitas svorio kritimas,</w:t>
      </w:r>
    </w:p>
    <w:p w14:paraId="7EF2D9A2"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pykinimas ar vėmimas,</w:t>
      </w:r>
    </w:p>
    <w:p w14:paraId="459423B2"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pilvo skausmas,</w:t>
      </w:r>
    </w:p>
    <w:p w14:paraId="5F2A49A4"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didelis troškulys,</w:t>
      </w:r>
    </w:p>
    <w:p w14:paraId="7457FA95"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greitas ir gilus kvėpavimas,</w:t>
      </w:r>
    </w:p>
    <w:p w14:paraId="6E351672"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sumišimas,</w:t>
      </w:r>
    </w:p>
    <w:p w14:paraId="05AAF80C" w14:textId="77777777" w:rsidR="003B31DC" w:rsidRDefault="00913CBE">
      <w:pPr>
        <w:widowControl w:val="0"/>
        <w:numPr>
          <w:ilvl w:val="0"/>
          <w:numId w:val="37"/>
        </w:numPr>
        <w:tabs>
          <w:tab w:val="left" w:pos="9071"/>
        </w:tabs>
        <w:ind w:left="567" w:right="-2" w:hanging="567"/>
        <w:rPr>
          <w:sz w:val="22"/>
          <w:szCs w:val="22"/>
          <w:lang w:val="en-GB" w:eastAsia="sl-SI"/>
        </w:rPr>
      </w:pPr>
      <w:r>
        <w:rPr>
          <w:rFonts w:eastAsiaTheme="minorHAnsi"/>
          <w:color w:val="000000"/>
          <w:sz w:val="22"/>
          <w:szCs w:val="22"/>
          <w:lang w:eastAsia="en-US"/>
        </w:rPr>
        <w:t>neįprastas mieguistumas ar nuovargis,</w:t>
      </w:r>
    </w:p>
    <w:p w14:paraId="0AFA95BE" w14:textId="0580ACF0" w:rsidR="003B31DC" w:rsidRPr="00FA2F7A" w:rsidRDefault="003A727B">
      <w:pPr>
        <w:widowControl w:val="0"/>
        <w:numPr>
          <w:ilvl w:val="0"/>
          <w:numId w:val="37"/>
        </w:numPr>
        <w:tabs>
          <w:tab w:val="left" w:pos="9071"/>
        </w:tabs>
        <w:ind w:left="567" w:right="-2" w:hanging="567"/>
        <w:rPr>
          <w:sz w:val="22"/>
          <w:szCs w:val="22"/>
          <w:lang w:val="sv-SE" w:eastAsia="sl-SI"/>
        </w:rPr>
      </w:pPr>
      <w:r>
        <w:rPr>
          <w:rFonts w:eastAsiaTheme="minorHAnsi"/>
          <w:color w:val="000000"/>
          <w:sz w:val="22"/>
          <w:szCs w:val="22"/>
          <w:lang w:eastAsia="en-US"/>
        </w:rPr>
        <w:t>saldus burnos kvapas</w:t>
      </w:r>
      <w:r w:rsidR="00913CBE">
        <w:rPr>
          <w:rFonts w:eastAsiaTheme="minorHAnsi"/>
          <w:color w:val="000000"/>
          <w:sz w:val="22"/>
          <w:szCs w:val="22"/>
          <w:lang w:eastAsia="en-US"/>
        </w:rPr>
        <w:t>, saldus ar metalo skonis burnoje ar pasikeitęs šlapimo ar prakaito kvapas.</w:t>
      </w:r>
    </w:p>
    <w:p w14:paraId="4A4F4209" w14:textId="77777777" w:rsidR="003B31DC" w:rsidRDefault="003B31DC">
      <w:pPr>
        <w:autoSpaceDE w:val="0"/>
        <w:autoSpaceDN w:val="0"/>
        <w:adjustRightInd w:val="0"/>
        <w:rPr>
          <w:rFonts w:eastAsiaTheme="minorHAnsi"/>
          <w:color w:val="000000"/>
          <w:sz w:val="22"/>
          <w:szCs w:val="22"/>
          <w:lang w:eastAsia="en-US"/>
        </w:rPr>
      </w:pPr>
    </w:p>
    <w:p w14:paraId="5DA52CF5" w14:textId="77777777" w:rsidR="003B31DC" w:rsidRDefault="00913CBE">
      <w:pPr>
        <w:widowControl w:val="0"/>
        <w:tabs>
          <w:tab w:val="left" w:pos="1296"/>
        </w:tabs>
        <w:snapToGrid w:val="0"/>
        <w:rPr>
          <w:sz w:val="22"/>
          <w:szCs w:val="22"/>
          <w:lang w:eastAsia="sl-SI"/>
        </w:rPr>
      </w:pPr>
      <w:r>
        <w:rPr>
          <w:rFonts w:eastAsiaTheme="minorHAnsi"/>
          <w:color w:val="000000"/>
          <w:sz w:val="22"/>
          <w:szCs w:val="22"/>
          <w:lang w:eastAsia="en-US"/>
        </w:rPr>
        <w:t xml:space="preserve">Tai gali pasireikšti nežiūrint į tai, koks gliukozės kiekis yra kraujyje. Jūsų gydytojas gali nuspręsti laikinai ar visam laikui nutraukti Jūsų gydymą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w:t>
      </w:r>
    </w:p>
    <w:p w14:paraId="24BA9D1B" w14:textId="77777777" w:rsidR="003B31DC" w:rsidRDefault="003B31DC">
      <w:pPr>
        <w:widowControl w:val="0"/>
        <w:tabs>
          <w:tab w:val="left" w:pos="1296"/>
        </w:tabs>
        <w:snapToGrid w:val="0"/>
        <w:rPr>
          <w:sz w:val="22"/>
          <w:szCs w:val="22"/>
          <w:lang w:eastAsia="sl-SI"/>
        </w:rPr>
      </w:pPr>
    </w:p>
    <w:p w14:paraId="2629D014"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Kuo greičiau kreipkitės į gydytoją, jei Jums pasireiškė toliau išvardyti šalutiniai poveikiai.</w:t>
      </w:r>
    </w:p>
    <w:p w14:paraId="2D205CBE" w14:textId="77777777" w:rsidR="003B31DC" w:rsidRDefault="003B31DC">
      <w:pPr>
        <w:autoSpaceDE w:val="0"/>
        <w:autoSpaceDN w:val="0"/>
        <w:adjustRightInd w:val="0"/>
        <w:rPr>
          <w:rFonts w:eastAsiaTheme="minorHAnsi"/>
          <w:color w:val="000000"/>
          <w:sz w:val="22"/>
          <w:szCs w:val="22"/>
          <w:lang w:eastAsia="en-US"/>
        </w:rPr>
      </w:pPr>
    </w:p>
    <w:p w14:paraId="4D92B7D2"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Mažas cukraus kiekis kraujyje (hipoglikemija), pasitaikantis labai dažnai (gali pasireikšti ne rečiau kaip 1 iš 10 asmenų)</w:t>
      </w:r>
    </w:p>
    <w:p w14:paraId="10A2C21E"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vartojama kartu su kitu vaistu, kuris gali sumažinti cukraus kiekį kraujyje, pvz., su </w:t>
      </w:r>
      <w:proofErr w:type="spellStart"/>
      <w:r>
        <w:rPr>
          <w:rFonts w:eastAsiaTheme="minorHAnsi"/>
          <w:color w:val="000000"/>
          <w:sz w:val="22"/>
          <w:szCs w:val="22"/>
          <w:lang w:eastAsia="en-US"/>
        </w:rPr>
        <w:t>sulfonilkarbamido</w:t>
      </w:r>
      <w:proofErr w:type="spellEnd"/>
      <w:r>
        <w:rPr>
          <w:rFonts w:eastAsiaTheme="minorHAnsi"/>
          <w:color w:val="000000"/>
          <w:sz w:val="22"/>
          <w:szCs w:val="22"/>
          <w:lang w:eastAsia="en-US"/>
        </w:rPr>
        <w:t xml:space="preserve"> dariniu arba insulinu, rizika sumažėti cukraus kiekiui kraujyje yra didesnė. Mažo cukraus kiekio kraujyje požymiai gali būti:</w:t>
      </w:r>
    </w:p>
    <w:p w14:paraId="4EFDAFAC" w14:textId="77777777" w:rsidR="003B31DC" w:rsidRPr="00FA2F7A" w:rsidRDefault="00913CBE">
      <w:pPr>
        <w:widowControl w:val="0"/>
        <w:numPr>
          <w:ilvl w:val="0"/>
          <w:numId w:val="42"/>
        </w:numPr>
        <w:tabs>
          <w:tab w:val="left" w:pos="9071"/>
        </w:tabs>
        <w:ind w:left="567" w:right="-2" w:hanging="567"/>
        <w:rPr>
          <w:sz w:val="22"/>
          <w:lang w:val="pt-PT"/>
        </w:rPr>
      </w:pPr>
      <w:r>
        <w:rPr>
          <w:rFonts w:eastAsiaTheme="minorHAnsi"/>
          <w:color w:val="000000"/>
          <w:sz w:val="22"/>
          <w:szCs w:val="22"/>
          <w:lang w:eastAsia="en-US"/>
        </w:rPr>
        <w:t>drebulys, prakaitavimas, didelis nerimas ar sumišimas, dažnas širdies plakimas,</w:t>
      </w:r>
    </w:p>
    <w:p w14:paraId="75492ADB" w14:textId="77777777" w:rsidR="003B31DC" w:rsidRPr="00FA2F7A" w:rsidRDefault="00913CBE">
      <w:pPr>
        <w:widowControl w:val="0"/>
        <w:numPr>
          <w:ilvl w:val="0"/>
          <w:numId w:val="42"/>
        </w:numPr>
        <w:tabs>
          <w:tab w:val="left" w:pos="9071"/>
        </w:tabs>
        <w:ind w:left="567" w:right="-2" w:hanging="567"/>
        <w:rPr>
          <w:sz w:val="22"/>
          <w:lang w:val="pt-PT"/>
        </w:rPr>
      </w:pPr>
      <w:r>
        <w:rPr>
          <w:rFonts w:eastAsiaTheme="minorHAnsi"/>
          <w:color w:val="000000"/>
          <w:sz w:val="22"/>
          <w:szCs w:val="22"/>
          <w:lang w:eastAsia="en-US"/>
        </w:rPr>
        <w:t>labai didelis alkis, galvos skausmas.</w:t>
      </w:r>
    </w:p>
    <w:p w14:paraId="12FDF771" w14:textId="77777777" w:rsidR="003B31DC" w:rsidRDefault="003B31DC">
      <w:pPr>
        <w:autoSpaceDE w:val="0"/>
        <w:autoSpaceDN w:val="0"/>
        <w:adjustRightInd w:val="0"/>
        <w:rPr>
          <w:rFonts w:eastAsiaTheme="minorHAnsi"/>
          <w:color w:val="000000"/>
          <w:sz w:val="22"/>
          <w:szCs w:val="22"/>
          <w:lang w:eastAsia="en-US"/>
        </w:rPr>
      </w:pPr>
    </w:p>
    <w:p w14:paraId="340A6279" w14:textId="77777777" w:rsidR="003B31DC" w:rsidRDefault="00913CBE">
      <w:pPr>
        <w:widowControl w:val="0"/>
        <w:tabs>
          <w:tab w:val="left" w:pos="1296"/>
        </w:tabs>
        <w:snapToGrid w:val="0"/>
        <w:rPr>
          <w:sz w:val="22"/>
          <w:szCs w:val="22"/>
          <w:lang w:eastAsia="sl-SI"/>
        </w:rPr>
      </w:pPr>
      <w:r>
        <w:rPr>
          <w:rFonts w:eastAsiaTheme="minorHAnsi"/>
          <w:color w:val="000000"/>
          <w:sz w:val="22"/>
          <w:szCs w:val="22"/>
          <w:lang w:eastAsia="en-US"/>
        </w:rPr>
        <w:t>Jūsų gydytojas Jums pasakys, kaip gydyti mažą cukraus kiekį kraujyje ir ką daryti, jeigu pasireiškė pirmiau minėti požymiai. Jeigu Jums pasireiškė mažo cukraus kiekio kraujyje simptomai, suvalgykite gliukozės tablečių, daug cukraus turintį užkandį ar išgerkite vaisių sulčių. Jei yra galimybė, išmatuokite cukraus kiekį kraujyje ir pailsėkite.</w:t>
      </w:r>
    </w:p>
    <w:p w14:paraId="0D708D2F" w14:textId="77777777" w:rsidR="003B31DC" w:rsidRDefault="003B31DC">
      <w:pPr>
        <w:jc w:val="both"/>
        <w:rPr>
          <w:sz w:val="22"/>
          <w:szCs w:val="22"/>
          <w:lang w:eastAsia="lt-LT"/>
        </w:rPr>
      </w:pPr>
    </w:p>
    <w:p w14:paraId="31E4F3A8"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Šlapimo takų infekcinė liga, pasitaikanti dažnai (gali pasireikšti rečiau kaip 1 iš 10 asmenų)</w:t>
      </w:r>
    </w:p>
    <w:p w14:paraId="3764349F"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Šlapimo takų infekcinės ligos požymiai:</w:t>
      </w:r>
    </w:p>
    <w:p w14:paraId="1A438145"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deginimo pojūtis šlapinantis,</w:t>
      </w:r>
    </w:p>
    <w:p w14:paraId="2AC2EED0"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drumstas šlapimas,</w:t>
      </w:r>
    </w:p>
    <w:p w14:paraId="135064A0" w14:textId="77777777" w:rsidR="003B31DC" w:rsidRPr="00FA2F7A" w:rsidRDefault="00913CBE">
      <w:pPr>
        <w:widowControl w:val="0"/>
        <w:numPr>
          <w:ilvl w:val="0"/>
          <w:numId w:val="42"/>
        </w:numPr>
        <w:tabs>
          <w:tab w:val="left" w:pos="9071"/>
        </w:tabs>
        <w:ind w:left="567" w:right="-2" w:hanging="567"/>
        <w:rPr>
          <w:sz w:val="22"/>
          <w:szCs w:val="22"/>
          <w:lang w:val="sv-SE" w:eastAsia="sl-SI"/>
        </w:rPr>
      </w:pPr>
      <w:r>
        <w:rPr>
          <w:rFonts w:eastAsiaTheme="minorHAnsi"/>
          <w:color w:val="000000"/>
          <w:sz w:val="22"/>
          <w:szCs w:val="22"/>
          <w:lang w:eastAsia="en-US"/>
        </w:rPr>
        <w:t>mažojo dubens skausmas ar skausmas vidurinėje nugaros dalyje (esant inkstų infekcijai).</w:t>
      </w:r>
    </w:p>
    <w:p w14:paraId="0E311769" w14:textId="77777777" w:rsidR="003B31DC" w:rsidRDefault="003B31DC">
      <w:pPr>
        <w:autoSpaceDE w:val="0"/>
        <w:autoSpaceDN w:val="0"/>
        <w:adjustRightInd w:val="0"/>
        <w:rPr>
          <w:rFonts w:eastAsiaTheme="minorHAnsi"/>
          <w:color w:val="000000"/>
          <w:sz w:val="22"/>
          <w:szCs w:val="22"/>
          <w:lang w:eastAsia="en-US"/>
        </w:rPr>
      </w:pPr>
    </w:p>
    <w:p w14:paraId="0C5BBCFD"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Varymą šlapintis ar dažnesnį šlapinimąsi gali sąlygoti </w:t>
      </w:r>
      <w:proofErr w:type="spellStart"/>
      <w:r>
        <w:rPr>
          <w:rFonts w:eastAsiaTheme="minorHAnsi"/>
          <w:color w:val="000000"/>
          <w:sz w:val="22"/>
          <w:szCs w:val="22"/>
          <w:lang w:eastAsia="en-US"/>
        </w:rPr>
        <w:t>Mempoglyn</w:t>
      </w:r>
      <w:proofErr w:type="spellEnd"/>
      <w:r>
        <w:rPr>
          <w:rFonts w:eastAsiaTheme="minorHAnsi"/>
          <w:color w:val="000000"/>
          <w:sz w:val="22"/>
          <w:szCs w:val="22"/>
          <w:lang w:eastAsia="en-US"/>
        </w:rPr>
        <w:t xml:space="preserve"> veikimo būdas, tačiau šie simptomai gali būti ir šlapimo takų infekcinės ligos požymis. Jei pastebite, kad šie simptomai sunkėja, taip pat turite kreiptis į gydytoją.</w:t>
      </w:r>
    </w:p>
    <w:p w14:paraId="366DDEF9" w14:textId="77777777" w:rsidR="003B31DC" w:rsidRDefault="00913CB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lastRenderedPageBreak/>
        <w:t>Dehidratacija, pasitaikanti nedažnai (gali pasireikšti rečiau kaip 1 iš 100 asmenų)</w:t>
      </w:r>
    </w:p>
    <w:p w14:paraId="300FBE9D" w14:textId="77777777" w:rsidR="003B31DC" w:rsidRDefault="00913CB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Dehidratacijos požymiai yra nespecifiniai, tačiau gali būti:</w:t>
      </w:r>
    </w:p>
    <w:p w14:paraId="671063CD"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neįprastas troškulys,</w:t>
      </w:r>
    </w:p>
    <w:p w14:paraId="7AD19659"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apsvaigimas arba svaigulys atsistojant,</w:t>
      </w:r>
    </w:p>
    <w:p w14:paraId="5581BD3B"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apalpimas arba sąmonės netekimas.</w:t>
      </w:r>
    </w:p>
    <w:p w14:paraId="6D4565A9" w14:textId="77777777" w:rsidR="003B31DC" w:rsidRDefault="003B31DC">
      <w:pPr>
        <w:autoSpaceDE w:val="0"/>
        <w:autoSpaceDN w:val="0"/>
        <w:adjustRightInd w:val="0"/>
        <w:rPr>
          <w:rFonts w:eastAsiaTheme="minorHAnsi"/>
          <w:color w:val="000000"/>
          <w:sz w:val="22"/>
          <w:szCs w:val="22"/>
          <w:lang w:eastAsia="en-US"/>
        </w:rPr>
      </w:pPr>
    </w:p>
    <w:p w14:paraId="1A59ED72" w14:textId="77777777" w:rsidR="003B31DC" w:rsidRDefault="00913CB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Kiti šalutiniai poveikiai vartojant </w:t>
      </w:r>
      <w:proofErr w:type="spellStart"/>
      <w:r>
        <w:rPr>
          <w:rFonts w:eastAsiaTheme="minorHAnsi"/>
          <w:b/>
          <w:bCs/>
          <w:color w:val="000000"/>
          <w:sz w:val="22"/>
          <w:szCs w:val="22"/>
          <w:lang w:eastAsia="en-US"/>
        </w:rPr>
        <w:t>Mempoglyn</w:t>
      </w:r>
      <w:proofErr w:type="spellEnd"/>
    </w:p>
    <w:p w14:paraId="06F6FB5F" w14:textId="77777777" w:rsidR="003B31DC" w:rsidRDefault="003B31DC">
      <w:pPr>
        <w:autoSpaceDE w:val="0"/>
        <w:autoSpaceDN w:val="0"/>
        <w:adjustRightInd w:val="0"/>
        <w:rPr>
          <w:rFonts w:eastAsiaTheme="minorHAnsi"/>
          <w:color w:val="000000"/>
          <w:sz w:val="22"/>
          <w:szCs w:val="22"/>
          <w:lang w:eastAsia="en-US"/>
        </w:rPr>
      </w:pPr>
    </w:p>
    <w:p w14:paraId="4C160D87" w14:textId="77777777" w:rsidR="003B31DC" w:rsidRDefault="00913CBE">
      <w:pPr>
        <w:widowControl w:val="0"/>
        <w:tabs>
          <w:tab w:val="left" w:pos="9071"/>
        </w:tabs>
        <w:ind w:right="-2"/>
        <w:rPr>
          <w:b/>
          <w:bCs/>
          <w:sz w:val="22"/>
          <w:szCs w:val="22"/>
          <w:lang w:eastAsia="lt-LT"/>
        </w:rPr>
      </w:pPr>
      <w:r>
        <w:rPr>
          <w:b/>
          <w:bCs/>
          <w:sz w:val="22"/>
          <w:szCs w:val="22"/>
          <w:lang w:eastAsia="lt-LT"/>
        </w:rPr>
        <w:t>Labai dažni šalutinio poveikio reiškiniai (gali pasireikšti ne rečiau kaip 1 iš 10 asmenų):</w:t>
      </w:r>
    </w:p>
    <w:p w14:paraId="0511DFB8"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pykinimas, vėmimas,</w:t>
      </w:r>
    </w:p>
    <w:p w14:paraId="19C049FF"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viduriavimas ar skrandžio skausmas,</w:t>
      </w:r>
    </w:p>
    <w:p w14:paraId="00E37F4D"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apetito praradimas.</w:t>
      </w:r>
    </w:p>
    <w:p w14:paraId="32976146" w14:textId="77777777" w:rsidR="003B31DC" w:rsidRDefault="003B31DC">
      <w:pPr>
        <w:autoSpaceDE w:val="0"/>
        <w:autoSpaceDN w:val="0"/>
        <w:adjustRightInd w:val="0"/>
        <w:spacing w:after="38"/>
        <w:rPr>
          <w:sz w:val="22"/>
          <w:szCs w:val="22"/>
          <w:lang w:eastAsia="lt-LT"/>
        </w:rPr>
      </w:pPr>
    </w:p>
    <w:p w14:paraId="747B8C06" w14:textId="77777777" w:rsidR="003B31DC" w:rsidRDefault="00913CBE">
      <w:pPr>
        <w:autoSpaceDE w:val="0"/>
        <w:autoSpaceDN w:val="0"/>
        <w:adjustRightInd w:val="0"/>
        <w:spacing w:after="38"/>
        <w:rPr>
          <w:b/>
          <w:bCs/>
          <w:sz w:val="22"/>
          <w:szCs w:val="22"/>
          <w:lang w:eastAsia="lt-LT"/>
        </w:rPr>
      </w:pPr>
      <w:r>
        <w:rPr>
          <w:b/>
          <w:bCs/>
          <w:sz w:val="22"/>
          <w:szCs w:val="22"/>
          <w:lang w:eastAsia="lt-LT"/>
        </w:rPr>
        <w:t>Dažni šalutinio poveikio reiškiniai (gali pasireikšti rečiau kaip 1 iš 10 asmenų):</w:t>
      </w:r>
    </w:p>
    <w:p w14:paraId="42B7C677" w14:textId="77777777" w:rsidR="003B31DC" w:rsidRPr="00A02B90" w:rsidRDefault="00913CBE">
      <w:pPr>
        <w:widowControl w:val="0"/>
        <w:numPr>
          <w:ilvl w:val="0"/>
          <w:numId w:val="42"/>
        </w:numPr>
        <w:tabs>
          <w:tab w:val="left" w:pos="9071"/>
        </w:tabs>
        <w:ind w:left="567" w:right="-2" w:hanging="567"/>
        <w:rPr>
          <w:sz w:val="22"/>
          <w:szCs w:val="22"/>
          <w:lang w:eastAsia="sl-SI"/>
        </w:rPr>
      </w:pPr>
      <w:r>
        <w:rPr>
          <w:rFonts w:eastAsiaTheme="minorHAnsi"/>
          <w:color w:val="000000"/>
          <w:sz w:val="22"/>
          <w:szCs w:val="22"/>
          <w:lang w:eastAsia="en-US"/>
        </w:rPr>
        <w:t xml:space="preserve">lyties organų infekcinė liga, sukelta </w:t>
      </w:r>
      <w:proofErr w:type="spellStart"/>
      <w:r>
        <w:rPr>
          <w:rFonts w:eastAsiaTheme="minorHAnsi"/>
          <w:color w:val="000000"/>
          <w:sz w:val="22"/>
          <w:szCs w:val="22"/>
          <w:lang w:eastAsia="en-US"/>
        </w:rPr>
        <w:t>mieliagrybių</w:t>
      </w:r>
      <w:proofErr w:type="spellEnd"/>
      <w:r>
        <w:rPr>
          <w:rFonts w:eastAsiaTheme="minorHAnsi"/>
          <w:color w:val="000000"/>
          <w:sz w:val="22"/>
          <w:szCs w:val="22"/>
          <w:lang w:eastAsia="en-US"/>
        </w:rPr>
        <w:t xml:space="preserve"> (pienligė),</w:t>
      </w:r>
    </w:p>
    <w:p w14:paraId="1F45A444" w14:textId="77777777" w:rsidR="003B31DC" w:rsidRPr="00A02B90" w:rsidRDefault="00913CBE">
      <w:pPr>
        <w:widowControl w:val="0"/>
        <w:numPr>
          <w:ilvl w:val="0"/>
          <w:numId w:val="42"/>
        </w:numPr>
        <w:tabs>
          <w:tab w:val="left" w:pos="9071"/>
        </w:tabs>
        <w:ind w:left="567" w:right="-2" w:hanging="567"/>
        <w:rPr>
          <w:sz w:val="22"/>
          <w:szCs w:val="22"/>
          <w:lang w:eastAsia="sl-SI"/>
        </w:rPr>
      </w:pPr>
      <w:r>
        <w:rPr>
          <w:rFonts w:eastAsiaTheme="minorHAnsi"/>
          <w:color w:val="000000"/>
          <w:sz w:val="22"/>
          <w:szCs w:val="22"/>
          <w:lang w:eastAsia="en-US"/>
        </w:rPr>
        <w:t>padidėjęs šlapimo kiekis šlapinantis negu paprastai ar padažnėjęs šlapinimasis,</w:t>
      </w:r>
    </w:p>
    <w:p w14:paraId="4DBB80CC"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niežulys,</w:t>
      </w:r>
    </w:p>
    <w:p w14:paraId="2D48DF83"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išbėrimas arba odos paraudimas – oda gali niežėti ir šlapiuoti, gali būti iškilių gumbelių arba pūslelių,</w:t>
      </w:r>
    </w:p>
    <w:p w14:paraId="5FB3706A"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skonio pokyčiai,</w:t>
      </w:r>
    </w:p>
    <w:p w14:paraId="01EC8BD2"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troškulys,</w:t>
      </w:r>
    </w:p>
    <w:p w14:paraId="6ABCADAF" w14:textId="34772EE8"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kraujo tyrimai gali rodyti riebalų (cholesterolio) kiekio padidėjimą,</w:t>
      </w:r>
    </w:p>
    <w:p w14:paraId="63600DD5"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vidurių užkietėjimas,</w:t>
      </w:r>
    </w:p>
    <w:p w14:paraId="76FF8D80" w14:textId="77777777" w:rsidR="003B31DC" w:rsidRPr="00A02B90" w:rsidRDefault="00913CBE">
      <w:pPr>
        <w:widowControl w:val="0"/>
        <w:numPr>
          <w:ilvl w:val="0"/>
          <w:numId w:val="42"/>
        </w:numPr>
        <w:tabs>
          <w:tab w:val="left" w:pos="9071"/>
        </w:tabs>
        <w:ind w:left="567" w:right="-2" w:hanging="567"/>
        <w:rPr>
          <w:sz w:val="22"/>
          <w:szCs w:val="22"/>
          <w:lang w:eastAsia="sl-SI"/>
        </w:rPr>
      </w:pPr>
      <w:r>
        <w:rPr>
          <w:rFonts w:eastAsiaTheme="minorHAnsi"/>
          <w:color w:val="000000"/>
          <w:sz w:val="22"/>
          <w:szCs w:val="22"/>
          <w:lang w:eastAsia="en-US"/>
        </w:rPr>
        <w:t>sumažėjęs arba mažas vitamino B12 kiekis kraujyje (galimi simptomai: didelis nuovargis, liežuvio skausmingumas ir paraudimas (liežuvio uždegimas), dilgčiojimas (</w:t>
      </w:r>
      <w:proofErr w:type="spellStart"/>
      <w:r>
        <w:rPr>
          <w:rFonts w:eastAsiaTheme="minorHAnsi"/>
          <w:color w:val="000000"/>
          <w:sz w:val="22"/>
          <w:szCs w:val="22"/>
          <w:lang w:eastAsia="en-US"/>
        </w:rPr>
        <w:t>parestezija</w:t>
      </w:r>
      <w:proofErr w:type="spellEnd"/>
      <w:r>
        <w:rPr>
          <w:rFonts w:eastAsiaTheme="minorHAnsi"/>
          <w:color w:val="000000"/>
          <w:sz w:val="22"/>
          <w:szCs w:val="22"/>
          <w:lang w:eastAsia="en-US"/>
        </w:rPr>
        <w:t xml:space="preserve">) arba odos blyškumas ar pageltimas). Jūsų gydytojas gali Jums skirti tam tikrus tyrimus šių simptomų priežasčiai nustatyti, nes kai kuriuos iš jų gali sukelti ir diabetas ar kiti nesusiję sveikatos sutrikimai. </w:t>
      </w:r>
    </w:p>
    <w:p w14:paraId="44E461A2" w14:textId="77777777" w:rsidR="003B31DC" w:rsidRDefault="003B31DC">
      <w:pPr>
        <w:jc w:val="both"/>
        <w:rPr>
          <w:sz w:val="22"/>
          <w:szCs w:val="22"/>
          <w:lang w:eastAsia="lt-LT"/>
        </w:rPr>
      </w:pPr>
    </w:p>
    <w:p w14:paraId="088260B1" w14:textId="77777777" w:rsidR="003B31DC" w:rsidRDefault="00913CBE">
      <w:pPr>
        <w:jc w:val="both"/>
        <w:rPr>
          <w:b/>
          <w:bCs/>
          <w:sz w:val="22"/>
          <w:szCs w:val="22"/>
          <w:lang w:eastAsia="lt-LT"/>
        </w:rPr>
      </w:pPr>
      <w:r>
        <w:rPr>
          <w:b/>
          <w:bCs/>
          <w:sz w:val="22"/>
          <w:szCs w:val="22"/>
          <w:lang w:eastAsia="lt-LT"/>
        </w:rPr>
        <w:t>Nedažni šalutinio poveikio reiškiniai (gali pasireikšti rečiau kaip 1 iš 100 asmenų):</w:t>
      </w:r>
    </w:p>
    <w:p w14:paraId="0CC41BCE"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dilgėlinė,</w:t>
      </w:r>
    </w:p>
    <w:p w14:paraId="5A6B5579"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apsunkintas ar skausmingas šlapinimasis,</w:t>
      </w:r>
    </w:p>
    <w:p w14:paraId="62BAE02B"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kraujo tyrimai gali rodyti inkstų funkcijos susilpnėjimą (kreatinino ar šlapalo kiekis),</w:t>
      </w:r>
    </w:p>
    <w:p w14:paraId="3636A9F6"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kraujo tyrimai gali rodyti padidėjusį raudonųjų kraujo ląstelių kiekį (</w:t>
      </w:r>
      <w:proofErr w:type="spellStart"/>
      <w:r>
        <w:rPr>
          <w:rFonts w:eastAsiaTheme="minorHAnsi"/>
          <w:color w:val="000000"/>
          <w:sz w:val="22"/>
          <w:szCs w:val="22"/>
          <w:lang w:eastAsia="en-US"/>
        </w:rPr>
        <w:t>hematokritą</w:t>
      </w:r>
      <w:proofErr w:type="spellEnd"/>
      <w:r>
        <w:rPr>
          <w:rFonts w:eastAsiaTheme="minorHAnsi"/>
          <w:color w:val="000000"/>
          <w:sz w:val="22"/>
          <w:szCs w:val="22"/>
          <w:lang w:eastAsia="en-US"/>
        </w:rPr>
        <w:t>).</w:t>
      </w:r>
    </w:p>
    <w:p w14:paraId="6A232220" w14:textId="77777777" w:rsidR="003B31DC" w:rsidRDefault="003B31DC">
      <w:pPr>
        <w:autoSpaceDE w:val="0"/>
        <w:autoSpaceDN w:val="0"/>
        <w:adjustRightInd w:val="0"/>
        <w:rPr>
          <w:rFonts w:eastAsiaTheme="minorHAnsi"/>
          <w:color w:val="000000"/>
          <w:sz w:val="22"/>
          <w:szCs w:val="22"/>
          <w:lang w:eastAsia="en-US"/>
        </w:rPr>
      </w:pPr>
    </w:p>
    <w:p w14:paraId="60E104B5" w14:textId="77777777" w:rsidR="003B31DC" w:rsidRDefault="00913CBE">
      <w:pPr>
        <w:autoSpaceDE w:val="0"/>
        <w:autoSpaceDN w:val="0"/>
        <w:adjustRightInd w:val="0"/>
        <w:rPr>
          <w:b/>
          <w:bCs/>
          <w:sz w:val="22"/>
          <w:szCs w:val="22"/>
          <w:lang w:eastAsia="lt-LT"/>
        </w:rPr>
      </w:pPr>
      <w:r>
        <w:rPr>
          <w:b/>
          <w:bCs/>
          <w:sz w:val="22"/>
          <w:szCs w:val="22"/>
          <w:lang w:eastAsia="lt-LT"/>
        </w:rPr>
        <w:t>Reti šalutinio poveikio reiškiniai (gali pasireikšti rečiau kaip 1 iš 1 000 asmenų):</w:t>
      </w:r>
    </w:p>
    <w:p w14:paraId="337E80DA" w14:textId="77777777" w:rsidR="003B31DC" w:rsidRPr="00A02B90" w:rsidRDefault="00913CBE">
      <w:pPr>
        <w:widowControl w:val="0"/>
        <w:numPr>
          <w:ilvl w:val="0"/>
          <w:numId w:val="42"/>
        </w:numPr>
        <w:tabs>
          <w:tab w:val="left" w:pos="9071"/>
        </w:tabs>
        <w:ind w:left="567" w:right="-2" w:hanging="567"/>
        <w:rPr>
          <w:sz w:val="22"/>
          <w:szCs w:val="22"/>
          <w:lang w:eastAsia="sl-SI"/>
        </w:rPr>
      </w:pPr>
      <w:proofErr w:type="spellStart"/>
      <w:r>
        <w:rPr>
          <w:rFonts w:eastAsiaTheme="minorHAnsi"/>
          <w:color w:val="000000"/>
          <w:sz w:val="22"/>
          <w:szCs w:val="22"/>
          <w:lang w:eastAsia="en-US"/>
        </w:rPr>
        <w:t>tarpvietės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nekrozuojantis</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fascitas</w:t>
      </w:r>
      <w:proofErr w:type="spellEnd"/>
      <w:r>
        <w:rPr>
          <w:rFonts w:eastAsiaTheme="minorHAnsi"/>
          <w:color w:val="000000"/>
          <w:sz w:val="22"/>
          <w:szCs w:val="22"/>
          <w:lang w:eastAsia="en-US"/>
        </w:rPr>
        <w:t xml:space="preserve"> arba </w:t>
      </w:r>
      <w:proofErr w:type="spellStart"/>
      <w:r>
        <w:rPr>
          <w:rFonts w:eastAsiaTheme="minorHAnsi"/>
          <w:color w:val="000000"/>
          <w:sz w:val="22"/>
          <w:szCs w:val="22"/>
          <w:lang w:eastAsia="en-US"/>
        </w:rPr>
        <w:t>Furnjė</w:t>
      </w:r>
      <w:proofErr w:type="spellEnd"/>
      <w:r>
        <w:rPr>
          <w:rFonts w:eastAsiaTheme="minorHAnsi"/>
          <w:color w:val="000000"/>
          <w:sz w:val="22"/>
          <w:szCs w:val="22"/>
          <w:lang w:eastAsia="en-US"/>
        </w:rPr>
        <w:t xml:space="preserve"> gangrena, rimta genitalijų arba srities tarp lyties organų ir išangės minkštųjų audinių infekcija.</w:t>
      </w:r>
    </w:p>
    <w:p w14:paraId="1721F0A8" w14:textId="77777777" w:rsidR="003B31DC" w:rsidRDefault="003B31DC">
      <w:pPr>
        <w:autoSpaceDE w:val="0"/>
        <w:autoSpaceDN w:val="0"/>
        <w:adjustRightInd w:val="0"/>
        <w:rPr>
          <w:rFonts w:eastAsiaTheme="minorHAnsi"/>
          <w:color w:val="000000"/>
          <w:sz w:val="22"/>
          <w:szCs w:val="22"/>
          <w:lang w:eastAsia="en-US"/>
        </w:rPr>
      </w:pPr>
    </w:p>
    <w:p w14:paraId="0C1A1F1F" w14:textId="77777777" w:rsidR="003B31DC" w:rsidRDefault="00913CBE">
      <w:pPr>
        <w:autoSpaceDE w:val="0"/>
        <w:autoSpaceDN w:val="0"/>
        <w:adjustRightInd w:val="0"/>
        <w:spacing w:after="38"/>
        <w:rPr>
          <w:b/>
          <w:bCs/>
          <w:sz w:val="22"/>
          <w:szCs w:val="22"/>
          <w:lang w:eastAsia="lt-LT"/>
        </w:rPr>
      </w:pPr>
      <w:r>
        <w:rPr>
          <w:b/>
          <w:bCs/>
          <w:sz w:val="22"/>
          <w:szCs w:val="22"/>
          <w:lang w:eastAsia="lt-LT"/>
        </w:rPr>
        <w:t>Labai reti šalutinio poveikio reiškiniai (gali pasireikšti rečiau kaip 1 iš 10 000 asmenų):</w:t>
      </w:r>
    </w:p>
    <w:p w14:paraId="6128A3AE" w14:textId="77777777" w:rsidR="003B31DC" w:rsidRPr="00A02B90" w:rsidRDefault="00913CBE">
      <w:pPr>
        <w:widowControl w:val="0"/>
        <w:numPr>
          <w:ilvl w:val="0"/>
          <w:numId w:val="42"/>
        </w:numPr>
        <w:tabs>
          <w:tab w:val="left" w:pos="9071"/>
        </w:tabs>
        <w:ind w:left="567" w:right="-2" w:hanging="567"/>
        <w:rPr>
          <w:sz w:val="22"/>
          <w:szCs w:val="22"/>
          <w:lang w:eastAsia="sl-SI"/>
        </w:rPr>
      </w:pPr>
      <w:r>
        <w:rPr>
          <w:rFonts w:eastAsiaTheme="minorHAnsi"/>
          <w:color w:val="000000"/>
          <w:sz w:val="22"/>
          <w:szCs w:val="22"/>
          <w:lang w:eastAsia="en-US"/>
        </w:rPr>
        <w:t>nenormalūs kepenų funkcijos tyrimų duomenys, kepenų uždegimas (hepatitas),</w:t>
      </w:r>
    </w:p>
    <w:p w14:paraId="6F1C259F" w14:textId="77777777" w:rsidR="003B31DC" w:rsidRDefault="00913CBE">
      <w:pPr>
        <w:widowControl w:val="0"/>
        <w:numPr>
          <w:ilvl w:val="0"/>
          <w:numId w:val="42"/>
        </w:numPr>
        <w:tabs>
          <w:tab w:val="left" w:pos="9071"/>
        </w:tabs>
        <w:ind w:left="567" w:right="-2" w:hanging="567"/>
        <w:rPr>
          <w:sz w:val="22"/>
          <w:szCs w:val="22"/>
          <w:lang w:val="en-GB" w:eastAsia="sl-SI"/>
        </w:rPr>
      </w:pPr>
      <w:r>
        <w:rPr>
          <w:rFonts w:eastAsiaTheme="minorHAnsi"/>
          <w:color w:val="000000"/>
          <w:sz w:val="22"/>
          <w:szCs w:val="22"/>
          <w:lang w:eastAsia="en-US"/>
        </w:rPr>
        <w:t>odos paraudimas (</w:t>
      </w:r>
      <w:proofErr w:type="spellStart"/>
      <w:r>
        <w:rPr>
          <w:rFonts w:eastAsiaTheme="minorHAnsi"/>
          <w:color w:val="000000"/>
          <w:sz w:val="22"/>
          <w:szCs w:val="22"/>
          <w:lang w:eastAsia="en-US"/>
        </w:rPr>
        <w:t>eritema</w:t>
      </w:r>
      <w:proofErr w:type="spellEnd"/>
      <w:r>
        <w:rPr>
          <w:rFonts w:eastAsiaTheme="minorHAnsi"/>
          <w:color w:val="000000"/>
          <w:sz w:val="22"/>
          <w:szCs w:val="22"/>
          <w:lang w:eastAsia="en-US"/>
        </w:rPr>
        <w:t>),</w:t>
      </w:r>
    </w:p>
    <w:p w14:paraId="25DC35AE" w14:textId="5B4F4B34" w:rsidR="003B31DC" w:rsidRPr="00FA2F7A" w:rsidRDefault="00913CBE">
      <w:pPr>
        <w:widowControl w:val="0"/>
        <w:numPr>
          <w:ilvl w:val="0"/>
          <w:numId w:val="42"/>
        </w:numPr>
        <w:tabs>
          <w:tab w:val="left" w:pos="9071"/>
        </w:tabs>
        <w:ind w:left="567" w:right="-2" w:hanging="567"/>
        <w:rPr>
          <w:sz w:val="22"/>
          <w:szCs w:val="22"/>
          <w:lang w:val="sv-SE" w:eastAsia="sl-SI"/>
        </w:rPr>
      </w:pPr>
      <w:r>
        <w:rPr>
          <w:rFonts w:eastAsiaTheme="minorHAnsi"/>
          <w:color w:val="000000"/>
          <w:sz w:val="22"/>
          <w:szCs w:val="22"/>
          <w:lang w:eastAsia="en-US"/>
        </w:rPr>
        <w:t>inkstų uždegimas (</w:t>
      </w:r>
      <w:r w:rsidR="00267FD7">
        <w:rPr>
          <w:rFonts w:eastAsiaTheme="minorHAnsi"/>
          <w:color w:val="000000"/>
          <w:sz w:val="22"/>
          <w:szCs w:val="22"/>
          <w:lang w:eastAsia="en-US"/>
        </w:rPr>
        <w:t>kanalėlių ir</w:t>
      </w:r>
      <w:r w:rsidR="007C7124">
        <w:rPr>
          <w:rFonts w:eastAsiaTheme="minorHAnsi"/>
          <w:color w:val="000000"/>
          <w:sz w:val="22"/>
          <w:szCs w:val="22"/>
          <w:lang w:eastAsia="en-US"/>
        </w:rPr>
        <w:t xml:space="preserve"> </w:t>
      </w:r>
      <w:proofErr w:type="spellStart"/>
      <w:r w:rsidR="007C7124">
        <w:rPr>
          <w:rFonts w:eastAsiaTheme="minorHAnsi"/>
          <w:color w:val="000000"/>
          <w:sz w:val="22"/>
          <w:szCs w:val="22"/>
          <w:lang w:eastAsia="en-US"/>
        </w:rPr>
        <w:t>intersticinio</w:t>
      </w:r>
      <w:proofErr w:type="spellEnd"/>
      <w:r w:rsidR="007C7124">
        <w:rPr>
          <w:rFonts w:eastAsiaTheme="minorHAnsi"/>
          <w:color w:val="000000"/>
          <w:sz w:val="22"/>
          <w:szCs w:val="22"/>
          <w:lang w:eastAsia="en-US"/>
        </w:rPr>
        <w:t xml:space="preserve"> audinio</w:t>
      </w:r>
      <w:r w:rsidR="00267FD7">
        <w:rPr>
          <w:rFonts w:eastAsiaTheme="minorHAnsi"/>
          <w:color w:val="000000"/>
          <w:sz w:val="22"/>
          <w:szCs w:val="22"/>
          <w:lang w:eastAsia="en-US"/>
        </w:rPr>
        <w:t xml:space="preserve"> </w:t>
      </w:r>
      <w:r>
        <w:rPr>
          <w:rFonts w:eastAsiaTheme="minorHAnsi"/>
          <w:color w:val="000000"/>
          <w:sz w:val="22"/>
          <w:szCs w:val="22"/>
          <w:lang w:eastAsia="en-US"/>
        </w:rPr>
        <w:t>nefritas).</w:t>
      </w:r>
    </w:p>
    <w:p w14:paraId="0C0423DD" w14:textId="77777777" w:rsidR="003B31DC" w:rsidRDefault="003B31DC">
      <w:pPr>
        <w:jc w:val="both"/>
        <w:rPr>
          <w:sz w:val="22"/>
          <w:szCs w:val="22"/>
          <w:lang w:eastAsia="lt-LT"/>
        </w:rPr>
      </w:pPr>
    </w:p>
    <w:p w14:paraId="15E08BFC" w14:textId="77777777" w:rsidR="003B31DC" w:rsidRDefault="00913CBE">
      <w:pPr>
        <w:jc w:val="both"/>
        <w:rPr>
          <w:sz w:val="22"/>
          <w:szCs w:val="22"/>
          <w:lang w:eastAsia="lt-LT"/>
        </w:rPr>
      </w:pPr>
      <w:r>
        <w:rPr>
          <w:b/>
          <w:bCs/>
          <w:sz w:val="22"/>
          <w:szCs w:val="22"/>
          <w:lang w:eastAsia="lt-LT"/>
        </w:rPr>
        <w:t>Pranešimas apie šalutinį poveikį</w:t>
      </w:r>
    </w:p>
    <w:p w14:paraId="62670CF3" w14:textId="77777777" w:rsidR="003B31DC" w:rsidRDefault="00913CBE">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2668AE48" w14:textId="77777777" w:rsidR="003B31DC" w:rsidRDefault="003B31DC">
      <w:pPr>
        <w:tabs>
          <w:tab w:val="left" w:pos="567"/>
        </w:tabs>
        <w:ind w:right="-449"/>
        <w:rPr>
          <w:sz w:val="22"/>
          <w:lang w:eastAsia="en-US"/>
        </w:rPr>
      </w:pPr>
    </w:p>
    <w:p w14:paraId="18F2B821" w14:textId="77777777" w:rsidR="003B31DC" w:rsidRDefault="003B31DC">
      <w:pPr>
        <w:tabs>
          <w:tab w:val="left" w:pos="567"/>
        </w:tabs>
        <w:ind w:right="-449"/>
        <w:rPr>
          <w:sz w:val="22"/>
          <w:lang w:eastAsia="en-US"/>
        </w:rPr>
      </w:pPr>
    </w:p>
    <w:p w14:paraId="328E97C4" w14:textId="77777777" w:rsidR="003B31DC" w:rsidRDefault="00913CBE">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Mempoglyn</w:t>
      </w:r>
      <w:proofErr w:type="spellEnd"/>
    </w:p>
    <w:p w14:paraId="23610283" w14:textId="77777777" w:rsidR="003B31DC" w:rsidRDefault="003B31DC">
      <w:pPr>
        <w:numPr>
          <w:ilvl w:val="12"/>
          <w:numId w:val="0"/>
        </w:numPr>
        <w:ind w:right="-2"/>
        <w:rPr>
          <w:sz w:val="22"/>
          <w:lang w:eastAsia="en-US"/>
        </w:rPr>
      </w:pPr>
    </w:p>
    <w:p w14:paraId="5BAA19EE" w14:textId="77777777" w:rsidR="003B31DC" w:rsidRDefault="00913CBE">
      <w:pPr>
        <w:numPr>
          <w:ilvl w:val="12"/>
          <w:numId w:val="0"/>
        </w:numPr>
        <w:ind w:right="-2"/>
        <w:rPr>
          <w:sz w:val="22"/>
          <w:lang w:eastAsia="en-US"/>
        </w:rPr>
      </w:pPr>
      <w:r>
        <w:rPr>
          <w:sz w:val="22"/>
          <w:lang w:eastAsia="en-US"/>
        </w:rPr>
        <w:t>Šį vaistą laikykite vaikams nepastebimoje ir nepasiekiamoje vietoje.</w:t>
      </w:r>
    </w:p>
    <w:p w14:paraId="27B19E19" w14:textId="77777777" w:rsidR="003B31DC" w:rsidRDefault="003B31DC">
      <w:pPr>
        <w:numPr>
          <w:ilvl w:val="12"/>
          <w:numId w:val="0"/>
        </w:numPr>
        <w:ind w:right="-2"/>
        <w:rPr>
          <w:sz w:val="22"/>
          <w:lang w:eastAsia="en-US"/>
        </w:rPr>
      </w:pPr>
    </w:p>
    <w:p w14:paraId="640AE85E" w14:textId="0C04EA54" w:rsidR="003B31DC" w:rsidRDefault="00913CBE">
      <w:pPr>
        <w:numPr>
          <w:ilvl w:val="12"/>
          <w:numId w:val="0"/>
        </w:numPr>
        <w:ind w:right="-2"/>
        <w:rPr>
          <w:sz w:val="22"/>
          <w:lang w:eastAsia="en-US"/>
        </w:rPr>
      </w:pPr>
      <w:r>
        <w:rPr>
          <w:sz w:val="22"/>
          <w:lang w:eastAsia="en-US"/>
        </w:rPr>
        <w:t xml:space="preserve">Ant </w:t>
      </w:r>
      <w:r w:rsidR="00F465E9">
        <w:rPr>
          <w:sz w:val="22"/>
          <w:lang w:eastAsia="en-US"/>
        </w:rPr>
        <w:t>dėžutės ir lizdinės plokštelės</w:t>
      </w:r>
      <w:r>
        <w:rPr>
          <w:sz w:val="22"/>
          <w:lang w:eastAsia="en-US"/>
        </w:rPr>
        <w:t xml:space="preserve"> po „EXP“ nurodytam tinkamumo laikui pasibaigus, šio vaisto vartoti negalima. Vaistas tinkamas vartoti iki paskutinės nurodyto mėnesio dienos.</w:t>
      </w:r>
    </w:p>
    <w:p w14:paraId="11813C56" w14:textId="77777777" w:rsidR="003B31DC" w:rsidRDefault="003B31DC">
      <w:pPr>
        <w:numPr>
          <w:ilvl w:val="12"/>
          <w:numId w:val="0"/>
        </w:numPr>
        <w:ind w:right="-2"/>
        <w:rPr>
          <w:sz w:val="22"/>
          <w:lang w:eastAsia="en-US"/>
        </w:rPr>
      </w:pPr>
    </w:p>
    <w:p w14:paraId="25F46F15" w14:textId="339E433A" w:rsidR="003B31DC" w:rsidRDefault="00D97481">
      <w:pPr>
        <w:numPr>
          <w:ilvl w:val="12"/>
          <w:numId w:val="0"/>
        </w:numPr>
        <w:ind w:right="-2"/>
        <w:rPr>
          <w:sz w:val="22"/>
          <w:lang w:eastAsia="en-US"/>
        </w:rPr>
      </w:pPr>
      <w:r>
        <w:rPr>
          <w:sz w:val="22"/>
          <w:lang w:eastAsia="en-US"/>
        </w:rPr>
        <w:lastRenderedPageBreak/>
        <w:t>Pastebėjus</w:t>
      </w:r>
      <w:r w:rsidR="00913CBE">
        <w:rPr>
          <w:sz w:val="22"/>
          <w:lang w:eastAsia="en-US"/>
        </w:rPr>
        <w:t xml:space="preserve"> pakuotės pažeidimo ar atidarymo požymių</w:t>
      </w:r>
      <w:r>
        <w:rPr>
          <w:sz w:val="22"/>
          <w:lang w:eastAsia="en-US"/>
        </w:rPr>
        <w:t>, šio vaisto vartoti negalima</w:t>
      </w:r>
      <w:r w:rsidR="00913CBE">
        <w:rPr>
          <w:sz w:val="22"/>
          <w:lang w:eastAsia="en-US"/>
        </w:rPr>
        <w:t>.</w:t>
      </w:r>
    </w:p>
    <w:p w14:paraId="2D56492E" w14:textId="77777777" w:rsidR="003B31DC" w:rsidRDefault="003B31DC">
      <w:pPr>
        <w:numPr>
          <w:ilvl w:val="12"/>
          <w:numId w:val="0"/>
        </w:numPr>
        <w:ind w:right="-2"/>
        <w:rPr>
          <w:sz w:val="22"/>
          <w:lang w:eastAsia="en-US"/>
        </w:rPr>
      </w:pPr>
    </w:p>
    <w:p w14:paraId="6242274D" w14:textId="5985D013" w:rsidR="003B31DC" w:rsidRDefault="004528AD">
      <w:pPr>
        <w:numPr>
          <w:ilvl w:val="12"/>
          <w:numId w:val="0"/>
        </w:numPr>
        <w:ind w:right="-2"/>
        <w:rPr>
          <w:sz w:val="22"/>
          <w:lang w:eastAsia="en-US"/>
        </w:rPr>
      </w:pPr>
      <w:r>
        <w:rPr>
          <w:sz w:val="22"/>
          <w:lang w:eastAsia="en-US"/>
        </w:rPr>
        <w:t>Šiam vaistui specialių laikymo sąlygų nereik</w:t>
      </w:r>
      <w:r w:rsidR="004A2B71">
        <w:rPr>
          <w:sz w:val="22"/>
          <w:lang w:eastAsia="en-US"/>
        </w:rPr>
        <w:t>i</w:t>
      </w:r>
      <w:r>
        <w:rPr>
          <w:sz w:val="22"/>
          <w:lang w:eastAsia="en-US"/>
        </w:rPr>
        <w:t>a</w:t>
      </w:r>
      <w:r w:rsidR="00913CBE">
        <w:rPr>
          <w:sz w:val="22"/>
          <w:lang w:eastAsia="en-US"/>
        </w:rPr>
        <w:t>.</w:t>
      </w:r>
    </w:p>
    <w:p w14:paraId="1EEA9AA7" w14:textId="77777777" w:rsidR="003B31DC" w:rsidRDefault="003B31DC">
      <w:pPr>
        <w:numPr>
          <w:ilvl w:val="12"/>
          <w:numId w:val="0"/>
        </w:numPr>
        <w:ind w:right="-2"/>
        <w:rPr>
          <w:sz w:val="22"/>
          <w:lang w:eastAsia="en-US"/>
        </w:rPr>
      </w:pPr>
    </w:p>
    <w:p w14:paraId="293BBECD" w14:textId="77777777" w:rsidR="003B31DC" w:rsidRDefault="00913CBE">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741398E9" w14:textId="77777777" w:rsidR="003B31DC" w:rsidRDefault="003B31DC">
      <w:pPr>
        <w:numPr>
          <w:ilvl w:val="12"/>
          <w:numId w:val="0"/>
        </w:numPr>
        <w:ind w:right="-2"/>
        <w:rPr>
          <w:sz w:val="22"/>
          <w:lang w:eastAsia="en-US"/>
        </w:rPr>
      </w:pPr>
    </w:p>
    <w:p w14:paraId="2EDE05B3" w14:textId="77777777" w:rsidR="003B31DC" w:rsidRDefault="003B31DC">
      <w:pPr>
        <w:numPr>
          <w:ilvl w:val="12"/>
          <w:numId w:val="0"/>
        </w:numPr>
        <w:ind w:right="-2"/>
        <w:rPr>
          <w:sz w:val="22"/>
          <w:lang w:eastAsia="en-US"/>
        </w:rPr>
      </w:pPr>
    </w:p>
    <w:p w14:paraId="168D82F7" w14:textId="77777777" w:rsidR="003B31DC" w:rsidRDefault="00913CBE">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4DE5F687" w14:textId="77777777" w:rsidR="003B31DC" w:rsidRDefault="003B31DC">
      <w:pPr>
        <w:numPr>
          <w:ilvl w:val="12"/>
          <w:numId w:val="0"/>
        </w:numPr>
        <w:rPr>
          <w:sz w:val="22"/>
          <w:lang w:eastAsia="en-US"/>
        </w:rPr>
      </w:pPr>
    </w:p>
    <w:p w14:paraId="0A2F66BF" w14:textId="77777777" w:rsidR="003B31DC" w:rsidRDefault="00913CBE">
      <w:pPr>
        <w:jc w:val="both"/>
        <w:rPr>
          <w:b/>
          <w:bCs/>
          <w:sz w:val="22"/>
          <w:szCs w:val="22"/>
          <w:lang w:eastAsia="lt-LT"/>
        </w:rPr>
      </w:pPr>
      <w:proofErr w:type="spellStart"/>
      <w:r>
        <w:rPr>
          <w:b/>
          <w:bCs/>
          <w:sz w:val="22"/>
          <w:szCs w:val="26"/>
          <w:lang w:eastAsia="x-none"/>
        </w:rPr>
        <w:t>Mempoglyn</w:t>
      </w:r>
      <w:proofErr w:type="spellEnd"/>
      <w:r>
        <w:rPr>
          <w:b/>
          <w:bCs/>
          <w:sz w:val="22"/>
          <w:szCs w:val="22"/>
          <w:lang w:eastAsia="lt-LT"/>
        </w:rPr>
        <w:t xml:space="preserve"> sudėtis</w:t>
      </w:r>
    </w:p>
    <w:p w14:paraId="57856EB9" w14:textId="77777777" w:rsidR="003B31DC" w:rsidRDefault="00913CBE" w:rsidP="00FA2F7A">
      <w:pPr>
        <w:ind w:left="567" w:hanging="567"/>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empagliflozinas</w:t>
      </w:r>
      <w:proofErr w:type="spellEnd"/>
      <w:r>
        <w:rPr>
          <w:sz w:val="22"/>
          <w:szCs w:val="22"/>
          <w:lang w:eastAsia="lt-LT"/>
        </w:rPr>
        <w:t xml:space="preserve"> ir </w:t>
      </w:r>
      <w:proofErr w:type="spellStart"/>
      <w:r>
        <w:rPr>
          <w:sz w:val="22"/>
          <w:szCs w:val="22"/>
          <w:lang w:eastAsia="lt-LT"/>
        </w:rPr>
        <w:t>metformino</w:t>
      </w:r>
      <w:proofErr w:type="spellEnd"/>
      <w:r>
        <w:rPr>
          <w:sz w:val="22"/>
          <w:szCs w:val="22"/>
          <w:lang w:eastAsia="lt-LT"/>
        </w:rPr>
        <w:t xml:space="preserve"> hidrochloridas.</w:t>
      </w:r>
    </w:p>
    <w:p w14:paraId="34F59808" w14:textId="77777777" w:rsidR="003B31DC" w:rsidRDefault="00913CBE" w:rsidP="00FA2F7A">
      <w:pPr>
        <w:ind w:left="567"/>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mg/850 mg plėvele dengtos tabletės</w:t>
      </w:r>
    </w:p>
    <w:p w14:paraId="4CD6492A" w14:textId="77777777" w:rsidR="003B31DC" w:rsidRDefault="00913CBE" w:rsidP="00FA2F7A">
      <w:pPr>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53C1BD6D" w14:textId="77777777" w:rsidR="003B31DC" w:rsidRDefault="00913CBE" w:rsidP="00FA2F7A">
      <w:pPr>
        <w:ind w:left="567"/>
        <w:rPr>
          <w:rFonts w:eastAsiaTheme="minorHAnsi"/>
          <w:color w:val="000000"/>
          <w:sz w:val="22"/>
          <w:szCs w:val="22"/>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mg/1 000 mg plėvele dengtos tabletės</w:t>
      </w:r>
    </w:p>
    <w:p w14:paraId="4A8CF163" w14:textId="77777777" w:rsidR="003B31DC" w:rsidRDefault="00913CBE" w:rsidP="00FA2F7A">
      <w:pPr>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1C15474C" w14:textId="77777777" w:rsidR="003B31DC" w:rsidRDefault="00913CBE" w:rsidP="00FA2F7A">
      <w:pPr>
        <w:ind w:left="567"/>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mg/850 mg plėvele dengtos tabletės</w:t>
      </w:r>
    </w:p>
    <w:p w14:paraId="775CEA66" w14:textId="77777777" w:rsidR="003B31DC" w:rsidRDefault="00913CBE" w:rsidP="00FA2F7A">
      <w:pPr>
        <w:ind w:left="567"/>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12,5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4299494F" w14:textId="77777777" w:rsidR="003B31DC" w:rsidRDefault="00913CBE" w:rsidP="00FA2F7A">
      <w:pPr>
        <w:ind w:left="567"/>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mg/1 000 mg plėvele dengtos tabletės</w:t>
      </w:r>
    </w:p>
    <w:p w14:paraId="0D9E3817" w14:textId="77777777" w:rsidR="003B31DC" w:rsidRDefault="00913CBE" w:rsidP="00FA2F7A">
      <w:pPr>
        <w:ind w:left="567"/>
        <w:rPr>
          <w:sz w:val="22"/>
          <w:szCs w:val="22"/>
          <w:lang w:eastAsia="lt-LT"/>
        </w:rPr>
      </w:pPr>
      <w:r>
        <w:rPr>
          <w:rFonts w:eastAsiaTheme="minorHAnsi"/>
          <w:color w:val="000000"/>
          <w:sz w:val="22"/>
          <w:szCs w:val="22"/>
          <w:lang w:eastAsia="en-US"/>
        </w:rPr>
        <w:t xml:space="preserve">Kiekvienoje plėvele dengtoje tabletėje yra 12,5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09DA7C69" w14:textId="0C1C7FD7" w:rsidR="003B31DC" w:rsidRDefault="00913CBE">
      <w:pPr>
        <w:numPr>
          <w:ilvl w:val="0"/>
          <w:numId w:val="12"/>
        </w:numPr>
        <w:tabs>
          <w:tab w:val="left" w:pos="567"/>
        </w:tabs>
        <w:spacing w:line="260" w:lineRule="exact"/>
        <w:ind w:left="567" w:hanging="567"/>
        <w:jc w:val="both"/>
        <w:rPr>
          <w:sz w:val="22"/>
          <w:szCs w:val="22"/>
          <w:lang w:eastAsia="lt-LT"/>
        </w:rPr>
      </w:pPr>
      <w:r>
        <w:rPr>
          <w:sz w:val="22"/>
          <w:szCs w:val="22"/>
          <w:lang w:eastAsia="lt-LT"/>
        </w:rPr>
        <w:t>Pagalbinės medžiagos</w:t>
      </w:r>
      <w:r w:rsidR="00E91BA0">
        <w:rPr>
          <w:sz w:val="22"/>
          <w:szCs w:val="22"/>
          <w:lang w:eastAsia="lt-LT"/>
        </w:rPr>
        <w:t>:</w:t>
      </w:r>
      <w:r>
        <w:rPr>
          <w:sz w:val="22"/>
          <w:szCs w:val="22"/>
          <w:lang w:eastAsia="lt-LT"/>
        </w:rPr>
        <w:t xml:space="preserve"> </w:t>
      </w:r>
      <w:proofErr w:type="spellStart"/>
      <w:r>
        <w:rPr>
          <w:sz w:val="22"/>
          <w:szCs w:val="22"/>
          <w:lang w:eastAsia="lt-LT"/>
        </w:rPr>
        <w:t>hidroksipropilceliuliozė</w:t>
      </w:r>
      <w:proofErr w:type="spellEnd"/>
      <w:r>
        <w:rPr>
          <w:sz w:val="22"/>
          <w:szCs w:val="22"/>
          <w:lang w:eastAsia="lt-LT"/>
        </w:rPr>
        <w:t xml:space="preserve">, mažai pakeista </w:t>
      </w:r>
      <w:proofErr w:type="spellStart"/>
      <w:r>
        <w:rPr>
          <w:sz w:val="22"/>
          <w:szCs w:val="22"/>
          <w:lang w:eastAsia="lt-LT"/>
        </w:rPr>
        <w:t>hidroksipropilceliuliozė</w:t>
      </w:r>
      <w:proofErr w:type="spellEnd"/>
      <w:r>
        <w:rPr>
          <w:sz w:val="22"/>
          <w:szCs w:val="22"/>
          <w:lang w:eastAsia="lt-LT"/>
        </w:rPr>
        <w:t xml:space="preserve"> ir magnio </w:t>
      </w:r>
      <w:proofErr w:type="spellStart"/>
      <w:r>
        <w:rPr>
          <w:sz w:val="22"/>
          <w:szCs w:val="22"/>
          <w:lang w:eastAsia="lt-LT"/>
        </w:rPr>
        <w:t>stearatas</w:t>
      </w:r>
      <w:proofErr w:type="spellEnd"/>
      <w:r>
        <w:rPr>
          <w:sz w:val="22"/>
          <w:szCs w:val="22"/>
          <w:lang w:eastAsia="lt-LT"/>
        </w:rPr>
        <w:t xml:space="preserve"> tabletės šerdyje ir polivinilo alkoholis, kalcio karbonatas, </w:t>
      </w:r>
      <w:proofErr w:type="spellStart"/>
      <w:r>
        <w:rPr>
          <w:sz w:val="22"/>
          <w:szCs w:val="22"/>
          <w:lang w:eastAsia="lt-LT"/>
        </w:rPr>
        <w:t>makrogolis</w:t>
      </w:r>
      <w:proofErr w:type="spellEnd"/>
      <w:r>
        <w:rPr>
          <w:sz w:val="22"/>
          <w:szCs w:val="22"/>
          <w:lang w:eastAsia="lt-LT"/>
        </w:rPr>
        <w:t xml:space="preserve">, talkas, </w:t>
      </w:r>
      <w:bookmarkStart w:id="17" w:name="_Hlk224553811"/>
      <w:r>
        <w:rPr>
          <w:sz w:val="22"/>
          <w:szCs w:val="22"/>
          <w:lang w:eastAsia="lt-LT"/>
        </w:rPr>
        <w:t>geltonasis geležies oksidas (E172) (</w:t>
      </w:r>
      <w:r>
        <w:rPr>
          <w:i/>
          <w:iCs/>
          <w:sz w:val="22"/>
          <w:szCs w:val="22"/>
          <w:lang w:eastAsia="lt-LT"/>
        </w:rPr>
        <w:t>tik 5 mg/850 mg ir 5 mg/1 000 mg plėvele dengtose tabletėse</w:t>
      </w:r>
      <w:r>
        <w:rPr>
          <w:sz w:val="22"/>
          <w:szCs w:val="22"/>
          <w:lang w:eastAsia="lt-LT"/>
        </w:rPr>
        <w:t xml:space="preserve">), </w:t>
      </w:r>
      <w:bookmarkEnd w:id="17"/>
      <w:r>
        <w:rPr>
          <w:sz w:val="22"/>
          <w:szCs w:val="22"/>
          <w:lang w:eastAsia="lt-LT"/>
        </w:rPr>
        <w:t>raudonasis geležies oksidas (E172) (</w:t>
      </w:r>
      <w:r>
        <w:rPr>
          <w:i/>
          <w:iCs/>
          <w:sz w:val="22"/>
          <w:szCs w:val="22"/>
          <w:lang w:eastAsia="lt-LT"/>
        </w:rPr>
        <w:t>tik 12,5 mg/850 mg ir 12,5 mg/1 000 mg plėvele dengtose tabletėse</w:t>
      </w:r>
      <w:r>
        <w:rPr>
          <w:sz w:val="22"/>
          <w:szCs w:val="22"/>
          <w:lang w:eastAsia="lt-LT"/>
        </w:rPr>
        <w:t>), juodasis geležies oksidas (E172) (</w:t>
      </w:r>
      <w:r>
        <w:rPr>
          <w:i/>
          <w:iCs/>
          <w:sz w:val="22"/>
          <w:szCs w:val="22"/>
          <w:lang w:eastAsia="lt-LT"/>
        </w:rPr>
        <w:t>tik 12,5 mg/850 mg ir 12,5 mg/1 000 mg plėvele dengtose tabletėse</w:t>
      </w:r>
      <w:r>
        <w:rPr>
          <w:sz w:val="22"/>
          <w:szCs w:val="22"/>
          <w:lang w:eastAsia="lt-LT"/>
        </w:rPr>
        <w:t>) tabletės plėvelėje.</w:t>
      </w:r>
    </w:p>
    <w:p w14:paraId="1DE38883" w14:textId="77777777" w:rsidR="003B31DC" w:rsidRDefault="003B31DC">
      <w:pPr>
        <w:jc w:val="both"/>
        <w:rPr>
          <w:sz w:val="22"/>
          <w:szCs w:val="22"/>
          <w:lang w:eastAsia="lt-LT"/>
        </w:rPr>
      </w:pPr>
    </w:p>
    <w:p w14:paraId="3CF8BE31" w14:textId="77777777" w:rsidR="003B31DC" w:rsidRDefault="00913CBE">
      <w:pPr>
        <w:jc w:val="both"/>
        <w:rPr>
          <w:b/>
          <w:bCs/>
          <w:sz w:val="22"/>
          <w:szCs w:val="22"/>
          <w:lang w:eastAsia="lt-LT"/>
        </w:rPr>
      </w:pPr>
      <w:proofErr w:type="spellStart"/>
      <w:r>
        <w:rPr>
          <w:b/>
          <w:bCs/>
          <w:sz w:val="22"/>
          <w:szCs w:val="22"/>
          <w:lang w:eastAsia="lt-LT"/>
        </w:rPr>
        <w:t>Mempoglyn</w:t>
      </w:r>
      <w:proofErr w:type="spellEnd"/>
      <w:r>
        <w:rPr>
          <w:b/>
          <w:bCs/>
          <w:sz w:val="22"/>
          <w:szCs w:val="22"/>
          <w:lang w:eastAsia="lt-LT"/>
        </w:rPr>
        <w:t xml:space="preserve"> išvaizda ir kiekis pakuotėje</w:t>
      </w:r>
    </w:p>
    <w:p w14:paraId="2DA524E9"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mg/850 mg plėvele dengtos tabletės</w:t>
      </w:r>
    </w:p>
    <w:p w14:paraId="3385C095" w14:textId="5941A513" w:rsidR="003B31DC" w:rsidRDefault="00913CBE">
      <w:pPr>
        <w:rPr>
          <w:rFonts w:eastAsiaTheme="minorHAnsi"/>
          <w:color w:val="000000"/>
          <w:sz w:val="22"/>
          <w:szCs w:val="22"/>
          <w:lang w:eastAsia="en-US"/>
        </w:rPr>
      </w:pPr>
      <w:r>
        <w:rPr>
          <w:rFonts w:eastAsiaTheme="minorHAnsi"/>
          <w:color w:val="000000"/>
          <w:sz w:val="22"/>
          <w:szCs w:val="22"/>
          <w:lang w:eastAsia="en-US"/>
        </w:rPr>
        <w:t>Šviesiai geltona, ovali (20 mm ilgio ir 10 mm pločio), abipus išgaubta, plėvele dengta tabletė</w:t>
      </w:r>
      <w:r w:rsidR="00301E44">
        <w:rPr>
          <w:rFonts w:eastAsiaTheme="minorHAnsi"/>
          <w:color w:val="000000"/>
          <w:sz w:val="22"/>
          <w:szCs w:val="22"/>
          <w:lang w:eastAsia="en-US"/>
        </w:rPr>
        <w:t xml:space="preserve"> (tabletė)</w:t>
      </w:r>
      <w:r>
        <w:rPr>
          <w:rFonts w:eastAsiaTheme="minorHAnsi"/>
          <w:color w:val="000000"/>
          <w:sz w:val="22"/>
          <w:szCs w:val="22"/>
          <w:lang w:eastAsia="en-US"/>
        </w:rPr>
        <w:t xml:space="preserve">, vienoje pusėje pažymėta </w:t>
      </w:r>
      <w:r w:rsidR="005C331B">
        <w:rPr>
          <w:rFonts w:eastAsiaTheme="minorHAnsi"/>
          <w:color w:val="000000"/>
          <w:sz w:val="22"/>
          <w:szCs w:val="22"/>
          <w:lang w:eastAsia="en-US"/>
        </w:rPr>
        <w:t>„</w:t>
      </w:r>
      <w:r>
        <w:rPr>
          <w:rFonts w:eastAsiaTheme="minorHAnsi"/>
          <w:color w:val="000000"/>
          <w:sz w:val="22"/>
          <w:szCs w:val="22"/>
          <w:lang w:eastAsia="en-US"/>
        </w:rPr>
        <w:t>G1</w:t>
      </w:r>
      <w:r w:rsidR="005C331B">
        <w:rPr>
          <w:rFonts w:eastAsiaTheme="minorHAnsi"/>
          <w:color w:val="000000"/>
          <w:sz w:val="22"/>
          <w:szCs w:val="22"/>
          <w:lang w:eastAsia="en-US"/>
        </w:rPr>
        <w:t>“</w:t>
      </w:r>
      <w:r>
        <w:rPr>
          <w:rFonts w:eastAsiaTheme="minorHAnsi"/>
          <w:color w:val="000000"/>
          <w:sz w:val="22"/>
          <w:szCs w:val="22"/>
          <w:lang w:eastAsia="en-US"/>
        </w:rPr>
        <w:t>.</w:t>
      </w:r>
    </w:p>
    <w:p w14:paraId="2D39E7FA" w14:textId="77777777" w:rsidR="003B31DC" w:rsidRDefault="00913CBE" w:rsidP="00FA2F7A">
      <w:pPr>
        <w:keepNext/>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5 mg/1 000 mg plėvele dengtos tabletės</w:t>
      </w:r>
    </w:p>
    <w:p w14:paraId="21851F1D" w14:textId="2F1C1FE3" w:rsidR="003B31DC" w:rsidRDefault="00913CBE" w:rsidP="00FA2F7A">
      <w:pPr>
        <w:keepNext/>
        <w:rPr>
          <w:sz w:val="22"/>
          <w:szCs w:val="22"/>
        </w:rPr>
      </w:pPr>
      <w:r>
        <w:rPr>
          <w:rFonts w:eastAsiaTheme="minorHAnsi"/>
          <w:color w:val="000000"/>
          <w:sz w:val="22"/>
          <w:szCs w:val="22"/>
          <w:lang w:eastAsia="en-US"/>
        </w:rPr>
        <w:t>Rudai geltona, ovali (21 mm ilgio ir 10 mm pločio), abipus išgaubta, plėvele dengta tabletė</w:t>
      </w:r>
      <w:r w:rsidR="00CC40A3">
        <w:rPr>
          <w:rFonts w:eastAsiaTheme="minorHAnsi"/>
          <w:color w:val="000000"/>
          <w:sz w:val="22"/>
          <w:szCs w:val="22"/>
          <w:lang w:eastAsia="en-US"/>
        </w:rPr>
        <w:t xml:space="preserve"> (tabletė)</w:t>
      </w:r>
      <w:r>
        <w:rPr>
          <w:rFonts w:eastAsiaTheme="minorHAnsi"/>
          <w:color w:val="000000"/>
          <w:sz w:val="22"/>
          <w:szCs w:val="22"/>
          <w:lang w:eastAsia="en-US"/>
        </w:rPr>
        <w:t xml:space="preserve">, vienoje pusėje pažymėta </w:t>
      </w:r>
      <w:r w:rsidR="00232293">
        <w:rPr>
          <w:rFonts w:eastAsiaTheme="minorHAnsi"/>
          <w:color w:val="000000"/>
          <w:sz w:val="22"/>
          <w:szCs w:val="22"/>
          <w:lang w:eastAsia="en-US"/>
        </w:rPr>
        <w:t>„</w:t>
      </w:r>
      <w:r>
        <w:rPr>
          <w:rFonts w:eastAsiaTheme="minorHAnsi"/>
          <w:color w:val="000000"/>
          <w:sz w:val="22"/>
          <w:szCs w:val="22"/>
          <w:lang w:eastAsia="en-US"/>
        </w:rPr>
        <w:t>G3</w:t>
      </w:r>
      <w:r w:rsidR="00232293">
        <w:rPr>
          <w:rFonts w:eastAsiaTheme="minorHAnsi"/>
          <w:color w:val="000000"/>
          <w:sz w:val="22"/>
          <w:szCs w:val="22"/>
          <w:lang w:eastAsia="en-US"/>
        </w:rPr>
        <w:t>“</w:t>
      </w:r>
      <w:r>
        <w:rPr>
          <w:rFonts w:eastAsiaTheme="minorHAnsi"/>
          <w:color w:val="000000"/>
          <w:sz w:val="22"/>
          <w:szCs w:val="22"/>
          <w:lang w:eastAsia="en-US"/>
        </w:rPr>
        <w:t>.</w:t>
      </w:r>
    </w:p>
    <w:p w14:paraId="0B076558"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mg/850 mg plėvele dengtos tabletės</w:t>
      </w:r>
    </w:p>
    <w:p w14:paraId="35C79139" w14:textId="7083E1CF" w:rsidR="003B31DC" w:rsidRDefault="00913CBE">
      <w:pPr>
        <w:rPr>
          <w:sz w:val="22"/>
          <w:szCs w:val="22"/>
        </w:rPr>
      </w:pPr>
      <w:r>
        <w:rPr>
          <w:sz w:val="22"/>
          <w:szCs w:val="22"/>
        </w:rPr>
        <w:t>Pilkai rausva, ovali (20 mm ilgio ir 10 mm pločio), abipus išgaubta, plėvele dengta tabletė</w:t>
      </w:r>
      <w:r w:rsidR="00CC40A3">
        <w:rPr>
          <w:sz w:val="22"/>
          <w:szCs w:val="22"/>
        </w:rPr>
        <w:t xml:space="preserve"> (tabletė)</w:t>
      </w:r>
      <w:r>
        <w:rPr>
          <w:sz w:val="22"/>
          <w:szCs w:val="22"/>
        </w:rPr>
        <w:t xml:space="preserve">, vienoje pusėje pažymėta </w:t>
      </w:r>
      <w:r w:rsidR="00232293">
        <w:rPr>
          <w:sz w:val="22"/>
          <w:szCs w:val="22"/>
        </w:rPr>
        <w:t>„</w:t>
      </w:r>
      <w:r>
        <w:rPr>
          <w:sz w:val="22"/>
          <w:szCs w:val="22"/>
        </w:rPr>
        <w:t>G2</w:t>
      </w:r>
      <w:r w:rsidR="00232293">
        <w:rPr>
          <w:sz w:val="22"/>
          <w:szCs w:val="22"/>
        </w:rPr>
        <w:t>“</w:t>
      </w:r>
      <w:r>
        <w:rPr>
          <w:sz w:val="22"/>
          <w:szCs w:val="22"/>
        </w:rPr>
        <w:t>.</w:t>
      </w:r>
    </w:p>
    <w:p w14:paraId="441B10A6" w14:textId="77777777" w:rsidR="003B31DC" w:rsidRDefault="00913CBE">
      <w:pPr>
        <w:rPr>
          <w:rFonts w:eastAsiaTheme="minorHAnsi"/>
          <w:color w:val="000000"/>
          <w:sz w:val="22"/>
          <w:szCs w:val="22"/>
          <w:u w:val="single"/>
          <w:lang w:eastAsia="en-US"/>
        </w:rPr>
      </w:pPr>
      <w:proofErr w:type="spellStart"/>
      <w:r>
        <w:rPr>
          <w:rFonts w:eastAsiaTheme="minorHAnsi"/>
          <w:color w:val="000000"/>
          <w:sz w:val="22"/>
          <w:szCs w:val="22"/>
          <w:u w:val="single"/>
          <w:lang w:eastAsia="en-US"/>
        </w:rPr>
        <w:t>Mempoglyn</w:t>
      </w:r>
      <w:proofErr w:type="spellEnd"/>
      <w:r>
        <w:rPr>
          <w:rFonts w:eastAsiaTheme="minorHAnsi"/>
          <w:color w:val="000000"/>
          <w:sz w:val="22"/>
          <w:szCs w:val="22"/>
          <w:u w:val="single"/>
          <w:lang w:eastAsia="en-US"/>
        </w:rPr>
        <w:t xml:space="preserve"> 12,5 mg/1 000 mg plėvele dengtos tabletės</w:t>
      </w:r>
    </w:p>
    <w:p w14:paraId="5D5A7B15" w14:textId="2EF7895D" w:rsidR="003B31DC" w:rsidRDefault="00913CBE">
      <w:pPr>
        <w:rPr>
          <w:sz w:val="22"/>
          <w:szCs w:val="22"/>
        </w:rPr>
      </w:pPr>
      <w:r>
        <w:rPr>
          <w:sz w:val="22"/>
          <w:szCs w:val="22"/>
        </w:rPr>
        <w:t>Rudai violetinė, ovali (21 mm ilgio ir 10 mm pločio), abipus išgaubta, plėvele dengta tabletė</w:t>
      </w:r>
      <w:r w:rsidR="00D26689">
        <w:rPr>
          <w:sz w:val="22"/>
          <w:szCs w:val="22"/>
        </w:rPr>
        <w:t xml:space="preserve"> (tabletė)</w:t>
      </w:r>
      <w:r>
        <w:rPr>
          <w:sz w:val="22"/>
          <w:szCs w:val="22"/>
        </w:rPr>
        <w:t xml:space="preserve">, vienoje pusėje pažymėta </w:t>
      </w:r>
      <w:r w:rsidR="00232293">
        <w:rPr>
          <w:sz w:val="22"/>
          <w:szCs w:val="22"/>
        </w:rPr>
        <w:t>„</w:t>
      </w:r>
      <w:r>
        <w:rPr>
          <w:sz w:val="22"/>
          <w:szCs w:val="22"/>
        </w:rPr>
        <w:t>G4</w:t>
      </w:r>
      <w:r w:rsidR="00232293">
        <w:rPr>
          <w:sz w:val="22"/>
          <w:szCs w:val="22"/>
        </w:rPr>
        <w:t>“</w:t>
      </w:r>
      <w:r>
        <w:rPr>
          <w:sz w:val="22"/>
          <w:szCs w:val="22"/>
        </w:rPr>
        <w:t>.</w:t>
      </w:r>
    </w:p>
    <w:p w14:paraId="7330B91B" w14:textId="77777777" w:rsidR="003B31DC" w:rsidRDefault="003B31DC">
      <w:pPr>
        <w:widowControl w:val="0"/>
        <w:numPr>
          <w:ilvl w:val="12"/>
          <w:numId w:val="0"/>
        </w:numPr>
        <w:ind w:right="-2"/>
        <w:rPr>
          <w:bCs/>
          <w:sz w:val="22"/>
          <w:szCs w:val="22"/>
          <w:highlight w:val="cyan"/>
          <w:lang w:eastAsia="en-US"/>
        </w:rPr>
      </w:pPr>
    </w:p>
    <w:p w14:paraId="2F3A30E7" w14:textId="77777777" w:rsidR="003B31DC" w:rsidRDefault="00913CBE">
      <w:pPr>
        <w:widowControl w:val="0"/>
        <w:rPr>
          <w:sz w:val="22"/>
          <w:szCs w:val="22"/>
          <w:lang w:eastAsia="sl-SI"/>
        </w:rPr>
      </w:pPr>
      <w:proofErr w:type="spellStart"/>
      <w:r>
        <w:rPr>
          <w:bCs/>
          <w:sz w:val="22"/>
          <w:szCs w:val="22"/>
          <w:lang w:eastAsia="en-US"/>
        </w:rPr>
        <w:t>Mempoglyn</w:t>
      </w:r>
      <w:proofErr w:type="spellEnd"/>
      <w:r>
        <w:rPr>
          <w:b/>
          <w:bCs/>
          <w:sz w:val="22"/>
          <w:szCs w:val="22"/>
          <w:lang w:eastAsia="en-US"/>
        </w:rPr>
        <w:t xml:space="preserve"> </w:t>
      </w:r>
      <w:r>
        <w:rPr>
          <w:sz w:val="22"/>
          <w:szCs w:val="22"/>
          <w:lang w:eastAsia="en-US"/>
        </w:rPr>
        <w:t>tiekiamas pakuotėse, kuriose yra</w:t>
      </w:r>
      <w:r w:rsidRPr="00A02B90">
        <w:rPr>
          <w:sz w:val="22"/>
          <w:szCs w:val="22"/>
          <w:lang w:eastAsia="en-US"/>
        </w:rPr>
        <w:t xml:space="preserve"> 10, 14, 28, 30, 56, 60, 90, 100, 120, 196</w:t>
      </w:r>
      <w:r>
        <w:rPr>
          <w:noProof/>
          <w:sz w:val="22"/>
          <w:szCs w:val="22"/>
          <w:lang w:eastAsia="sl-SI"/>
        </w:rPr>
        <w:t xml:space="preserve"> plėvele dengtos tabletės arba sudėtinėse pakuotėse, kuriose yra 180 (3 pakuotės po 60) arba 180 (2 pakuotės po 90) plėvele dengtų tablečių dėžutėje.</w:t>
      </w:r>
    </w:p>
    <w:p w14:paraId="6672DD91" w14:textId="77777777" w:rsidR="003B31DC" w:rsidRDefault="003B31DC">
      <w:pPr>
        <w:widowControl w:val="0"/>
        <w:numPr>
          <w:ilvl w:val="12"/>
          <w:numId w:val="0"/>
        </w:numPr>
        <w:ind w:right="-2"/>
        <w:rPr>
          <w:b/>
          <w:bCs/>
          <w:sz w:val="22"/>
          <w:szCs w:val="22"/>
          <w:lang w:eastAsia="lt-LT"/>
        </w:rPr>
      </w:pPr>
    </w:p>
    <w:p w14:paraId="5FAAE0BC" w14:textId="77777777" w:rsidR="003B31DC" w:rsidRDefault="00913CBE">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397C7D11" w14:textId="77777777" w:rsidR="003B31DC" w:rsidRDefault="003B31DC">
      <w:pPr>
        <w:numPr>
          <w:ilvl w:val="12"/>
          <w:numId w:val="0"/>
        </w:numPr>
        <w:rPr>
          <w:rFonts w:eastAsia="Calibri"/>
          <w:sz w:val="22"/>
          <w:szCs w:val="22"/>
          <w:lang w:eastAsia="en-US"/>
        </w:rPr>
      </w:pPr>
    </w:p>
    <w:p w14:paraId="77D6B6CF" w14:textId="77777777" w:rsidR="003B31DC" w:rsidRDefault="00913CBE">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033027E7" w14:textId="77777777" w:rsidR="003B31DC" w:rsidRDefault="003B31DC">
      <w:pPr>
        <w:numPr>
          <w:ilvl w:val="12"/>
          <w:numId w:val="0"/>
        </w:numPr>
        <w:rPr>
          <w:rFonts w:eastAsia="Calibri"/>
          <w:sz w:val="22"/>
          <w:szCs w:val="22"/>
          <w:lang w:eastAsia="en-US"/>
        </w:rPr>
      </w:pPr>
    </w:p>
    <w:p w14:paraId="69777067" w14:textId="77777777" w:rsidR="003B31DC" w:rsidRDefault="00913CB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2620150F" w14:textId="77777777" w:rsidR="003B31DC" w:rsidRDefault="00913CB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37D4B1AC" w14:textId="77777777" w:rsidR="003B31DC" w:rsidRDefault="00913CBE">
      <w:pPr>
        <w:widowControl w:val="0"/>
        <w:rPr>
          <w:b/>
          <w:sz w:val="22"/>
          <w:szCs w:val="22"/>
          <w:lang w:eastAsia="sl-SI"/>
        </w:rPr>
      </w:pPr>
      <w:r>
        <w:rPr>
          <w:sz w:val="22"/>
          <w:szCs w:val="22"/>
          <w:lang w:eastAsia="sl-SI"/>
        </w:rPr>
        <w:t>8501 Novo mesto</w:t>
      </w:r>
    </w:p>
    <w:p w14:paraId="75B0E96D" w14:textId="77777777" w:rsidR="003B31DC" w:rsidRDefault="00913CBE">
      <w:pPr>
        <w:widowControl w:val="0"/>
        <w:rPr>
          <w:b/>
          <w:sz w:val="22"/>
          <w:szCs w:val="22"/>
          <w:lang w:eastAsia="sl-SI"/>
        </w:rPr>
      </w:pPr>
      <w:r>
        <w:rPr>
          <w:sz w:val="22"/>
          <w:szCs w:val="22"/>
          <w:lang w:eastAsia="sl-SI"/>
        </w:rPr>
        <w:t>Slovėnija</w:t>
      </w:r>
    </w:p>
    <w:p w14:paraId="1EF7E18D" w14:textId="77777777" w:rsidR="003B31DC" w:rsidRDefault="003B31DC">
      <w:pPr>
        <w:numPr>
          <w:ilvl w:val="12"/>
          <w:numId w:val="0"/>
        </w:numPr>
        <w:rPr>
          <w:rFonts w:eastAsia="Calibri"/>
          <w:noProof/>
          <w:sz w:val="22"/>
          <w:szCs w:val="22"/>
          <w:lang w:eastAsia="en-US"/>
        </w:rPr>
      </w:pPr>
    </w:p>
    <w:p w14:paraId="2694A7E1" w14:textId="77777777" w:rsidR="003B31DC" w:rsidRDefault="00913CBE" w:rsidP="00FA2F7A">
      <w:pPr>
        <w:keepNext/>
        <w:numPr>
          <w:ilvl w:val="12"/>
          <w:numId w:val="0"/>
        </w:numPr>
        <w:rPr>
          <w:rFonts w:eastAsia="Calibri"/>
          <w:noProof/>
          <w:sz w:val="22"/>
          <w:szCs w:val="22"/>
          <w:lang w:eastAsia="en-US"/>
        </w:rPr>
      </w:pPr>
      <w:r>
        <w:rPr>
          <w:rFonts w:eastAsia="Calibri"/>
          <w:noProof/>
          <w:sz w:val="22"/>
          <w:szCs w:val="22"/>
          <w:lang w:eastAsia="en-US"/>
        </w:rPr>
        <w:lastRenderedPageBreak/>
        <w:t>Jeigu apie šį vaistą norite sužinoti daugiau, kreipkitės į vietinį registruotojo atstovą:</w:t>
      </w:r>
    </w:p>
    <w:p w14:paraId="2FF92B6C" w14:textId="77777777" w:rsidR="003B31DC" w:rsidRDefault="003B31DC" w:rsidP="00FA2F7A">
      <w:pPr>
        <w:keepNext/>
        <w:numPr>
          <w:ilvl w:val="12"/>
          <w:numId w:val="0"/>
        </w:numPr>
        <w:rPr>
          <w:rFonts w:eastAsia="Calibri"/>
          <w:noProof/>
          <w:sz w:val="22"/>
          <w:szCs w:val="22"/>
          <w:lang w:eastAsia="en-US"/>
        </w:rPr>
      </w:pPr>
    </w:p>
    <w:p w14:paraId="0503890F" w14:textId="77777777" w:rsidR="003B31DC" w:rsidRDefault="00913CBE" w:rsidP="00FA2F7A">
      <w:pPr>
        <w:keepNext/>
        <w:rPr>
          <w:rFonts w:eastAsia="Calibri"/>
          <w:noProof/>
          <w:sz w:val="22"/>
          <w:szCs w:val="22"/>
          <w:lang w:eastAsia="en-US"/>
        </w:rPr>
      </w:pPr>
      <w:r>
        <w:rPr>
          <w:rFonts w:eastAsia="Calibri"/>
          <w:noProof/>
          <w:sz w:val="22"/>
          <w:szCs w:val="22"/>
          <w:lang w:eastAsia="en-US"/>
        </w:rPr>
        <w:t>UAB KRKA Lietuva</w:t>
      </w:r>
    </w:p>
    <w:p w14:paraId="73ADA81D" w14:textId="77777777" w:rsidR="003B31DC" w:rsidRDefault="00913CBE">
      <w:pPr>
        <w:rPr>
          <w:rFonts w:eastAsia="Calibri"/>
          <w:noProof/>
          <w:sz w:val="22"/>
          <w:szCs w:val="22"/>
          <w:lang w:eastAsia="en-US"/>
        </w:rPr>
      </w:pPr>
      <w:r>
        <w:rPr>
          <w:rFonts w:eastAsia="Calibri"/>
          <w:noProof/>
          <w:sz w:val="22"/>
          <w:szCs w:val="22"/>
          <w:lang w:eastAsia="en-US"/>
        </w:rPr>
        <w:t>Senasis Ukmergės kelias 4</w:t>
      </w:r>
    </w:p>
    <w:p w14:paraId="68174C0E" w14:textId="77777777" w:rsidR="003B31DC" w:rsidRDefault="00913CBE">
      <w:pPr>
        <w:rPr>
          <w:rFonts w:eastAsia="Calibri"/>
          <w:noProof/>
          <w:sz w:val="22"/>
          <w:szCs w:val="22"/>
          <w:lang w:eastAsia="en-US"/>
        </w:rPr>
      </w:pPr>
      <w:r>
        <w:rPr>
          <w:rFonts w:eastAsia="Calibri"/>
          <w:noProof/>
          <w:sz w:val="22"/>
          <w:szCs w:val="22"/>
          <w:lang w:eastAsia="en-US"/>
        </w:rPr>
        <w:t>Užubalių km.,Vilniaus r.</w:t>
      </w:r>
    </w:p>
    <w:p w14:paraId="60CDA819" w14:textId="77777777" w:rsidR="003B31DC" w:rsidRDefault="00913CBE">
      <w:pPr>
        <w:rPr>
          <w:rFonts w:eastAsia="Calibri"/>
          <w:noProof/>
          <w:sz w:val="22"/>
          <w:szCs w:val="22"/>
          <w:lang w:eastAsia="en-US"/>
        </w:rPr>
      </w:pPr>
      <w:r>
        <w:rPr>
          <w:rFonts w:eastAsia="Calibri"/>
          <w:noProof/>
          <w:sz w:val="22"/>
          <w:szCs w:val="22"/>
          <w:lang w:eastAsia="en-US"/>
        </w:rPr>
        <w:t>LT - 14013</w:t>
      </w:r>
    </w:p>
    <w:p w14:paraId="4CB6C051" w14:textId="77777777" w:rsidR="003B31DC" w:rsidRDefault="00913CBE">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19FCB939" w14:textId="77777777" w:rsidR="003B31DC" w:rsidRDefault="003B31DC">
      <w:pPr>
        <w:rPr>
          <w:rFonts w:eastAsia="Calibri"/>
          <w:noProof/>
          <w:sz w:val="22"/>
          <w:szCs w:val="22"/>
          <w:lang w:eastAsia="en-US"/>
        </w:rPr>
      </w:pPr>
    </w:p>
    <w:p w14:paraId="0F5A725D" w14:textId="77777777" w:rsidR="003B31DC" w:rsidRDefault="00913CBE">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3B31DC" w14:paraId="4C63C14A" w14:textId="77777777">
        <w:tc>
          <w:tcPr>
            <w:tcW w:w="3715" w:type="dxa"/>
            <w:tcBorders>
              <w:top w:val="single" w:sz="4" w:space="0" w:color="auto"/>
              <w:left w:val="single" w:sz="4" w:space="0" w:color="auto"/>
              <w:bottom w:val="single" w:sz="4" w:space="0" w:color="auto"/>
              <w:right w:val="single" w:sz="4" w:space="0" w:color="auto"/>
            </w:tcBorders>
            <w:hideMark/>
          </w:tcPr>
          <w:p w14:paraId="1BE2052C" w14:textId="77777777" w:rsidR="003B31DC" w:rsidRDefault="00913CBE">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20" w:type="dxa"/>
            <w:tcBorders>
              <w:top w:val="single" w:sz="4" w:space="0" w:color="auto"/>
              <w:left w:val="single" w:sz="4" w:space="0" w:color="auto"/>
              <w:bottom w:val="single" w:sz="4" w:space="0" w:color="auto"/>
              <w:right w:val="single" w:sz="4" w:space="0" w:color="auto"/>
            </w:tcBorders>
            <w:hideMark/>
          </w:tcPr>
          <w:p w14:paraId="48ED22FB" w14:textId="77777777" w:rsidR="003B31DC" w:rsidRDefault="00913CBE">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3B31DC" w14:paraId="2AC53623" w14:textId="77777777">
        <w:tc>
          <w:tcPr>
            <w:tcW w:w="3715" w:type="dxa"/>
            <w:tcBorders>
              <w:top w:val="single" w:sz="4" w:space="0" w:color="auto"/>
              <w:left w:val="single" w:sz="4" w:space="0" w:color="auto"/>
              <w:bottom w:val="single" w:sz="4" w:space="0" w:color="auto"/>
              <w:right w:val="single" w:sz="4" w:space="0" w:color="auto"/>
            </w:tcBorders>
            <w:hideMark/>
          </w:tcPr>
          <w:p w14:paraId="29FB0003" w14:textId="0EB81377" w:rsidR="003B31DC" w:rsidRDefault="00913CBE">
            <w:pPr>
              <w:numPr>
                <w:ilvl w:val="12"/>
                <w:numId w:val="0"/>
              </w:numPr>
              <w:spacing w:line="259" w:lineRule="auto"/>
              <w:rPr>
                <w:rFonts w:eastAsia="Calibri"/>
                <w:bCs/>
                <w:sz w:val="22"/>
                <w:szCs w:val="22"/>
                <w:lang w:eastAsia="en-US"/>
              </w:rPr>
            </w:pPr>
            <w:r>
              <w:rPr>
                <w:rFonts w:eastAsia="Calibri"/>
                <w:bCs/>
                <w:sz w:val="22"/>
                <w:szCs w:val="22"/>
                <w:lang w:eastAsia="en-US"/>
              </w:rPr>
              <w:t>Bulg</w:t>
            </w:r>
            <w:r w:rsidR="00F44BC5">
              <w:rPr>
                <w:rFonts w:eastAsia="Calibri"/>
                <w:bCs/>
                <w:sz w:val="22"/>
                <w:szCs w:val="22"/>
                <w:lang w:eastAsia="en-US"/>
              </w:rPr>
              <w:t>a</w:t>
            </w:r>
            <w:r>
              <w:rPr>
                <w:rFonts w:eastAsia="Calibri"/>
                <w:bCs/>
                <w:sz w:val="22"/>
                <w:szCs w:val="22"/>
                <w:lang w:eastAsia="en-US"/>
              </w:rPr>
              <w:t>rija, Čekija, Estija, Graikija, Kroatija, Vengrija, Lietuva, Latvija, Malta, Lenkija, Rumunija, Slovėnija, Slovakija</w:t>
            </w:r>
          </w:p>
        </w:tc>
        <w:tc>
          <w:tcPr>
            <w:tcW w:w="4820" w:type="dxa"/>
            <w:tcBorders>
              <w:top w:val="single" w:sz="4" w:space="0" w:color="auto"/>
              <w:left w:val="single" w:sz="4" w:space="0" w:color="auto"/>
              <w:bottom w:val="single" w:sz="4" w:space="0" w:color="auto"/>
              <w:right w:val="single" w:sz="4" w:space="0" w:color="auto"/>
            </w:tcBorders>
            <w:hideMark/>
          </w:tcPr>
          <w:p w14:paraId="1D3C3B8C" w14:textId="77777777" w:rsidR="003B31DC" w:rsidRDefault="00913CBE">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Mempoglyn</w:t>
            </w:r>
            <w:proofErr w:type="spellEnd"/>
          </w:p>
        </w:tc>
      </w:tr>
    </w:tbl>
    <w:p w14:paraId="1775FD36" w14:textId="77777777" w:rsidR="003B31DC" w:rsidRDefault="003B31DC">
      <w:pPr>
        <w:numPr>
          <w:ilvl w:val="12"/>
          <w:numId w:val="0"/>
        </w:numPr>
        <w:spacing w:line="259" w:lineRule="auto"/>
        <w:rPr>
          <w:rFonts w:eastAsia="Calibri"/>
          <w:bCs/>
          <w:sz w:val="22"/>
          <w:szCs w:val="22"/>
          <w:lang w:eastAsia="en-US"/>
        </w:rPr>
      </w:pPr>
    </w:p>
    <w:p w14:paraId="247FB166" w14:textId="79B6454C" w:rsidR="003B31DC" w:rsidRDefault="00913CBE">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C21CFA">
        <w:rPr>
          <w:rFonts w:eastAsia="Calibri"/>
          <w:b/>
          <w:sz w:val="22"/>
          <w:szCs w:val="22"/>
          <w:lang w:eastAsia="en-US"/>
        </w:rPr>
        <w:t>2026-05-04</w:t>
      </w:r>
      <w:r>
        <w:rPr>
          <w:b/>
          <w:sz w:val="22"/>
          <w:szCs w:val="20"/>
          <w:lang w:eastAsia="en-US"/>
        </w:rPr>
        <w:t>.</w:t>
      </w:r>
    </w:p>
    <w:p w14:paraId="51C5530C" w14:textId="77777777" w:rsidR="003B31DC" w:rsidRDefault="003B31DC">
      <w:pPr>
        <w:numPr>
          <w:ilvl w:val="12"/>
          <w:numId w:val="0"/>
        </w:numPr>
        <w:rPr>
          <w:rFonts w:eastAsia="Calibri"/>
          <w:sz w:val="22"/>
          <w:szCs w:val="22"/>
          <w:lang w:eastAsia="en-US"/>
        </w:rPr>
      </w:pPr>
    </w:p>
    <w:p w14:paraId="1A0FC7A8" w14:textId="77777777" w:rsidR="003B31DC" w:rsidRDefault="00913CBE">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18" w:name="_Hlk173407610"/>
      <w:r>
        <w:rPr>
          <w:rFonts w:eastAsia="Calibri"/>
          <w:color w:val="0000EE"/>
          <w:sz w:val="22"/>
          <w:szCs w:val="22"/>
          <w:u w:val="single"/>
          <w:lang w:eastAsia="lt-LT"/>
        </w:rPr>
        <w:t>https://vvkt.lrv.lt/lt/</w:t>
      </w:r>
      <w:bookmarkEnd w:id="18"/>
      <w:r>
        <w:rPr>
          <w:rFonts w:eastAsia="Calibri"/>
          <w:sz w:val="22"/>
          <w:szCs w:val="22"/>
          <w:lang w:eastAsia="lt-LT"/>
        </w:rPr>
        <w:t>.</w:t>
      </w:r>
    </w:p>
    <w:p w14:paraId="6A6B38C4" w14:textId="77777777" w:rsidR="003B31DC" w:rsidRPr="00BE60B0" w:rsidRDefault="003B31DC" w:rsidP="00BE60B0">
      <w:pPr>
        <w:widowControl w:val="0"/>
        <w:rPr>
          <w:rFonts w:eastAsia="Calibri"/>
          <w:sz w:val="22"/>
          <w:szCs w:val="22"/>
          <w:lang w:eastAsia="en-US"/>
        </w:rPr>
      </w:pPr>
    </w:p>
    <w:p w14:paraId="2E6DB502" w14:textId="77777777" w:rsidR="003B31DC" w:rsidRPr="00FA2F7A" w:rsidRDefault="003B31DC" w:rsidP="00BE60B0">
      <w:pPr>
        <w:pStyle w:val="Antrat3"/>
        <w:keepNext w:val="0"/>
        <w:keepLines w:val="0"/>
        <w:widowControl w:val="0"/>
        <w:spacing w:before="0" w:after="0" w:line="240" w:lineRule="auto"/>
        <w:rPr>
          <w:rFonts w:ascii="Times New Roman" w:hAnsi="Times New Roman"/>
          <w:b w:val="0"/>
          <w:sz w:val="22"/>
          <w:lang w:val="lt-LT"/>
        </w:rPr>
      </w:pPr>
    </w:p>
    <w:sectPr w:rsidR="003B31DC" w:rsidRPr="00FA2F7A" w:rsidSect="00C326F1">
      <w:headerReference w:type="even" r:id="rId9"/>
      <w:headerReference w:type="default" r:id="rId10"/>
      <w:footerReference w:type="even" r:id="rId11"/>
      <w:footerReference w:type="default" r:id="rId12"/>
      <w:headerReference w:type="first" r:id="rId13"/>
      <w:footerReference w:type="first" r:id="rId14"/>
      <w:pgSz w:w="11910" w:h="16840"/>
      <w:pgMar w:top="1040" w:right="1080" w:bottom="900" w:left="1180" w:header="0" w:footer="7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AA8B" w14:textId="77777777" w:rsidR="00525FE7" w:rsidRDefault="00525FE7">
      <w:r>
        <w:separator/>
      </w:r>
    </w:p>
  </w:endnote>
  <w:endnote w:type="continuationSeparator" w:id="0">
    <w:p w14:paraId="017DDB4C" w14:textId="77777777" w:rsidR="00525FE7" w:rsidRDefault="00525FE7">
      <w:r>
        <w:continuationSeparator/>
      </w:r>
    </w:p>
  </w:endnote>
  <w:endnote w:type="continuationNotice" w:id="1">
    <w:p w14:paraId="7FBDA28D" w14:textId="77777777" w:rsidR="00525FE7" w:rsidRDefault="00525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Content>
      <w:p w14:paraId="084E0B2C" w14:textId="77777777" w:rsidR="003B31DC" w:rsidRDefault="00913CB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50F4088" w14:textId="77777777" w:rsidR="003B31DC" w:rsidRDefault="003B31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Content>
      <w:p w14:paraId="11675303" w14:textId="77777777" w:rsidR="003B31DC" w:rsidRDefault="00913CB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sdtContent>
  </w:sdt>
  <w:p w14:paraId="43E85D0A" w14:textId="77777777" w:rsidR="003B31DC" w:rsidRDefault="003B31DC">
    <w:pPr>
      <w:pStyle w:val="Porat"/>
      <w:jc w:val="right"/>
    </w:pPr>
  </w:p>
  <w:p w14:paraId="44461AA4" w14:textId="77777777" w:rsidR="003B31DC" w:rsidRDefault="003B31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6087" w14:textId="77777777" w:rsidR="003B31DC" w:rsidRDefault="003B31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FD18" w14:textId="77777777" w:rsidR="00525FE7" w:rsidRDefault="00525FE7">
      <w:r>
        <w:separator/>
      </w:r>
    </w:p>
  </w:footnote>
  <w:footnote w:type="continuationSeparator" w:id="0">
    <w:p w14:paraId="6A2236E6" w14:textId="77777777" w:rsidR="00525FE7" w:rsidRDefault="00525FE7">
      <w:r>
        <w:continuationSeparator/>
      </w:r>
    </w:p>
  </w:footnote>
  <w:footnote w:type="continuationNotice" w:id="1">
    <w:p w14:paraId="645FCC97" w14:textId="77777777" w:rsidR="00525FE7" w:rsidRDefault="00525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E374" w14:textId="77777777" w:rsidR="003B31DC" w:rsidRDefault="003B31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71F3" w14:textId="77777777" w:rsidR="003B31DC" w:rsidRDefault="003B31D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293D" w14:textId="77777777" w:rsidR="003B31DC" w:rsidRDefault="003B31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57A5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441B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0A7A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BA6DA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C9EFE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1E1AC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78384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C5F23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9129B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93B79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E6245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2" w15:restartNumberingAfterBreak="0">
    <w:nsid w:val="FFFFFFFE"/>
    <w:multiLevelType w:val="singleLevel"/>
    <w:tmpl w:val="FFFFFFFF"/>
    <w:lvl w:ilvl="0">
      <w:numFmt w:val="decimal"/>
      <w:lvlText w:val="*"/>
      <w:lvlJc w:val="left"/>
      <w:pPr>
        <w:ind w:left="0" w:firstLine="0"/>
      </w:pPr>
    </w:lvl>
  </w:abstractNum>
  <w:abstractNum w:abstractNumId="13" w15:restartNumberingAfterBreak="0">
    <w:nsid w:val="02FBFD5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BBA60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802340A"/>
    <w:multiLevelType w:val="hybridMultilevel"/>
    <w:tmpl w:val="51D6F60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A59A9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A8D3A20"/>
    <w:multiLevelType w:val="hybridMultilevel"/>
    <w:tmpl w:val="1EACF97C"/>
    <w:lvl w:ilvl="0" w:tplc="61D6DA82">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904E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5735D9"/>
    <w:multiLevelType w:val="hybridMultilevel"/>
    <w:tmpl w:val="F29615E8"/>
    <w:lvl w:ilvl="0" w:tplc="AFC47E26">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190E5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3BC73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6D42493"/>
    <w:multiLevelType w:val="hybridMultilevel"/>
    <w:tmpl w:val="8432FCCE"/>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DB1BDD"/>
    <w:multiLevelType w:val="hybridMultilevel"/>
    <w:tmpl w:val="705CE724"/>
    <w:lvl w:ilvl="0" w:tplc="61D6DA8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965DE2"/>
    <w:multiLevelType w:val="hybridMultilevel"/>
    <w:tmpl w:val="04FC95B6"/>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F0B548E"/>
    <w:multiLevelType w:val="hybridMultilevel"/>
    <w:tmpl w:val="2D8246CA"/>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0" w15:restartNumberingAfterBreak="0">
    <w:nsid w:val="4F407F8C"/>
    <w:multiLevelType w:val="hybridMultilevel"/>
    <w:tmpl w:val="FD3C883A"/>
    <w:lvl w:ilvl="0" w:tplc="61D6DA8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3" w15:restartNumberingAfterBreak="0">
    <w:nsid w:val="5A960185"/>
    <w:multiLevelType w:val="hybridMultilevel"/>
    <w:tmpl w:val="D5943370"/>
    <w:lvl w:ilvl="0" w:tplc="DFD47A7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10C9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0C27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185A4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2073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C093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E85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2BC2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76E6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BD1DA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4265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847F1"/>
    <w:multiLevelType w:val="hybridMultilevel"/>
    <w:tmpl w:val="71F4355E"/>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5458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E79D2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FCB1CC4"/>
    <w:multiLevelType w:val="hybridMultilevel"/>
    <w:tmpl w:val="97E4B50E"/>
    <w:lvl w:ilvl="0" w:tplc="4A6EE82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8B9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B0A7B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DEE2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EBE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D8CF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CE5A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5CC9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E052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50E0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823194C"/>
    <w:multiLevelType w:val="hybridMultilevel"/>
    <w:tmpl w:val="4A94627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4"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561791446">
    <w:abstractNumId w:val="11"/>
    <w:lvlOverride w:ilvl="0">
      <w:startOverride w:val="1"/>
    </w:lvlOverride>
  </w:num>
  <w:num w:numId="2" w16cid:durableId="1806853106">
    <w:abstractNumId w:val="44"/>
  </w:num>
  <w:num w:numId="3" w16cid:durableId="301884664">
    <w:abstractNumId w:val="31"/>
  </w:num>
  <w:num w:numId="4" w16cid:durableId="1719015406">
    <w:abstractNumId w:val="36"/>
  </w:num>
  <w:num w:numId="5" w16cid:durableId="649134397">
    <w:abstractNumId w:val="14"/>
  </w:num>
  <w:num w:numId="6" w16cid:durableId="205333915">
    <w:abstractNumId w:val="20"/>
  </w:num>
  <w:num w:numId="7" w16cid:durableId="494147742">
    <w:abstractNumId w:val="16"/>
  </w:num>
  <w:num w:numId="8" w16cid:durableId="766073882">
    <w:abstractNumId w:val="29"/>
  </w:num>
  <w:num w:numId="9" w16cid:durableId="464742858">
    <w:abstractNumId w:val="43"/>
  </w:num>
  <w:num w:numId="10" w16cid:durableId="1829861051">
    <w:abstractNumId w:val="19"/>
  </w:num>
  <w:num w:numId="11" w16cid:durableId="1921212020">
    <w:abstractNumId w:val="12"/>
    <w:lvlOverride w:ilvl="0">
      <w:lvl w:ilvl="0">
        <w:numFmt w:val="bullet"/>
        <w:lvlText w:val="-"/>
        <w:lvlJc w:val="left"/>
        <w:pPr>
          <w:ind w:left="360" w:hanging="360"/>
        </w:pPr>
      </w:lvl>
    </w:lvlOverride>
  </w:num>
  <w:num w:numId="12" w16cid:durableId="539901802">
    <w:abstractNumId w:val="12"/>
    <w:lvlOverride w:ilvl="0">
      <w:lvl w:ilvl="0">
        <w:numFmt w:val="bullet"/>
        <w:lvlText w:val="-"/>
        <w:legacy w:legacy="1" w:legacySpace="0" w:legacyIndent="360"/>
        <w:lvlJc w:val="left"/>
        <w:pPr>
          <w:ind w:left="360" w:hanging="360"/>
        </w:pPr>
      </w:lvl>
    </w:lvlOverride>
  </w:num>
  <w:num w:numId="13" w16cid:durableId="132909146">
    <w:abstractNumId w:val="32"/>
  </w:num>
  <w:num w:numId="14" w16cid:durableId="73472439">
    <w:abstractNumId w:val="26"/>
  </w:num>
  <w:num w:numId="15" w16cid:durableId="926811386">
    <w:abstractNumId w:val="30"/>
  </w:num>
  <w:num w:numId="16" w16cid:durableId="94177424">
    <w:abstractNumId w:val="25"/>
  </w:num>
  <w:num w:numId="17" w16cid:durableId="1539774884">
    <w:abstractNumId w:val="40"/>
  </w:num>
  <w:num w:numId="18" w16cid:durableId="858735836">
    <w:abstractNumId w:val="5"/>
  </w:num>
  <w:num w:numId="19" w16cid:durableId="1479690448">
    <w:abstractNumId w:val="23"/>
  </w:num>
  <w:num w:numId="20" w16cid:durableId="1836914843">
    <w:abstractNumId w:val="33"/>
  </w:num>
  <w:num w:numId="21" w16cid:durableId="24647968">
    <w:abstractNumId w:val="34"/>
  </w:num>
  <w:num w:numId="22" w16cid:durableId="836991954">
    <w:abstractNumId w:val="17"/>
  </w:num>
  <w:num w:numId="23" w16cid:durableId="24330665">
    <w:abstractNumId w:val="13"/>
  </w:num>
  <w:num w:numId="24" w16cid:durableId="2144469644">
    <w:abstractNumId w:val="22"/>
  </w:num>
  <w:num w:numId="25" w16cid:durableId="245724868">
    <w:abstractNumId w:val="9"/>
  </w:num>
  <w:num w:numId="26" w16cid:durableId="563296719">
    <w:abstractNumId w:val="8"/>
  </w:num>
  <w:num w:numId="27" w16cid:durableId="1243833337">
    <w:abstractNumId w:val="10"/>
  </w:num>
  <w:num w:numId="28" w16cid:durableId="290749448">
    <w:abstractNumId w:val="42"/>
  </w:num>
  <w:num w:numId="29" w16cid:durableId="1774931282">
    <w:abstractNumId w:val="24"/>
  </w:num>
  <w:num w:numId="30" w16cid:durableId="924416053">
    <w:abstractNumId w:val="3"/>
  </w:num>
  <w:num w:numId="31" w16cid:durableId="1923562718">
    <w:abstractNumId w:val="2"/>
  </w:num>
  <w:num w:numId="32" w16cid:durableId="1232426535">
    <w:abstractNumId w:val="18"/>
  </w:num>
  <w:num w:numId="33" w16cid:durableId="390810896">
    <w:abstractNumId w:val="27"/>
  </w:num>
  <w:num w:numId="34" w16cid:durableId="2025353648">
    <w:abstractNumId w:val="39"/>
  </w:num>
  <w:num w:numId="35" w16cid:durableId="1403526976">
    <w:abstractNumId w:val="0"/>
  </w:num>
  <w:num w:numId="36" w16cid:durableId="1390492907">
    <w:abstractNumId w:val="1"/>
  </w:num>
  <w:num w:numId="37" w16cid:durableId="489098411">
    <w:abstractNumId w:val="28"/>
  </w:num>
  <w:num w:numId="38" w16cid:durableId="73673601">
    <w:abstractNumId w:val="38"/>
  </w:num>
  <w:num w:numId="39" w16cid:durableId="1607032666">
    <w:abstractNumId w:val="6"/>
  </w:num>
  <w:num w:numId="40" w16cid:durableId="599490346">
    <w:abstractNumId w:val="4"/>
  </w:num>
  <w:num w:numId="41" w16cid:durableId="573201937">
    <w:abstractNumId w:val="21"/>
  </w:num>
  <w:num w:numId="42" w16cid:durableId="1725061494">
    <w:abstractNumId w:val="37"/>
  </w:num>
  <w:num w:numId="43" w16cid:durableId="1253705419">
    <w:abstractNumId w:val="41"/>
  </w:num>
  <w:num w:numId="44" w16cid:durableId="2065833369">
    <w:abstractNumId w:val="35"/>
  </w:num>
  <w:num w:numId="45" w16cid:durableId="1448817011">
    <w:abstractNumId w:val="15"/>
  </w:num>
  <w:num w:numId="46" w16cid:durableId="26327201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1DC"/>
    <w:rsid w:val="00006602"/>
    <w:rsid w:val="00007360"/>
    <w:rsid w:val="0001366C"/>
    <w:rsid w:val="00013BE7"/>
    <w:rsid w:val="000274F7"/>
    <w:rsid w:val="00033539"/>
    <w:rsid w:val="00033FEE"/>
    <w:rsid w:val="00035CB5"/>
    <w:rsid w:val="000460A4"/>
    <w:rsid w:val="000509CB"/>
    <w:rsid w:val="000529EC"/>
    <w:rsid w:val="000560EA"/>
    <w:rsid w:val="00056902"/>
    <w:rsid w:val="00060215"/>
    <w:rsid w:val="0006180D"/>
    <w:rsid w:val="00071E6E"/>
    <w:rsid w:val="00073E88"/>
    <w:rsid w:val="00087FF4"/>
    <w:rsid w:val="00093FEE"/>
    <w:rsid w:val="00094562"/>
    <w:rsid w:val="00096C50"/>
    <w:rsid w:val="00096FB0"/>
    <w:rsid w:val="000A4181"/>
    <w:rsid w:val="000A5D52"/>
    <w:rsid w:val="000A652E"/>
    <w:rsid w:val="000A6C13"/>
    <w:rsid w:val="000A7A94"/>
    <w:rsid w:val="000B21C0"/>
    <w:rsid w:val="000B2690"/>
    <w:rsid w:val="000B640E"/>
    <w:rsid w:val="000C1BEA"/>
    <w:rsid w:val="000C4FD5"/>
    <w:rsid w:val="000D1DF3"/>
    <w:rsid w:val="000D2272"/>
    <w:rsid w:val="000E3584"/>
    <w:rsid w:val="000F52F3"/>
    <w:rsid w:val="00103D3D"/>
    <w:rsid w:val="00103FBB"/>
    <w:rsid w:val="00104A32"/>
    <w:rsid w:val="00105417"/>
    <w:rsid w:val="00107B86"/>
    <w:rsid w:val="001158EB"/>
    <w:rsid w:val="00117F0B"/>
    <w:rsid w:val="001207C4"/>
    <w:rsid w:val="00121451"/>
    <w:rsid w:val="00123333"/>
    <w:rsid w:val="001249E3"/>
    <w:rsid w:val="00125663"/>
    <w:rsid w:val="00132371"/>
    <w:rsid w:val="001359AD"/>
    <w:rsid w:val="00140669"/>
    <w:rsid w:val="00143300"/>
    <w:rsid w:val="00144535"/>
    <w:rsid w:val="0014561F"/>
    <w:rsid w:val="00147302"/>
    <w:rsid w:val="00147F11"/>
    <w:rsid w:val="00154C7F"/>
    <w:rsid w:val="00161718"/>
    <w:rsid w:val="00163D67"/>
    <w:rsid w:val="0016422E"/>
    <w:rsid w:val="00165A0E"/>
    <w:rsid w:val="00170DF6"/>
    <w:rsid w:val="00181FAC"/>
    <w:rsid w:val="0018311B"/>
    <w:rsid w:val="0019320F"/>
    <w:rsid w:val="0019480C"/>
    <w:rsid w:val="001A22BB"/>
    <w:rsid w:val="001B192A"/>
    <w:rsid w:val="001B4F3C"/>
    <w:rsid w:val="001C1847"/>
    <w:rsid w:val="001C3337"/>
    <w:rsid w:val="001C56A4"/>
    <w:rsid w:val="001C6531"/>
    <w:rsid w:val="001C6712"/>
    <w:rsid w:val="001C6D69"/>
    <w:rsid w:val="001D32C0"/>
    <w:rsid w:val="001D3A58"/>
    <w:rsid w:val="001D48A0"/>
    <w:rsid w:val="001D5FD9"/>
    <w:rsid w:val="001E1030"/>
    <w:rsid w:val="001E10EF"/>
    <w:rsid w:val="001E2338"/>
    <w:rsid w:val="001E2F68"/>
    <w:rsid w:val="001E5D98"/>
    <w:rsid w:val="001F5055"/>
    <w:rsid w:val="001F50C2"/>
    <w:rsid w:val="001F5252"/>
    <w:rsid w:val="00201D39"/>
    <w:rsid w:val="0020208A"/>
    <w:rsid w:val="00202454"/>
    <w:rsid w:val="002035BB"/>
    <w:rsid w:val="0020510C"/>
    <w:rsid w:val="00205DFF"/>
    <w:rsid w:val="00216A90"/>
    <w:rsid w:val="00217E1C"/>
    <w:rsid w:val="002221F8"/>
    <w:rsid w:val="00225B61"/>
    <w:rsid w:val="00230788"/>
    <w:rsid w:val="00232293"/>
    <w:rsid w:val="00240863"/>
    <w:rsid w:val="002465E4"/>
    <w:rsid w:val="00251E20"/>
    <w:rsid w:val="002522BB"/>
    <w:rsid w:val="002614B8"/>
    <w:rsid w:val="00267FD7"/>
    <w:rsid w:val="00270725"/>
    <w:rsid w:val="002831AE"/>
    <w:rsid w:val="00286ECA"/>
    <w:rsid w:val="002874F6"/>
    <w:rsid w:val="00293FEE"/>
    <w:rsid w:val="002A05AD"/>
    <w:rsid w:val="002A09DB"/>
    <w:rsid w:val="002A40A3"/>
    <w:rsid w:val="002A5007"/>
    <w:rsid w:val="002A539E"/>
    <w:rsid w:val="002A6340"/>
    <w:rsid w:val="002A6927"/>
    <w:rsid w:val="002B7B23"/>
    <w:rsid w:val="002B7F28"/>
    <w:rsid w:val="002C1B56"/>
    <w:rsid w:val="002C3DB5"/>
    <w:rsid w:val="002C4B30"/>
    <w:rsid w:val="002C634F"/>
    <w:rsid w:val="002C69BD"/>
    <w:rsid w:val="002D3ADC"/>
    <w:rsid w:val="002D5A42"/>
    <w:rsid w:val="002E016A"/>
    <w:rsid w:val="002E17A3"/>
    <w:rsid w:val="002E61E9"/>
    <w:rsid w:val="002F7ACE"/>
    <w:rsid w:val="00301E44"/>
    <w:rsid w:val="00310E0A"/>
    <w:rsid w:val="003221EB"/>
    <w:rsid w:val="00322632"/>
    <w:rsid w:val="00324C0A"/>
    <w:rsid w:val="003344FC"/>
    <w:rsid w:val="0034046B"/>
    <w:rsid w:val="00350393"/>
    <w:rsid w:val="00352E5D"/>
    <w:rsid w:val="003578B6"/>
    <w:rsid w:val="00360EAE"/>
    <w:rsid w:val="00360FB0"/>
    <w:rsid w:val="00377CC8"/>
    <w:rsid w:val="00380334"/>
    <w:rsid w:val="003811A8"/>
    <w:rsid w:val="00384024"/>
    <w:rsid w:val="0038594F"/>
    <w:rsid w:val="00386231"/>
    <w:rsid w:val="00392BE8"/>
    <w:rsid w:val="003944D0"/>
    <w:rsid w:val="003A23B5"/>
    <w:rsid w:val="003A250B"/>
    <w:rsid w:val="003A2B68"/>
    <w:rsid w:val="003A727B"/>
    <w:rsid w:val="003B24F4"/>
    <w:rsid w:val="003B31DC"/>
    <w:rsid w:val="003C00B3"/>
    <w:rsid w:val="003C244D"/>
    <w:rsid w:val="003C563D"/>
    <w:rsid w:val="003C5AB5"/>
    <w:rsid w:val="003C78E9"/>
    <w:rsid w:val="003D1E6A"/>
    <w:rsid w:val="003D7DF8"/>
    <w:rsid w:val="003F30AC"/>
    <w:rsid w:val="003F40CA"/>
    <w:rsid w:val="00401E4B"/>
    <w:rsid w:val="00405247"/>
    <w:rsid w:val="00423A1D"/>
    <w:rsid w:val="00440765"/>
    <w:rsid w:val="0044131E"/>
    <w:rsid w:val="00444A48"/>
    <w:rsid w:val="00446BD2"/>
    <w:rsid w:val="004528AD"/>
    <w:rsid w:val="00463F6D"/>
    <w:rsid w:val="00465551"/>
    <w:rsid w:val="00467AD4"/>
    <w:rsid w:val="00471D3B"/>
    <w:rsid w:val="00475BC7"/>
    <w:rsid w:val="00481CB6"/>
    <w:rsid w:val="00483943"/>
    <w:rsid w:val="00486B6A"/>
    <w:rsid w:val="004873D1"/>
    <w:rsid w:val="00494B98"/>
    <w:rsid w:val="004953D0"/>
    <w:rsid w:val="00495A86"/>
    <w:rsid w:val="004A254E"/>
    <w:rsid w:val="004A2B71"/>
    <w:rsid w:val="004A5C7D"/>
    <w:rsid w:val="004A7C06"/>
    <w:rsid w:val="004B1DBF"/>
    <w:rsid w:val="004B36CB"/>
    <w:rsid w:val="004B6E15"/>
    <w:rsid w:val="004C15F3"/>
    <w:rsid w:val="004C62E0"/>
    <w:rsid w:val="004C7715"/>
    <w:rsid w:val="004D1E78"/>
    <w:rsid w:val="004D4BAC"/>
    <w:rsid w:val="004E21A0"/>
    <w:rsid w:val="004E3FE0"/>
    <w:rsid w:val="004E4127"/>
    <w:rsid w:val="004F0C02"/>
    <w:rsid w:val="00502042"/>
    <w:rsid w:val="00504E28"/>
    <w:rsid w:val="0051097D"/>
    <w:rsid w:val="0052190A"/>
    <w:rsid w:val="005228E5"/>
    <w:rsid w:val="00522BC8"/>
    <w:rsid w:val="005242BC"/>
    <w:rsid w:val="00525761"/>
    <w:rsid w:val="00525E75"/>
    <w:rsid w:val="00525FE7"/>
    <w:rsid w:val="00526ACE"/>
    <w:rsid w:val="00535B6B"/>
    <w:rsid w:val="00550B38"/>
    <w:rsid w:val="0055472A"/>
    <w:rsid w:val="005558AD"/>
    <w:rsid w:val="00556AE3"/>
    <w:rsid w:val="00556DAA"/>
    <w:rsid w:val="00570AF1"/>
    <w:rsid w:val="005774F8"/>
    <w:rsid w:val="00581E08"/>
    <w:rsid w:val="0059450A"/>
    <w:rsid w:val="0059550E"/>
    <w:rsid w:val="00595C07"/>
    <w:rsid w:val="005A35F4"/>
    <w:rsid w:val="005B34FA"/>
    <w:rsid w:val="005B4E4B"/>
    <w:rsid w:val="005B5303"/>
    <w:rsid w:val="005C1CAE"/>
    <w:rsid w:val="005C331B"/>
    <w:rsid w:val="005D1A71"/>
    <w:rsid w:val="005D21D1"/>
    <w:rsid w:val="005D574A"/>
    <w:rsid w:val="005D69CC"/>
    <w:rsid w:val="005F0582"/>
    <w:rsid w:val="005F4B14"/>
    <w:rsid w:val="0060184E"/>
    <w:rsid w:val="00612519"/>
    <w:rsid w:val="006145BF"/>
    <w:rsid w:val="00616A47"/>
    <w:rsid w:val="0062023C"/>
    <w:rsid w:val="00623996"/>
    <w:rsid w:val="00623EC7"/>
    <w:rsid w:val="00631B36"/>
    <w:rsid w:val="00634CC0"/>
    <w:rsid w:val="006350A5"/>
    <w:rsid w:val="006613FD"/>
    <w:rsid w:val="0066166A"/>
    <w:rsid w:val="00665E7F"/>
    <w:rsid w:val="006662D1"/>
    <w:rsid w:val="00674529"/>
    <w:rsid w:val="0067540E"/>
    <w:rsid w:val="00675FB2"/>
    <w:rsid w:val="006816B4"/>
    <w:rsid w:val="006838F7"/>
    <w:rsid w:val="006921B9"/>
    <w:rsid w:val="0069232C"/>
    <w:rsid w:val="0069524C"/>
    <w:rsid w:val="006A24F7"/>
    <w:rsid w:val="006A628E"/>
    <w:rsid w:val="006A762F"/>
    <w:rsid w:val="006B0AA9"/>
    <w:rsid w:val="006B1212"/>
    <w:rsid w:val="006B17D4"/>
    <w:rsid w:val="006B195C"/>
    <w:rsid w:val="006B3164"/>
    <w:rsid w:val="006B725D"/>
    <w:rsid w:val="006C4464"/>
    <w:rsid w:val="006D1F40"/>
    <w:rsid w:val="006D78DC"/>
    <w:rsid w:val="006E1779"/>
    <w:rsid w:val="006E2A4D"/>
    <w:rsid w:val="006E3235"/>
    <w:rsid w:val="006F1D4D"/>
    <w:rsid w:val="006F4046"/>
    <w:rsid w:val="0070114E"/>
    <w:rsid w:val="00701F3F"/>
    <w:rsid w:val="0071485E"/>
    <w:rsid w:val="007161B9"/>
    <w:rsid w:val="0072038D"/>
    <w:rsid w:val="00720460"/>
    <w:rsid w:val="00720E23"/>
    <w:rsid w:val="00721C5B"/>
    <w:rsid w:val="00732CDB"/>
    <w:rsid w:val="0074005E"/>
    <w:rsid w:val="0074136B"/>
    <w:rsid w:val="00744903"/>
    <w:rsid w:val="00747300"/>
    <w:rsid w:val="007479A9"/>
    <w:rsid w:val="00754474"/>
    <w:rsid w:val="0075538C"/>
    <w:rsid w:val="00755586"/>
    <w:rsid w:val="00773D21"/>
    <w:rsid w:val="00783CB3"/>
    <w:rsid w:val="007928F2"/>
    <w:rsid w:val="007977CA"/>
    <w:rsid w:val="007A4EBB"/>
    <w:rsid w:val="007A5A01"/>
    <w:rsid w:val="007A665C"/>
    <w:rsid w:val="007B2A1C"/>
    <w:rsid w:val="007B38E2"/>
    <w:rsid w:val="007B50B1"/>
    <w:rsid w:val="007B75C3"/>
    <w:rsid w:val="007C0CC5"/>
    <w:rsid w:val="007C2D91"/>
    <w:rsid w:val="007C651D"/>
    <w:rsid w:val="007C6F31"/>
    <w:rsid w:val="007C7124"/>
    <w:rsid w:val="007D1436"/>
    <w:rsid w:val="007D4B45"/>
    <w:rsid w:val="007D7E86"/>
    <w:rsid w:val="007E3240"/>
    <w:rsid w:val="007E4591"/>
    <w:rsid w:val="007E7F3A"/>
    <w:rsid w:val="007F22D6"/>
    <w:rsid w:val="007F3350"/>
    <w:rsid w:val="007F3906"/>
    <w:rsid w:val="007F6959"/>
    <w:rsid w:val="00805DD7"/>
    <w:rsid w:val="00806837"/>
    <w:rsid w:val="008078B2"/>
    <w:rsid w:val="00814A57"/>
    <w:rsid w:val="008255C2"/>
    <w:rsid w:val="00832549"/>
    <w:rsid w:val="00835CD1"/>
    <w:rsid w:val="008407D2"/>
    <w:rsid w:val="008439FF"/>
    <w:rsid w:val="0084409D"/>
    <w:rsid w:val="00845F33"/>
    <w:rsid w:val="0084639A"/>
    <w:rsid w:val="00846C9C"/>
    <w:rsid w:val="0084753A"/>
    <w:rsid w:val="00852E57"/>
    <w:rsid w:val="00855D4E"/>
    <w:rsid w:val="00862CF6"/>
    <w:rsid w:val="00872A58"/>
    <w:rsid w:val="0087777A"/>
    <w:rsid w:val="00886F0B"/>
    <w:rsid w:val="00887BBE"/>
    <w:rsid w:val="00887C25"/>
    <w:rsid w:val="00891268"/>
    <w:rsid w:val="00892F63"/>
    <w:rsid w:val="0089545B"/>
    <w:rsid w:val="00897F99"/>
    <w:rsid w:val="008A0805"/>
    <w:rsid w:val="008A1EA6"/>
    <w:rsid w:val="008A7D98"/>
    <w:rsid w:val="008A7FF0"/>
    <w:rsid w:val="008B0190"/>
    <w:rsid w:val="008B21F3"/>
    <w:rsid w:val="008B24FF"/>
    <w:rsid w:val="008B2517"/>
    <w:rsid w:val="008B2825"/>
    <w:rsid w:val="008B68A7"/>
    <w:rsid w:val="008B76EA"/>
    <w:rsid w:val="008C0435"/>
    <w:rsid w:val="008C12AC"/>
    <w:rsid w:val="008C1F46"/>
    <w:rsid w:val="008C425B"/>
    <w:rsid w:val="008C77FF"/>
    <w:rsid w:val="008D0901"/>
    <w:rsid w:val="008D0BDC"/>
    <w:rsid w:val="008D5B7B"/>
    <w:rsid w:val="008D6CE0"/>
    <w:rsid w:val="008E18D5"/>
    <w:rsid w:val="008E28DB"/>
    <w:rsid w:val="008F3AC6"/>
    <w:rsid w:val="008F534C"/>
    <w:rsid w:val="008F5F0C"/>
    <w:rsid w:val="008F6504"/>
    <w:rsid w:val="00902D0C"/>
    <w:rsid w:val="00907826"/>
    <w:rsid w:val="0091143B"/>
    <w:rsid w:val="00913CBE"/>
    <w:rsid w:val="0091625C"/>
    <w:rsid w:val="00917376"/>
    <w:rsid w:val="0091753E"/>
    <w:rsid w:val="00921245"/>
    <w:rsid w:val="00921685"/>
    <w:rsid w:val="00922AE6"/>
    <w:rsid w:val="00923BB0"/>
    <w:rsid w:val="00927FFE"/>
    <w:rsid w:val="00935D9D"/>
    <w:rsid w:val="00937340"/>
    <w:rsid w:val="00937EBA"/>
    <w:rsid w:val="00940D51"/>
    <w:rsid w:val="00943742"/>
    <w:rsid w:val="0094453E"/>
    <w:rsid w:val="009525C7"/>
    <w:rsid w:val="00957AB4"/>
    <w:rsid w:val="00960CFF"/>
    <w:rsid w:val="00964DB0"/>
    <w:rsid w:val="00965469"/>
    <w:rsid w:val="009705C7"/>
    <w:rsid w:val="009714BF"/>
    <w:rsid w:val="00983E18"/>
    <w:rsid w:val="00985502"/>
    <w:rsid w:val="0098590D"/>
    <w:rsid w:val="00986457"/>
    <w:rsid w:val="00990204"/>
    <w:rsid w:val="009A2A14"/>
    <w:rsid w:val="009A2ACF"/>
    <w:rsid w:val="009A6884"/>
    <w:rsid w:val="009B5159"/>
    <w:rsid w:val="009C3056"/>
    <w:rsid w:val="009C38FF"/>
    <w:rsid w:val="009C4B46"/>
    <w:rsid w:val="009C65A7"/>
    <w:rsid w:val="009C68A1"/>
    <w:rsid w:val="009C707F"/>
    <w:rsid w:val="009D0919"/>
    <w:rsid w:val="009D1B00"/>
    <w:rsid w:val="009D29BC"/>
    <w:rsid w:val="009E0EF4"/>
    <w:rsid w:val="009F3BBA"/>
    <w:rsid w:val="009F5411"/>
    <w:rsid w:val="009F6D0F"/>
    <w:rsid w:val="009F7073"/>
    <w:rsid w:val="00A00BAC"/>
    <w:rsid w:val="00A01ACE"/>
    <w:rsid w:val="00A02B90"/>
    <w:rsid w:val="00A052EF"/>
    <w:rsid w:val="00A057E9"/>
    <w:rsid w:val="00A05C63"/>
    <w:rsid w:val="00A05D91"/>
    <w:rsid w:val="00A06467"/>
    <w:rsid w:val="00A109C6"/>
    <w:rsid w:val="00A15318"/>
    <w:rsid w:val="00A15865"/>
    <w:rsid w:val="00A161DF"/>
    <w:rsid w:val="00A1637F"/>
    <w:rsid w:val="00A201E4"/>
    <w:rsid w:val="00A220DE"/>
    <w:rsid w:val="00A306E3"/>
    <w:rsid w:val="00A30844"/>
    <w:rsid w:val="00A36B6E"/>
    <w:rsid w:val="00A37447"/>
    <w:rsid w:val="00A415FE"/>
    <w:rsid w:val="00A424AD"/>
    <w:rsid w:val="00A57169"/>
    <w:rsid w:val="00A57B5A"/>
    <w:rsid w:val="00A6168D"/>
    <w:rsid w:val="00A61EB8"/>
    <w:rsid w:val="00A6446E"/>
    <w:rsid w:val="00A72DE9"/>
    <w:rsid w:val="00A75635"/>
    <w:rsid w:val="00A7600C"/>
    <w:rsid w:val="00A81D1C"/>
    <w:rsid w:val="00A83EFB"/>
    <w:rsid w:val="00A84052"/>
    <w:rsid w:val="00A844AA"/>
    <w:rsid w:val="00A901AD"/>
    <w:rsid w:val="00A94817"/>
    <w:rsid w:val="00AB2BD9"/>
    <w:rsid w:val="00AB565D"/>
    <w:rsid w:val="00AC2A7B"/>
    <w:rsid w:val="00AC5DB6"/>
    <w:rsid w:val="00AD1E3F"/>
    <w:rsid w:val="00AD2832"/>
    <w:rsid w:val="00AD611A"/>
    <w:rsid w:val="00AE02DF"/>
    <w:rsid w:val="00AE2FC3"/>
    <w:rsid w:val="00AF6B75"/>
    <w:rsid w:val="00B05D0C"/>
    <w:rsid w:val="00B119E4"/>
    <w:rsid w:val="00B134CB"/>
    <w:rsid w:val="00B13605"/>
    <w:rsid w:val="00B16E71"/>
    <w:rsid w:val="00B17EAB"/>
    <w:rsid w:val="00B22339"/>
    <w:rsid w:val="00B25CB5"/>
    <w:rsid w:val="00B26891"/>
    <w:rsid w:val="00B27FB5"/>
    <w:rsid w:val="00B32B03"/>
    <w:rsid w:val="00B36532"/>
    <w:rsid w:val="00B37EA3"/>
    <w:rsid w:val="00B4031B"/>
    <w:rsid w:val="00B40530"/>
    <w:rsid w:val="00B42ED4"/>
    <w:rsid w:val="00B515D5"/>
    <w:rsid w:val="00B51F95"/>
    <w:rsid w:val="00B5232B"/>
    <w:rsid w:val="00B53650"/>
    <w:rsid w:val="00B53D8E"/>
    <w:rsid w:val="00B54E6A"/>
    <w:rsid w:val="00B5625D"/>
    <w:rsid w:val="00B61178"/>
    <w:rsid w:val="00B62D0B"/>
    <w:rsid w:val="00B6389E"/>
    <w:rsid w:val="00B672B0"/>
    <w:rsid w:val="00B71B1C"/>
    <w:rsid w:val="00B73C10"/>
    <w:rsid w:val="00B758A6"/>
    <w:rsid w:val="00B95108"/>
    <w:rsid w:val="00B962A0"/>
    <w:rsid w:val="00B977FF"/>
    <w:rsid w:val="00BA09AC"/>
    <w:rsid w:val="00BA15A6"/>
    <w:rsid w:val="00BA4CE4"/>
    <w:rsid w:val="00BA6827"/>
    <w:rsid w:val="00BA689B"/>
    <w:rsid w:val="00BB0FCC"/>
    <w:rsid w:val="00BB6BAD"/>
    <w:rsid w:val="00BC2D4D"/>
    <w:rsid w:val="00BC5D59"/>
    <w:rsid w:val="00BD599A"/>
    <w:rsid w:val="00BE016A"/>
    <w:rsid w:val="00BE60B0"/>
    <w:rsid w:val="00BE7C98"/>
    <w:rsid w:val="00BF1A5E"/>
    <w:rsid w:val="00BF5605"/>
    <w:rsid w:val="00BF6F8A"/>
    <w:rsid w:val="00C0084D"/>
    <w:rsid w:val="00C029EA"/>
    <w:rsid w:val="00C0720D"/>
    <w:rsid w:val="00C1023C"/>
    <w:rsid w:val="00C1758D"/>
    <w:rsid w:val="00C178F1"/>
    <w:rsid w:val="00C21CFA"/>
    <w:rsid w:val="00C2386D"/>
    <w:rsid w:val="00C26B2D"/>
    <w:rsid w:val="00C326F1"/>
    <w:rsid w:val="00C34282"/>
    <w:rsid w:val="00C61EA6"/>
    <w:rsid w:val="00C63481"/>
    <w:rsid w:val="00C63736"/>
    <w:rsid w:val="00C7190C"/>
    <w:rsid w:val="00C71D57"/>
    <w:rsid w:val="00C740EF"/>
    <w:rsid w:val="00C74642"/>
    <w:rsid w:val="00C8053D"/>
    <w:rsid w:val="00C83D16"/>
    <w:rsid w:val="00CA12CC"/>
    <w:rsid w:val="00CA20C4"/>
    <w:rsid w:val="00CA499E"/>
    <w:rsid w:val="00CA6942"/>
    <w:rsid w:val="00CA6A99"/>
    <w:rsid w:val="00CC0F7F"/>
    <w:rsid w:val="00CC1A68"/>
    <w:rsid w:val="00CC2C0D"/>
    <w:rsid w:val="00CC40A3"/>
    <w:rsid w:val="00CC60FF"/>
    <w:rsid w:val="00CC7ACA"/>
    <w:rsid w:val="00CD35C9"/>
    <w:rsid w:val="00CD5FEF"/>
    <w:rsid w:val="00CD75F4"/>
    <w:rsid w:val="00CE02F7"/>
    <w:rsid w:val="00CE7A2A"/>
    <w:rsid w:val="00CF348C"/>
    <w:rsid w:val="00CF5276"/>
    <w:rsid w:val="00D0111A"/>
    <w:rsid w:val="00D01A71"/>
    <w:rsid w:val="00D02888"/>
    <w:rsid w:val="00D11030"/>
    <w:rsid w:val="00D11C99"/>
    <w:rsid w:val="00D121CC"/>
    <w:rsid w:val="00D14118"/>
    <w:rsid w:val="00D14B09"/>
    <w:rsid w:val="00D20061"/>
    <w:rsid w:val="00D2145B"/>
    <w:rsid w:val="00D26689"/>
    <w:rsid w:val="00D268D0"/>
    <w:rsid w:val="00D301E4"/>
    <w:rsid w:val="00D31F8B"/>
    <w:rsid w:val="00D33793"/>
    <w:rsid w:val="00D36DD1"/>
    <w:rsid w:val="00D37C06"/>
    <w:rsid w:val="00D40320"/>
    <w:rsid w:val="00D431D6"/>
    <w:rsid w:val="00D44E31"/>
    <w:rsid w:val="00D456B5"/>
    <w:rsid w:val="00D71694"/>
    <w:rsid w:val="00D76B19"/>
    <w:rsid w:val="00D77E94"/>
    <w:rsid w:val="00D804E0"/>
    <w:rsid w:val="00D81190"/>
    <w:rsid w:val="00D85812"/>
    <w:rsid w:val="00D8730A"/>
    <w:rsid w:val="00D8771C"/>
    <w:rsid w:val="00D90616"/>
    <w:rsid w:val="00D90A56"/>
    <w:rsid w:val="00D9101E"/>
    <w:rsid w:val="00D92F90"/>
    <w:rsid w:val="00D9321B"/>
    <w:rsid w:val="00D97481"/>
    <w:rsid w:val="00DA3646"/>
    <w:rsid w:val="00DA4965"/>
    <w:rsid w:val="00DB2F54"/>
    <w:rsid w:val="00DB48F4"/>
    <w:rsid w:val="00DC0796"/>
    <w:rsid w:val="00DC7E12"/>
    <w:rsid w:val="00DD4308"/>
    <w:rsid w:val="00DE1FFE"/>
    <w:rsid w:val="00DE7312"/>
    <w:rsid w:val="00DF3570"/>
    <w:rsid w:val="00DF3C34"/>
    <w:rsid w:val="00DF5656"/>
    <w:rsid w:val="00E03F78"/>
    <w:rsid w:val="00E059E1"/>
    <w:rsid w:val="00E11567"/>
    <w:rsid w:val="00E17E41"/>
    <w:rsid w:val="00E27C29"/>
    <w:rsid w:val="00E31FA2"/>
    <w:rsid w:val="00E32B79"/>
    <w:rsid w:val="00E36CA4"/>
    <w:rsid w:val="00E36DDF"/>
    <w:rsid w:val="00E46A64"/>
    <w:rsid w:val="00E51499"/>
    <w:rsid w:val="00E55812"/>
    <w:rsid w:val="00E55F83"/>
    <w:rsid w:val="00E56140"/>
    <w:rsid w:val="00E7020A"/>
    <w:rsid w:val="00E76A9C"/>
    <w:rsid w:val="00E85D97"/>
    <w:rsid w:val="00E85E17"/>
    <w:rsid w:val="00E86293"/>
    <w:rsid w:val="00E87141"/>
    <w:rsid w:val="00E91BA0"/>
    <w:rsid w:val="00EA3F4A"/>
    <w:rsid w:val="00EC32CD"/>
    <w:rsid w:val="00EC531A"/>
    <w:rsid w:val="00EC6394"/>
    <w:rsid w:val="00ED237C"/>
    <w:rsid w:val="00EE14B9"/>
    <w:rsid w:val="00EE1865"/>
    <w:rsid w:val="00EE60FD"/>
    <w:rsid w:val="00EF0EE8"/>
    <w:rsid w:val="00F00929"/>
    <w:rsid w:val="00F00B95"/>
    <w:rsid w:val="00F01508"/>
    <w:rsid w:val="00F057C1"/>
    <w:rsid w:val="00F12C9F"/>
    <w:rsid w:val="00F14387"/>
    <w:rsid w:val="00F231F0"/>
    <w:rsid w:val="00F23A6F"/>
    <w:rsid w:val="00F25678"/>
    <w:rsid w:val="00F34583"/>
    <w:rsid w:val="00F40962"/>
    <w:rsid w:val="00F44339"/>
    <w:rsid w:val="00F44BC5"/>
    <w:rsid w:val="00F454AB"/>
    <w:rsid w:val="00F4608A"/>
    <w:rsid w:val="00F465E9"/>
    <w:rsid w:val="00F51733"/>
    <w:rsid w:val="00F574F0"/>
    <w:rsid w:val="00F60039"/>
    <w:rsid w:val="00F626BF"/>
    <w:rsid w:val="00F642C0"/>
    <w:rsid w:val="00F6647B"/>
    <w:rsid w:val="00F71D40"/>
    <w:rsid w:val="00F75025"/>
    <w:rsid w:val="00F806CD"/>
    <w:rsid w:val="00F8128D"/>
    <w:rsid w:val="00F838FD"/>
    <w:rsid w:val="00F84FF3"/>
    <w:rsid w:val="00F953F9"/>
    <w:rsid w:val="00F95A71"/>
    <w:rsid w:val="00FA04B2"/>
    <w:rsid w:val="00FA0829"/>
    <w:rsid w:val="00FA180D"/>
    <w:rsid w:val="00FA2F7A"/>
    <w:rsid w:val="00FA34C5"/>
    <w:rsid w:val="00FA570E"/>
    <w:rsid w:val="00FA5DD4"/>
    <w:rsid w:val="00FA7351"/>
    <w:rsid w:val="00FB0A50"/>
    <w:rsid w:val="00FB287E"/>
    <w:rsid w:val="00FB3735"/>
    <w:rsid w:val="00FB6950"/>
    <w:rsid w:val="00FC39C8"/>
    <w:rsid w:val="00FC509E"/>
    <w:rsid w:val="00FD2EC3"/>
    <w:rsid w:val="00FD474B"/>
    <w:rsid w:val="00FE3BD2"/>
    <w:rsid w:val="00FE6D0E"/>
    <w:rsid w:val="00FF77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9931D"/>
  <w15:docId w15:val="{8196E2FB-9B1F-48B2-8768-77DB30CA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style>
  <w:style w:type="numbering" w:customStyle="1" w:styleId="NoList11">
    <w:name w:val="No List11"/>
    <w:next w:val="Sraonra"/>
    <w:uiPriority w:val="99"/>
    <w:semiHidden/>
    <w:unhideWhenUsed/>
  </w:style>
  <w:style w:type="table" w:customStyle="1" w:styleId="Lentelstinklelis4">
    <w:name w:val="Lentelės tinklelis4"/>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Pr>
      <w:color w:val="605E5C"/>
      <w:shd w:val="clear" w:color="auto" w:fill="E1DFDD"/>
    </w:rPr>
  </w:style>
  <w:style w:type="numbering" w:customStyle="1" w:styleId="Sraonra5">
    <w:name w:val="Sąrašo nėra5"/>
    <w:next w:val="Sraonra"/>
    <w:uiPriority w:val="99"/>
    <w:semiHidden/>
    <w:unhideWhenUsed/>
  </w:style>
  <w:style w:type="numbering" w:customStyle="1" w:styleId="NoList12">
    <w:name w:val="No List12"/>
    <w:next w:val="Sraonra"/>
    <w:uiPriority w:val="99"/>
    <w:semiHidden/>
    <w:unhideWhenUsed/>
  </w:style>
  <w:style w:type="table" w:customStyle="1" w:styleId="Lentelstinklelis5">
    <w:name w:val="Lentelės tinklelis5"/>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2">
    <w:name w:val="TableGrid2"/>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3">
    <w:name w:val="TableGrid3"/>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4">
    <w:name w:val="TableGrid4"/>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5">
    <w:name w:val="TableGrid5"/>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character" w:customStyle="1" w:styleId="math-inline">
    <w:name w:val="math-inline"/>
    <w:basedOn w:val="Numatytasispastraiposriftas"/>
    <w:rsid w:val="003C5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9795">
      <w:bodyDiv w:val="1"/>
      <w:marLeft w:val="0"/>
      <w:marRight w:val="0"/>
      <w:marTop w:val="0"/>
      <w:marBottom w:val="0"/>
      <w:divBdr>
        <w:top w:val="none" w:sz="0" w:space="0" w:color="auto"/>
        <w:left w:val="none" w:sz="0" w:space="0" w:color="auto"/>
        <w:bottom w:val="none" w:sz="0" w:space="0" w:color="auto"/>
        <w:right w:val="none" w:sz="0" w:space="0" w:color="auto"/>
      </w:divBdr>
      <w:divsChild>
        <w:div w:id="1459956812">
          <w:marLeft w:val="0"/>
          <w:marRight w:val="0"/>
          <w:marTop w:val="0"/>
          <w:marBottom w:val="0"/>
          <w:divBdr>
            <w:top w:val="none" w:sz="0" w:space="0" w:color="auto"/>
            <w:left w:val="none" w:sz="0" w:space="0" w:color="auto"/>
            <w:bottom w:val="none" w:sz="0" w:space="0" w:color="auto"/>
            <w:right w:val="none" w:sz="0" w:space="0" w:color="auto"/>
          </w:divBdr>
        </w:div>
      </w:divsChild>
    </w:div>
    <w:div w:id="424149954">
      <w:bodyDiv w:val="1"/>
      <w:marLeft w:val="0"/>
      <w:marRight w:val="0"/>
      <w:marTop w:val="0"/>
      <w:marBottom w:val="0"/>
      <w:divBdr>
        <w:top w:val="none" w:sz="0" w:space="0" w:color="auto"/>
        <w:left w:val="none" w:sz="0" w:space="0" w:color="auto"/>
        <w:bottom w:val="none" w:sz="0" w:space="0" w:color="auto"/>
        <w:right w:val="none" w:sz="0" w:space="0" w:color="auto"/>
      </w:divBdr>
    </w:div>
    <w:div w:id="523981692">
      <w:bodyDiv w:val="1"/>
      <w:marLeft w:val="0"/>
      <w:marRight w:val="0"/>
      <w:marTop w:val="0"/>
      <w:marBottom w:val="0"/>
      <w:divBdr>
        <w:top w:val="none" w:sz="0" w:space="0" w:color="auto"/>
        <w:left w:val="none" w:sz="0" w:space="0" w:color="auto"/>
        <w:bottom w:val="none" w:sz="0" w:space="0" w:color="auto"/>
        <w:right w:val="none" w:sz="0" w:space="0" w:color="auto"/>
      </w:divBdr>
      <w:divsChild>
        <w:div w:id="1346983609">
          <w:marLeft w:val="0"/>
          <w:marRight w:val="0"/>
          <w:marTop w:val="0"/>
          <w:marBottom w:val="0"/>
          <w:divBdr>
            <w:top w:val="none" w:sz="0" w:space="0" w:color="auto"/>
            <w:left w:val="none" w:sz="0" w:space="0" w:color="auto"/>
            <w:bottom w:val="none" w:sz="0" w:space="0" w:color="auto"/>
            <w:right w:val="none" w:sz="0" w:space="0" w:color="auto"/>
          </w:divBdr>
        </w:div>
      </w:divsChild>
    </w:div>
    <w:div w:id="599141733">
      <w:bodyDiv w:val="1"/>
      <w:marLeft w:val="0"/>
      <w:marRight w:val="0"/>
      <w:marTop w:val="0"/>
      <w:marBottom w:val="0"/>
      <w:divBdr>
        <w:top w:val="none" w:sz="0" w:space="0" w:color="auto"/>
        <w:left w:val="none" w:sz="0" w:space="0" w:color="auto"/>
        <w:bottom w:val="none" w:sz="0" w:space="0" w:color="auto"/>
        <w:right w:val="none" w:sz="0" w:space="0" w:color="auto"/>
      </w:divBdr>
    </w:div>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17297428">
      <w:bodyDiv w:val="1"/>
      <w:marLeft w:val="0"/>
      <w:marRight w:val="0"/>
      <w:marTop w:val="0"/>
      <w:marBottom w:val="0"/>
      <w:divBdr>
        <w:top w:val="none" w:sz="0" w:space="0" w:color="auto"/>
        <w:left w:val="none" w:sz="0" w:space="0" w:color="auto"/>
        <w:bottom w:val="none" w:sz="0" w:space="0" w:color="auto"/>
        <w:right w:val="none" w:sz="0" w:space="0" w:color="auto"/>
      </w:divBdr>
      <w:divsChild>
        <w:div w:id="1394158397">
          <w:marLeft w:val="0"/>
          <w:marRight w:val="0"/>
          <w:marTop w:val="0"/>
          <w:marBottom w:val="0"/>
          <w:divBdr>
            <w:top w:val="none" w:sz="0" w:space="0" w:color="auto"/>
            <w:left w:val="none" w:sz="0" w:space="0" w:color="auto"/>
            <w:bottom w:val="none" w:sz="0" w:space="0" w:color="auto"/>
            <w:right w:val="none" w:sz="0" w:space="0" w:color="auto"/>
          </w:divBdr>
        </w:div>
      </w:divsChild>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 w:id="1661229943">
      <w:bodyDiv w:val="1"/>
      <w:marLeft w:val="0"/>
      <w:marRight w:val="0"/>
      <w:marTop w:val="0"/>
      <w:marBottom w:val="0"/>
      <w:divBdr>
        <w:top w:val="none" w:sz="0" w:space="0" w:color="auto"/>
        <w:left w:val="none" w:sz="0" w:space="0" w:color="auto"/>
        <w:bottom w:val="none" w:sz="0" w:space="0" w:color="auto"/>
        <w:right w:val="none" w:sz="0" w:space="0" w:color="auto"/>
      </w:divBdr>
      <w:divsChild>
        <w:div w:id="196621798">
          <w:marLeft w:val="0"/>
          <w:marRight w:val="0"/>
          <w:marTop w:val="0"/>
          <w:marBottom w:val="0"/>
          <w:divBdr>
            <w:top w:val="none" w:sz="0" w:space="0" w:color="auto"/>
            <w:left w:val="none" w:sz="0" w:space="0" w:color="auto"/>
            <w:bottom w:val="none" w:sz="0" w:space="0" w:color="auto"/>
            <w:right w:val="none" w:sz="0" w:space="0" w:color="auto"/>
          </w:divBdr>
        </w:div>
      </w:divsChild>
    </w:div>
    <w:div w:id="2142916957">
      <w:bodyDiv w:val="1"/>
      <w:marLeft w:val="0"/>
      <w:marRight w:val="0"/>
      <w:marTop w:val="0"/>
      <w:marBottom w:val="0"/>
      <w:divBdr>
        <w:top w:val="none" w:sz="0" w:space="0" w:color="auto"/>
        <w:left w:val="none" w:sz="0" w:space="0" w:color="auto"/>
        <w:bottom w:val="none" w:sz="0" w:space="0" w:color="auto"/>
        <w:right w:val="none" w:sz="0" w:space="0" w:color="auto"/>
      </w:divBdr>
      <w:divsChild>
        <w:div w:id="2003463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8966C-AB86-4225-93FE-BF4DED6F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57</Pages>
  <Words>86377</Words>
  <Characters>49236</Characters>
  <Application>Microsoft Office Word</Application>
  <DocSecurity>0</DocSecurity>
  <Lines>410</Lines>
  <Paragraphs>270</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135343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2026-05-05T07:27:00Z</dcterms:created>
  <dcterms:modified xsi:type="dcterms:W3CDTF">2026-05-05T07:27:00Z</dcterms:modified>
</cp:coreProperties>
</file>